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DFD" w:rsidRDefault="00557DFD" w:rsidP="00557DFD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Guiné-Bissau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: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Relatório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da ONU sobre os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direitos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humanos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insta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gramStart"/>
      <w:r>
        <w:rPr>
          <w:rFonts w:ascii="Arial" w:hAnsi="Arial" w:cs="Arial"/>
          <w:b/>
          <w:bCs/>
          <w:color w:val="000000"/>
          <w:sz w:val="32"/>
          <w:szCs w:val="32"/>
        </w:rPr>
        <w:t>a</w:t>
      </w:r>
      <w:proofErr w:type="gram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uma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reforma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abrangente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do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sistema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de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saúde</w:t>
      </w:r>
      <w:proofErr w:type="spellEnd"/>
    </w:p>
    <w:p w:rsidR="00557DFD" w:rsidRDefault="00557DFD" w:rsidP="00557DFD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GUINÉ-BISSAU / GENEBRA (8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Junho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2017) - Um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relatório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da ONU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divulgado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na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quinta-feira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revela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que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implementação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à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na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Guiné-Bissau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está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enfrentar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enormes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desafios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557DFD" w:rsidRDefault="00557DFD" w:rsidP="00557DFD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instabilidade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política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pobreza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endémica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os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défices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prestação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contas, 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acesso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alimentos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educação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água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potável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saneamento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sistema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que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precisa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reformas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levam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violações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à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particularmente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no que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diz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respeito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à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materna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infantil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sexual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reprodutiva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VIH/AIDS, tuberculose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malária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-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diz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relatório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557DFD" w:rsidRDefault="00557DFD" w:rsidP="00557DFD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Embora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reconheça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melhorias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nos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últimos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anos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relatório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Gabinete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Nações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Unidas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para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Consolidação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da Paz na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Guiné-Bissau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(UNIOGBIS) e 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Escritório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Humanos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da ONU (ACNUDH)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faz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série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recomendações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voltadas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para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reforma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abrangente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sistema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no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país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incluindo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melhoria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monitorização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responsabilização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557DFD" w:rsidRDefault="00557DFD" w:rsidP="00557DFD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relatório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destaca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que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maioria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clínicas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postos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básicos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carecem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electricidade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ou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abastecimento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água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que os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salários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no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sector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baixos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Relata que os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trabalhadores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que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prestam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cuidados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alguns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postos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básicos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muitas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vezes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obrigados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fazer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partos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à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luz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velas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acesso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água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estéril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557DFD" w:rsidRDefault="00557DFD" w:rsidP="00557DFD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Dadas as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altas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taxas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mortalidade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recém-nascidos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suas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mães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na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Guiné-Bissau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tais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deficiências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particularmente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alarmantes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precisam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abordadas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2016, a taxa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mortalidade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infantil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era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60,3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1.000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nascidos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vivos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2015, a taxa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mortalidade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materna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era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549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óbitos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100 mil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nascidos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vivos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- entre as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piores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mundo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557DFD" w:rsidRDefault="00557DFD" w:rsidP="00557DFD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disponibilidade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inadequada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serviços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também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é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enorme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desafio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Existem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apenas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três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pediatras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no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país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todos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eles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expatriados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para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população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cerca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720 mil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crianças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menores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15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anos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Existem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apenas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quatro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obstetras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cerca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34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parteiras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qualificadas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-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apenas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anestesista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todo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país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que tem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população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1,888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milhões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pessoas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escassez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escolas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medicina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é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parte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responsável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assim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como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 "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fuga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cérebros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"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médicos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diplomados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para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outros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países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rendimentos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mais altos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melhores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condições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vida.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maioria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médicos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que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permanecem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na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Guiné-Bissau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vive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trabalha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áreas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urbanas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deixando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50% da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população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áreas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rurais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ainda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menos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acesso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cuidados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557DFD" w:rsidRDefault="00557DFD" w:rsidP="00557DFD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caso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relatório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cita que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profissionais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entraram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greve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entre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Março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Maio de 2016,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período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durante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qual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24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pacientes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alegadamente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morreram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devido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à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incapacidade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dos restantes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profissionais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lidar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as demandas. “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Neste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caso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incapacidade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tanto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Estado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como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prestadores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serviços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para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disponibilizar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serviços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adequados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violou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diretamente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individuais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à vida e à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”,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afirma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relatório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557DFD" w:rsidRDefault="00557DFD" w:rsidP="00557DFD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discriminação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baseada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no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género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continua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a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problema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significativo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assim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como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distância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para os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estabelecimentos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falta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mecanismos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para que os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pacientes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reivindiquem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seus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-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seja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casos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cuidados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negligentes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ou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baixa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qualidade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ou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falta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recursos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financeiros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para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pagar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tratamento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crucial -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também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é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problema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sério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557DFD" w:rsidRDefault="00557DFD" w:rsidP="00557DFD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relatório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lembra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que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à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é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inclusivo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que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contém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tanto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liberdades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quanto os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As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liberdades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incluem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controlar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incluindo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 xml:space="preserve">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estar</w:t>
      </w:r>
      <w:proofErr w:type="spellEnd"/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livre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tratamento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médico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experimentação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consensuais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557DFD" w:rsidRDefault="00557DFD" w:rsidP="00557DFD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incluem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sistema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protecção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à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que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ofereça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igualdade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oportunidades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para que as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pessoas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desfrutem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 mais alto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padrão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possível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Os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mais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específicos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associados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à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incluem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à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materna,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infantil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sexual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reprodutiva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;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local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trabalho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saudável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ambiente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natural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;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prevenção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tratamento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controle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doenças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incluindo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acesso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vacinação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medicamentos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essenciais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; e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acesso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água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potável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segura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557DFD" w:rsidRDefault="00557DFD" w:rsidP="00557DFD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Embora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reconheça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progresso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que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país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tem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feito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quanto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respeito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protecção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cumprimento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 mais alto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padrão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possível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física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mental,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relatório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faz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série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recomendações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inclusive no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âmbito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da Agenda 2030 para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Desenvolvimento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Sustentável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para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melhorar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acessibilidade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qualidade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cuidados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na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Guiné-Bissau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557DFD" w:rsidRDefault="00557DFD" w:rsidP="00557DFD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"A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implementação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à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tem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forte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vínculo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processo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consolidação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paz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na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Guiné-Bissau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", disse Modibo I. Touré,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Representante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Especial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Secretário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-Geral da ONU na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Guiné-Bissau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 "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sociedade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saudável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é mais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capaz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afirmar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seus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participar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positivamente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da vida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política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desenvolvimento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país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". O Alto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Comissário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Nações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Unidas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para os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Humanos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Zeid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Ra'ad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Al Hussein,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ressaltou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dever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Estado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garantir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à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convidou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doadores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internacionais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continuarem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apoiar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Guiné-Bissau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nos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seus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esforços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para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plena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realização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à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557DFD" w:rsidRDefault="00557DFD" w:rsidP="00557DFD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"A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má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geral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população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factor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determinante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para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toda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série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deficiências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violações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humanos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país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Isso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contribui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para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níveis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mais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baixos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alfabetização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participação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na vida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pública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na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actividade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económica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e mais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pobreza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", disse o Alto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Comissário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Zeid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 "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Solicito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Governo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à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comunidade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internacional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que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vejam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à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como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se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trata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caridade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mas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humano que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todos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devemos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garantir para que as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pessoas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Guiné-Bissau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possam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desfrutar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plenamente</w:t>
      </w:r>
      <w:proofErr w:type="spellEnd"/>
      <w:r>
        <w:rPr>
          <w:rFonts w:ascii="Arial" w:hAnsi="Arial" w:cs="Arial"/>
          <w:color w:val="000000"/>
          <w:sz w:val="24"/>
          <w:szCs w:val="24"/>
        </w:rPr>
        <w:t>".</w:t>
      </w:r>
    </w:p>
    <w:p w:rsidR="00557DFD" w:rsidRDefault="00557DFD" w:rsidP="00557DFD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relatório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baseia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-se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pesquisas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focadas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consultas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partes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interessadas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visitas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site para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monitorizar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situação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humanos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instituições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nacionais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regionais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especializadas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com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objectivo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auxiliar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Estado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no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cumprimento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suas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obrigações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respeito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promoção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protecção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à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</w:t>
      </w:r>
    </w:p>
    <w:p w:rsidR="00557DFD" w:rsidRDefault="00557DFD" w:rsidP="00557DFD">
      <w:pPr>
        <w:autoSpaceDE w:val="0"/>
        <w:autoSpaceDN w:val="0"/>
        <w:adjustRightInd w:val="0"/>
        <w:spacing w:after="24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relatório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será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objeto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análise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discussão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durante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um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encontro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reflexão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sobre as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recomendaçðes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internacionais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para a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Guiné-Bissau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matéria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Direitos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lastRenderedPageBreak/>
        <w:t>Humanos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que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terá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lugar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sexta-feira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dia 9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Junho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às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8:30 no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Salão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Nobre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Víctor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Saúde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Maria, no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Palácio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Governo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em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Bissau.</w:t>
      </w:r>
    </w:p>
    <w:p w:rsidR="00B438F8" w:rsidRPr="00B438F8" w:rsidRDefault="00557DFD" w:rsidP="00557DFD">
      <w:r>
        <w:rPr>
          <w:rFonts w:ascii="Arial" w:hAnsi="Arial" w:cs="Arial"/>
          <w:color w:val="000000"/>
          <w:sz w:val="24"/>
          <w:szCs w:val="24"/>
        </w:rPr>
        <w:t>FIM</w:t>
      </w:r>
      <w:bookmarkStart w:id="0" w:name="_GoBack"/>
      <w:bookmarkEnd w:id="0"/>
    </w:p>
    <w:sectPr w:rsidR="00B438F8" w:rsidRPr="00B43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67C"/>
    <w:rsid w:val="0003467C"/>
    <w:rsid w:val="000A786C"/>
    <w:rsid w:val="001305B4"/>
    <w:rsid w:val="00134FC7"/>
    <w:rsid w:val="002151BF"/>
    <w:rsid w:val="00543743"/>
    <w:rsid w:val="00557DFD"/>
    <w:rsid w:val="006A0302"/>
    <w:rsid w:val="0070044D"/>
    <w:rsid w:val="00992010"/>
    <w:rsid w:val="009F3797"/>
    <w:rsid w:val="00A168A3"/>
    <w:rsid w:val="00A62571"/>
    <w:rsid w:val="00B438F8"/>
    <w:rsid w:val="00B71627"/>
    <w:rsid w:val="00BA294C"/>
    <w:rsid w:val="00CA3B48"/>
    <w:rsid w:val="00D43B78"/>
    <w:rsid w:val="00D615A2"/>
    <w:rsid w:val="00DA1F6D"/>
    <w:rsid w:val="00DE4BE2"/>
    <w:rsid w:val="00E57DC6"/>
    <w:rsid w:val="00FB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419DC4D-6067-4928-AC43-E287E62867BD}"/>
</file>

<file path=customXml/itemProps2.xml><?xml version="1.0" encoding="utf-8"?>
<ds:datastoreItem xmlns:ds="http://schemas.openxmlformats.org/officeDocument/2006/customXml" ds:itemID="{BE609502-513B-4B93-9DBE-FDB3A089C0B4}"/>
</file>

<file path=customXml/itemProps3.xml><?xml version="1.0" encoding="utf-8"?>
<ds:datastoreItem xmlns:ds="http://schemas.openxmlformats.org/officeDocument/2006/customXml" ds:itemID="{8E641255-8665-4C06-BE74-D3CAB3E036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946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Mytnik</dc:creator>
  <cp:lastModifiedBy>Mytnik</cp:lastModifiedBy>
  <cp:revision>1</cp:revision>
  <dcterms:created xsi:type="dcterms:W3CDTF">2017-06-08T09:57:00Z</dcterms:created>
  <dcterms:modified xsi:type="dcterms:W3CDTF">2017-06-08T13:02:00Z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