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10C20">
        <w:trPr>
          <w:trHeight w:val="851"/>
        </w:trPr>
        <w:tc>
          <w:tcPr>
            <w:tcW w:w="1259" w:type="dxa"/>
            <w:tcBorders>
              <w:top w:val="nil"/>
              <w:left w:val="nil"/>
              <w:bottom w:val="single" w:sz="4" w:space="0" w:color="auto"/>
              <w:right w:val="nil"/>
            </w:tcBorders>
          </w:tcPr>
          <w:p w:rsidR="00446DE4" w:rsidRPr="00310C20" w:rsidRDefault="00446DE4" w:rsidP="00C06F1C">
            <w:pPr>
              <w:pStyle w:val="Heading2"/>
            </w:pPr>
          </w:p>
        </w:tc>
        <w:tc>
          <w:tcPr>
            <w:tcW w:w="2236" w:type="dxa"/>
            <w:tcBorders>
              <w:top w:val="nil"/>
              <w:left w:val="nil"/>
              <w:bottom w:val="single" w:sz="4" w:space="0" w:color="auto"/>
              <w:right w:val="nil"/>
            </w:tcBorders>
            <w:vAlign w:val="bottom"/>
          </w:tcPr>
          <w:p w:rsidR="00446DE4" w:rsidRPr="00310C20" w:rsidRDefault="00B3317B" w:rsidP="0022130F">
            <w:pPr>
              <w:spacing w:after="80" w:line="300" w:lineRule="exact"/>
              <w:rPr>
                <w:sz w:val="28"/>
                <w:szCs w:val="28"/>
              </w:rPr>
            </w:pPr>
            <w:r w:rsidRPr="00310C20">
              <w:rPr>
                <w:sz w:val="28"/>
                <w:szCs w:val="28"/>
              </w:rPr>
              <w:t>United Nations</w:t>
            </w:r>
          </w:p>
        </w:tc>
        <w:tc>
          <w:tcPr>
            <w:tcW w:w="6144" w:type="dxa"/>
            <w:gridSpan w:val="2"/>
            <w:tcBorders>
              <w:top w:val="nil"/>
              <w:left w:val="nil"/>
              <w:bottom w:val="single" w:sz="4" w:space="0" w:color="auto"/>
              <w:right w:val="nil"/>
            </w:tcBorders>
            <w:vAlign w:val="bottom"/>
          </w:tcPr>
          <w:p w:rsidR="00446DE4" w:rsidRPr="00310C20" w:rsidRDefault="009D108A" w:rsidP="00797996">
            <w:pPr>
              <w:jc w:val="right"/>
            </w:pPr>
            <w:r w:rsidRPr="00310C20">
              <w:rPr>
                <w:sz w:val="40"/>
              </w:rPr>
              <w:t>A</w:t>
            </w:r>
            <w:r w:rsidRPr="00310C20">
              <w:t>/HRC/2</w:t>
            </w:r>
            <w:r w:rsidR="00B82BCA">
              <w:t>9</w:t>
            </w:r>
            <w:r w:rsidRPr="00310C20">
              <w:t>/</w:t>
            </w:r>
            <w:r w:rsidR="00A1750E">
              <w:t>33</w:t>
            </w:r>
            <w:r w:rsidRPr="00310C20">
              <w:t>/Add.</w:t>
            </w:r>
            <w:r w:rsidR="003A18CC">
              <w:t>1</w:t>
            </w:r>
          </w:p>
        </w:tc>
      </w:tr>
      <w:tr w:rsidR="003107FA" w:rsidRPr="00310C20">
        <w:trPr>
          <w:trHeight w:val="2835"/>
        </w:trPr>
        <w:tc>
          <w:tcPr>
            <w:tcW w:w="1259" w:type="dxa"/>
            <w:tcBorders>
              <w:top w:val="single" w:sz="4" w:space="0" w:color="auto"/>
              <w:left w:val="nil"/>
              <w:bottom w:val="single" w:sz="12" w:space="0" w:color="auto"/>
              <w:right w:val="nil"/>
            </w:tcBorders>
          </w:tcPr>
          <w:p w:rsidR="003107FA" w:rsidRPr="00310C20" w:rsidRDefault="00B21BC1" w:rsidP="00956D9B">
            <w:pPr>
              <w:spacing w:before="120"/>
              <w:jc w:val="center"/>
            </w:pPr>
            <w:r>
              <w:rPr>
                <w:noProof/>
                <w:lang w:eastAsia="zh-CN"/>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310C20" w:rsidRDefault="00B3317B" w:rsidP="00EF5BDB">
            <w:pPr>
              <w:spacing w:before="120" w:line="420" w:lineRule="exact"/>
              <w:rPr>
                <w:b/>
                <w:sz w:val="40"/>
                <w:szCs w:val="40"/>
              </w:rPr>
            </w:pPr>
            <w:r w:rsidRPr="00310C20">
              <w:rPr>
                <w:b/>
                <w:sz w:val="40"/>
                <w:szCs w:val="40"/>
              </w:rPr>
              <w:t>General Assembly</w:t>
            </w:r>
          </w:p>
        </w:tc>
        <w:tc>
          <w:tcPr>
            <w:tcW w:w="2930" w:type="dxa"/>
            <w:tcBorders>
              <w:top w:val="single" w:sz="4" w:space="0" w:color="auto"/>
              <w:left w:val="nil"/>
              <w:bottom w:val="single" w:sz="12" w:space="0" w:color="auto"/>
              <w:right w:val="nil"/>
            </w:tcBorders>
          </w:tcPr>
          <w:p w:rsidR="003107FA" w:rsidRPr="00310C20" w:rsidRDefault="009D108A" w:rsidP="009D108A">
            <w:pPr>
              <w:spacing w:before="240" w:line="240" w:lineRule="exact"/>
            </w:pPr>
            <w:r w:rsidRPr="00310C20">
              <w:t>Distr.: General</w:t>
            </w:r>
          </w:p>
          <w:p w:rsidR="009D108A" w:rsidRPr="00310C20" w:rsidRDefault="0067771F" w:rsidP="00F2765F">
            <w:pPr>
              <w:spacing w:line="240" w:lineRule="exact"/>
            </w:pPr>
            <w:r>
              <w:t>1</w:t>
            </w:r>
            <w:r w:rsidR="00D914DA">
              <w:t xml:space="preserve"> </w:t>
            </w:r>
            <w:r w:rsidR="00F2765F">
              <w:t>May</w:t>
            </w:r>
            <w:r w:rsidR="00F2765F" w:rsidRPr="00310C20">
              <w:t xml:space="preserve"> </w:t>
            </w:r>
            <w:r w:rsidR="009D108A" w:rsidRPr="00310C20">
              <w:t>201</w:t>
            </w:r>
            <w:r w:rsidR="00B82BCA">
              <w:t>5</w:t>
            </w:r>
          </w:p>
          <w:p w:rsidR="009D108A" w:rsidRPr="00310C20" w:rsidRDefault="009D108A" w:rsidP="009D108A">
            <w:pPr>
              <w:spacing w:line="240" w:lineRule="exact"/>
            </w:pPr>
          </w:p>
          <w:p w:rsidR="00D224BF" w:rsidRPr="00B21BC1" w:rsidRDefault="009D108A" w:rsidP="00B21BC1">
            <w:pPr>
              <w:spacing w:line="240" w:lineRule="exact"/>
            </w:pPr>
            <w:r w:rsidRPr="00310C20">
              <w:t>Original: English</w:t>
            </w:r>
          </w:p>
        </w:tc>
      </w:tr>
    </w:tbl>
    <w:p w:rsidR="002E45C8" w:rsidRPr="00310C20" w:rsidRDefault="002E45C8" w:rsidP="009C7F81">
      <w:pPr>
        <w:spacing w:before="120"/>
        <w:rPr>
          <w:b/>
          <w:bCs/>
          <w:sz w:val="24"/>
          <w:szCs w:val="24"/>
        </w:rPr>
      </w:pPr>
      <w:r w:rsidRPr="00310C20">
        <w:rPr>
          <w:b/>
          <w:bCs/>
          <w:sz w:val="24"/>
          <w:szCs w:val="24"/>
        </w:rPr>
        <w:t>Human Rights Council</w:t>
      </w:r>
      <w:r w:rsidR="00B21BC1">
        <w:rPr>
          <w:b/>
          <w:bCs/>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3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3/Add.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5C8" w:rsidRPr="00310C20" w:rsidRDefault="002E45C8" w:rsidP="002E45C8">
      <w:pPr>
        <w:spacing w:line="0" w:lineRule="atLeast"/>
        <w:rPr>
          <w:b/>
          <w:bCs/>
        </w:rPr>
      </w:pPr>
      <w:r w:rsidRPr="00310C20">
        <w:rPr>
          <w:b/>
          <w:bCs/>
        </w:rPr>
        <w:t>Twenty-</w:t>
      </w:r>
      <w:r w:rsidR="00B82BCA">
        <w:rPr>
          <w:b/>
          <w:bCs/>
        </w:rPr>
        <w:t>ninth</w:t>
      </w:r>
      <w:r w:rsidR="00B82BCA" w:rsidRPr="00310C20">
        <w:rPr>
          <w:b/>
          <w:bCs/>
        </w:rPr>
        <w:t xml:space="preserve"> </w:t>
      </w:r>
      <w:r w:rsidRPr="00310C20">
        <w:rPr>
          <w:b/>
          <w:bCs/>
        </w:rPr>
        <w:t>session</w:t>
      </w:r>
    </w:p>
    <w:p w:rsidR="002E45C8" w:rsidRPr="00310C20" w:rsidRDefault="002E45C8" w:rsidP="002E45C8">
      <w:pPr>
        <w:spacing w:line="0" w:lineRule="atLeast"/>
      </w:pPr>
      <w:r w:rsidRPr="00310C20">
        <w:t>Agenda item 3</w:t>
      </w:r>
    </w:p>
    <w:p w:rsidR="002E45C8" w:rsidRPr="00310C20" w:rsidRDefault="002E45C8" w:rsidP="002E45C8">
      <w:pPr>
        <w:suppressAutoHyphens w:val="0"/>
        <w:autoSpaceDE w:val="0"/>
        <w:autoSpaceDN w:val="0"/>
        <w:adjustRightInd w:val="0"/>
        <w:spacing w:line="240" w:lineRule="auto"/>
        <w:rPr>
          <w:rFonts w:eastAsia="SimSun"/>
          <w:b/>
          <w:bCs/>
          <w:lang w:eastAsia="zh-CN"/>
        </w:rPr>
      </w:pPr>
      <w:r w:rsidRPr="00310C20">
        <w:rPr>
          <w:rFonts w:eastAsia="SimSun"/>
          <w:b/>
          <w:bCs/>
          <w:lang w:eastAsia="zh-CN"/>
        </w:rPr>
        <w:t>Promotion and protection of all human rights, civil,</w:t>
      </w:r>
    </w:p>
    <w:p w:rsidR="002E45C8" w:rsidRPr="00310C20" w:rsidRDefault="002E45C8" w:rsidP="002E45C8">
      <w:pPr>
        <w:suppressAutoHyphens w:val="0"/>
        <w:autoSpaceDE w:val="0"/>
        <w:autoSpaceDN w:val="0"/>
        <w:adjustRightInd w:val="0"/>
        <w:spacing w:line="240" w:lineRule="auto"/>
        <w:rPr>
          <w:rFonts w:eastAsia="SimSun"/>
          <w:b/>
          <w:bCs/>
          <w:lang w:eastAsia="zh-CN"/>
        </w:rPr>
      </w:pPr>
      <w:r w:rsidRPr="00310C20">
        <w:rPr>
          <w:rFonts w:eastAsia="SimSun"/>
          <w:b/>
          <w:bCs/>
          <w:lang w:eastAsia="zh-CN"/>
        </w:rPr>
        <w:t>political, economic, social and cultural rights,</w:t>
      </w:r>
    </w:p>
    <w:p w:rsidR="002E45C8" w:rsidRPr="00310C20" w:rsidRDefault="002E45C8" w:rsidP="002E45C8">
      <w:pPr>
        <w:suppressAutoHyphens w:val="0"/>
        <w:autoSpaceDE w:val="0"/>
        <w:autoSpaceDN w:val="0"/>
        <w:adjustRightInd w:val="0"/>
        <w:spacing w:line="240" w:lineRule="auto"/>
        <w:rPr>
          <w:rFonts w:eastAsia="SimSun"/>
          <w:b/>
          <w:bCs/>
          <w:lang w:eastAsia="zh-CN"/>
        </w:rPr>
      </w:pPr>
      <w:r w:rsidRPr="00310C20">
        <w:rPr>
          <w:rFonts w:eastAsia="SimSun"/>
          <w:b/>
          <w:bCs/>
          <w:lang w:eastAsia="zh-CN"/>
        </w:rPr>
        <w:t>including the right to development</w:t>
      </w:r>
    </w:p>
    <w:p w:rsidR="002E45C8" w:rsidRPr="00310C20" w:rsidRDefault="002E45C8" w:rsidP="00934A11">
      <w:pPr>
        <w:pStyle w:val="HChG"/>
        <w:spacing w:before="240" w:after="120"/>
      </w:pPr>
      <w:r w:rsidRPr="00310C20">
        <w:tab/>
      </w:r>
      <w:r w:rsidRPr="00310C20">
        <w:tab/>
        <w:t>Report of the Special Rapporte</w:t>
      </w:r>
      <w:bookmarkStart w:id="0" w:name="_GoBack"/>
      <w:bookmarkEnd w:id="0"/>
      <w:r w:rsidRPr="00310C20">
        <w:t>ur on the right of everyone to</w:t>
      </w:r>
      <w:r w:rsidR="005441E1">
        <w:t> </w:t>
      </w:r>
      <w:r w:rsidRPr="00310C20">
        <w:t>the enjoyment of the highest attainable standard of</w:t>
      </w:r>
      <w:r w:rsidR="005441E1">
        <w:t> </w:t>
      </w:r>
      <w:r w:rsidRPr="00310C20">
        <w:t xml:space="preserve">physical and mental health, </w:t>
      </w:r>
      <w:r w:rsidR="00B82BCA">
        <w:t>Dainius Pūras</w:t>
      </w:r>
    </w:p>
    <w:p w:rsidR="002E45C8" w:rsidRPr="00310C20" w:rsidRDefault="002E45C8" w:rsidP="002E45C8">
      <w:pPr>
        <w:pStyle w:val="H23G"/>
      </w:pPr>
      <w:r w:rsidRPr="00310C20">
        <w:tab/>
      </w:r>
      <w:r w:rsidRPr="00310C20">
        <w:tab/>
        <w:t>Addendum</w:t>
      </w:r>
    </w:p>
    <w:p w:rsidR="002E45C8" w:rsidRDefault="002E45C8" w:rsidP="00934A11">
      <w:pPr>
        <w:pStyle w:val="H1G"/>
        <w:spacing w:before="240" w:after="120"/>
      </w:pPr>
      <w:r w:rsidRPr="00310C20">
        <w:tab/>
      </w:r>
      <w:r w:rsidRPr="00310C20">
        <w:tab/>
      </w:r>
      <w:r w:rsidR="00795C73">
        <w:t>Visit</w:t>
      </w:r>
      <w:r w:rsidR="00795C73" w:rsidRPr="00310C20">
        <w:t xml:space="preserve"> </w:t>
      </w:r>
      <w:r w:rsidRPr="00310C20">
        <w:t xml:space="preserve">to </w:t>
      </w:r>
      <w:r w:rsidR="00B82BCA">
        <w:t>Malaysia</w:t>
      </w:r>
      <w:r w:rsidR="00B82BCA" w:rsidRPr="00310C20">
        <w:t xml:space="preserve"> </w:t>
      </w:r>
      <w:r w:rsidRPr="00310C20">
        <w:t>(</w:t>
      </w:r>
      <w:r w:rsidR="009336EB" w:rsidRPr="00310C20">
        <w:rPr>
          <w:rFonts w:eastAsia="MS Mincho"/>
        </w:rPr>
        <w:t>1</w:t>
      </w:r>
      <w:r w:rsidR="00B82BCA">
        <w:rPr>
          <w:rFonts w:eastAsia="MS Mincho"/>
        </w:rPr>
        <w:t>9 November</w:t>
      </w:r>
      <w:r w:rsidR="005441E1">
        <w:rPr>
          <w:rFonts w:eastAsia="MS Mincho"/>
        </w:rPr>
        <w:t>–</w:t>
      </w:r>
      <w:r w:rsidR="00B82BCA">
        <w:rPr>
          <w:rFonts w:eastAsia="MS Mincho"/>
        </w:rPr>
        <w:t>2 December</w:t>
      </w:r>
      <w:r w:rsidRPr="00310C20">
        <w:rPr>
          <w:rFonts w:eastAsia="MS Mincho"/>
        </w:rPr>
        <w:t xml:space="preserve"> 201</w:t>
      </w:r>
      <w:r w:rsidR="00B82BCA">
        <w:rPr>
          <w:rFonts w:eastAsia="MS Mincho"/>
        </w:rPr>
        <w:t>4</w:t>
      </w:r>
      <w:r w:rsidRPr="00310C20">
        <w:t>)</w:t>
      </w:r>
      <w:r w:rsidR="0067771F" w:rsidRPr="00B21BC1">
        <w:rPr>
          <w:rStyle w:val="FootnoteReference"/>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Change w:id="1">
          <w:tblGrid>
            <w:gridCol w:w="9637"/>
          </w:tblGrid>
        </w:tblGridChange>
      </w:tblGrid>
      <w:tr w:rsidR="005441E1" w:rsidTr="001467EA">
        <w:trPr>
          <w:jc w:val="center"/>
        </w:trPr>
        <w:tc>
          <w:tcPr>
            <w:tcW w:w="9637" w:type="dxa"/>
            <w:shd w:val="clear" w:color="auto" w:fill="auto"/>
          </w:tcPr>
          <w:p w:rsidR="005441E1" w:rsidRPr="009C7F81" w:rsidRDefault="005441E1" w:rsidP="001467EA">
            <w:pPr>
              <w:spacing w:before="240" w:after="120"/>
              <w:ind w:left="255"/>
              <w:rPr>
                <w:i/>
                <w:sz w:val="24"/>
              </w:rPr>
            </w:pPr>
            <w:r w:rsidRPr="009C7F81">
              <w:rPr>
                <w:i/>
                <w:sz w:val="24"/>
              </w:rPr>
              <w:t>Summary</w:t>
            </w:r>
          </w:p>
        </w:tc>
      </w:tr>
      <w:tr w:rsidR="005441E1" w:rsidTr="001467EA">
        <w:trPr>
          <w:jc w:val="center"/>
        </w:trPr>
        <w:tc>
          <w:tcPr>
            <w:tcW w:w="9637" w:type="dxa"/>
            <w:shd w:val="clear" w:color="auto" w:fill="auto"/>
          </w:tcPr>
          <w:p w:rsidR="005441E1" w:rsidRDefault="005441E1" w:rsidP="0067771F">
            <w:pPr>
              <w:pStyle w:val="SingleTxtG"/>
              <w:ind w:firstLine="567"/>
            </w:pPr>
            <w:r w:rsidRPr="00A63C19">
              <w:t xml:space="preserve">The Special Rapporteur on the right of everyone to the enjoyment of the highest attainable standard of physical and mental health visited </w:t>
            </w:r>
            <w:r>
              <w:t>Malaysia</w:t>
            </w:r>
            <w:r w:rsidRPr="00A63C19">
              <w:t xml:space="preserve"> from </w:t>
            </w:r>
            <w:r>
              <w:t>19 November</w:t>
            </w:r>
            <w:r w:rsidRPr="00A63C19">
              <w:t xml:space="preserve"> to </w:t>
            </w:r>
            <w:r>
              <w:t>2</w:t>
            </w:r>
            <w:r w:rsidRPr="00A63C19">
              <w:t xml:space="preserve"> </w:t>
            </w:r>
            <w:r>
              <w:t>December</w:t>
            </w:r>
            <w:r w:rsidRPr="00A63C19">
              <w:t xml:space="preserve"> 201</w:t>
            </w:r>
            <w:r>
              <w:t>5</w:t>
            </w:r>
            <w:r w:rsidRPr="00A63C19">
              <w:t xml:space="preserve">. During the visit, the Special Rapporteur considered, in a spirit of dialogue and </w:t>
            </w:r>
            <w:r>
              <w:t>cooperation, how the country has</w:t>
            </w:r>
            <w:r w:rsidRPr="00A63C19">
              <w:t xml:space="preserve"> endeavoured to implement the right to health</w:t>
            </w:r>
            <w:r>
              <w:t>. I</w:t>
            </w:r>
            <w:r w:rsidRPr="00A63C19">
              <w:t>n particular,</w:t>
            </w:r>
            <w:r>
              <w:t xml:space="preserve"> he</w:t>
            </w:r>
            <w:r w:rsidRPr="00A63C19">
              <w:t xml:space="preserve"> </w:t>
            </w:r>
            <w:r>
              <w:t>assessed issues related</w:t>
            </w:r>
            <w:r w:rsidRPr="00A63C19">
              <w:t xml:space="preserve"> to</w:t>
            </w:r>
            <w:r>
              <w:t>:</w:t>
            </w:r>
            <w:r w:rsidRPr="00A63C19">
              <w:t xml:space="preserve"> </w:t>
            </w:r>
            <w:r>
              <w:t>the health</w:t>
            </w:r>
            <w:r w:rsidR="006557AA">
              <w:t>-</w:t>
            </w:r>
            <w:r>
              <w:t>care system and financing, and the right to health of particular groups</w:t>
            </w:r>
            <w:r w:rsidR="006557AA">
              <w:t>,</w:t>
            </w:r>
            <w:r>
              <w:t xml:space="preserve"> such as women and girls; indigenous communities; migrants, refugees and asylum</w:t>
            </w:r>
            <w:r w:rsidR="006557AA">
              <w:t xml:space="preserve"> </w:t>
            </w:r>
            <w:r>
              <w:t xml:space="preserve">seekers; </w:t>
            </w:r>
            <w:r w:rsidR="006557AA" w:rsidRPr="006557AA">
              <w:t>lesbian, gay, bisexual and transgender </w:t>
            </w:r>
            <w:r w:rsidR="006557AA">
              <w:t>(</w:t>
            </w:r>
            <w:r>
              <w:t>LGBT</w:t>
            </w:r>
            <w:r w:rsidR="006557AA">
              <w:t>)</w:t>
            </w:r>
            <w:r>
              <w:t xml:space="preserve"> </w:t>
            </w:r>
            <w:r w:rsidR="006557AA">
              <w:t>persons</w:t>
            </w:r>
            <w:r>
              <w:t xml:space="preserve">; </w:t>
            </w:r>
            <w:r w:rsidR="006557AA">
              <w:t>persons</w:t>
            </w:r>
            <w:r>
              <w:t xml:space="preserve"> living with HIV/AIDS; children; and </w:t>
            </w:r>
            <w:r w:rsidR="006557AA">
              <w:t>persons</w:t>
            </w:r>
            <w:r>
              <w:t xml:space="preserve"> with </w:t>
            </w:r>
            <w:r w:rsidR="001A1BDD">
              <w:t>psychosocial</w:t>
            </w:r>
            <w:r>
              <w:t xml:space="preserve"> and developmental disabilities.</w:t>
            </w:r>
          </w:p>
        </w:tc>
      </w:tr>
      <w:tr w:rsidR="005441E1" w:rsidTr="001467EA">
        <w:trPr>
          <w:jc w:val="center"/>
        </w:trPr>
        <w:tc>
          <w:tcPr>
            <w:tcW w:w="9637" w:type="dxa"/>
            <w:shd w:val="clear" w:color="auto" w:fill="auto"/>
          </w:tcPr>
          <w:p w:rsidR="005441E1" w:rsidRDefault="005441E1" w:rsidP="0067771F">
            <w:pPr>
              <w:pStyle w:val="SingleTxtG"/>
              <w:ind w:firstLine="567"/>
            </w:pPr>
            <w:r w:rsidRPr="00A63C19">
              <w:t xml:space="preserve">In the present </w:t>
            </w:r>
            <w:r w:rsidRPr="00015A03">
              <w:t>report, the Special Rapporteur commends Malaysia for its commitment to realiz</w:t>
            </w:r>
            <w:r>
              <w:t>ing</w:t>
            </w:r>
            <w:r w:rsidRPr="00015A03">
              <w:t xml:space="preserve"> the right to health, in particular for advances made in reducing poverty, increasing spending on health, and improving basic health-related indicators.</w:t>
            </w:r>
            <w:r>
              <w:t xml:space="preserve"> For Malaysia </w:t>
            </w:r>
            <w:r w:rsidRPr="00A63C19">
              <w:t>to</w:t>
            </w:r>
            <w:r>
              <w:t xml:space="preserve"> fully</w:t>
            </w:r>
            <w:r w:rsidRPr="00A63C19">
              <w:t xml:space="preserve"> realize the right to health, however, the Special Rapporteur encourages the Government </w:t>
            </w:r>
            <w:r w:rsidRPr="00FE624C">
              <w:t>to address a number of serious challenges</w:t>
            </w:r>
            <w:r w:rsidR="00BA1F2F">
              <w:t xml:space="preserve"> that are</w:t>
            </w:r>
            <w:r w:rsidRPr="00FE624C">
              <w:t xml:space="preserve"> mostly connected to a selective approach to human rights and the prevalence of discrimination against groups in vulnerable situations. With a view to facilitating that endeavour, the Special Rapporteur makes a number of recommendations in the report.</w:t>
            </w:r>
          </w:p>
        </w:tc>
      </w:tr>
      <w:tr w:rsidR="005441E1" w:rsidTr="001467EA">
        <w:trPr>
          <w:jc w:val="center"/>
        </w:trPr>
        <w:tc>
          <w:tcPr>
            <w:tcW w:w="9637" w:type="dxa"/>
            <w:shd w:val="clear" w:color="auto" w:fill="auto"/>
          </w:tcPr>
          <w:p w:rsidR="005441E1" w:rsidRDefault="005441E1" w:rsidP="005441E1"/>
        </w:tc>
      </w:tr>
    </w:tbl>
    <w:p w:rsidR="00246C42" w:rsidRDefault="00246C42" w:rsidP="00934A11">
      <w:pPr>
        <w:pStyle w:val="HChG"/>
        <w:rPr>
          <w:rFonts w:eastAsia="SimSun"/>
        </w:rPr>
      </w:pPr>
      <w:r w:rsidRPr="00310C20">
        <w:rPr>
          <w:rFonts w:eastAsia="SimSun"/>
        </w:rPr>
        <w:lastRenderedPageBreak/>
        <w:t>Annex</w:t>
      </w:r>
    </w:p>
    <w:p w:rsidR="0067771F" w:rsidRPr="0058400B" w:rsidRDefault="0067771F" w:rsidP="0067771F">
      <w:pPr>
        <w:jc w:val="right"/>
        <w:rPr>
          <w:i/>
          <w:iCs/>
        </w:rPr>
      </w:pPr>
      <w:r w:rsidRPr="0058400B">
        <w:rPr>
          <w:i/>
          <w:iCs/>
        </w:rPr>
        <w:t>[English only]</w:t>
      </w:r>
    </w:p>
    <w:p w:rsidR="00246C42" w:rsidRPr="00310C20" w:rsidRDefault="00246C42" w:rsidP="009C7F81">
      <w:pPr>
        <w:pStyle w:val="HChG"/>
        <w:rPr>
          <w:rFonts w:eastAsia="SimSun"/>
        </w:rPr>
      </w:pPr>
      <w:r w:rsidRPr="00310C20">
        <w:rPr>
          <w:rFonts w:eastAsia="SimSun"/>
        </w:rPr>
        <w:tab/>
      </w:r>
      <w:r w:rsidRPr="00310C20">
        <w:rPr>
          <w:rFonts w:eastAsia="SimSun"/>
        </w:rPr>
        <w:tab/>
        <w:t>Report of the Special Rapporteur on the right of everyone to</w:t>
      </w:r>
      <w:r w:rsidR="005441E1">
        <w:rPr>
          <w:rFonts w:eastAsia="SimSun"/>
        </w:rPr>
        <w:t> </w:t>
      </w:r>
      <w:r w:rsidRPr="00310C20">
        <w:rPr>
          <w:rFonts w:eastAsia="SimSun"/>
        </w:rPr>
        <w:t xml:space="preserve">the enjoyment of the highest attainable standard </w:t>
      </w:r>
      <w:r w:rsidR="005441E1">
        <w:rPr>
          <w:rFonts w:eastAsia="SimSun"/>
        </w:rPr>
        <w:t>o</w:t>
      </w:r>
      <w:r w:rsidRPr="00310C20">
        <w:rPr>
          <w:rFonts w:eastAsia="SimSun"/>
        </w:rPr>
        <w:t>f</w:t>
      </w:r>
      <w:r w:rsidR="005441E1">
        <w:rPr>
          <w:rFonts w:eastAsia="SimSun"/>
        </w:rPr>
        <w:t xml:space="preserve"> </w:t>
      </w:r>
      <w:r w:rsidRPr="00310C20">
        <w:rPr>
          <w:rFonts w:eastAsia="SimSun"/>
        </w:rPr>
        <w:t>physical and mental health</w:t>
      </w:r>
      <w:r w:rsidR="00855DAE">
        <w:rPr>
          <w:rFonts w:eastAsia="SimSun"/>
        </w:rPr>
        <w:t xml:space="preserve"> on his</w:t>
      </w:r>
      <w:r w:rsidRPr="00310C20">
        <w:rPr>
          <w:rFonts w:eastAsia="SimSun"/>
        </w:rPr>
        <w:t xml:space="preserve"> </w:t>
      </w:r>
      <w:r w:rsidR="00BA1F2F">
        <w:rPr>
          <w:rFonts w:eastAsia="SimSun"/>
        </w:rPr>
        <w:t>visit</w:t>
      </w:r>
      <w:r w:rsidR="00BA1F2F" w:rsidRPr="00310C20">
        <w:rPr>
          <w:rFonts w:eastAsia="SimSun"/>
        </w:rPr>
        <w:t xml:space="preserve"> </w:t>
      </w:r>
      <w:r w:rsidRPr="00310C20">
        <w:rPr>
          <w:rFonts w:eastAsia="SimSun"/>
        </w:rPr>
        <w:t xml:space="preserve">to </w:t>
      </w:r>
      <w:r w:rsidR="00B82BCA">
        <w:rPr>
          <w:rFonts w:eastAsia="SimSun"/>
        </w:rPr>
        <w:t>Malaysia</w:t>
      </w:r>
      <w:r w:rsidR="00B82BCA" w:rsidRPr="00310C20">
        <w:rPr>
          <w:rFonts w:eastAsia="SimSun"/>
        </w:rPr>
        <w:t xml:space="preserve"> </w:t>
      </w:r>
      <w:r w:rsidRPr="00310C20">
        <w:rPr>
          <w:rFonts w:eastAsia="SimSun"/>
        </w:rPr>
        <w:t>(1</w:t>
      </w:r>
      <w:r w:rsidR="00B82BCA">
        <w:rPr>
          <w:rFonts w:eastAsia="SimSun"/>
        </w:rPr>
        <w:t>9</w:t>
      </w:r>
      <w:r w:rsidR="005441E1">
        <w:rPr>
          <w:rFonts w:eastAsia="SimSun"/>
        </w:rPr>
        <w:t> </w:t>
      </w:r>
      <w:r w:rsidR="00B82BCA">
        <w:rPr>
          <w:rFonts w:eastAsia="SimSun"/>
        </w:rPr>
        <w:t>November</w:t>
      </w:r>
      <w:r w:rsidR="005441E1">
        <w:rPr>
          <w:rFonts w:eastAsia="SimSun"/>
        </w:rPr>
        <w:t>–</w:t>
      </w:r>
      <w:r w:rsidRPr="00310C20">
        <w:rPr>
          <w:rFonts w:eastAsia="SimSun"/>
        </w:rPr>
        <w:t>2</w:t>
      </w:r>
      <w:r w:rsidR="00B82BCA">
        <w:rPr>
          <w:rFonts w:eastAsia="SimSun"/>
        </w:rPr>
        <w:t xml:space="preserve"> December</w:t>
      </w:r>
      <w:r w:rsidRPr="00310C20">
        <w:rPr>
          <w:rFonts w:eastAsia="SimSun"/>
        </w:rPr>
        <w:t xml:space="preserve"> 201</w:t>
      </w:r>
      <w:r w:rsidR="00B82BCA">
        <w:rPr>
          <w:rFonts w:eastAsia="SimSun"/>
        </w:rPr>
        <w:t>4</w:t>
      </w:r>
      <w:r w:rsidRPr="00310C20">
        <w:rPr>
          <w:rFonts w:eastAsia="SimSun"/>
        </w:rPr>
        <w:t>)</w:t>
      </w:r>
    </w:p>
    <w:p w:rsidR="00246C42" w:rsidRPr="00A45B8A" w:rsidRDefault="00246C42" w:rsidP="00246C42">
      <w:pPr>
        <w:tabs>
          <w:tab w:val="left" w:pos="7890"/>
        </w:tabs>
        <w:suppressAutoHyphens w:val="0"/>
        <w:spacing w:before="480" w:line="276" w:lineRule="auto"/>
        <w:contextualSpacing/>
        <w:rPr>
          <w:sz w:val="28"/>
          <w:lang w:val="fr-CH"/>
        </w:rPr>
      </w:pPr>
      <w:r w:rsidRPr="00A45B8A">
        <w:rPr>
          <w:sz w:val="28"/>
          <w:lang w:val="fr-CH"/>
        </w:rPr>
        <w:t>Contents</w:t>
      </w:r>
    </w:p>
    <w:p w:rsidR="00246C42" w:rsidRPr="00A45B8A" w:rsidRDefault="00246C42" w:rsidP="00246C42">
      <w:pPr>
        <w:tabs>
          <w:tab w:val="right" w:pos="8929"/>
          <w:tab w:val="right" w:pos="9638"/>
        </w:tabs>
        <w:spacing w:after="120"/>
        <w:ind w:left="283"/>
        <w:rPr>
          <w:lang w:val="fr-CH"/>
        </w:rPr>
      </w:pPr>
      <w:r w:rsidRPr="00A45B8A">
        <w:rPr>
          <w:i/>
          <w:sz w:val="18"/>
          <w:lang w:val="fr-CH"/>
        </w:rPr>
        <w:tab/>
        <w:t>Paragraphs</w:t>
      </w:r>
      <w:r w:rsidRPr="00A45B8A">
        <w:rPr>
          <w:i/>
          <w:sz w:val="18"/>
          <w:lang w:val="fr-CH"/>
        </w:rPr>
        <w:tab/>
        <w:t>Page</w:t>
      </w:r>
    </w:p>
    <w:p w:rsidR="00246C42" w:rsidRPr="00934A11" w:rsidRDefault="00015A03" w:rsidP="009C7F81">
      <w:pPr>
        <w:tabs>
          <w:tab w:val="right" w:pos="850"/>
          <w:tab w:val="left" w:pos="1134"/>
          <w:tab w:val="left" w:pos="1559"/>
          <w:tab w:val="left" w:pos="1984"/>
          <w:tab w:val="left" w:leader="dot" w:pos="7654"/>
          <w:tab w:val="right" w:pos="8929"/>
          <w:tab w:val="right" w:pos="9638"/>
        </w:tabs>
        <w:spacing w:after="120"/>
        <w:rPr>
          <w:lang w:val="en-US"/>
        </w:rPr>
      </w:pPr>
      <w:r>
        <w:rPr>
          <w:lang w:val="fr-CH"/>
        </w:rPr>
        <w:tab/>
      </w:r>
      <w:r w:rsidR="00C131EC" w:rsidRPr="00934A11">
        <w:rPr>
          <w:lang w:val="en-US"/>
        </w:rPr>
        <w:t>I.</w:t>
      </w:r>
      <w:r w:rsidR="00C131EC" w:rsidRPr="00934A11">
        <w:rPr>
          <w:lang w:val="en-US"/>
        </w:rPr>
        <w:tab/>
        <w:t>Introduction</w:t>
      </w:r>
      <w:r w:rsidR="00C131EC" w:rsidRPr="00934A11">
        <w:rPr>
          <w:lang w:val="en-US"/>
        </w:rPr>
        <w:tab/>
      </w:r>
      <w:r w:rsidR="00343C24" w:rsidRPr="00934A11">
        <w:rPr>
          <w:lang w:val="en-US"/>
        </w:rPr>
        <w:tab/>
        <w:t>1–4</w:t>
      </w:r>
      <w:r w:rsidR="00C131EC" w:rsidRPr="00934A11">
        <w:rPr>
          <w:lang w:val="en-US"/>
        </w:rPr>
        <w:tab/>
      </w:r>
      <w:r w:rsidR="00343C24" w:rsidRPr="00934A11">
        <w:rPr>
          <w:lang w:val="en-US"/>
        </w:rPr>
        <w:t>3</w:t>
      </w:r>
    </w:p>
    <w:p w:rsidR="00246C42" w:rsidRPr="00310C20" w:rsidRDefault="00246C42" w:rsidP="00934A11">
      <w:pPr>
        <w:tabs>
          <w:tab w:val="right" w:pos="850"/>
          <w:tab w:val="left" w:pos="1134"/>
          <w:tab w:val="left" w:pos="1559"/>
          <w:tab w:val="left" w:pos="1984"/>
          <w:tab w:val="left" w:leader="dot" w:pos="7654"/>
          <w:tab w:val="right" w:pos="8929"/>
          <w:tab w:val="right" w:pos="9638"/>
        </w:tabs>
        <w:spacing w:after="120"/>
      </w:pPr>
      <w:r w:rsidRPr="00934A11">
        <w:rPr>
          <w:lang w:val="en-US"/>
        </w:rPr>
        <w:tab/>
      </w:r>
      <w:r w:rsidRPr="00310C20">
        <w:t>II.</w:t>
      </w:r>
      <w:r w:rsidRPr="00310C20">
        <w:tab/>
      </w:r>
      <w:r w:rsidR="00855DAE">
        <w:t>R</w:t>
      </w:r>
      <w:r w:rsidR="00F8416E" w:rsidRPr="00310C20">
        <w:t>ight to health</w:t>
      </w:r>
      <w:r w:rsidR="00015A03">
        <w:tab/>
      </w:r>
      <w:r w:rsidR="00015A03">
        <w:tab/>
      </w:r>
      <w:r w:rsidR="00343C24">
        <w:t>5–16</w:t>
      </w:r>
      <w:r w:rsidR="00343C24">
        <w:tab/>
        <w:t>3</w:t>
      </w:r>
    </w:p>
    <w:p w:rsidR="00246C42" w:rsidRPr="00310C20" w:rsidRDefault="00015A03" w:rsidP="009C7F81">
      <w:pPr>
        <w:tabs>
          <w:tab w:val="right" w:pos="850"/>
          <w:tab w:val="left" w:pos="1134"/>
          <w:tab w:val="left" w:pos="1559"/>
          <w:tab w:val="left" w:pos="1984"/>
          <w:tab w:val="left" w:leader="dot" w:pos="7654"/>
          <w:tab w:val="right" w:pos="8929"/>
          <w:tab w:val="right" w:pos="9638"/>
        </w:tabs>
        <w:spacing w:after="120"/>
      </w:pPr>
      <w:r>
        <w:tab/>
      </w:r>
      <w:r>
        <w:tab/>
        <w:t>A.</w:t>
      </w:r>
      <w:r>
        <w:tab/>
        <w:t>Background</w:t>
      </w:r>
      <w:r>
        <w:tab/>
      </w:r>
      <w:r>
        <w:tab/>
      </w:r>
      <w:r w:rsidR="00D97F00">
        <w:t>5–11</w:t>
      </w:r>
      <w:r w:rsidR="00D97F00">
        <w:tab/>
        <w:t>3</w:t>
      </w:r>
    </w:p>
    <w:p w:rsidR="00246C42" w:rsidRPr="00310C20" w:rsidRDefault="00246C42" w:rsidP="00C930F1">
      <w:pPr>
        <w:tabs>
          <w:tab w:val="right" w:pos="850"/>
          <w:tab w:val="left" w:pos="1134"/>
          <w:tab w:val="left" w:pos="1559"/>
          <w:tab w:val="left" w:pos="1984"/>
          <w:tab w:val="left" w:leader="dot" w:pos="7654"/>
          <w:tab w:val="right" w:pos="8929"/>
          <w:tab w:val="right" w:pos="9638"/>
        </w:tabs>
        <w:spacing w:after="120"/>
      </w:pPr>
      <w:r w:rsidRPr="00310C20">
        <w:tab/>
      </w:r>
      <w:r w:rsidRPr="00310C20">
        <w:tab/>
        <w:t>B.</w:t>
      </w:r>
      <w:r w:rsidRPr="00310C20">
        <w:tab/>
        <w:t>International</w:t>
      </w:r>
      <w:r w:rsidR="00F8416E" w:rsidRPr="00310C20">
        <w:t xml:space="preserve"> and </w:t>
      </w:r>
      <w:r w:rsidR="00AC5529">
        <w:t>national</w:t>
      </w:r>
      <w:r w:rsidR="00015A03">
        <w:t xml:space="preserve"> legal framework</w:t>
      </w:r>
      <w:r w:rsidR="00015A03">
        <w:tab/>
      </w:r>
      <w:r w:rsidR="00015A03">
        <w:tab/>
      </w:r>
      <w:r w:rsidR="00D97F00">
        <w:t>12</w:t>
      </w:r>
      <w:r w:rsidR="005441E1">
        <w:t>–</w:t>
      </w:r>
      <w:r w:rsidR="00D97F00">
        <w:t>16</w:t>
      </w:r>
      <w:r w:rsidR="00D97F00">
        <w:tab/>
        <w:t>4</w:t>
      </w:r>
    </w:p>
    <w:p w:rsidR="00246C42" w:rsidRPr="00015A03" w:rsidRDefault="00246C42" w:rsidP="00713E79">
      <w:pPr>
        <w:tabs>
          <w:tab w:val="right" w:pos="850"/>
          <w:tab w:val="left" w:pos="1134"/>
          <w:tab w:val="left" w:pos="1559"/>
          <w:tab w:val="left" w:pos="1984"/>
          <w:tab w:val="left" w:leader="dot" w:pos="7654"/>
          <w:tab w:val="right" w:pos="8929"/>
          <w:tab w:val="right" w:pos="9638"/>
        </w:tabs>
        <w:spacing w:after="120"/>
      </w:pPr>
      <w:r w:rsidRPr="00310C20">
        <w:tab/>
      </w:r>
      <w:r w:rsidRPr="00015A03">
        <w:t>III.</w:t>
      </w:r>
      <w:r w:rsidRPr="00015A03">
        <w:tab/>
      </w:r>
      <w:r w:rsidR="00F8416E" w:rsidRPr="00015A03">
        <w:t xml:space="preserve">Health system </w:t>
      </w:r>
      <w:r w:rsidR="00015A03" w:rsidRPr="00015A03">
        <w:t>and financing</w:t>
      </w:r>
      <w:r w:rsidR="00015A03" w:rsidRPr="00015A03">
        <w:tab/>
      </w:r>
      <w:r w:rsidR="00015A03" w:rsidRPr="00015A03">
        <w:tab/>
      </w:r>
      <w:r w:rsidR="00D97F00">
        <w:t>17–24</w:t>
      </w:r>
      <w:r w:rsidR="00D97F00">
        <w:tab/>
        <w:t>5</w:t>
      </w:r>
    </w:p>
    <w:p w:rsidR="00246C42" w:rsidRPr="00015A03" w:rsidRDefault="00246C42" w:rsidP="00246C42">
      <w:pPr>
        <w:tabs>
          <w:tab w:val="right" w:pos="850"/>
          <w:tab w:val="left" w:pos="1134"/>
          <w:tab w:val="left" w:pos="1559"/>
          <w:tab w:val="left" w:pos="1984"/>
          <w:tab w:val="left" w:leader="dot" w:pos="7654"/>
          <w:tab w:val="right" w:pos="8929"/>
          <w:tab w:val="right" w:pos="9638"/>
        </w:tabs>
        <w:spacing w:after="120"/>
      </w:pPr>
      <w:r w:rsidRPr="00015A03">
        <w:tab/>
        <w:t>IV.</w:t>
      </w:r>
      <w:r w:rsidRPr="00015A03">
        <w:tab/>
      </w:r>
      <w:r w:rsidR="0062637E" w:rsidRPr="00015A03">
        <w:t>Groups in vulnerable situations</w:t>
      </w:r>
      <w:r w:rsidRPr="00015A03">
        <w:tab/>
      </w:r>
      <w:r w:rsidRPr="00015A03">
        <w:tab/>
      </w:r>
      <w:r w:rsidR="007D745E">
        <w:t>25</w:t>
      </w:r>
      <w:r w:rsidR="005441E1">
        <w:t>–</w:t>
      </w:r>
      <w:r w:rsidR="007D745E">
        <w:t>107</w:t>
      </w:r>
      <w:r w:rsidR="007D745E">
        <w:tab/>
        <w:t>7</w:t>
      </w:r>
    </w:p>
    <w:p w:rsidR="00246C42" w:rsidRPr="00015A03" w:rsidRDefault="00246C42" w:rsidP="009C7F81">
      <w:pPr>
        <w:tabs>
          <w:tab w:val="right" w:pos="850"/>
          <w:tab w:val="left" w:pos="1134"/>
          <w:tab w:val="left" w:pos="1559"/>
          <w:tab w:val="left" w:pos="1984"/>
          <w:tab w:val="left" w:leader="dot" w:pos="7654"/>
          <w:tab w:val="right" w:pos="8929"/>
          <w:tab w:val="right" w:pos="9638"/>
        </w:tabs>
        <w:spacing w:after="120"/>
      </w:pPr>
      <w:r w:rsidRPr="00015A03">
        <w:tab/>
      </w:r>
      <w:r w:rsidRPr="00015A03">
        <w:tab/>
        <w:t>A.</w:t>
      </w:r>
      <w:r w:rsidRPr="00015A03">
        <w:tab/>
      </w:r>
      <w:r w:rsidR="00015A03" w:rsidRPr="00015A03">
        <w:t>The right to health of women and girls</w:t>
      </w:r>
      <w:r w:rsidR="00015A03" w:rsidRPr="00015A03">
        <w:tab/>
      </w:r>
      <w:r w:rsidR="00015A03" w:rsidRPr="00015A03">
        <w:tab/>
      </w:r>
      <w:r w:rsidR="00D97F00">
        <w:t>26–45</w:t>
      </w:r>
      <w:r w:rsidR="00D97F00">
        <w:tab/>
        <w:t>7</w:t>
      </w:r>
    </w:p>
    <w:p w:rsidR="00246C42" w:rsidRPr="00015A03" w:rsidRDefault="00246C42" w:rsidP="00246C42">
      <w:pPr>
        <w:tabs>
          <w:tab w:val="right" w:pos="850"/>
          <w:tab w:val="left" w:pos="1134"/>
          <w:tab w:val="left" w:pos="1559"/>
          <w:tab w:val="left" w:pos="1984"/>
          <w:tab w:val="left" w:leader="dot" w:pos="7654"/>
          <w:tab w:val="right" w:pos="8929"/>
          <w:tab w:val="right" w:pos="9638"/>
        </w:tabs>
        <w:spacing w:after="120"/>
      </w:pPr>
      <w:r w:rsidRPr="00015A03">
        <w:tab/>
      </w:r>
      <w:r w:rsidRPr="00015A03">
        <w:tab/>
        <w:t>B.</w:t>
      </w:r>
      <w:r w:rsidRPr="00015A03">
        <w:tab/>
      </w:r>
      <w:r w:rsidR="00015A03" w:rsidRPr="00015A03">
        <w:t>Indigenous communities</w:t>
      </w:r>
      <w:r w:rsidRPr="00015A03">
        <w:tab/>
      </w:r>
      <w:r w:rsidR="00015A03" w:rsidRPr="00015A03">
        <w:tab/>
      </w:r>
      <w:r w:rsidR="00D97F00">
        <w:t>46–54</w:t>
      </w:r>
      <w:r w:rsidR="00D97F00">
        <w:tab/>
        <w:t>10</w:t>
      </w:r>
    </w:p>
    <w:p w:rsidR="00015A03" w:rsidRPr="00015A03" w:rsidRDefault="00246C42" w:rsidP="009C7F81">
      <w:pPr>
        <w:tabs>
          <w:tab w:val="right" w:pos="850"/>
          <w:tab w:val="left" w:pos="1134"/>
          <w:tab w:val="left" w:pos="1559"/>
          <w:tab w:val="left" w:pos="1984"/>
          <w:tab w:val="left" w:leader="dot" w:pos="7654"/>
          <w:tab w:val="right" w:pos="8929"/>
          <w:tab w:val="right" w:pos="9638"/>
        </w:tabs>
        <w:spacing w:after="120"/>
      </w:pPr>
      <w:r w:rsidRPr="00015A03">
        <w:tab/>
      </w:r>
      <w:r w:rsidRPr="00015A03">
        <w:tab/>
        <w:t>C.</w:t>
      </w:r>
      <w:r w:rsidRPr="00015A03">
        <w:tab/>
      </w:r>
      <w:r w:rsidR="00015A03" w:rsidRPr="00015A03">
        <w:t>Migrants, refugees and asylum</w:t>
      </w:r>
      <w:r w:rsidR="0027611E">
        <w:t xml:space="preserve"> </w:t>
      </w:r>
      <w:r w:rsidR="00015A03" w:rsidRPr="00015A03">
        <w:t>seekers</w:t>
      </w:r>
      <w:r w:rsidRPr="00015A03">
        <w:tab/>
      </w:r>
      <w:r w:rsidR="00015A03" w:rsidRPr="00015A03">
        <w:tab/>
      </w:r>
      <w:r w:rsidR="007D745E">
        <w:t>55–82</w:t>
      </w:r>
      <w:r w:rsidR="007D745E">
        <w:tab/>
        <w:t>1</w:t>
      </w:r>
      <w:r w:rsidR="00934A11">
        <w:t>2</w:t>
      </w:r>
    </w:p>
    <w:p w:rsidR="00015A03" w:rsidRDefault="00015A03" w:rsidP="00C930F1">
      <w:pPr>
        <w:tabs>
          <w:tab w:val="right" w:pos="850"/>
          <w:tab w:val="left" w:pos="1134"/>
          <w:tab w:val="left" w:pos="1559"/>
          <w:tab w:val="left" w:pos="1984"/>
          <w:tab w:val="left" w:leader="dot" w:pos="7654"/>
          <w:tab w:val="right" w:pos="8929"/>
          <w:tab w:val="right" w:pos="9638"/>
        </w:tabs>
        <w:spacing w:after="120"/>
      </w:pPr>
      <w:r w:rsidRPr="00015A03">
        <w:tab/>
      </w:r>
      <w:r w:rsidRPr="00015A03">
        <w:tab/>
        <w:t>D.</w:t>
      </w:r>
      <w:r w:rsidR="001B35C0">
        <w:tab/>
      </w:r>
      <w:r w:rsidRPr="00015A03">
        <w:t>Lesbian, gay,</w:t>
      </w:r>
      <w:r w:rsidR="001B3319">
        <w:t xml:space="preserve"> bisexual and transgender </w:t>
      </w:r>
      <w:r w:rsidR="0027611E">
        <w:t>persons</w:t>
      </w:r>
      <w:r w:rsidR="00E51545">
        <w:tab/>
      </w:r>
      <w:r w:rsidR="00E51545">
        <w:tab/>
      </w:r>
      <w:r w:rsidR="007D745E">
        <w:t>83–90</w:t>
      </w:r>
      <w:r w:rsidR="007D745E">
        <w:tab/>
        <w:t>1</w:t>
      </w:r>
      <w:r w:rsidR="007A4D96">
        <w:t>6</w:t>
      </w:r>
    </w:p>
    <w:p w:rsidR="00015A03" w:rsidRDefault="00015A03" w:rsidP="009C7F81">
      <w:pPr>
        <w:tabs>
          <w:tab w:val="right" w:pos="850"/>
          <w:tab w:val="left" w:pos="1134"/>
          <w:tab w:val="left" w:pos="1559"/>
          <w:tab w:val="left" w:pos="1984"/>
          <w:tab w:val="left" w:leader="dot" w:pos="7654"/>
          <w:tab w:val="right" w:pos="8929"/>
          <w:tab w:val="right" w:pos="9638"/>
        </w:tabs>
        <w:spacing w:after="120"/>
      </w:pPr>
      <w:r>
        <w:tab/>
      </w:r>
      <w:r>
        <w:tab/>
        <w:t>E.</w:t>
      </w:r>
      <w:r>
        <w:tab/>
      </w:r>
      <w:r w:rsidR="0027611E">
        <w:t>Persons</w:t>
      </w:r>
      <w:r w:rsidR="0027611E" w:rsidRPr="00E23256">
        <w:t xml:space="preserve"> </w:t>
      </w:r>
      <w:r w:rsidRPr="00E23256">
        <w:t>living with HIV/AIDS and drug users</w:t>
      </w:r>
      <w:r w:rsidR="00E51545">
        <w:tab/>
      </w:r>
      <w:r w:rsidR="00E51545">
        <w:tab/>
      </w:r>
      <w:r w:rsidR="00D97F00">
        <w:t>91–98</w:t>
      </w:r>
      <w:r w:rsidR="00D97F00">
        <w:tab/>
        <w:t>17</w:t>
      </w:r>
    </w:p>
    <w:p w:rsidR="00015A03" w:rsidRDefault="00015A03" w:rsidP="00246C42">
      <w:pPr>
        <w:tabs>
          <w:tab w:val="right" w:pos="850"/>
          <w:tab w:val="left" w:pos="1134"/>
          <w:tab w:val="left" w:pos="1559"/>
          <w:tab w:val="left" w:pos="1984"/>
          <w:tab w:val="left" w:leader="dot" w:pos="7654"/>
          <w:tab w:val="right" w:pos="8929"/>
          <w:tab w:val="right" w:pos="9638"/>
        </w:tabs>
        <w:spacing w:after="120"/>
      </w:pPr>
      <w:r>
        <w:tab/>
      </w:r>
      <w:r>
        <w:tab/>
      </w:r>
      <w:r w:rsidRPr="00623353">
        <w:t>F.</w:t>
      </w:r>
      <w:r w:rsidRPr="00623353">
        <w:tab/>
        <w:t>Children and the right to health</w:t>
      </w:r>
      <w:r w:rsidR="00E51545">
        <w:tab/>
      </w:r>
      <w:r w:rsidR="00E51545">
        <w:tab/>
      </w:r>
      <w:r w:rsidR="00D97F00">
        <w:t>99–104</w:t>
      </w:r>
      <w:r w:rsidR="00D97F00">
        <w:tab/>
        <w:t>18</w:t>
      </w:r>
    </w:p>
    <w:p w:rsidR="00015A03" w:rsidRDefault="00015A03" w:rsidP="009C7F81">
      <w:pPr>
        <w:tabs>
          <w:tab w:val="right" w:pos="850"/>
          <w:tab w:val="left" w:pos="1134"/>
          <w:tab w:val="left" w:pos="1559"/>
          <w:tab w:val="left" w:pos="1984"/>
          <w:tab w:val="left" w:leader="dot" w:pos="7654"/>
          <w:tab w:val="right" w:pos="8929"/>
          <w:tab w:val="right" w:pos="9638"/>
        </w:tabs>
        <w:spacing w:after="120"/>
      </w:pPr>
      <w:r>
        <w:tab/>
      </w:r>
      <w:r>
        <w:tab/>
        <w:t>G.</w:t>
      </w:r>
      <w:r>
        <w:tab/>
      </w:r>
      <w:r w:rsidR="00885DEC">
        <w:t xml:space="preserve">Persons </w:t>
      </w:r>
      <w:r w:rsidR="00623353">
        <w:t xml:space="preserve">with developmental </w:t>
      </w:r>
      <w:r w:rsidR="00885DEC">
        <w:t xml:space="preserve">and psychosocial </w:t>
      </w:r>
      <w:r w:rsidR="00623353">
        <w:t>disabilities</w:t>
      </w:r>
      <w:r w:rsidR="00E51545">
        <w:tab/>
      </w:r>
      <w:r w:rsidR="00E51545">
        <w:tab/>
      </w:r>
      <w:r w:rsidR="00D97F00">
        <w:t>105–107</w:t>
      </w:r>
      <w:r w:rsidR="00D97F00">
        <w:tab/>
        <w:t>19</w:t>
      </w:r>
    </w:p>
    <w:p w:rsidR="00F8416E"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rPr>
          <w:webHidden/>
        </w:rPr>
        <w:tab/>
      </w:r>
      <w:r w:rsidR="00797996">
        <w:rPr>
          <w:webHidden/>
        </w:rPr>
        <w:t>V</w:t>
      </w:r>
      <w:r w:rsidR="00F8416E" w:rsidRPr="00310C20">
        <w:rPr>
          <w:webHidden/>
        </w:rPr>
        <w:t>.</w:t>
      </w:r>
      <w:r w:rsidR="00F8416E" w:rsidRPr="00310C20">
        <w:rPr>
          <w:webHidden/>
        </w:rPr>
        <w:tab/>
        <w:t>Conclusion and recommendations</w:t>
      </w:r>
      <w:r w:rsidR="00F8416E" w:rsidRPr="00310C20">
        <w:rPr>
          <w:webHidden/>
        </w:rPr>
        <w:tab/>
      </w:r>
      <w:r w:rsidR="00F8416E" w:rsidRPr="00310C20">
        <w:rPr>
          <w:webHidden/>
        </w:rPr>
        <w:tab/>
      </w:r>
      <w:r w:rsidR="00D97F00">
        <w:rPr>
          <w:webHidden/>
        </w:rPr>
        <w:t>108–11</w:t>
      </w:r>
      <w:r w:rsidR="00934A11">
        <w:rPr>
          <w:webHidden/>
        </w:rPr>
        <w:t>1</w:t>
      </w:r>
      <w:r w:rsidR="00D97F00">
        <w:rPr>
          <w:webHidden/>
        </w:rPr>
        <w:tab/>
        <w:t>20</w:t>
      </w:r>
    </w:p>
    <w:p w:rsidR="00545386" w:rsidRPr="00310C20" w:rsidRDefault="00C033A7" w:rsidP="00C033A7">
      <w:pPr>
        <w:pStyle w:val="HChG"/>
      </w:pPr>
      <w:r w:rsidRPr="00310C20">
        <w:br w:type="page"/>
      </w:r>
      <w:r w:rsidR="00436B5B" w:rsidRPr="00310C20">
        <w:lastRenderedPageBreak/>
        <w:tab/>
        <w:t>I.</w:t>
      </w:r>
      <w:r w:rsidR="00436B5B" w:rsidRPr="00310C20">
        <w:tab/>
      </w:r>
      <w:r w:rsidR="00545386" w:rsidRPr="00310C20">
        <w:t>Introduction</w:t>
      </w:r>
    </w:p>
    <w:p w:rsidR="00545386" w:rsidRDefault="00545386" w:rsidP="00934A11">
      <w:pPr>
        <w:pStyle w:val="SingleTxtG"/>
        <w:numPr>
          <w:ilvl w:val="0"/>
          <w:numId w:val="52"/>
        </w:numPr>
        <w:ind w:left="1134" w:firstLine="0"/>
      </w:pPr>
      <w:r w:rsidRPr="00310C20">
        <w:t xml:space="preserve">In the present report, the Special Rapporteur </w:t>
      </w:r>
      <w:r w:rsidR="00A43D23">
        <w:t>gives details</w:t>
      </w:r>
      <w:r w:rsidR="00A43D23" w:rsidRPr="00310C20">
        <w:t xml:space="preserve"> </w:t>
      </w:r>
      <w:r w:rsidRPr="00310C20">
        <w:t>o</w:t>
      </w:r>
      <w:r w:rsidR="00A43D23">
        <w:t>f</w:t>
      </w:r>
      <w:r w:rsidRPr="00310C20">
        <w:t xml:space="preserve"> his visit to </w:t>
      </w:r>
      <w:r w:rsidR="00CD5241">
        <w:t>Malaysia</w:t>
      </w:r>
      <w:r w:rsidRPr="00310C20">
        <w:t xml:space="preserve"> </w:t>
      </w:r>
      <w:r w:rsidR="00310C20" w:rsidRPr="00310C20">
        <w:t>at</w:t>
      </w:r>
      <w:r w:rsidRPr="00310C20">
        <w:t xml:space="preserve"> the invitation of the Government from 1</w:t>
      </w:r>
      <w:r w:rsidR="00B82BCA">
        <w:t>9 November</w:t>
      </w:r>
      <w:r w:rsidRPr="00310C20">
        <w:t xml:space="preserve"> to 2</w:t>
      </w:r>
      <w:r w:rsidR="00B82BCA">
        <w:t xml:space="preserve"> December</w:t>
      </w:r>
      <w:r w:rsidRPr="00310C20">
        <w:t xml:space="preserve"> 201</w:t>
      </w:r>
      <w:r w:rsidR="00FB1D1C">
        <w:t>4</w:t>
      </w:r>
      <w:r w:rsidRPr="00310C20">
        <w:t xml:space="preserve">. The purpose of the </w:t>
      </w:r>
      <w:r w:rsidR="0023004B">
        <w:t>visit</w:t>
      </w:r>
      <w:r w:rsidR="0023004B" w:rsidRPr="00310C20">
        <w:t xml:space="preserve"> </w:t>
      </w:r>
      <w:r w:rsidRPr="00310C20">
        <w:t>was to ascertain, in a spirit of dialogue and cooperation, how the country has endeavoured t</w:t>
      </w:r>
      <w:r w:rsidR="00672B6C">
        <w:t>o implement the right to health</w:t>
      </w:r>
      <w:r w:rsidRPr="00310C20">
        <w:t>.</w:t>
      </w:r>
    </w:p>
    <w:p w:rsidR="00FB1D1C" w:rsidRDefault="00B82BCA" w:rsidP="00934A11">
      <w:pPr>
        <w:pStyle w:val="SingleTxtG"/>
        <w:numPr>
          <w:ilvl w:val="0"/>
          <w:numId w:val="52"/>
        </w:numPr>
        <w:ind w:left="1134" w:firstLine="0"/>
      </w:pPr>
      <w:r w:rsidRPr="00A45B8A">
        <w:t xml:space="preserve">During </w:t>
      </w:r>
      <w:r>
        <w:t>his</w:t>
      </w:r>
      <w:r w:rsidRPr="00A45B8A">
        <w:t xml:space="preserve"> visit</w:t>
      </w:r>
      <w:r>
        <w:t>, the Special Rapporteur held</w:t>
      </w:r>
      <w:r w:rsidRPr="00A45B8A">
        <w:t xml:space="preserve"> me</w:t>
      </w:r>
      <w:r>
        <w:t>e</w:t>
      </w:r>
      <w:r w:rsidRPr="00A45B8A">
        <w:t>t</w:t>
      </w:r>
      <w:r>
        <w:t>ings</w:t>
      </w:r>
      <w:r w:rsidR="00FB1D1C">
        <w:t xml:space="preserve"> with </w:t>
      </w:r>
      <w:r w:rsidR="0023004B">
        <w:t>g</w:t>
      </w:r>
      <w:r w:rsidR="00FB1D1C">
        <w:t xml:space="preserve">overnment officials </w:t>
      </w:r>
      <w:r w:rsidR="00FB1D1C" w:rsidRPr="00310C20">
        <w:t xml:space="preserve">from </w:t>
      </w:r>
      <w:r w:rsidR="00FB1D1C">
        <w:t>the Economic Planning Unit</w:t>
      </w:r>
      <w:r w:rsidR="0023004B" w:rsidRPr="0023004B">
        <w:t xml:space="preserve"> </w:t>
      </w:r>
      <w:r w:rsidR="0023004B">
        <w:t>of the Prime Minister’s Department</w:t>
      </w:r>
      <w:r w:rsidR="00A43D23">
        <w:t xml:space="preserve"> and</w:t>
      </w:r>
      <w:r w:rsidR="00FB1D1C">
        <w:t xml:space="preserve"> </w:t>
      </w:r>
      <w:r w:rsidR="00FB1D1C" w:rsidRPr="00310C20">
        <w:t>the Ministries of Foreign Affairs</w:t>
      </w:r>
      <w:r w:rsidR="0013558A">
        <w:t>;</w:t>
      </w:r>
      <w:r w:rsidR="00FB1D1C" w:rsidRPr="00310C20">
        <w:t xml:space="preserve"> Health</w:t>
      </w:r>
      <w:r w:rsidR="0013558A">
        <w:t>;</w:t>
      </w:r>
      <w:r w:rsidR="00FB1D1C" w:rsidRPr="00310C20">
        <w:t xml:space="preserve"> </w:t>
      </w:r>
      <w:r w:rsidR="00FB1D1C">
        <w:t>Home Affairs</w:t>
      </w:r>
      <w:r w:rsidR="0013558A">
        <w:t>;</w:t>
      </w:r>
      <w:r w:rsidR="00FB1D1C">
        <w:t xml:space="preserve"> Education; Women, Family and Community Development; Rural and Regional Development</w:t>
      </w:r>
      <w:r w:rsidR="0013558A">
        <w:t>,</w:t>
      </w:r>
      <w:r w:rsidR="00FB1D1C" w:rsidRPr="00FB1D1C">
        <w:t xml:space="preserve"> </w:t>
      </w:r>
      <w:r w:rsidR="00FB1D1C">
        <w:t xml:space="preserve">including the Department of Orang Asli </w:t>
      </w:r>
      <w:r w:rsidR="00695F03">
        <w:t>Development</w:t>
      </w:r>
      <w:r w:rsidR="00FB1D1C">
        <w:t>; Urban Wellbeing, Housing and Local Government; and Human Resources.</w:t>
      </w:r>
      <w:r w:rsidR="00453985">
        <w:t xml:space="preserve"> </w:t>
      </w:r>
      <w:r w:rsidR="00FB1D1C" w:rsidRPr="00310C20">
        <w:t xml:space="preserve">He also held meetings with </w:t>
      </w:r>
      <w:r w:rsidR="0013558A">
        <w:t xml:space="preserve">representatives of </w:t>
      </w:r>
      <w:r w:rsidR="00FB1D1C">
        <w:t xml:space="preserve">the </w:t>
      </w:r>
      <w:r w:rsidR="00FB1D1C" w:rsidRPr="009127B0">
        <w:t>National Human Rights Commission (</w:t>
      </w:r>
      <w:r w:rsidR="0013558A" w:rsidRPr="009127B0">
        <w:t>Suhakam</w:t>
      </w:r>
      <w:r w:rsidR="00FB1D1C" w:rsidRPr="009127B0">
        <w:t>)</w:t>
      </w:r>
      <w:r w:rsidR="00FB1D1C">
        <w:t xml:space="preserve">, </w:t>
      </w:r>
      <w:r w:rsidR="00FB1D1C" w:rsidRPr="00310C20">
        <w:t>civil society</w:t>
      </w:r>
      <w:r w:rsidR="0013558A">
        <w:t xml:space="preserve"> and</w:t>
      </w:r>
      <w:r w:rsidR="00FB1D1C" w:rsidRPr="00310C20">
        <w:t xml:space="preserve"> international organizations</w:t>
      </w:r>
      <w:r w:rsidR="0013558A">
        <w:t xml:space="preserve"> and </w:t>
      </w:r>
      <w:r w:rsidR="00FB1D1C" w:rsidRPr="00310C20">
        <w:t xml:space="preserve">development partners, academics, legal experts and health professionals. </w:t>
      </w:r>
    </w:p>
    <w:p w:rsidR="00B82BCA" w:rsidRPr="00A45B8A" w:rsidRDefault="00FB1D1C" w:rsidP="00934A11">
      <w:pPr>
        <w:pStyle w:val="SingleTxtG"/>
        <w:numPr>
          <w:ilvl w:val="0"/>
          <w:numId w:val="52"/>
        </w:numPr>
        <w:ind w:left="1134" w:firstLine="0"/>
      </w:pPr>
      <w:r>
        <w:t>As part of his visit, the Special Rapporteur</w:t>
      </w:r>
      <w:r w:rsidR="00B82BCA" w:rsidRPr="00A45B8A">
        <w:t xml:space="preserve"> visited health facilities in Kuala Lumpur, Melaka and the State of Sabah</w:t>
      </w:r>
      <w:r>
        <w:t xml:space="preserve">, including in the Keningau </w:t>
      </w:r>
      <w:r w:rsidR="0013558A">
        <w:t>d</w:t>
      </w:r>
      <w:r>
        <w:t>istrict</w:t>
      </w:r>
      <w:r w:rsidR="00B82BCA" w:rsidRPr="00A45B8A">
        <w:t>.</w:t>
      </w:r>
      <w:r w:rsidR="00453985">
        <w:t xml:space="preserve"> </w:t>
      </w:r>
      <w:r w:rsidR="00B82BCA">
        <w:t>He also</w:t>
      </w:r>
      <w:r w:rsidR="00B82BCA" w:rsidRPr="00A45B8A">
        <w:t xml:space="preserve"> </w:t>
      </w:r>
      <w:r w:rsidR="00B82BCA">
        <w:t xml:space="preserve">visited the infirmary of </w:t>
      </w:r>
      <w:r>
        <w:t>the Kajang</w:t>
      </w:r>
      <w:r w:rsidR="00B82BCA" w:rsidRPr="00A45B8A">
        <w:t xml:space="preserve"> </w:t>
      </w:r>
      <w:r w:rsidR="0013558A">
        <w:t>P</w:t>
      </w:r>
      <w:r w:rsidR="00B82BCA" w:rsidRPr="00A45B8A">
        <w:t>rison</w:t>
      </w:r>
      <w:r>
        <w:t xml:space="preserve"> (Kuala Lumpur)</w:t>
      </w:r>
      <w:r w:rsidR="00B82BCA" w:rsidRPr="00A45B8A">
        <w:t xml:space="preserve"> and two immigration detention centres</w:t>
      </w:r>
      <w:r>
        <w:t xml:space="preserve">, </w:t>
      </w:r>
      <w:r w:rsidR="00CD5241">
        <w:t xml:space="preserve">the </w:t>
      </w:r>
      <w:r>
        <w:t xml:space="preserve">Lenggeng </w:t>
      </w:r>
      <w:r w:rsidR="00CD5241">
        <w:t xml:space="preserve">Immigration Depot </w:t>
      </w:r>
      <w:r>
        <w:t xml:space="preserve">(Negeri Sembilan) and the Immigration Detention </w:t>
      </w:r>
      <w:r w:rsidRPr="00CD5241">
        <w:t>Depot</w:t>
      </w:r>
      <w:r>
        <w:t xml:space="preserve"> of the K</w:t>
      </w:r>
      <w:r w:rsidR="0013558A">
        <w:t xml:space="preserve">uala </w:t>
      </w:r>
      <w:r>
        <w:t>L</w:t>
      </w:r>
      <w:r w:rsidR="0013558A">
        <w:t>umpur</w:t>
      </w:r>
      <w:r>
        <w:t xml:space="preserve"> </w:t>
      </w:r>
      <w:r w:rsidR="0013558A">
        <w:t>I</w:t>
      </w:r>
      <w:r>
        <w:t xml:space="preserve">nternational </w:t>
      </w:r>
      <w:r w:rsidR="0013558A">
        <w:t>A</w:t>
      </w:r>
      <w:r>
        <w:t>irport.</w:t>
      </w:r>
      <w:r w:rsidR="00453985">
        <w:t xml:space="preserve"> </w:t>
      </w:r>
    </w:p>
    <w:p w:rsidR="00545386" w:rsidRPr="00310C20" w:rsidRDefault="00545386" w:rsidP="00934A11">
      <w:pPr>
        <w:pStyle w:val="SingleTxtG"/>
        <w:numPr>
          <w:ilvl w:val="0"/>
          <w:numId w:val="52"/>
        </w:numPr>
        <w:ind w:left="1134" w:firstLine="0"/>
      </w:pPr>
      <w:r w:rsidRPr="00310C20">
        <w:t xml:space="preserve">The Special Rapporteur is grateful to the Government of </w:t>
      </w:r>
      <w:r w:rsidR="00FB1D1C">
        <w:t>Malaysia</w:t>
      </w:r>
      <w:r w:rsidR="00FB1D1C" w:rsidRPr="00310C20">
        <w:t xml:space="preserve"> </w:t>
      </w:r>
      <w:r w:rsidRPr="00310C20">
        <w:t xml:space="preserve">for its invitation and full cooperation during his visit. </w:t>
      </w:r>
      <w:r w:rsidR="00FB1D1C">
        <w:t>He would like to</w:t>
      </w:r>
      <w:r w:rsidR="00FB1D1C" w:rsidRPr="007A1C75">
        <w:t xml:space="preserve"> take this opportunity to thank the U</w:t>
      </w:r>
      <w:r w:rsidR="0013558A">
        <w:t xml:space="preserve">nited </w:t>
      </w:r>
      <w:r w:rsidR="00FB1D1C" w:rsidRPr="007A1C75">
        <w:t>N</w:t>
      </w:r>
      <w:r w:rsidR="0013558A">
        <w:t>ations</w:t>
      </w:r>
      <w:r w:rsidR="00FB1D1C" w:rsidRPr="007A1C75">
        <w:t xml:space="preserve"> </w:t>
      </w:r>
      <w:r w:rsidR="0013558A">
        <w:t>c</w:t>
      </w:r>
      <w:r w:rsidR="00FB1D1C" w:rsidRPr="007A1C75">
        <w:t xml:space="preserve">ountry </w:t>
      </w:r>
      <w:r w:rsidR="0013558A">
        <w:t>t</w:t>
      </w:r>
      <w:r w:rsidR="00FB1D1C" w:rsidRPr="007A1C75">
        <w:t xml:space="preserve">eam for their support </w:t>
      </w:r>
      <w:r w:rsidR="0013558A">
        <w:t>for</w:t>
      </w:r>
      <w:r w:rsidR="0013558A" w:rsidRPr="007A1C75">
        <w:t xml:space="preserve"> </w:t>
      </w:r>
      <w:r w:rsidR="00FB1D1C">
        <w:t>his</w:t>
      </w:r>
      <w:r w:rsidR="00FB1D1C" w:rsidRPr="007A1C75">
        <w:t xml:space="preserve"> visit, and all those who </w:t>
      </w:r>
      <w:r w:rsidR="00672B6C">
        <w:t>gave</w:t>
      </w:r>
      <w:r w:rsidR="00FB1D1C" w:rsidRPr="007A1C75">
        <w:t xml:space="preserve"> </w:t>
      </w:r>
      <w:r w:rsidR="00FB1D1C">
        <w:t>him</w:t>
      </w:r>
      <w:r w:rsidR="00FB1D1C" w:rsidRPr="007A1C75">
        <w:t xml:space="preserve"> the benefit of their time and experience.</w:t>
      </w:r>
    </w:p>
    <w:p w:rsidR="00545386" w:rsidRPr="00310C20" w:rsidRDefault="00436B5B" w:rsidP="00436B5B">
      <w:pPr>
        <w:pStyle w:val="HChG"/>
      </w:pPr>
      <w:r w:rsidRPr="00310C20">
        <w:tab/>
        <w:t>II.</w:t>
      </w:r>
      <w:r w:rsidRPr="00310C20">
        <w:tab/>
      </w:r>
      <w:r w:rsidR="00CB07C0">
        <w:t>R</w:t>
      </w:r>
      <w:r w:rsidR="00545386" w:rsidRPr="00310C20">
        <w:t>ight to health</w:t>
      </w:r>
    </w:p>
    <w:p w:rsidR="00545386" w:rsidRPr="00310C20" w:rsidRDefault="00436B5B" w:rsidP="00436B5B">
      <w:pPr>
        <w:pStyle w:val="H1G"/>
      </w:pPr>
      <w:r w:rsidRPr="00310C20">
        <w:tab/>
        <w:t>A.</w:t>
      </w:r>
      <w:r w:rsidRPr="00310C20">
        <w:tab/>
      </w:r>
      <w:r w:rsidR="00545386" w:rsidRPr="00310C20">
        <w:t>Background</w:t>
      </w:r>
    </w:p>
    <w:p w:rsidR="00605FF1" w:rsidRPr="002B50EF" w:rsidRDefault="00605FF1" w:rsidP="00934A11">
      <w:pPr>
        <w:pStyle w:val="SingleTxtG"/>
        <w:numPr>
          <w:ilvl w:val="0"/>
          <w:numId w:val="52"/>
        </w:numPr>
        <w:ind w:left="1134" w:firstLine="0"/>
      </w:pPr>
      <w:r w:rsidRPr="002B50EF">
        <w:t xml:space="preserve">The Malaysian economy grew rapidly during the late </w:t>
      </w:r>
      <w:r w:rsidR="0013558A">
        <w:t>twentie</w:t>
      </w:r>
      <w:r w:rsidRPr="002B50EF">
        <w:t>th century</w:t>
      </w:r>
      <w:r w:rsidR="002E2526">
        <w:t xml:space="preserve"> and this growth </w:t>
      </w:r>
      <w:r w:rsidRPr="002B50EF">
        <w:t xml:space="preserve">transformed </w:t>
      </w:r>
      <w:r w:rsidR="0013558A">
        <w:t>the country’s</w:t>
      </w:r>
      <w:r w:rsidR="0013558A" w:rsidRPr="002B50EF">
        <w:t xml:space="preserve"> </w:t>
      </w:r>
      <w:r w:rsidRPr="002B50EF">
        <w:t>economic and social landscape.</w:t>
      </w:r>
      <w:r>
        <w:t xml:space="preserve"> </w:t>
      </w:r>
      <w:r w:rsidRPr="002B50EF">
        <w:t xml:space="preserve">The economy has </w:t>
      </w:r>
      <w:r w:rsidR="0013558A">
        <w:t>moved</w:t>
      </w:r>
      <w:r w:rsidR="0013558A" w:rsidRPr="002B50EF">
        <w:t xml:space="preserve"> </w:t>
      </w:r>
      <w:r w:rsidRPr="002B50EF">
        <w:t>from its initial d</w:t>
      </w:r>
      <w:r w:rsidR="00D3733E">
        <w:t xml:space="preserve">ependence on natural resources </w:t>
      </w:r>
      <w:r w:rsidR="00603E04">
        <w:t xml:space="preserve">to </w:t>
      </w:r>
      <w:r w:rsidR="0013558A">
        <w:t>being</w:t>
      </w:r>
      <w:r w:rsidR="002E2526">
        <w:t xml:space="preserve"> dominated by</w:t>
      </w:r>
      <w:r w:rsidRPr="002B50EF">
        <w:t xml:space="preserve"> industry and services</w:t>
      </w:r>
      <w:r w:rsidR="00603E04">
        <w:t xml:space="preserve">, and has achieved the status of </w:t>
      </w:r>
      <w:r w:rsidR="00050075" w:rsidRPr="002B50EF">
        <w:t>an upper middle-income country.</w:t>
      </w:r>
      <w:r w:rsidR="00CD5241" w:rsidRPr="00680816">
        <w:rPr>
          <w:rStyle w:val="FootnoteReference"/>
        </w:rPr>
        <w:footnoteReference w:id="3"/>
      </w:r>
      <w:r w:rsidRPr="002B50EF">
        <w:t xml:space="preserve"> </w:t>
      </w:r>
    </w:p>
    <w:p w:rsidR="00605FF1" w:rsidRDefault="002E2526" w:rsidP="0067771F">
      <w:pPr>
        <w:pStyle w:val="SingleTxtG"/>
        <w:numPr>
          <w:ilvl w:val="0"/>
          <w:numId w:val="52"/>
        </w:numPr>
        <w:ind w:left="1134" w:firstLine="0"/>
      </w:pPr>
      <w:r w:rsidRPr="005225A2">
        <w:t>Malaysia has placed the health of its population at the heart of its development policy since it gained independence in 1957.</w:t>
      </w:r>
      <w:r w:rsidR="001B35C0">
        <w:t xml:space="preserve"> </w:t>
      </w:r>
      <w:r w:rsidR="00605FF1">
        <w:t xml:space="preserve">During his visit, the Special Rapporteur </w:t>
      </w:r>
      <w:r w:rsidR="00605FF1" w:rsidRPr="005225A2">
        <w:t>commend</w:t>
      </w:r>
      <w:r w:rsidR="00605FF1">
        <w:t>ed</w:t>
      </w:r>
      <w:r w:rsidR="00605FF1" w:rsidRPr="005225A2">
        <w:t xml:space="preserve"> the Government for its achievements in improving the health status </w:t>
      </w:r>
      <w:r>
        <w:t>in the country</w:t>
      </w:r>
      <w:r w:rsidR="00605FF1" w:rsidRPr="005225A2">
        <w:t xml:space="preserve"> through a sustained commitment to health policy.</w:t>
      </w:r>
      <w:r w:rsidR="001B35C0">
        <w:t xml:space="preserve"> </w:t>
      </w:r>
      <w:r w:rsidR="00050075">
        <w:t>C</w:t>
      </w:r>
      <w:r w:rsidR="00FB1D1C" w:rsidRPr="00A45B8A">
        <w:t xml:space="preserve">onsiderable improvements </w:t>
      </w:r>
      <w:r w:rsidR="00050075">
        <w:t xml:space="preserve">have been made </w:t>
      </w:r>
      <w:r w:rsidR="00FB1D1C" w:rsidRPr="00A45B8A">
        <w:t xml:space="preserve">in </w:t>
      </w:r>
      <w:r w:rsidR="000C2E22">
        <w:t>increasing</w:t>
      </w:r>
      <w:r w:rsidR="000C2E22" w:rsidRPr="00A45B8A">
        <w:t xml:space="preserve"> </w:t>
      </w:r>
      <w:r w:rsidR="00FB1D1C" w:rsidRPr="00A45B8A">
        <w:t xml:space="preserve">the life expectancy of </w:t>
      </w:r>
      <w:r w:rsidR="00695F03">
        <w:t>large sectors of the population.</w:t>
      </w:r>
      <w:r w:rsidR="001B35C0">
        <w:t xml:space="preserve"> </w:t>
      </w:r>
      <w:r w:rsidR="00695F03">
        <w:t xml:space="preserve">Overall, life expectancy for women has </w:t>
      </w:r>
      <w:r w:rsidR="000C2E22">
        <w:t xml:space="preserve">increased </w:t>
      </w:r>
      <w:r w:rsidR="00695F03">
        <w:t>from 65.5 to 77</w:t>
      </w:r>
      <w:r w:rsidR="009C7F81">
        <w:t> </w:t>
      </w:r>
      <w:r>
        <w:t>years between 1970 and</w:t>
      </w:r>
      <w:r w:rsidR="00695F03">
        <w:t xml:space="preserve"> 2014, and from 61.6 </w:t>
      </w:r>
      <w:r>
        <w:t xml:space="preserve">to </w:t>
      </w:r>
      <w:r w:rsidR="00695F03">
        <w:t>72.4</w:t>
      </w:r>
      <w:r w:rsidR="009C7F81">
        <w:t> </w:t>
      </w:r>
      <w:r>
        <w:t xml:space="preserve">years </w:t>
      </w:r>
      <w:r w:rsidR="00695F03">
        <w:t>for men during the same period.</w:t>
      </w:r>
      <w:r w:rsidR="00453985">
        <w:t xml:space="preserve"> </w:t>
      </w:r>
    </w:p>
    <w:p w:rsidR="00FB1D1C" w:rsidRDefault="00695F03" w:rsidP="00934A11">
      <w:pPr>
        <w:pStyle w:val="SingleTxtG"/>
        <w:numPr>
          <w:ilvl w:val="0"/>
          <w:numId w:val="52"/>
        </w:numPr>
        <w:ind w:left="1134" w:firstLine="0"/>
      </w:pPr>
      <w:r>
        <w:t>M</w:t>
      </w:r>
      <w:r w:rsidR="00FB1D1C" w:rsidRPr="00A45B8A">
        <w:t>aternal</w:t>
      </w:r>
      <w:r>
        <w:t xml:space="preserve"> mortality rates have plummeted from 140.8 deaths per 1,000 live births in 1970 to an estimated 25.6 death</w:t>
      </w:r>
      <w:r w:rsidR="00605FF1">
        <w:t>s</w:t>
      </w:r>
      <w:r>
        <w:t xml:space="preserve"> per 1,000 live births in 2012.</w:t>
      </w:r>
      <w:r w:rsidR="00453985">
        <w:t xml:space="preserve"> </w:t>
      </w:r>
      <w:r>
        <w:t>I</w:t>
      </w:r>
      <w:r w:rsidR="00FB1D1C" w:rsidRPr="00A45B8A">
        <w:t xml:space="preserve">nfant mortality rates </w:t>
      </w:r>
      <w:r>
        <w:t xml:space="preserve">have more than halved during the same period, from 39.4 deaths per 1,000 live births to an estimated 6.3 per 1,000 live births, </w:t>
      </w:r>
      <w:r w:rsidR="00FB1D1C" w:rsidRPr="00A45B8A">
        <w:t>reaching ratios similar to those of high-income developed countries.</w:t>
      </w:r>
      <w:r w:rsidR="00453985">
        <w:t xml:space="preserve"> </w:t>
      </w:r>
      <w:r w:rsidR="00960775">
        <w:t xml:space="preserve">Malaysia is one of three countries in </w:t>
      </w:r>
      <w:r w:rsidR="000C2E22">
        <w:t xml:space="preserve">the </w:t>
      </w:r>
      <w:r w:rsidR="000C2E22" w:rsidRPr="000C2E22">
        <w:t>Association of Southeast Asian Nations </w:t>
      </w:r>
      <w:r w:rsidR="000C2E22">
        <w:t>(</w:t>
      </w:r>
      <w:r w:rsidR="00960775">
        <w:t>ASEAN</w:t>
      </w:r>
      <w:r w:rsidR="000C2E22">
        <w:t>)</w:t>
      </w:r>
      <w:r w:rsidR="00960775">
        <w:t xml:space="preserve"> with infant and child mortality rates below 10 per 1,000 live </w:t>
      </w:r>
      <w:r w:rsidR="00960775">
        <w:lastRenderedPageBreak/>
        <w:t>births.</w:t>
      </w:r>
      <w:r w:rsidR="00453985">
        <w:t xml:space="preserve"> </w:t>
      </w:r>
      <w:r>
        <w:t xml:space="preserve">During the same period, the doctor/population ratio has improved from </w:t>
      </w:r>
      <w:r w:rsidR="000C2E22">
        <w:t xml:space="preserve">1 per </w:t>
      </w:r>
      <w:r>
        <w:t xml:space="preserve">4,493 to </w:t>
      </w:r>
      <w:r w:rsidR="000C2E22">
        <w:t xml:space="preserve">1 per </w:t>
      </w:r>
      <w:r>
        <w:t>758</w:t>
      </w:r>
      <w:r w:rsidR="009C7F81">
        <w:t>.</w:t>
      </w:r>
      <w:r w:rsidRPr="00680816">
        <w:rPr>
          <w:rStyle w:val="FootnoteReference"/>
        </w:rPr>
        <w:footnoteReference w:id="4"/>
      </w:r>
    </w:p>
    <w:p w:rsidR="00605FF1" w:rsidRPr="0067771F" w:rsidRDefault="002F28A9" w:rsidP="00934A11">
      <w:pPr>
        <w:pStyle w:val="SingleTxtG"/>
        <w:numPr>
          <w:ilvl w:val="0"/>
          <w:numId w:val="52"/>
        </w:numPr>
        <w:ind w:left="1134" w:firstLine="0"/>
      </w:pPr>
      <w:r>
        <w:t xml:space="preserve">The Special Rapporteur </w:t>
      </w:r>
      <w:r w:rsidRPr="00A45B8A">
        <w:t>commend</w:t>
      </w:r>
      <w:r>
        <w:t>ed the</w:t>
      </w:r>
      <w:r w:rsidRPr="00A45B8A">
        <w:t xml:space="preserve"> achievements related to some of the underlying determinants of health, including </w:t>
      </w:r>
      <w:r w:rsidR="00050075">
        <w:t xml:space="preserve">the </w:t>
      </w:r>
      <w:r>
        <w:t xml:space="preserve">reduction of poverty, </w:t>
      </w:r>
      <w:r w:rsidRPr="00A45B8A">
        <w:t xml:space="preserve">improvements in access to water and sanitation and </w:t>
      </w:r>
      <w:r w:rsidRPr="0067771F">
        <w:t>the effective control of outbreaks of recent epidemics.</w:t>
      </w:r>
      <w:r w:rsidR="001B35C0" w:rsidRPr="0067771F">
        <w:t xml:space="preserve"> </w:t>
      </w:r>
      <w:r w:rsidR="00605FF1" w:rsidRPr="0067771F">
        <w:t>Malaysia has achieved impressive results in reducing poverty, especially in urban areas</w:t>
      </w:r>
      <w:r w:rsidR="000C2E22" w:rsidRPr="0067771F">
        <w:t>,</w:t>
      </w:r>
      <w:r w:rsidR="00605FF1" w:rsidRPr="0067771F">
        <w:t xml:space="preserve"> where the percentage of households living in poverty has </w:t>
      </w:r>
      <w:r w:rsidR="004F2307" w:rsidRPr="0067771F">
        <w:t>fallen</w:t>
      </w:r>
      <w:r w:rsidR="00605FF1" w:rsidRPr="0067771F">
        <w:t xml:space="preserve"> from 21.3</w:t>
      </w:r>
      <w:r w:rsidR="000C2E22" w:rsidRPr="0067771F">
        <w:t xml:space="preserve"> per cent</w:t>
      </w:r>
      <w:r w:rsidR="00605FF1" w:rsidRPr="0067771F">
        <w:t xml:space="preserve"> </w:t>
      </w:r>
      <w:r w:rsidR="00050075" w:rsidRPr="0067771F">
        <w:t>to an estimated 0.5</w:t>
      </w:r>
      <w:r w:rsidR="000C2E22" w:rsidRPr="0067771F">
        <w:t xml:space="preserve"> per cent</w:t>
      </w:r>
      <w:r w:rsidR="00050075" w:rsidRPr="0067771F">
        <w:t xml:space="preserve"> between 1970 and</w:t>
      </w:r>
      <w:r w:rsidR="00605FF1" w:rsidRPr="0067771F">
        <w:t xml:space="preserve"> 2014.</w:t>
      </w:r>
      <w:r w:rsidR="007C60F3" w:rsidRPr="0067771F">
        <w:rPr>
          <w:rStyle w:val="FootnoteReference"/>
          <w:sz w:val="20"/>
        </w:rPr>
        <w:footnoteReference w:id="5"/>
      </w:r>
      <w:r w:rsidR="00453985" w:rsidRPr="0067771F">
        <w:t xml:space="preserve"> </w:t>
      </w:r>
      <w:r w:rsidR="00FE0BC1" w:rsidRPr="0067771F">
        <w:t xml:space="preserve">However, </w:t>
      </w:r>
      <w:r w:rsidR="00050075" w:rsidRPr="0067771F">
        <w:t xml:space="preserve">about </w:t>
      </w:r>
      <w:r w:rsidR="00FE0BC1" w:rsidRPr="0067771F">
        <w:t>3.4</w:t>
      </w:r>
      <w:r w:rsidR="000C2E22" w:rsidRPr="0067771F">
        <w:t xml:space="preserve"> per cent</w:t>
      </w:r>
      <w:r w:rsidR="00FE0BC1" w:rsidRPr="0067771F">
        <w:t xml:space="preserve"> of rural households </w:t>
      </w:r>
      <w:r w:rsidR="00050075" w:rsidRPr="0067771F">
        <w:t xml:space="preserve">still </w:t>
      </w:r>
      <w:r w:rsidR="00FE0BC1" w:rsidRPr="0067771F">
        <w:t>liv</w:t>
      </w:r>
      <w:r w:rsidR="00050075" w:rsidRPr="0067771F">
        <w:t>e</w:t>
      </w:r>
      <w:r w:rsidR="00FE0BC1" w:rsidRPr="0067771F">
        <w:t xml:space="preserve"> in poverty.</w:t>
      </w:r>
      <w:r w:rsidR="00FE0BC1" w:rsidRPr="0067771F">
        <w:rPr>
          <w:rStyle w:val="FootnoteReference"/>
          <w:sz w:val="20"/>
        </w:rPr>
        <w:footnoteReference w:id="6"/>
      </w:r>
      <w:r w:rsidR="001B35C0" w:rsidRPr="0067771F">
        <w:t xml:space="preserve"> </w:t>
      </w:r>
      <w:r w:rsidR="00FE0BC1" w:rsidRPr="0067771F">
        <w:t>In this respect, t</w:t>
      </w:r>
      <w:r w:rsidR="00605FF1" w:rsidRPr="0067771F">
        <w:t xml:space="preserve">he Special Rapporteur noted with concern </w:t>
      </w:r>
      <w:r w:rsidR="00FE0BC1" w:rsidRPr="0067771F">
        <w:t xml:space="preserve">stark </w:t>
      </w:r>
      <w:r w:rsidR="00605FF1" w:rsidRPr="0067771F">
        <w:t xml:space="preserve">disparities </w:t>
      </w:r>
      <w:r w:rsidR="00C6663F" w:rsidRPr="0067771F">
        <w:t xml:space="preserve">in the enjoyment of basic health indicators </w:t>
      </w:r>
      <w:r w:rsidR="009278D4" w:rsidRPr="0067771F">
        <w:t xml:space="preserve">between </w:t>
      </w:r>
      <w:r w:rsidR="00050075" w:rsidRPr="0067771F">
        <w:t>certain</w:t>
      </w:r>
      <w:r w:rsidR="00605FF1" w:rsidRPr="0067771F">
        <w:t xml:space="preserve"> groups</w:t>
      </w:r>
      <w:r w:rsidR="00050075" w:rsidRPr="0067771F">
        <w:t xml:space="preserve"> of the population</w:t>
      </w:r>
      <w:r w:rsidR="00605FF1" w:rsidRPr="0067771F">
        <w:t xml:space="preserve">, </w:t>
      </w:r>
      <w:r w:rsidR="009278D4" w:rsidRPr="0067771F">
        <w:t>with</w:t>
      </w:r>
      <w:r w:rsidR="00605FF1" w:rsidRPr="0067771F">
        <w:t xml:space="preserve"> </w:t>
      </w:r>
      <w:r w:rsidR="00EC48C7" w:rsidRPr="0067771F">
        <w:t xml:space="preserve">indigenous </w:t>
      </w:r>
      <w:r w:rsidR="00FE0BC1" w:rsidRPr="0067771F">
        <w:t>and migrants</w:t>
      </w:r>
      <w:r w:rsidR="009278D4" w:rsidRPr="0067771F">
        <w:t xml:space="preserve"> particularly affected</w:t>
      </w:r>
      <w:r w:rsidR="00605FF1" w:rsidRPr="0067771F">
        <w:t>.</w:t>
      </w:r>
      <w:r w:rsidR="00453985" w:rsidRPr="0067771F">
        <w:t xml:space="preserve"> </w:t>
      </w:r>
    </w:p>
    <w:p w:rsidR="00605FF1" w:rsidRPr="0067771F" w:rsidRDefault="00605FF1" w:rsidP="00934A11">
      <w:pPr>
        <w:pStyle w:val="SingleTxtG"/>
        <w:numPr>
          <w:ilvl w:val="0"/>
          <w:numId w:val="52"/>
        </w:numPr>
        <w:ind w:left="1134" w:firstLine="0"/>
      </w:pPr>
      <w:r w:rsidRPr="0067771F">
        <w:t xml:space="preserve">The health sector in Malaysia has developed over the past few decades with a strong focus on primary care </w:t>
      </w:r>
      <w:r w:rsidR="00050075" w:rsidRPr="0067771F">
        <w:t xml:space="preserve">and has </w:t>
      </w:r>
      <w:r w:rsidRPr="0067771F">
        <w:t>achiev</w:t>
      </w:r>
      <w:r w:rsidR="00050075" w:rsidRPr="0067771F">
        <w:t>ed</w:t>
      </w:r>
      <w:r w:rsidRPr="0067771F">
        <w:t xml:space="preserve"> universal coverage for most of its population</w:t>
      </w:r>
      <w:r w:rsidR="009278D4" w:rsidRPr="0067771F">
        <w:t>,</w:t>
      </w:r>
      <w:r w:rsidRPr="0067771F">
        <w:t xml:space="preserve"> </w:t>
      </w:r>
      <w:r w:rsidR="00050075" w:rsidRPr="0067771F">
        <w:t>as well as</w:t>
      </w:r>
      <w:r w:rsidRPr="0067771F">
        <w:t xml:space="preserve"> fairly good standards of availability, accessibility, acceptability and quality.</w:t>
      </w:r>
      <w:r w:rsidR="00453985" w:rsidRPr="0067771F">
        <w:t xml:space="preserve"> </w:t>
      </w:r>
      <w:r w:rsidRPr="0067771F">
        <w:t xml:space="preserve">Malaysia has also made serious attempts to recognize </w:t>
      </w:r>
      <w:r w:rsidR="00C93422" w:rsidRPr="0067771F">
        <w:t xml:space="preserve">the </w:t>
      </w:r>
      <w:r w:rsidRPr="0067771F">
        <w:t>challenges of the ongoing demographical and epidemiological transition from a country with a focus on communicable diseases to a country where non-communicable diseases</w:t>
      </w:r>
      <w:r w:rsidR="0011645C" w:rsidRPr="0067771F">
        <w:t xml:space="preserve"> </w:t>
      </w:r>
      <w:r w:rsidRPr="0067771F">
        <w:t xml:space="preserve">are becoming </w:t>
      </w:r>
      <w:r w:rsidR="002E58D0" w:rsidRPr="0067771F">
        <w:t>a</w:t>
      </w:r>
      <w:r w:rsidRPr="0067771F">
        <w:t xml:space="preserve"> concern. </w:t>
      </w:r>
      <w:r w:rsidR="002E58D0" w:rsidRPr="0067771F">
        <w:t>The</w:t>
      </w:r>
      <w:r w:rsidR="0011645C" w:rsidRPr="0067771F">
        <w:t>s</w:t>
      </w:r>
      <w:r w:rsidR="002E58D0" w:rsidRPr="0067771F">
        <w:t>e</w:t>
      </w:r>
      <w:r w:rsidR="0011645C" w:rsidRPr="0067771F">
        <w:t xml:space="preserve"> include the National Strategic Plan for Non-Communicable Diseases (2010</w:t>
      </w:r>
      <w:r w:rsidR="009C7F81" w:rsidRPr="0067771F">
        <w:t>–</w:t>
      </w:r>
      <w:r w:rsidR="0011645C" w:rsidRPr="0067771F">
        <w:t>2014) and the N</w:t>
      </w:r>
      <w:r w:rsidR="00C93422" w:rsidRPr="0067771F">
        <w:t>on-</w:t>
      </w:r>
      <w:r w:rsidR="0011645C" w:rsidRPr="0067771F">
        <w:t>C</w:t>
      </w:r>
      <w:r w:rsidR="00C93422" w:rsidRPr="0067771F">
        <w:t xml:space="preserve">ommunicable </w:t>
      </w:r>
      <w:r w:rsidR="0011645C" w:rsidRPr="0067771F">
        <w:t>D</w:t>
      </w:r>
      <w:r w:rsidR="00C93422" w:rsidRPr="0067771F">
        <w:t>isease</w:t>
      </w:r>
      <w:r w:rsidR="0011645C" w:rsidRPr="0067771F">
        <w:t xml:space="preserve"> Prevention in Community programme.</w:t>
      </w:r>
      <w:r w:rsidR="001B35C0" w:rsidRPr="0067771F">
        <w:t xml:space="preserve"> </w:t>
      </w:r>
    </w:p>
    <w:p w:rsidR="0062637E" w:rsidRPr="009127B0" w:rsidRDefault="00050075" w:rsidP="00934A11">
      <w:pPr>
        <w:pStyle w:val="SingleTxtG"/>
        <w:numPr>
          <w:ilvl w:val="0"/>
          <w:numId w:val="52"/>
        </w:numPr>
        <w:ind w:left="1134" w:firstLine="0"/>
      </w:pPr>
      <w:r w:rsidRPr="0067771F">
        <w:t>However, m</w:t>
      </w:r>
      <w:r w:rsidR="0062637E" w:rsidRPr="0067771F">
        <w:t xml:space="preserve">any of the challenges that the Special Rapporteur identified during his visit </w:t>
      </w:r>
      <w:r w:rsidR="005524DD" w:rsidRPr="0067771F">
        <w:t>are related</w:t>
      </w:r>
      <w:r w:rsidR="0062637E" w:rsidRPr="0067771F">
        <w:t xml:space="preserve"> to a selective approach to human rights. This approach</w:t>
      </w:r>
      <w:r w:rsidR="000031A1" w:rsidRPr="0067771F">
        <w:t>,</w:t>
      </w:r>
      <w:r w:rsidR="0062637E" w:rsidRPr="0067771F">
        <w:t xml:space="preserve"> mostly based on restrictive interpretations of cultural and religious norms and practices, </w:t>
      </w:r>
      <w:r w:rsidR="000031A1" w:rsidRPr="0067771F">
        <w:t>is</w:t>
      </w:r>
      <w:r w:rsidR="0062637E" w:rsidRPr="0067771F">
        <w:t xml:space="preserve"> a departure from universal human ri</w:t>
      </w:r>
      <w:r w:rsidR="000031A1" w:rsidRPr="0067771F">
        <w:t xml:space="preserve">ghts </w:t>
      </w:r>
      <w:r w:rsidRPr="0067771F">
        <w:t>principles</w:t>
      </w:r>
      <w:r>
        <w:t xml:space="preserve"> and standards and has reinforced the exclusion</w:t>
      </w:r>
      <w:r w:rsidR="005524DD">
        <w:t xml:space="preserve"> and discrimination</w:t>
      </w:r>
      <w:r>
        <w:t>,</w:t>
      </w:r>
      <w:r w:rsidR="0062637E" w:rsidRPr="009127B0">
        <w:t xml:space="preserve"> in law </w:t>
      </w:r>
      <w:r w:rsidR="00F10D24">
        <w:t>or</w:t>
      </w:r>
      <w:r w:rsidR="0062637E" w:rsidRPr="009127B0">
        <w:t xml:space="preserve"> practice</w:t>
      </w:r>
      <w:r>
        <w:t xml:space="preserve">, of </w:t>
      </w:r>
      <w:r w:rsidR="005524DD">
        <w:t>certain groups from the full enjoyment of the right to health</w:t>
      </w:r>
      <w:r w:rsidR="0062637E" w:rsidRPr="009127B0">
        <w:t>.</w:t>
      </w:r>
    </w:p>
    <w:p w:rsidR="0062637E" w:rsidRPr="009127B0" w:rsidRDefault="002E58D0" w:rsidP="00934A11">
      <w:pPr>
        <w:pStyle w:val="SingleTxtG"/>
        <w:numPr>
          <w:ilvl w:val="0"/>
          <w:numId w:val="52"/>
        </w:numPr>
        <w:ind w:left="1134" w:firstLine="0"/>
      </w:pPr>
      <w:r>
        <w:t>D</w:t>
      </w:r>
      <w:r w:rsidR="0062637E" w:rsidRPr="009127B0">
        <w:t xml:space="preserve">uring </w:t>
      </w:r>
      <w:r w:rsidR="0062637E">
        <w:t>his</w:t>
      </w:r>
      <w:r w:rsidR="0062637E" w:rsidRPr="009127B0">
        <w:t xml:space="preserve"> visit</w:t>
      </w:r>
      <w:r w:rsidR="005524DD">
        <w:t>,</w:t>
      </w:r>
      <w:r w:rsidR="0062637E" w:rsidRPr="009127B0">
        <w:t xml:space="preserve"> </w:t>
      </w:r>
      <w:r w:rsidR="0062637E">
        <w:t>the Special Rapporteur</w:t>
      </w:r>
      <w:r w:rsidR="0062637E" w:rsidRPr="009127B0">
        <w:t xml:space="preserve"> </w:t>
      </w:r>
      <w:r>
        <w:t xml:space="preserve">also </w:t>
      </w:r>
      <w:r w:rsidR="0062637E" w:rsidRPr="009127B0">
        <w:t>ascertained the challenges and risks that civil society faces when working on right to health issues</w:t>
      </w:r>
      <w:r w:rsidR="0062637E">
        <w:t xml:space="preserve">, particularly when it comes to exercising the rights to freedom of opinion and expression, </w:t>
      </w:r>
      <w:r w:rsidR="000E5C73">
        <w:t>and freedom of peaceful assembly</w:t>
      </w:r>
      <w:r w:rsidR="0062637E" w:rsidRPr="009127B0">
        <w:t>.</w:t>
      </w:r>
      <w:r w:rsidR="00453985">
        <w:t xml:space="preserve"> </w:t>
      </w:r>
      <w:r w:rsidR="0062637E">
        <w:t>Civil society organi</w:t>
      </w:r>
      <w:r w:rsidR="00817249">
        <w:t>z</w:t>
      </w:r>
      <w:r w:rsidR="0062637E">
        <w:t>ations</w:t>
      </w:r>
      <w:r w:rsidR="0062637E" w:rsidRPr="009127B0">
        <w:t xml:space="preserve"> </w:t>
      </w:r>
      <w:r w:rsidR="0062637E">
        <w:t xml:space="preserve">in Malaysia </w:t>
      </w:r>
      <w:r w:rsidR="0062637E" w:rsidRPr="009127B0">
        <w:t xml:space="preserve">operate in a very restrictive environment and </w:t>
      </w:r>
      <w:r w:rsidR="0062637E">
        <w:t xml:space="preserve">some </w:t>
      </w:r>
      <w:r w:rsidR="0062637E" w:rsidRPr="009127B0">
        <w:t xml:space="preserve">work </w:t>
      </w:r>
      <w:r w:rsidR="00817249">
        <w:t>in</w:t>
      </w:r>
      <w:r w:rsidR="00817249" w:rsidRPr="009127B0">
        <w:t xml:space="preserve"> </w:t>
      </w:r>
      <w:r w:rsidR="0062637E" w:rsidRPr="009127B0">
        <w:t>fear of the application of the Sedition Act 1948.</w:t>
      </w:r>
      <w:r w:rsidR="00453985">
        <w:t xml:space="preserve"> </w:t>
      </w:r>
      <w:r w:rsidR="000E5C73">
        <w:t>Such an</w:t>
      </w:r>
      <w:r w:rsidR="0062637E" w:rsidRPr="00623353">
        <w:t xml:space="preserve"> environment </w:t>
      </w:r>
      <w:r w:rsidR="0027611E">
        <w:t>precludes the existence of</w:t>
      </w:r>
      <w:r w:rsidR="0027611E" w:rsidRPr="00623353">
        <w:t xml:space="preserve"> </w:t>
      </w:r>
      <w:r w:rsidR="00CD5241">
        <w:t>one of the</w:t>
      </w:r>
      <w:r w:rsidR="0062637E" w:rsidRPr="00623353">
        <w:t xml:space="preserve"> crucial precondition</w:t>
      </w:r>
      <w:r w:rsidR="00CD5241">
        <w:t>s</w:t>
      </w:r>
      <w:r w:rsidR="0062637E" w:rsidRPr="00623353">
        <w:t xml:space="preserve"> for the effective realization of the right to health</w:t>
      </w:r>
      <w:r w:rsidR="00817249">
        <w:t>:</w:t>
      </w:r>
      <w:r w:rsidR="0062637E" w:rsidRPr="00623353">
        <w:t xml:space="preserve"> the participation</w:t>
      </w:r>
      <w:r w:rsidR="00CD5241">
        <w:t xml:space="preserve"> </w:t>
      </w:r>
      <w:r w:rsidR="000E5C73">
        <w:t xml:space="preserve">and empowerment </w:t>
      </w:r>
      <w:r w:rsidR="00CD5241">
        <w:t>of those affected</w:t>
      </w:r>
      <w:r w:rsidR="0062637E" w:rsidRPr="00623353">
        <w:t xml:space="preserve">. </w:t>
      </w:r>
    </w:p>
    <w:p w:rsidR="00545386" w:rsidRPr="00310C20" w:rsidRDefault="00436B5B" w:rsidP="00436B5B">
      <w:pPr>
        <w:pStyle w:val="H1G"/>
      </w:pPr>
      <w:r w:rsidRPr="00310C20">
        <w:tab/>
        <w:t>B.</w:t>
      </w:r>
      <w:r w:rsidRPr="00310C20">
        <w:tab/>
      </w:r>
      <w:r w:rsidR="00545386" w:rsidRPr="00310C20">
        <w:t xml:space="preserve">International and </w:t>
      </w:r>
      <w:r w:rsidR="00CB07C0">
        <w:t>national</w:t>
      </w:r>
      <w:r w:rsidR="00545386" w:rsidRPr="00310C20">
        <w:t xml:space="preserve"> legal framework</w:t>
      </w:r>
    </w:p>
    <w:p w:rsidR="00577D27" w:rsidRDefault="00817249" w:rsidP="00934A11">
      <w:pPr>
        <w:pStyle w:val="SingleTxtG"/>
        <w:numPr>
          <w:ilvl w:val="0"/>
          <w:numId w:val="52"/>
        </w:numPr>
        <w:ind w:left="1134" w:firstLine="0"/>
      </w:pPr>
      <w:r>
        <w:t>While recognizing</w:t>
      </w:r>
      <w:r w:rsidR="00C6663F">
        <w:t xml:space="preserve"> the above-mentioned achievements in economic development and</w:t>
      </w:r>
      <w:r>
        <w:t xml:space="preserve"> improving</w:t>
      </w:r>
      <w:r w:rsidR="00C6663F">
        <w:t xml:space="preserve"> basic health-related indicators, </w:t>
      </w:r>
      <w:r>
        <w:t xml:space="preserve">the Special Rapporteur notes that </w:t>
      </w:r>
      <w:r w:rsidR="00C6663F" w:rsidRPr="00A45B8A">
        <w:t>Malaysia has only ratified three of the international human rights treaties</w:t>
      </w:r>
      <w:r>
        <w:t>:</w:t>
      </w:r>
      <w:r w:rsidR="00C6663F">
        <w:t xml:space="preserve"> the </w:t>
      </w:r>
      <w:r w:rsidR="00C6663F" w:rsidRPr="0072493A">
        <w:t xml:space="preserve">Convention on the Elimination of </w:t>
      </w:r>
      <w:r>
        <w:t>A</w:t>
      </w:r>
      <w:r w:rsidR="00C6663F" w:rsidRPr="0072493A">
        <w:t xml:space="preserve">ll </w:t>
      </w:r>
      <w:r>
        <w:t>F</w:t>
      </w:r>
      <w:r w:rsidR="00C6663F" w:rsidRPr="0072493A">
        <w:t>orms of Discrimination agains</w:t>
      </w:r>
      <w:r w:rsidR="00C6663F">
        <w:t>t</w:t>
      </w:r>
      <w:r w:rsidR="00C6663F" w:rsidRPr="0072493A">
        <w:t xml:space="preserve"> Women</w:t>
      </w:r>
      <w:r w:rsidR="00C6663F">
        <w:t xml:space="preserve"> (1995)</w:t>
      </w:r>
      <w:r w:rsidR="00C6663F" w:rsidRPr="0072493A">
        <w:t>; the Convention of the Rights of the Child</w:t>
      </w:r>
      <w:r w:rsidR="00C6663F">
        <w:t xml:space="preserve"> (1995) and </w:t>
      </w:r>
      <w:r w:rsidR="00D05E22">
        <w:t xml:space="preserve">the first </w:t>
      </w:r>
      <w:r w:rsidR="00C6663F">
        <w:t>two Optional Protocols</w:t>
      </w:r>
      <w:r w:rsidR="00D05E22">
        <w:t xml:space="preserve"> thereto</w:t>
      </w:r>
      <w:r w:rsidR="00C6663F">
        <w:t xml:space="preserve"> (2012)</w:t>
      </w:r>
      <w:r w:rsidR="00C6663F" w:rsidRPr="0072493A">
        <w:t>; and the Convention o</w:t>
      </w:r>
      <w:r w:rsidR="00C6663F">
        <w:t xml:space="preserve">n the </w:t>
      </w:r>
      <w:r w:rsidR="00D05E22">
        <w:t>R</w:t>
      </w:r>
      <w:r w:rsidR="00C6663F">
        <w:t>ights of Persons with Disabilities (2010).</w:t>
      </w:r>
      <w:r w:rsidR="00453985">
        <w:t xml:space="preserve"> </w:t>
      </w:r>
      <w:r w:rsidR="00A377C0">
        <w:t xml:space="preserve">Malaysia has not extended a standing invitation to the </w:t>
      </w:r>
      <w:r w:rsidR="00D05E22">
        <w:t>s</w:t>
      </w:r>
      <w:r w:rsidR="00A377C0">
        <w:t xml:space="preserve">pecial </w:t>
      </w:r>
      <w:r w:rsidR="00D05E22">
        <w:t>p</w:t>
      </w:r>
      <w:r w:rsidR="00A377C0">
        <w:t>rocedures of the Council</w:t>
      </w:r>
      <w:r w:rsidR="00D667CA">
        <w:t xml:space="preserve"> although it has invited a </w:t>
      </w:r>
      <w:r w:rsidR="00251276">
        <w:t>number of</w:t>
      </w:r>
      <w:r w:rsidR="00D667CA">
        <w:t xml:space="preserve"> independent experts to visit the country since 2007</w:t>
      </w:r>
      <w:r w:rsidR="00A377C0">
        <w:t xml:space="preserve">. </w:t>
      </w:r>
    </w:p>
    <w:p w:rsidR="00C6663F" w:rsidRDefault="00D05E22" w:rsidP="00934A11">
      <w:pPr>
        <w:pStyle w:val="SingleTxtG"/>
        <w:numPr>
          <w:ilvl w:val="0"/>
          <w:numId w:val="52"/>
        </w:numPr>
        <w:ind w:left="1134" w:firstLine="0"/>
      </w:pPr>
      <w:r>
        <w:lastRenderedPageBreak/>
        <w:t xml:space="preserve">The </w:t>
      </w:r>
      <w:r w:rsidR="00A255DF" w:rsidRPr="00A45B8A">
        <w:t>accession</w:t>
      </w:r>
      <w:r>
        <w:t xml:space="preserve"> of Malaysia</w:t>
      </w:r>
      <w:r w:rsidR="00A255DF" w:rsidRPr="00A45B8A">
        <w:t xml:space="preserve"> to these </w:t>
      </w:r>
      <w:r>
        <w:t>c</w:t>
      </w:r>
      <w:r w:rsidR="00A255DF" w:rsidRPr="00A45B8A">
        <w:t>onventions is subject to the understanding</w:t>
      </w:r>
      <w:r w:rsidR="00EF634E">
        <w:t xml:space="preserve"> that </w:t>
      </w:r>
      <w:r w:rsidR="000E5C73">
        <w:t>they</w:t>
      </w:r>
      <w:r w:rsidR="00A255DF" w:rsidRPr="00A45B8A">
        <w:t xml:space="preserve"> do not conflict with the p</w:t>
      </w:r>
      <w:r w:rsidR="00F403E5">
        <w:t xml:space="preserve">rovisions of </w:t>
      </w:r>
      <w:r w:rsidR="00E67A9E">
        <w:t>s</w:t>
      </w:r>
      <w:r w:rsidR="00F403E5">
        <w:t>haria</w:t>
      </w:r>
      <w:r w:rsidR="00A255DF" w:rsidRPr="00A45B8A">
        <w:t xml:space="preserve"> law</w:t>
      </w:r>
      <w:r w:rsidR="000E5C73">
        <w:t xml:space="preserve"> and the Federal Constitution</w:t>
      </w:r>
      <w:r w:rsidR="00A255DF">
        <w:t>.</w:t>
      </w:r>
      <w:r w:rsidR="001B35C0">
        <w:t xml:space="preserve"> </w:t>
      </w:r>
      <w:r w:rsidR="00577D27">
        <w:t xml:space="preserve">Therefore, provisions contained in these core international human rights treaties are not directly enforceable in domestic courts. </w:t>
      </w:r>
      <w:r w:rsidR="00F403E5">
        <w:t xml:space="preserve">In </w:t>
      </w:r>
      <w:r w:rsidR="00F403E5" w:rsidRPr="00CD5241">
        <w:t xml:space="preserve">addition, Malaysia has introduced reservations to key provisions </w:t>
      </w:r>
      <w:r w:rsidR="005524DD">
        <w:t>of the</w:t>
      </w:r>
      <w:r w:rsidR="0017595D" w:rsidRPr="00CD5241">
        <w:t xml:space="preserve"> treaties</w:t>
      </w:r>
      <w:r w:rsidR="00E67A9E">
        <w:t xml:space="preserve"> that</w:t>
      </w:r>
      <w:r w:rsidR="0017595D" w:rsidRPr="00CD5241">
        <w:t xml:space="preserve"> </w:t>
      </w:r>
      <w:r w:rsidR="005524DD">
        <w:t>it</w:t>
      </w:r>
      <w:r w:rsidR="00623353" w:rsidRPr="00CD5241">
        <w:t xml:space="preserve"> has ratified, including </w:t>
      </w:r>
      <w:r w:rsidR="00BD796F">
        <w:t>article </w:t>
      </w:r>
      <w:r w:rsidR="0017595D" w:rsidRPr="00CD5241">
        <w:t xml:space="preserve">16 of </w:t>
      </w:r>
      <w:r w:rsidR="00E67A9E">
        <w:t>the Convention on the Elimination of All Forms of Discrimination against Women</w:t>
      </w:r>
      <w:r w:rsidR="00F403E5" w:rsidRPr="00CD5241">
        <w:t>, which are considered to be part of the core obligations of States part</w:t>
      </w:r>
      <w:r w:rsidR="00E67A9E">
        <w:t>ies</w:t>
      </w:r>
      <w:r w:rsidR="00F403E5" w:rsidRPr="00CD5241">
        <w:t xml:space="preserve"> to </w:t>
      </w:r>
      <w:r w:rsidR="00787E9E" w:rsidRPr="00CD5241">
        <w:t>the</w:t>
      </w:r>
      <w:r w:rsidR="0017595D" w:rsidRPr="00CD5241">
        <w:t xml:space="preserve"> </w:t>
      </w:r>
      <w:r w:rsidR="00E67A9E">
        <w:t>c</w:t>
      </w:r>
      <w:r w:rsidR="0017595D" w:rsidRPr="00CD5241">
        <w:t>onventions</w:t>
      </w:r>
      <w:r w:rsidR="00F403E5" w:rsidRPr="00CD5241">
        <w:t>.</w:t>
      </w:r>
      <w:r w:rsidR="00F403E5">
        <w:t xml:space="preserve"> </w:t>
      </w:r>
    </w:p>
    <w:p w:rsidR="00960775" w:rsidRDefault="00C6663F" w:rsidP="00934A11">
      <w:pPr>
        <w:pStyle w:val="SingleTxtG"/>
        <w:numPr>
          <w:ilvl w:val="0"/>
          <w:numId w:val="52"/>
        </w:numPr>
        <w:ind w:left="1134" w:firstLine="0"/>
      </w:pPr>
      <w:r w:rsidRPr="00D56C15">
        <w:t>The Special Rapporteur is</w:t>
      </w:r>
      <w:r>
        <w:t xml:space="preserve"> concerned about the limited number of international human rights treaties</w:t>
      </w:r>
      <w:r w:rsidR="00E67A9E">
        <w:t xml:space="preserve"> that Malaysia has ratified</w:t>
      </w:r>
      <w:r w:rsidR="00603E04">
        <w:t xml:space="preserve"> and </w:t>
      </w:r>
      <w:r>
        <w:t>the reservations</w:t>
      </w:r>
      <w:r w:rsidR="000E48BA">
        <w:t xml:space="preserve"> that it has</w:t>
      </w:r>
      <w:r>
        <w:t xml:space="preserve"> introduced to the </w:t>
      </w:r>
      <w:r w:rsidR="000E48BA">
        <w:t>c</w:t>
      </w:r>
      <w:r>
        <w:t>onventions</w:t>
      </w:r>
      <w:r w:rsidR="000E5C73" w:rsidRPr="000E5C73">
        <w:t xml:space="preserve"> </w:t>
      </w:r>
      <w:r w:rsidR="000E48BA">
        <w:t>mentioned</w:t>
      </w:r>
      <w:r w:rsidR="007950CE">
        <w:t>, s</w:t>
      </w:r>
      <w:r w:rsidR="000031A1">
        <w:t xml:space="preserve">ome </w:t>
      </w:r>
      <w:r w:rsidR="005524DD">
        <w:t>of them of a general nature,</w:t>
      </w:r>
      <w:r w:rsidR="000031A1">
        <w:t xml:space="preserve"> which seriously </w:t>
      </w:r>
      <w:r w:rsidR="002F2C2C">
        <w:t>undermine</w:t>
      </w:r>
      <w:r w:rsidR="007950CE">
        <w:t xml:space="preserve"> the nature and scope of the obligations </w:t>
      </w:r>
      <w:r w:rsidR="000031A1">
        <w:t xml:space="preserve">under </w:t>
      </w:r>
      <w:r w:rsidR="005524DD">
        <w:t>those</w:t>
      </w:r>
      <w:r w:rsidR="000031A1">
        <w:t xml:space="preserve"> treaties</w:t>
      </w:r>
      <w:r>
        <w:t>.</w:t>
      </w:r>
      <w:r w:rsidR="00453985">
        <w:t xml:space="preserve"> </w:t>
      </w:r>
      <w:r w:rsidR="005A413C">
        <w:t>M</w:t>
      </w:r>
      <w:r w:rsidR="007950CE">
        <w:t xml:space="preserve">oreover, </w:t>
      </w:r>
      <w:r w:rsidR="00603E04">
        <w:t>he</w:t>
      </w:r>
      <w:r w:rsidR="007950CE">
        <w:t xml:space="preserve"> is concerned </w:t>
      </w:r>
      <w:r w:rsidR="00603E04">
        <w:t>that</w:t>
      </w:r>
      <w:r w:rsidRPr="00A45B8A">
        <w:t xml:space="preserve"> the slow pace </w:t>
      </w:r>
      <w:r w:rsidR="000E48BA">
        <w:t>of</w:t>
      </w:r>
      <w:r w:rsidR="000E48BA" w:rsidRPr="00A45B8A">
        <w:t xml:space="preserve"> </w:t>
      </w:r>
      <w:r w:rsidRPr="00A45B8A">
        <w:t>repo</w:t>
      </w:r>
      <w:r w:rsidR="00603E04">
        <w:t xml:space="preserve">rting to the monitoring bodies </w:t>
      </w:r>
      <w:r w:rsidRPr="00A45B8A">
        <w:t xml:space="preserve">has </w:t>
      </w:r>
      <w:r w:rsidR="005524DD">
        <w:t xml:space="preserve">weakened the </w:t>
      </w:r>
      <w:r w:rsidRPr="00A45B8A">
        <w:t xml:space="preserve">accountability of </w:t>
      </w:r>
      <w:r w:rsidR="005524DD">
        <w:t xml:space="preserve">the State </w:t>
      </w:r>
      <w:r w:rsidRPr="00A45B8A">
        <w:t xml:space="preserve">and </w:t>
      </w:r>
      <w:r w:rsidR="00960775">
        <w:t>could</w:t>
      </w:r>
      <w:r w:rsidRPr="00A45B8A">
        <w:t xml:space="preserve"> undermine the efforts undertaken so far.</w:t>
      </w:r>
      <w:r w:rsidR="00453985">
        <w:t xml:space="preserve"> </w:t>
      </w:r>
    </w:p>
    <w:p w:rsidR="00D269FA" w:rsidRDefault="0017595D" w:rsidP="00934A11">
      <w:pPr>
        <w:pStyle w:val="SingleTxtG"/>
        <w:numPr>
          <w:ilvl w:val="0"/>
          <w:numId w:val="52"/>
        </w:numPr>
        <w:ind w:left="1134" w:firstLine="0"/>
      </w:pPr>
      <w:r>
        <w:t xml:space="preserve">Malaysia has not ratified the 1951 Convention </w:t>
      </w:r>
      <w:r w:rsidR="000E48BA">
        <w:t xml:space="preserve">relating to </w:t>
      </w:r>
      <w:r>
        <w:t xml:space="preserve">the Status of Refugees and </w:t>
      </w:r>
      <w:r w:rsidR="000E48BA">
        <w:t xml:space="preserve">its </w:t>
      </w:r>
      <w:r w:rsidR="00F673C9">
        <w:t xml:space="preserve">1967 </w:t>
      </w:r>
      <w:r w:rsidR="005A413C">
        <w:t>Protocol</w:t>
      </w:r>
      <w:r w:rsidR="00F673C9">
        <w:t>.</w:t>
      </w:r>
      <w:r w:rsidR="005A413C">
        <w:t xml:space="preserve"> </w:t>
      </w:r>
      <w:r>
        <w:t xml:space="preserve">At the regional level, </w:t>
      </w:r>
      <w:r w:rsidR="00D269FA" w:rsidRPr="00A45B8A">
        <w:t xml:space="preserve">Malaysia </w:t>
      </w:r>
      <w:r w:rsidR="00D269FA" w:rsidRPr="00871D2D">
        <w:t xml:space="preserve">ratified </w:t>
      </w:r>
      <w:r w:rsidR="00D269FA">
        <w:t xml:space="preserve">the </w:t>
      </w:r>
      <w:r w:rsidR="00D269FA" w:rsidRPr="00871D2D">
        <w:t>ASEAN Char</w:t>
      </w:r>
      <w:r w:rsidR="00D269FA">
        <w:t xml:space="preserve">ter </w:t>
      </w:r>
      <w:r w:rsidR="00D269FA" w:rsidRPr="00A45B8A">
        <w:t>in 2008</w:t>
      </w:r>
      <w:r w:rsidR="00D269FA">
        <w:t xml:space="preserve">, which </w:t>
      </w:r>
      <w:r w:rsidR="00D269FA" w:rsidRPr="00A45B8A">
        <w:t xml:space="preserve">establishes that one of the purposes of ASEAN is to promote and protect human rights and fundamental freedoms, with due regard to the rights and responsibilities of </w:t>
      </w:r>
      <w:r w:rsidR="000E48BA">
        <w:t>its</w:t>
      </w:r>
      <w:r w:rsidR="000E48BA" w:rsidRPr="00A45B8A">
        <w:t xml:space="preserve"> </w:t>
      </w:r>
      <w:r w:rsidR="000E48BA">
        <w:t>m</w:t>
      </w:r>
      <w:r w:rsidR="00D269FA" w:rsidRPr="00A45B8A">
        <w:t>ember States.</w:t>
      </w:r>
    </w:p>
    <w:p w:rsidR="003E769E" w:rsidRDefault="004F2307" w:rsidP="00934A11">
      <w:pPr>
        <w:pStyle w:val="SingleTxtG"/>
        <w:numPr>
          <w:ilvl w:val="0"/>
          <w:numId w:val="52"/>
        </w:numPr>
        <w:ind w:left="1134" w:firstLine="0"/>
      </w:pPr>
      <w:r>
        <w:t>T</w:t>
      </w:r>
      <w:r w:rsidR="00A255DF">
        <w:t xml:space="preserve">he </w:t>
      </w:r>
      <w:r w:rsidR="003E769E">
        <w:t xml:space="preserve">Federal </w:t>
      </w:r>
      <w:r w:rsidR="00A255DF">
        <w:t>Constitution</w:t>
      </w:r>
      <w:r w:rsidR="000E48BA">
        <w:t xml:space="preserve"> of Malaysia</w:t>
      </w:r>
      <w:r w:rsidR="00A255DF">
        <w:t xml:space="preserve"> contains a number of provisions for </w:t>
      </w:r>
      <w:r w:rsidR="003E769E">
        <w:t xml:space="preserve">the </w:t>
      </w:r>
      <w:r w:rsidR="00603E04">
        <w:t xml:space="preserve">enjoyment of the </w:t>
      </w:r>
      <w:r w:rsidR="003E769E">
        <w:t>right to health</w:t>
      </w:r>
      <w:r w:rsidR="000E48BA">
        <w:t>,</w:t>
      </w:r>
      <w:r w:rsidR="003E769E">
        <w:t xml:space="preserve"> directly or indirectly, most </w:t>
      </w:r>
      <w:r w:rsidR="000E48BA">
        <w:t xml:space="preserve">of which are </w:t>
      </w:r>
      <w:r w:rsidR="003E769E">
        <w:t>contain</w:t>
      </w:r>
      <w:r w:rsidR="000031A1">
        <w:t>ed in articles</w:t>
      </w:r>
      <w:r w:rsidR="00BD796F">
        <w:t> </w:t>
      </w:r>
      <w:r w:rsidR="000031A1">
        <w:t>5</w:t>
      </w:r>
      <w:r w:rsidR="00BD796F">
        <w:t>–</w:t>
      </w:r>
      <w:r w:rsidR="000031A1">
        <w:t>13</w:t>
      </w:r>
      <w:r w:rsidR="003E769E">
        <w:t>. If these rights are infringed</w:t>
      </w:r>
      <w:r w:rsidR="00980671">
        <w:t>,</w:t>
      </w:r>
      <w:r w:rsidR="003E769E">
        <w:t xml:space="preserve"> the victim(s) can </w:t>
      </w:r>
      <w:r w:rsidR="005A413C" w:rsidRPr="008A69DA">
        <w:t>seize</w:t>
      </w:r>
      <w:r w:rsidR="005A413C">
        <w:t xml:space="preserve"> the High Court Division. </w:t>
      </w:r>
      <w:r w:rsidR="003E769E" w:rsidRPr="00A45B8A">
        <w:t>Legislation in Malaysia related to the realization of the right to health include</w:t>
      </w:r>
      <w:r w:rsidR="00980671">
        <w:t>s</w:t>
      </w:r>
      <w:r w:rsidR="003E769E" w:rsidRPr="003E769E">
        <w:t xml:space="preserve"> </w:t>
      </w:r>
      <w:r w:rsidR="00980671">
        <w:t>the</w:t>
      </w:r>
      <w:r w:rsidR="003E769E" w:rsidRPr="003E769E">
        <w:t xml:space="preserve"> Penal Code</w:t>
      </w:r>
      <w:r w:rsidR="00980671">
        <w:t xml:space="preserve"> and</w:t>
      </w:r>
      <w:r w:rsidR="003E769E" w:rsidRPr="003E769E">
        <w:t xml:space="preserve"> </w:t>
      </w:r>
      <w:r w:rsidR="00980671">
        <w:t>the</w:t>
      </w:r>
      <w:r w:rsidR="003E769E" w:rsidRPr="003E769E">
        <w:t xml:space="preserve"> Criminal Procedur</w:t>
      </w:r>
      <w:r w:rsidR="00980671">
        <w:t>e</w:t>
      </w:r>
      <w:r w:rsidR="003E769E" w:rsidRPr="003E769E">
        <w:t xml:space="preserve"> Code.</w:t>
      </w:r>
      <w:r w:rsidR="001B35C0">
        <w:t xml:space="preserve"> </w:t>
      </w:r>
      <w:r w:rsidR="003E769E" w:rsidRPr="005A413C">
        <w:t>Also worth highlighting</w:t>
      </w:r>
      <w:r w:rsidR="00115922">
        <w:t xml:space="preserve"> are the</w:t>
      </w:r>
      <w:r w:rsidR="003E769E" w:rsidRPr="005A413C">
        <w:t xml:space="preserve"> </w:t>
      </w:r>
      <w:r w:rsidR="009C6DBE" w:rsidRPr="008A69DA">
        <w:t xml:space="preserve">Dangerous Drugs Act 1952; </w:t>
      </w:r>
      <w:r w:rsidR="00115922" w:rsidRPr="008A69DA">
        <w:t>the</w:t>
      </w:r>
      <w:r w:rsidR="009C6DBE" w:rsidRPr="008A69DA">
        <w:t xml:space="preserve"> Aboriginal Peoples Act 1954; </w:t>
      </w:r>
      <w:r w:rsidR="00115922" w:rsidRPr="008A69DA">
        <w:t>the</w:t>
      </w:r>
      <w:r w:rsidR="009C6DBE" w:rsidRPr="008A69DA">
        <w:t xml:space="preserve"> Immigration Act 1959/63; </w:t>
      </w:r>
      <w:r w:rsidR="00115922" w:rsidRPr="008A69DA">
        <w:t>the</w:t>
      </w:r>
      <w:r w:rsidR="009C6DBE" w:rsidRPr="008A69DA">
        <w:t xml:space="preserve"> Medical Act 1971; </w:t>
      </w:r>
      <w:r w:rsidR="00115922" w:rsidRPr="008A69DA">
        <w:t>the</w:t>
      </w:r>
      <w:r w:rsidR="009C6DBE" w:rsidRPr="008A69DA">
        <w:t xml:space="preserve"> Drug Dependants (Treatment and Rehabilitation) Act 1983; </w:t>
      </w:r>
      <w:r w:rsidR="00115922" w:rsidRPr="008A69DA">
        <w:t>the</w:t>
      </w:r>
      <w:r w:rsidR="009C6DBE" w:rsidRPr="008A69DA">
        <w:t xml:space="preserve"> Care Centres Act 1993; </w:t>
      </w:r>
      <w:r w:rsidR="00115922" w:rsidRPr="008A69DA">
        <w:t>the</w:t>
      </w:r>
      <w:r w:rsidR="009C6DBE" w:rsidRPr="008A69DA">
        <w:t xml:space="preserve"> Private Healthcare </w:t>
      </w:r>
      <w:r w:rsidR="00115922" w:rsidRPr="008A69DA">
        <w:t>F</w:t>
      </w:r>
      <w:r w:rsidR="009C6DBE" w:rsidRPr="008A69DA">
        <w:t xml:space="preserve">acilities and </w:t>
      </w:r>
      <w:r w:rsidR="00115922" w:rsidRPr="008A69DA">
        <w:t>S</w:t>
      </w:r>
      <w:r w:rsidR="009C6DBE" w:rsidRPr="008A69DA">
        <w:t xml:space="preserve">ervices Act 1998; </w:t>
      </w:r>
      <w:r w:rsidR="00115922" w:rsidRPr="008A69DA">
        <w:t>the</w:t>
      </w:r>
      <w:r w:rsidR="003E769E" w:rsidRPr="008A69DA">
        <w:t xml:space="preserve"> Human Rights Commission of Malaysia Act 1999; </w:t>
      </w:r>
      <w:r w:rsidR="00115922" w:rsidRPr="008A69DA">
        <w:t>the</w:t>
      </w:r>
      <w:r w:rsidR="003E769E" w:rsidRPr="008A69DA">
        <w:t xml:space="preserve"> Child Act 2001; and </w:t>
      </w:r>
      <w:r w:rsidR="00115922" w:rsidRPr="008A69DA">
        <w:t xml:space="preserve">the </w:t>
      </w:r>
      <w:r w:rsidR="003E769E" w:rsidRPr="008A69DA">
        <w:t>Mental Health Act 2001</w:t>
      </w:r>
      <w:r w:rsidR="003E769E" w:rsidRPr="005A413C">
        <w:t>.</w:t>
      </w:r>
    </w:p>
    <w:p w:rsidR="00545386" w:rsidRPr="00310C20" w:rsidRDefault="00436B5B" w:rsidP="00436B5B">
      <w:pPr>
        <w:pStyle w:val="HChG"/>
      </w:pPr>
      <w:r w:rsidRPr="00310C20">
        <w:tab/>
        <w:t>III.</w:t>
      </w:r>
      <w:r w:rsidRPr="00310C20">
        <w:tab/>
      </w:r>
      <w:r w:rsidR="00545386" w:rsidRPr="00310C20">
        <w:t>Health system and financing</w:t>
      </w:r>
    </w:p>
    <w:p w:rsidR="00EC48C7" w:rsidRPr="00EC48C7" w:rsidRDefault="00EC48C7" w:rsidP="00934A11">
      <w:pPr>
        <w:pStyle w:val="SingleTxtG"/>
        <w:numPr>
          <w:ilvl w:val="0"/>
          <w:numId w:val="52"/>
        </w:numPr>
        <w:ind w:left="1134" w:firstLine="0"/>
      </w:pPr>
      <w:r>
        <w:t>In Malaysia, the population</w:t>
      </w:r>
      <w:r w:rsidR="00F65F38" w:rsidRPr="00EC48C7">
        <w:t xml:space="preserve"> ha</w:t>
      </w:r>
      <w:r>
        <w:t>s</w:t>
      </w:r>
      <w:r w:rsidR="00F65F38" w:rsidRPr="00EC48C7">
        <w:t xml:space="preserve"> enjoyed relatively high standards of health care at affordable levels </w:t>
      </w:r>
      <w:r w:rsidR="004E4A7E">
        <w:t>owing</w:t>
      </w:r>
      <w:r w:rsidR="004E4A7E" w:rsidRPr="00EC48C7">
        <w:t xml:space="preserve"> </w:t>
      </w:r>
      <w:r w:rsidR="00F65F38" w:rsidRPr="00EC48C7">
        <w:t>to</w:t>
      </w:r>
      <w:r w:rsidR="004E4A7E">
        <w:t xml:space="preserve"> the</w:t>
      </w:r>
      <w:r w:rsidR="00F65F38" w:rsidRPr="00EC48C7">
        <w:t xml:space="preserve"> </w:t>
      </w:r>
      <w:r w:rsidR="001633B0">
        <w:t>post-colonial</w:t>
      </w:r>
      <w:r w:rsidR="00F65F38" w:rsidRPr="00EC48C7">
        <w:t xml:space="preserve">, </w:t>
      </w:r>
      <w:r w:rsidR="00E23256" w:rsidRPr="00EC48C7">
        <w:t xml:space="preserve">welfare-oriented public </w:t>
      </w:r>
      <w:r w:rsidR="00F65F38" w:rsidRPr="00EC48C7">
        <w:t>administrations</w:t>
      </w:r>
      <w:r w:rsidR="004E4A7E">
        <w:t xml:space="preserve">’ </w:t>
      </w:r>
      <w:r w:rsidR="004E4A7E" w:rsidRPr="00EC48C7">
        <w:t>s</w:t>
      </w:r>
      <w:r w:rsidR="004E4A7E">
        <w:t>trong commitment</w:t>
      </w:r>
      <w:r w:rsidR="004E4A7E" w:rsidRPr="00EC48C7">
        <w:t xml:space="preserve"> to public health care</w:t>
      </w:r>
      <w:r w:rsidR="00F65F38" w:rsidRPr="00EC48C7">
        <w:t xml:space="preserve">. </w:t>
      </w:r>
      <w:r>
        <w:t>Since the 1980s, b</w:t>
      </w:r>
      <w:r w:rsidR="00F65F38" w:rsidRPr="00EC48C7">
        <w:t>asic public health infrastructure, functioning hospitals, primary care and full-fledged rural health service</w:t>
      </w:r>
      <w:r w:rsidR="007273ED">
        <w:t>s</w:t>
      </w:r>
      <w:r w:rsidR="00F65F38" w:rsidRPr="00EC48C7">
        <w:t xml:space="preserve"> </w:t>
      </w:r>
      <w:r>
        <w:t xml:space="preserve">have </w:t>
      </w:r>
      <w:r w:rsidR="007273ED" w:rsidRPr="00EC48C7">
        <w:t xml:space="preserve">all </w:t>
      </w:r>
      <w:r>
        <w:t>been</w:t>
      </w:r>
      <w:r w:rsidR="00F65F38" w:rsidRPr="00EC48C7">
        <w:t xml:space="preserve"> </w:t>
      </w:r>
      <w:r w:rsidR="007273ED">
        <w:t xml:space="preserve">put </w:t>
      </w:r>
      <w:r w:rsidR="00F65F38" w:rsidRPr="00EC48C7">
        <w:t>in place</w:t>
      </w:r>
      <w:r w:rsidR="002A0DDC">
        <w:t xml:space="preserve"> with particular emphasis on universal health coverage as a hallmark to improve the well-being of the population</w:t>
      </w:r>
      <w:r w:rsidR="00F65F38" w:rsidRPr="00EC48C7">
        <w:t xml:space="preserve">. </w:t>
      </w:r>
    </w:p>
    <w:p w:rsidR="00F65F38" w:rsidRPr="005A413C" w:rsidRDefault="001633B0" w:rsidP="00934A11">
      <w:pPr>
        <w:pStyle w:val="SingleTxtG"/>
        <w:numPr>
          <w:ilvl w:val="0"/>
          <w:numId w:val="52"/>
        </w:numPr>
        <w:ind w:left="1134" w:firstLine="0"/>
      </w:pPr>
      <w:r w:rsidRPr="00D440B1">
        <w:t>However, over the past few decades</w:t>
      </w:r>
      <w:r w:rsidRPr="000031A1">
        <w:t>,</w:t>
      </w:r>
      <w:r w:rsidR="00F65F38" w:rsidRPr="000031A1">
        <w:t xml:space="preserve"> Malaysia has </w:t>
      </w:r>
      <w:r w:rsidR="003E64D5" w:rsidRPr="000031A1">
        <w:t>witnessed</w:t>
      </w:r>
      <w:r w:rsidR="00F65F38" w:rsidRPr="000031A1">
        <w:t xml:space="preserve"> the growth of private health</w:t>
      </w:r>
      <w:r w:rsidR="002F6F4D">
        <w:t>-</w:t>
      </w:r>
      <w:r w:rsidR="00F65F38" w:rsidRPr="000031A1">
        <w:t xml:space="preserve">care facilities and </w:t>
      </w:r>
      <w:r w:rsidRPr="000031A1">
        <w:t xml:space="preserve">a </w:t>
      </w:r>
      <w:r w:rsidR="00F65F38" w:rsidRPr="000031A1">
        <w:t>reduction in</w:t>
      </w:r>
      <w:r w:rsidR="00E23256" w:rsidRPr="000031A1">
        <w:t xml:space="preserve"> the role of the S</w:t>
      </w:r>
      <w:r w:rsidR="00F65F38" w:rsidRPr="000031A1">
        <w:t>tate as health</w:t>
      </w:r>
      <w:r w:rsidR="002F6F4D">
        <w:t>-</w:t>
      </w:r>
      <w:r w:rsidR="00F65F38" w:rsidRPr="000031A1">
        <w:t xml:space="preserve">care provider. </w:t>
      </w:r>
      <w:r w:rsidR="00E72774">
        <w:t>P</w:t>
      </w:r>
      <w:r w:rsidR="00F65F38" w:rsidRPr="000031A1">
        <w:t>rivate provision and financing of health care</w:t>
      </w:r>
      <w:r w:rsidRPr="000031A1">
        <w:t xml:space="preserve"> has </w:t>
      </w:r>
      <w:r w:rsidRPr="00297D4F">
        <w:t>emerged</w:t>
      </w:r>
      <w:r w:rsidRPr="000031A1">
        <w:t xml:space="preserve">, in certain sectors, </w:t>
      </w:r>
      <w:r w:rsidR="00025686" w:rsidRPr="000031A1">
        <w:t xml:space="preserve">encouraged </w:t>
      </w:r>
      <w:r w:rsidRPr="000031A1">
        <w:t xml:space="preserve">by public policy. </w:t>
      </w:r>
      <w:r w:rsidR="00F65F38" w:rsidRPr="000031A1">
        <w:t xml:space="preserve">One of the results </w:t>
      </w:r>
      <w:r w:rsidRPr="000031A1">
        <w:t>has been</w:t>
      </w:r>
      <w:r w:rsidR="00F65F38" w:rsidRPr="000031A1">
        <w:t xml:space="preserve"> that </w:t>
      </w:r>
      <w:r w:rsidR="003E64D5" w:rsidRPr="000031A1">
        <w:t xml:space="preserve">national </w:t>
      </w:r>
      <w:r w:rsidR="00E23256" w:rsidRPr="000031A1">
        <w:t xml:space="preserve">health </w:t>
      </w:r>
      <w:r w:rsidR="00F65F38" w:rsidRPr="000031A1">
        <w:t>expenses</w:t>
      </w:r>
      <w:r w:rsidRPr="000031A1">
        <w:t xml:space="preserve"> </w:t>
      </w:r>
      <w:r w:rsidR="003E64D5" w:rsidRPr="000031A1">
        <w:t xml:space="preserve">have </w:t>
      </w:r>
      <w:r w:rsidR="005A413C" w:rsidRPr="000031A1">
        <w:t>significantly increased</w:t>
      </w:r>
      <w:r w:rsidR="003E64D5" w:rsidRPr="000031A1">
        <w:t xml:space="preserve"> </w:t>
      </w:r>
      <w:r w:rsidR="00297D4F" w:rsidRPr="000031A1">
        <w:t>and a</w:t>
      </w:r>
      <w:r w:rsidR="00F65F38" w:rsidRPr="000031A1">
        <w:t>ffordabili</w:t>
      </w:r>
      <w:r w:rsidR="00C51D34">
        <w:t>ty has become a key challenge in</w:t>
      </w:r>
      <w:r w:rsidR="00F65F38" w:rsidRPr="000031A1">
        <w:t xml:space="preserve"> ensuring universal access to </w:t>
      </w:r>
      <w:r w:rsidR="00297D4F" w:rsidRPr="000031A1">
        <w:t>quality health care</w:t>
      </w:r>
      <w:r w:rsidR="00297D4F" w:rsidRPr="000031A1">
        <w:rPr>
          <w:i/>
        </w:rPr>
        <w:t>.</w:t>
      </w:r>
      <w:r w:rsidR="001B35C0">
        <w:rPr>
          <w:i/>
        </w:rPr>
        <w:t xml:space="preserve"> </w:t>
      </w:r>
      <w:r w:rsidR="00DA396B" w:rsidRPr="000031A1">
        <w:t>In 2012</w:t>
      </w:r>
      <w:r w:rsidR="005E01C1">
        <w:t>,</w:t>
      </w:r>
      <w:r w:rsidR="00DA396B" w:rsidRPr="000031A1">
        <w:t xml:space="preserve"> </w:t>
      </w:r>
      <w:r w:rsidR="005E01C1">
        <w:t>p</w:t>
      </w:r>
      <w:r w:rsidR="007E655D" w:rsidRPr="000031A1">
        <w:t>ublic expenditure accounted for 52</w:t>
      </w:r>
      <w:r w:rsidR="004E4A7E">
        <w:t xml:space="preserve"> per cent</w:t>
      </w:r>
      <w:r w:rsidR="007E655D" w:rsidRPr="000031A1">
        <w:t xml:space="preserve"> of the total health expenditure, private financing for</w:t>
      </w:r>
      <w:r w:rsidR="00680816">
        <w:t> </w:t>
      </w:r>
      <w:r w:rsidR="007E655D" w:rsidRPr="000031A1">
        <w:t>39</w:t>
      </w:r>
      <w:r w:rsidR="004E4A7E">
        <w:t xml:space="preserve"> per cent</w:t>
      </w:r>
      <w:r w:rsidR="007E655D" w:rsidRPr="000031A1">
        <w:t>.</w:t>
      </w:r>
      <w:r w:rsidR="001B35C0">
        <w:t xml:space="preserve"> </w:t>
      </w:r>
    </w:p>
    <w:p w:rsidR="0010247A" w:rsidRPr="002B50EF" w:rsidRDefault="0010247A" w:rsidP="00934A11">
      <w:pPr>
        <w:pStyle w:val="SingleTxtG"/>
        <w:numPr>
          <w:ilvl w:val="0"/>
          <w:numId w:val="52"/>
        </w:numPr>
        <w:ind w:left="1134" w:firstLine="0"/>
      </w:pPr>
      <w:r w:rsidRPr="002B50EF">
        <w:t xml:space="preserve">The </w:t>
      </w:r>
      <w:r>
        <w:t>G</w:t>
      </w:r>
      <w:r w:rsidRPr="002B50EF">
        <w:t xml:space="preserve">overnment </w:t>
      </w:r>
      <w:r w:rsidR="007C1747">
        <w:t xml:space="preserve">has </w:t>
      </w:r>
      <w:r w:rsidRPr="002B50EF">
        <w:t xml:space="preserve">set ambitious goals for the health system in its </w:t>
      </w:r>
      <w:r w:rsidR="005E01C1">
        <w:t>“</w:t>
      </w:r>
      <w:r w:rsidRPr="002B50EF">
        <w:t>Visi</w:t>
      </w:r>
      <w:r>
        <w:t>on for Health</w:t>
      </w:r>
      <w:r w:rsidR="005E01C1">
        <w:t>”,</w:t>
      </w:r>
      <w:r w:rsidRPr="0010247A">
        <w:t xml:space="preserve"> </w:t>
      </w:r>
      <w:r w:rsidR="005E01C1">
        <w:t xml:space="preserve">in which </w:t>
      </w:r>
      <w:r>
        <w:t>it stated that “</w:t>
      </w:r>
      <w:r w:rsidRPr="002B50EF">
        <w:t>Malaysia is to be a nation of healthy individuals, families and communities through a health system that is equitable, affordable, efficient, technologically appropriate, environmentally adaptable and consumer-friendly</w:t>
      </w:r>
      <w:r w:rsidR="00D4664F">
        <w:t>”</w:t>
      </w:r>
      <w:r w:rsidRPr="002B50EF">
        <w:t>.</w:t>
      </w:r>
      <w:r w:rsidRPr="00680816">
        <w:rPr>
          <w:rStyle w:val="FootnoteReference"/>
        </w:rPr>
        <w:footnoteReference w:id="7"/>
      </w:r>
      <w:r>
        <w:t xml:space="preserve"> </w:t>
      </w:r>
      <w:r w:rsidRPr="002B50EF">
        <w:t xml:space="preserve">The </w:t>
      </w:r>
      <w:r w:rsidRPr="002B50EF">
        <w:lastRenderedPageBreak/>
        <w:t>health</w:t>
      </w:r>
      <w:r w:rsidR="005E01C1">
        <w:t>-</w:t>
      </w:r>
      <w:r w:rsidRPr="002B50EF">
        <w:t>care sys</w:t>
      </w:r>
      <w:r>
        <w:t>tem consists of tax-funded and G</w:t>
      </w:r>
      <w:r w:rsidRPr="002B50EF">
        <w:t xml:space="preserve">overnment-run universal services and a fast-growing private sector. Public sector health services are organized and are centrally administered by the Ministry of </w:t>
      </w:r>
      <w:r w:rsidR="00E659F1" w:rsidRPr="002B50EF">
        <w:t>Health</w:t>
      </w:r>
      <w:r w:rsidR="00603E04">
        <w:t xml:space="preserve">, which </w:t>
      </w:r>
      <w:r w:rsidRPr="002B50EF">
        <w:t>exerts little regulatory power over the private sector.</w:t>
      </w:r>
      <w:r w:rsidRPr="00680816">
        <w:rPr>
          <w:rStyle w:val="FootnoteReference"/>
        </w:rPr>
        <w:footnoteReference w:id="8"/>
      </w:r>
    </w:p>
    <w:p w:rsidR="00960775" w:rsidRPr="00422607" w:rsidRDefault="00960775" w:rsidP="00934A11">
      <w:pPr>
        <w:pStyle w:val="SingleTxtG"/>
        <w:numPr>
          <w:ilvl w:val="0"/>
          <w:numId w:val="52"/>
        </w:numPr>
        <w:ind w:left="1134" w:firstLine="0"/>
      </w:pPr>
      <w:r w:rsidRPr="00422607">
        <w:t xml:space="preserve">Malaysia is </w:t>
      </w:r>
      <w:r w:rsidR="00C51D34">
        <w:t xml:space="preserve">thus </w:t>
      </w:r>
      <w:r w:rsidRPr="00422607">
        <w:t xml:space="preserve">facing </w:t>
      </w:r>
      <w:r w:rsidR="0010247A">
        <w:t xml:space="preserve">the </w:t>
      </w:r>
      <w:r w:rsidRPr="00422607">
        <w:t xml:space="preserve">complex challenge of sustaining a </w:t>
      </w:r>
      <w:r w:rsidR="00C51D34">
        <w:t xml:space="preserve">relatively good </w:t>
      </w:r>
      <w:r w:rsidRPr="00422607">
        <w:t>health</w:t>
      </w:r>
      <w:r w:rsidR="005E01C1">
        <w:t>-</w:t>
      </w:r>
      <w:r w:rsidRPr="00422607">
        <w:t>care system, so that it</w:t>
      </w:r>
      <w:r w:rsidR="00C51D34">
        <w:t xml:space="preserve"> can</w:t>
      </w:r>
      <w:r w:rsidRPr="00422607">
        <w:t xml:space="preserve"> continue to provide accessible and affordable primary health</w:t>
      </w:r>
      <w:r w:rsidR="005E01C1">
        <w:t>-</w:t>
      </w:r>
      <w:r w:rsidRPr="00422607">
        <w:t>care</w:t>
      </w:r>
      <w:r w:rsidR="005E01C1">
        <w:t>,</w:t>
      </w:r>
      <w:r w:rsidRPr="00422607">
        <w:t xml:space="preserve"> as well as specialized outpatient a</w:t>
      </w:r>
      <w:r>
        <w:t xml:space="preserve">nd inpatient medical services. </w:t>
      </w:r>
      <w:r w:rsidR="00D440B1">
        <w:t>E</w:t>
      </w:r>
      <w:r w:rsidR="005E01C1">
        <w:t>lements of that</w:t>
      </w:r>
      <w:r w:rsidRPr="00422607">
        <w:t xml:space="preserve"> challenge </w:t>
      </w:r>
      <w:r>
        <w:t>include</w:t>
      </w:r>
      <w:r w:rsidR="00D440B1">
        <w:t xml:space="preserve"> the</w:t>
      </w:r>
      <w:r>
        <w:t xml:space="preserve"> </w:t>
      </w:r>
      <w:r w:rsidRPr="00422607">
        <w:t>increased expec</w:t>
      </w:r>
      <w:r>
        <w:t>tations of health</w:t>
      </w:r>
      <w:r w:rsidR="00D440B1">
        <w:t>-</w:t>
      </w:r>
      <w:r>
        <w:t>care consumers;</w:t>
      </w:r>
      <w:r w:rsidRPr="00422607">
        <w:t xml:space="preserve"> </w:t>
      </w:r>
      <w:r w:rsidR="00D440B1">
        <w:t xml:space="preserve">the </w:t>
      </w:r>
      <w:r>
        <w:t xml:space="preserve">growth of </w:t>
      </w:r>
      <w:r w:rsidR="00D440B1">
        <w:t xml:space="preserve">the </w:t>
      </w:r>
      <w:r>
        <w:t xml:space="preserve">private </w:t>
      </w:r>
      <w:r w:rsidRPr="00422607">
        <w:t>sector and out-of pocket pa</w:t>
      </w:r>
      <w:r>
        <w:t xml:space="preserve">yments </w:t>
      </w:r>
      <w:r w:rsidR="00CF79DA">
        <w:t xml:space="preserve">in </w:t>
      </w:r>
      <w:r>
        <w:t>health</w:t>
      </w:r>
      <w:r w:rsidR="005E01C1">
        <w:t>-</w:t>
      </w:r>
      <w:r>
        <w:t>care system;</w:t>
      </w:r>
      <w:r w:rsidRPr="00422607">
        <w:t xml:space="preserve"> </w:t>
      </w:r>
      <w:r w:rsidR="007C1747" w:rsidRPr="007E655D">
        <w:t>the presence of a large population o</w:t>
      </w:r>
      <w:r w:rsidR="000E5C73">
        <w:t>f</w:t>
      </w:r>
      <w:r w:rsidR="007C1747" w:rsidRPr="007E655D">
        <w:t xml:space="preserve"> non-nationals in the working force;</w:t>
      </w:r>
      <w:r w:rsidR="007C1747">
        <w:t xml:space="preserve"> </w:t>
      </w:r>
      <w:r>
        <w:t xml:space="preserve">and the drain of </w:t>
      </w:r>
      <w:r w:rsidRPr="00422607">
        <w:t xml:space="preserve">medical doctors and nurses from public to private sector. </w:t>
      </w:r>
    </w:p>
    <w:p w:rsidR="001F71F2" w:rsidRDefault="001F71F2" w:rsidP="00934A11">
      <w:pPr>
        <w:pStyle w:val="SingleTxtG"/>
        <w:numPr>
          <w:ilvl w:val="0"/>
          <w:numId w:val="52"/>
        </w:numPr>
        <w:ind w:left="1134" w:firstLine="0"/>
      </w:pPr>
      <w:r>
        <w:t>The</w:t>
      </w:r>
      <w:r w:rsidR="00DE141A">
        <w:t xml:space="preserve"> </w:t>
      </w:r>
      <w:r w:rsidR="00DE141A" w:rsidRPr="00422607">
        <w:t xml:space="preserve">strengths of </w:t>
      </w:r>
      <w:r w:rsidR="00DE141A">
        <w:t>the</w:t>
      </w:r>
      <w:r w:rsidR="00DE141A" w:rsidRPr="00422607">
        <w:t xml:space="preserve"> health</w:t>
      </w:r>
      <w:r w:rsidR="00C82D82">
        <w:t>-</w:t>
      </w:r>
      <w:r w:rsidR="00DE141A" w:rsidRPr="00422607">
        <w:t xml:space="preserve">care system, including </w:t>
      </w:r>
      <w:r w:rsidR="008602B7">
        <w:t xml:space="preserve">the </w:t>
      </w:r>
      <w:r w:rsidR="00DE141A" w:rsidRPr="00422607">
        <w:t>priority given to well</w:t>
      </w:r>
      <w:r w:rsidR="00C82D82">
        <w:t>-</w:t>
      </w:r>
      <w:r w:rsidR="00DE141A" w:rsidRPr="00422607">
        <w:t>developed and accessible primary care</w:t>
      </w:r>
      <w:r w:rsidR="00DE141A">
        <w:t>,</w:t>
      </w:r>
      <w:r w:rsidR="00DE141A" w:rsidRPr="00422607">
        <w:t xml:space="preserve"> sh</w:t>
      </w:r>
      <w:r w:rsidR="00DE141A">
        <w:t xml:space="preserve">ould continue to be </w:t>
      </w:r>
      <w:r w:rsidR="001307EA">
        <w:t>assured and</w:t>
      </w:r>
      <w:r w:rsidR="00DE141A">
        <w:t xml:space="preserve"> hospitals </w:t>
      </w:r>
      <w:r w:rsidR="00E563BE">
        <w:t>and specialized outpatient health</w:t>
      </w:r>
      <w:r w:rsidR="008602B7">
        <w:t xml:space="preserve"> </w:t>
      </w:r>
      <w:r w:rsidR="00E563BE">
        <w:t>care</w:t>
      </w:r>
      <w:r w:rsidR="001307EA">
        <w:t xml:space="preserve"> developed</w:t>
      </w:r>
      <w:r w:rsidR="00E563BE">
        <w:t xml:space="preserve"> </w:t>
      </w:r>
      <w:r w:rsidR="00DE141A" w:rsidRPr="001307EA">
        <w:t xml:space="preserve">in </w:t>
      </w:r>
      <w:r w:rsidR="001307EA">
        <w:t xml:space="preserve">a </w:t>
      </w:r>
      <w:r w:rsidR="00DE141A" w:rsidRPr="001307EA">
        <w:t>rational and cost-effective way</w:t>
      </w:r>
      <w:r w:rsidR="00DE141A">
        <w:t>.</w:t>
      </w:r>
      <w:r w:rsidR="00453985">
        <w:t xml:space="preserve"> </w:t>
      </w:r>
      <w:r w:rsidR="00E659F1">
        <w:t>The Special Rapporteur</w:t>
      </w:r>
      <w:r w:rsidR="00DE141A" w:rsidRPr="007E655D">
        <w:t xml:space="preserve"> saw examples of this during his visit, such as </w:t>
      </w:r>
      <w:r w:rsidR="000151D4" w:rsidRPr="007E655D">
        <w:t xml:space="preserve">the </w:t>
      </w:r>
      <w:r w:rsidR="002A17B1" w:rsidRPr="007E655D">
        <w:t xml:space="preserve">establishment of a widespread network of </w:t>
      </w:r>
      <w:r w:rsidR="00384864" w:rsidRPr="007E655D">
        <w:t xml:space="preserve">community </w:t>
      </w:r>
      <w:r w:rsidR="000151D4" w:rsidRPr="007E655D">
        <w:t>clinics</w:t>
      </w:r>
      <w:r w:rsidR="002A17B1" w:rsidRPr="007E655D">
        <w:t>, One Malaysia Clinics,</w:t>
      </w:r>
      <w:r w:rsidR="000151D4" w:rsidRPr="007E655D">
        <w:t xml:space="preserve"> and mobile clinics</w:t>
      </w:r>
      <w:r w:rsidR="002A17B1" w:rsidRPr="007E655D">
        <w:t>.</w:t>
      </w:r>
      <w:r w:rsidR="00453985">
        <w:t xml:space="preserve"> </w:t>
      </w:r>
    </w:p>
    <w:p w:rsidR="007C1747" w:rsidRDefault="001F71F2" w:rsidP="00934A11">
      <w:pPr>
        <w:pStyle w:val="SingleTxtG"/>
        <w:numPr>
          <w:ilvl w:val="0"/>
          <w:numId w:val="52"/>
        </w:numPr>
        <w:ind w:left="1134" w:firstLine="0"/>
      </w:pPr>
      <w:r w:rsidRPr="0074115C">
        <w:t>P</w:t>
      </w:r>
      <w:r w:rsidR="00034F4F" w:rsidRPr="0074115C">
        <w:t>ublic expenditure on health</w:t>
      </w:r>
      <w:r w:rsidR="0074115C">
        <w:t xml:space="preserve"> </w:t>
      </w:r>
      <w:r w:rsidR="00034F4F" w:rsidRPr="0074115C">
        <w:t>care</w:t>
      </w:r>
      <w:r w:rsidR="00034F4F">
        <w:t xml:space="preserve"> could and should be strengthened.</w:t>
      </w:r>
      <w:r w:rsidR="00453985">
        <w:t xml:space="preserve"> </w:t>
      </w:r>
      <w:r w:rsidR="00034F4F">
        <w:t>O</w:t>
      </w:r>
      <w:r w:rsidR="001D02C8">
        <w:t>verall</w:t>
      </w:r>
      <w:r w:rsidR="00034F4F">
        <w:t>,</w:t>
      </w:r>
      <w:r w:rsidR="001D02C8">
        <w:t xml:space="preserve"> </w:t>
      </w:r>
      <w:r w:rsidR="0074115C">
        <w:t>the country</w:t>
      </w:r>
      <w:r w:rsidR="0074115C">
        <w:rPr>
          <w:lang w:val="en-US"/>
        </w:rPr>
        <w:t>’s</w:t>
      </w:r>
      <w:r w:rsidR="0074115C" w:rsidRPr="007E655D">
        <w:t xml:space="preserve"> </w:t>
      </w:r>
      <w:r w:rsidR="001D02C8" w:rsidRPr="007E655D">
        <w:t>expenditure on health has considerably increased over the past few decades</w:t>
      </w:r>
      <w:r w:rsidR="00034F4F">
        <w:t>,</w:t>
      </w:r>
      <w:r w:rsidR="000E5C73">
        <w:t xml:space="preserve"> going </w:t>
      </w:r>
      <w:r w:rsidR="00034F4F">
        <w:t>from 1.3</w:t>
      </w:r>
      <w:r w:rsidR="0074115C">
        <w:t xml:space="preserve"> per cent</w:t>
      </w:r>
      <w:r w:rsidR="00034F4F">
        <w:t xml:space="preserve"> of the total public expenditure in 2006 to over 8.7</w:t>
      </w:r>
      <w:r w:rsidR="0074115C">
        <w:t xml:space="preserve"> per cent</w:t>
      </w:r>
      <w:r w:rsidR="00034F4F">
        <w:t xml:space="preserve"> in 2014.</w:t>
      </w:r>
      <w:r w:rsidR="00453985">
        <w:t xml:space="preserve"> </w:t>
      </w:r>
      <w:r w:rsidR="00034F4F">
        <w:t xml:space="preserve">However, </w:t>
      </w:r>
      <w:r w:rsidR="00960775">
        <w:t>health</w:t>
      </w:r>
      <w:r w:rsidR="0074115C">
        <w:t>-</w:t>
      </w:r>
      <w:r w:rsidR="00960775">
        <w:t xml:space="preserve">care financing </w:t>
      </w:r>
      <w:r w:rsidR="0074115C">
        <w:t>as a share of gross domestic product</w:t>
      </w:r>
      <w:r w:rsidR="00960775" w:rsidRPr="00422607">
        <w:t xml:space="preserve"> </w:t>
      </w:r>
      <w:r w:rsidR="0074115C">
        <w:t>(</w:t>
      </w:r>
      <w:r w:rsidR="00960775" w:rsidRPr="00422607">
        <w:t>GDP</w:t>
      </w:r>
      <w:r w:rsidR="0074115C">
        <w:t>)</w:t>
      </w:r>
      <w:r w:rsidR="00C9474A">
        <w:t xml:space="preserve"> was 4</w:t>
      </w:r>
      <w:r w:rsidR="0074115C">
        <w:t xml:space="preserve"> per cent</w:t>
      </w:r>
      <w:r w:rsidR="000E5C73">
        <w:t xml:space="preserve"> in 2010</w:t>
      </w:r>
      <w:r w:rsidR="00A45B8A">
        <w:t xml:space="preserve"> </w:t>
      </w:r>
      <w:r w:rsidR="007E655D">
        <w:t>and 4.5 in 2013</w:t>
      </w:r>
      <w:r w:rsidR="00680816">
        <w:t>,</w:t>
      </w:r>
      <w:r w:rsidR="007E655D" w:rsidRPr="00680816">
        <w:rPr>
          <w:rStyle w:val="FootnoteReference"/>
        </w:rPr>
        <w:footnoteReference w:id="9"/>
      </w:r>
      <w:r w:rsidR="00A45B8A">
        <w:t xml:space="preserve"> </w:t>
      </w:r>
      <w:r w:rsidR="0074115C">
        <w:t xml:space="preserve">which </w:t>
      </w:r>
      <w:r w:rsidR="00960775">
        <w:t xml:space="preserve">is low </w:t>
      </w:r>
      <w:r w:rsidR="00C9474A">
        <w:t xml:space="preserve">according to international standards </w:t>
      </w:r>
      <w:r w:rsidR="00960775">
        <w:t xml:space="preserve">and </w:t>
      </w:r>
      <w:r w:rsidR="00960775" w:rsidRPr="00422607">
        <w:t xml:space="preserve">should be increased. </w:t>
      </w:r>
      <w:r w:rsidR="0074115C">
        <w:t>As an</w:t>
      </w:r>
      <w:r w:rsidR="0074115C" w:rsidRPr="00A45B8A">
        <w:t xml:space="preserve"> </w:t>
      </w:r>
      <w:r w:rsidR="007C1747" w:rsidRPr="00A45B8A">
        <w:t>illustration, this share</w:t>
      </w:r>
      <w:r w:rsidR="00C9474A" w:rsidRPr="00A45B8A">
        <w:t xml:space="preserve"> is lower than the 2010 averages in the Americas (8.1</w:t>
      </w:r>
      <w:r w:rsidR="0074115C">
        <w:t xml:space="preserve"> per cent</w:t>
      </w:r>
      <w:r w:rsidR="00C9474A" w:rsidRPr="00A45B8A">
        <w:t>), Europe (7.4</w:t>
      </w:r>
      <w:r w:rsidR="0074115C">
        <w:t xml:space="preserve"> per cent</w:t>
      </w:r>
      <w:r w:rsidR="00C9474A" w:rsidRPr="00A45B8A">
        <w:t xml:space="preserve">) </w:t>
      </w:r>
      <w:r w:rsidR="00580267">
        <w:t xml:space="preserve">and </w:t>
      </w:r>
      <w:r w:rsidR="00C9474A" w:rsidRPr="00A45B8A">
        <w:t xml:space="preserve">the former </w:t>
      </w:r>
      <w:r w:rsidR="007E655D">
        <w:t xml:space="preserve">Soviet </w:t>
      </w:r>
      <w:r w:rsidR="0074115C">
        <w:t>r</w:t>
      </w:r>
      <w:r w:rsidR="007E655D">
        <w:t>epublics (5.7</w:t>
      </w:r>
      <w:r w:rsidR="0074115C">
        <w:t xml:space="preserve"> per cent</w:t>
      </w:r>
      <w:r w:rsidR="007E655D">
        <w:t>)</w:t>
      </w:r>
      <w:r w:rsidR="00C9474A" w:rsidRPr="00A45B8A">
        <w:t>.</w:t>
      </w:r>
      <w:r w:rsidR="00C9474A" w:rsidRPr="00680816">
        <w:rPr>
          <w:rStyle w:val="FootnoteReference"/>
        </w:rPr>
        <w:footnoteReference w:id="10"/>
      </w:r>
      <w:r w:rsidR="00453985">
        <w:t xml:space="preserve"> </w:t>
      </w:r>
    </w:p>
    <w:p w:rsidR="00960775" w:rsidRDefault="00F65F38" w:rsidP="00934A11">
      <w:pPr>
        <w:pStyle w:val="SingleTxtG"/>
        <w:numPr>
          <w:ilvl w:val="0"/>
          <w:numId w:val="52"/>
        </w:numPr>
        <w:ind w:left="1134" w:firstLine="0"/>
      </w:pPr>
      <w:r>
        <w:t>According to</w:t>
      </w:r>
      <w:r w:rsidR="00E659F1">
        <w:t xml:space="preserve"> </w:t>
      </w:r>
      <w:r>
        <w:t>data</w:t>
      </w:r>
      <w:r w:rsidR="0074115C" w:rsidRPr="0074115C">
        <w:t xml:space="preserve"> </w:t>
      </w:r>
      <w:r w:rsidR="0074115C">
        <w:t>available</w:t>
      </w:r>
      <w:r w:rsidR="00680816">
        <w:t>,</w:t>
      </w:r>
      <w:r w:rsidRPr="00680816">
        <w:rPr>
          <w:rStyle w:val="FootnoteReference"/>
        </w:rPr>
        <w:footnoteReference w:id="11"/>
      </w:r>
      <w:r>
        <w:t xml:space="preserve"> of the 201</w:t>
      </w:r>
      <w:r w:rsidR="00D667CA">
        <w:t>3</w:t>
      </w:r>
      <w:r>
        <w:t xml:space="preserve"> total expenditure on health, out-of-pocket expenditure represented about 3</w:t>
      </w:r>
      <w:r w:rsidR="00D667CA">
        <w:t>9</w:t>
      </w:r>
      <w:r w:rsidR="0074115C">
        <w:t xml:space="preserve"> per cent</w:t>
      </w:r>
      <w:r>
        <w:t>.</w:t>
      </w:r>
      <w:r w:rsidR="00453985">
        <w:t xml:space="preserve"> </w:t>
      </w:r>
      <w:r w:rsidR="00BC11AD">
        <w:t>In</w:t>
      </w:r>
      <w:r w:rsidR="00960775" w:rsidRPr="00422607">
        <w:t xml:space="preserve"> many countries, the primary financial barrier to accessing health care is out-of-pocket payments, which are made by the user for health goods and services at the point of service delivery. </w:t>
      </w:r>
      <w:r w:rsidR="009C6732" w:rsidRPr="000031A1">
        <w:t>While</w:t>
      </w:r>
      <w:r w:rsidR="00340E7B" w:rsidRPr="000031A1">
        <w:t xml:space="preserve"> in an upper-middle income country</w:t>
      </w:r>
      <w:r w:rsidR="00225F31">
        <w:t>,</w:t>
      </w:r>
      <w:r w:rsidR="00340E7B" w:rsidRPr="000031A1">
        <w:t xml:space="preserve"> </w:t>
      </w:r>
      <w:r w:rsidR="009C6732" w:rsidRPr="000031A1">
        <w:t xml:space="preserve">out-of-pocket expenditure </w:t>
      </w:r>
      <w:r w:rsidR="00340E7B" w:rsidRPr="000031A1">
        <w:t xml:space="preserve">could </w:t>
      </w:r>
      <w:r w:rsidR="008F0C02" w:rsidRPr="000031A1">
        <w:t xml:space="preserve">be seen as </w:t>
      </w:r>
      <w:r w:rsidR="00340E7B" w:rsidRPr="000031A1">
        <w:t>reflect</w:t>
      </w:r>
      <w:r w:rsidR="008F0C02" w:rsidRPr="000031A1">
        <w:t>ing</w:t>
      </w:r>
      <w:r w:rsidR="00340E7B" w:rsidRPr="000031A1">
        <w:t xml:space="preserve"> the choice and preferences of certain sectors of the population, </w:t>
      </w:r>
      <w:r w:rsidR="008F0C02">
        <w:t>data</w:t>
      </w:r>
      <w:r w:rsidR="009C6732">
        <w:t xml:space="preserve"> </w:t>
      </w:r>
      <w:r w:rsidR="00225F31">
        <w:t xml:space="preserve">available </w:t>
      </w:r>
      <w:r w:rsidR="009C6732">
        <w:t>show that, despite universal coverage, 4</w:t>
      </w:r>
      <w:r w:rsidR="00225F31">
        <w:t xml:space="preserve"> per cent</w:t>
      </w:r>
      <w:r w:rsidR="009C6732">
        <w:t xml:space="preserve"> of households in Malaysia </w:t>
      </w:r>
      <w:r w:rsidR="00225F31">
        <w:t>incur</w:t>
      </w:r>
      <w:r w:rsidR="009C6732">
        <w:t xml:space="preserve"> catastrophic </w:t>
      </w:r>
      <w:r w:rsidR="00225F31">
        <w:t xml:space="preserve">expenditures </w:t>
      </w:r>
      <w:r w:rsidR="009C6732">
        <w:t xml:space="preserve">and the </w:t>
      </w:r>
      <w:r w:rsidR="00225F31">
        <w:t xml:space="preserve">two </w:t>
      </w:r>
      <w:r w:rsidR="009C6732">
        <w:t>lowest deciles (poorest group</w:t>
      </w:r>
      <w:r w:rsidR="00225F31">
        <w:t>s</w:t>
      </w:r>
      <w:r w:rsidR="009C6732">
        <w:t xml:space="preserve">) spend </w:t>
      </w:r>
      <w:r w:rsidR="00225F31">
        <w:t>more out of pocket</w:t>
      </w:r>
      <w:r w:rsidR="009C6732">
        <w:t xml:space="preserve"> than the </w:t>
      </w:r>
      <w:r w:rsidR="00225F31">
        <w:t xml:space="preserve">eight other </w:t>
      </w:r>
      <w:r w:rsidR="009C6732">
        <w:t>deciles in term</w:t>
      </w:r>
      <w:r w:rsidR="00225F31">
        <w:t>s</w:t>
      </w:r>
      <w:r w:rsidR="009C6732">
        <w:t xml:space="preserve"> of proportion of income</w:t>
      </w:r>
      <w:r w:rsidR="00680816">
        <w:t>.</w:t>
      </w:r>
      <w:r w:rsidR="009C6732" w:rsidRPr="00680816">
        <w:rPr>
          <w:rStyle w:val="FootnoteReference"/>
        </w:rPr>
        <w:footnoteReference w:id="12"/>
      </w:r>
      <w:r w:rsidR="00453985">
        <w:t xml:space="preserve"> </w:t>
      </w:r>
      <w:r w:rsidR="00E966AA" w:rsidRPr="00422607">
        <w:t>The phenomenon of out-of-pocket payment</w:t>
      </w:r>
      <w:r w:rsidR="000E5C73">
        <w:t>s</w:t>
      </w:r>
      <w:r w:rsidR="00E966AA" w:rsidRPr="00422607">
        <w:t xml:space="preserve"> </w:t>
      </w:r>
      <w:r w:rsidR="00E966AA">
        <w:t>can have</w:t>
      </w:r>
      <w:r w:rsidR="00E966AA" w:rsidRPr="00422607">
        <w:t xml:space="preserve"> </w:t>
      </w:r>
      <w:r w:rsidR="000E5C73">
        <w:t>devastating</w:t>
      </w:r>
      <w:r w:rsidR="00E966AA">
        <w:t xml:space="preserve"> consequences and push</w:t>
      </w:r>
      <w:r w:rsidR="00E966AA" w:rsidRPr="00422607">
        <w:t xml:space="preserve"> into poverty and social</w:t>
      </w:r>
      <w:r w:rsidR="006614F3">
        <w:t>ly</w:t>
      </w:r>
      <w:r w:rsidR="00E966AA" w:rsidRPr="00422607">
        <w:t xml:space="preserve"> exclu</w:t>
      </w:r>
      <w:r w:rsidR="006614F3">
        <w:t>ded</w:t>
      </w:r>
      <w:r w:rsidR="00E966AA" w:rsidRPr="00422607">
        <w:t xml:space="preserve"> </w:t>
      </w:r>
      <w:r w:rsidR="000E5C73">
        <w:t xml:space="preserve">the </w:t>
      </w:r>
      <w:r w:rsidR="00E966AA" w:rsidRPr="00422607">
        <w:t>most vulnerable groups and those who have most serious health need</w:t>
      </w:r>
      <w:r w:rsidR="000E5C73">
        <w:t>s</w:t>
      </w:r>
      <w:r w:rsidR="00E966AA" w:rsidRPr="00422607">
        <w:t>.</w:t>
      </w:r>
    </w:p>
    <w:p w:rsidR="00E659F1" w:rsidRDefault="00E659F1" w:rsidP="00934A11">
      <w:pPr>
        <w:pStyle w:val="SingleTxtG"/>
        <w:numPr>
          <w:ilvl w:val="0"/>
          <w:numId w:val="52"/>
        </w:numPr>
        <w:ind w:left="1134" w:firstLine="0"/>
      </w:pPr>
      <w:r>
        <w:t>In the opinion of the Special Rapporteur, a h</w:t>
      </w:r>
      <w:r w:rsidRPr="00422607">
        <w:t>ealth</w:t>
      </w:r>
      <w:r w:rsidR="006614F3">
        <w:t>-</w:t>
      </w:r>
      <w:r>
        <w:t>financing</w:t>
      </w:r>
      <w:r w:rsidRPr="00422607">
        <w:t xml:space="preserve"> scheme should be introduced so that </w:t>
      </w:r>
      <w:r w:rsidR="006614F3">
        <w:t>individuals’</w:t>
      </w:r>
      <w:r w:rsidR="006614F3" w:rsidRPr="00422607">
        <w:t xml:space="preserve"> </w:t>
      </w:r>
      <w:r w:rsidRPr="00422607">
        <w:t>ability</w:t>
      </w:r>
      <w:r w:rsidR="006614F3">
        <w:t xml:space="preserve"> or inability</w:t>
      </w:r>
      <w:r w:rsidRPr="00422607">
        <w:t xml:space="preserve"> to pay does not affect </w:t>
      </w:r>
      <w:r w:rsidR="006614F3">
        <w:t>their</w:t>
      </w:r>
      <w:r w:rsidRPr="00422607">
        <w:t xml:space="preserve"> decision whether to access</w:t>
      </w:r>
      <w:r w:rsidR="006614F3">
        <w:t xml:space="preserve"> the</w:t>
      </w:r>
      <w:r w:rsidRPr="00422607">
        <w:t xml:space="preserve"> necessary health goods and services.</w:t>
      </w:r>
      <w:r>
        <w:t xml:space="preserve"> Financial</w:t>
      </w:r>
      <w:r w:rsidRPr="00422607">
        <w:t xml:space="preserve"> barriers that r</w:t>
      </w:r>
      <w:r>
        <w:t xml:space="preserve">estrict access to health care, especially for groups in vulnerable situations, </w:t>
      </w:r>
      <w:r w:rsidRPr="00422607">
        <w:t>should be removed</w:t>
      </w:r>
      <w:r>
        <w:t xml:space="preserve">. </w:t>
      </w:r>
      <w:r w:rsidR="00BF4EBA">
        <w:t xml:space="preserve">There should be more integration and cooperation between public and private sectors. </w:t>
      </w:r>
      <w:r>
        <w:t xml:space="preserve">All </w:t>
      </w:r>
      <w:r>
        <w:lastRenderedPageBreak/>
        <w:t>relevant stakeholders should be involved in the process by means of widespread and effective consultations.</w:t>
      </w:r>
      <w:r w:rsidRPr="00680816">
        <w:rPr>
          <w:rStyle w:val="FootnoteReference"/>
        </w:rPr>
        <w:footnoteReference w:id="13"/>
      </w:r>
      <w:r>
        <w:t xml:space="preserve"> </w:t>
      </w:r>
    </w:p>
    <w:p w:rsidR="00545386" w:rsidRDefault="00667789" w:rsidP="00667789">
      <w:pPr>
        <w:pStyle w:val="HChG"/>
      </w:pPr>
      <w:r w:rsidRPr="00310C20">
        <w:tab/>
        <w:t>IV.</w:t>
      </w:r>
      <w:r w:rsidRPr="00310C20">
        <w:tab/>
      </w:r>
      <w:r w:rsidR="0062637E">
        <w:t>Groups in vulnerable situations</w:t>
      </w:r>
    </w:p>
    <w:p w:rsidR="00A45B8A" w:rsidRDefault="00A45B8A" w:rsidP="00934A11">
      <w:pPr>
        <w:pStyle w:val="SingleTxtG"/>
        <w:numPr>
          <w:ilvl w:val="0"/>
          <w:numId w:val="52"/>
        </w:numPr>
        <w:ind w:left="1134" w:firstLine="0"/>
      </w:pPr>
      <w:r>
        <w:t xml:space="preserve">In addition to the challenges </w:t>
      </w:r>
      <w:r w:rsidR="0057171A">
        <w:t xml:space="preserve">mentioned </w:t>
      </w:r>
      <w:r>
        <w:t>face the health</w:t>
      </w:r>
      <w:r w:rsidR="0057171A">
        <w:t>-</w:t>
      </w:r>
      <w:r>
        <w:t>care system in Malaysia, the Special Rapporteur identified during his visit</w:t>
      </w:r>
      <w:r w:rsidRPr="00991F87">
        <w:t xml:space="preserve"> important </w:t>
      </w:r>
      <w:r w:rsidR="00357946">
        <w:t>barriers</w:t>
      </w:r>
      <w:r w:rsidRPr="00991F87">
        <w:t xml:space="preserve"> to access</w:t>
      </w:r>
      <w:r w:rsidR="0057171A">
        <w:t>ing</w:t>
      </w:r>
      <w:r>
        <w:t xml:space="preserve"> health</w:t>
      </w:r>
      <w:r w:rsidR="0057171A">
        <w:t xml:space="preserve"> </w:t>
      </w:r>
      <w:r>
        <w:t>care</w:t>
      </w:r>
      <w:r w:rsidRPr="00991F87">
        <w:t xml:space="preserve">, including </w:t>
      </w:r>
      <w:r w:rsidR="00357946">
        <w:t xml:space="preserve">with respect to </w:t>
      </w:r>
      <w:r>
        <w:t xml:space="preserve">accessibility and </w:t>
      </w:r>
      <w:r w:rsidRPr="00991F87">
        <w:t>affordability</w:t>
      </w:r>
      <w:r w:rsidR="001E3266">
        <w:t xml:space="preserve"> </w:t>
      </w:r>
      <w:r w:rsidRPr="00991F87">
        <w:t xml:space="preserve">affecting some </w:t>
      </w:r>
      <w:r w:rsidR="000413FF">
        <w:t>groups</w:t>
      </w:r>
      <w:r>
        <w:t xml:space="preserve"> of the population.</w:t>
      </w:r>
      <w:r w:rsidR="00453985">
        <w:t xml:space="preserve"> </w:t>
      </w:r>
    </w:p>
    <w:p w:rsidR="00545386" w:rsidRPr="00C131EC" w:rsidRDefault="00C131EC" w:rsidP="000031A1">
      <w:pPr>
        <w:pStyle w:val="H1G"/>
      </w:pPr>
      <w:r w:rsidRPr="00C131EC">
        <w:tab/>
        <w:t>A.</w:t>
      </w:r>
      <w:r w:rsidR="00BC11AD" w:rsidRPr="00C131EC">
        <w:tab/>
      </w:r>
      <w:r w:rsidR="000151D4" w:rsidRPr="00C131EC">
        <w:t>The right to health of w</w:t>
      </w:r>
      <w:r w:rsidR="00BC11AD" w:rsidRPr="00C131EC">
        <w:t>omen and girls</w:t>
      </w:r>
    </w:p>
    <w:p w:rsidR="00E23256" w:rsidRPr="000151D4" w:rsidRDefault="00E23256" w:rsidP="00934A11">
      <w:pPr>
        <w:pStyle w:val="SingleTxtG"/>
        <w:numPr>
          <w:ilvl w:val="0"/>
          <w:numId w:val="52"/>
        </w:numPr>
        <w:ind w:left="1134" w:firstLine="0"/>
      </w:pPr>
      <w:r w:rsidRPr="000151D4">
        <w:t xml:space="preserve">During </w:t>
      </w:r>
      <w:r w:rsidR="000151D4" w:rsidRPr="000151D4">
        <w:t>his</w:t>
      </w:r>
      <w:r w:rsidRPr="000151D4">
        <w:t xml:space="preserve"> visit, </w:t>
      </w:r>
      <w:r w:rsidR="000151D4" w:rsidRPr="000151D4">
        <w:t>the Special Rapporteur</w:t>
      </w:r>
      <w:r w:rsidRPr="000151D4">
        <w:t xml:space="preserve"> learn</w:t>
      </w:r>
      <w:r w:rsidR="0057171A">
        <w:t>ed</w:t>
      </w:r>
      <w:r w:rsidRPr="000151D4">
        <w:t xml:space="preserve"> about </w:t>
      </w:r>
      <w:r w:rsidR="004F3796">
        <w:t xml:space="preserve">key </w:t>
      </w:r>
      <w:r w:rsidRPr="000151D4">
        <w:t xml:space="preserve">initiatives </w:t>
      </w:r>
      <w:r w:rsidR="00357946">
        <w:t>under</w:t>
      </w:r>
      <w:r w:rsidR="004F3796">
        <w:t xml:space="preserve">taken, mostly since the 1990s, </w:t>
      </w:r>
      <w:r w:rsidRPr="000151D4">
        <w:t xml:space="preserve">to </w:t>
      </w:r>
      <w:r w:rsidR="004F3796">
        <w:t xml:space="preserve">improve the situation of women in the country. These </w:t>
      </w:r>
      <w:r w:rsidR="00F50728">
        <w:t>include</w:t>
      </w:r>
      <w:r w:rsidR="004F3796">
        <w:t xml:space="preserve"> programmes to </w:t>
      </w:r>
      <w:r w:rsidRPr="000151D4">
        <w:t xml:space="preserve">increase their participation in the workforce </w:t>
      </w:r>
      <w:r w:rsidR="0057171A">
        <w:t>and</w:t>
      </w:r>
      <w:r w:rsidR="006207F2">
        <w:t xml:space="preserve"> </w:t>
      </w:r>
      <w:r w:rsidR="004F3796">
        <w:t>in key decision</w:t>
      </w:r>
      <w:r w:rsidR="0057171A">
        <w:t>-</w:t>
      </w:r>
      <w:r w:rsidR="004F3796">
        <w:t xml:space="preserve">making positions, </w:t>
      </w:r>
      <w:r w:rsidR="008526AB">
        <w:t>such as the National Plan of Acti</w:t>
      </w:r>
      <w:r w:rsidR="00F50728">
        <w:t>on for the Advancement of Women</w:t>
      </w:r>
      <w:r w:rsidR="0057171A">
        <w:t>,</w:t>
      </w:r>
      <w:r w:rsidR="00F50728">
        <w:t xml:space="preserve"> and</w:t>
      </w:r>
      <w:r w:rsidR="008526AB">
        <w:t xml:space="preserve"> </w:t>
      </w:r>
      <w:r w:rsidRPr="000151D4">
        <w:t>programmes to facilitate access to health</w:t>
      </w:r>
      <w:r w:rsidR="008526AB">
        <w:t xml:space="preserve"> care, such as th</w:t>
      </w:r>
      <w:r w:rsidR="00F50728">
        <w:t>e Mammography Subsidy Programme</w:t>
      </w:r>
      <w:r w:rsidR="008526AB">
        <w:t>.</w:t>
      </w:r>
      <w:r w:rsidR="001B35C0">
        <w:t xml:space="preserve"> </w:t>
      </w:r>
    </w:p>
    <w:p w:rsidR="00E23256" w:rsidRDefault="00246B0E" w:rsidP="00934A11">
      <w:pPr>
        <w:pStyle w:val="SingleTxtG"/>
        <w:numPr>
          <w:ilvl w:val="0"/>
          <w:numId w:val="52"/>
        </w:numPr>
        <w:ind w:left="1134" w:firstLine="0"/>
      </w:pPr>
      <w:r>
        <w:t>Overall, g</w:t>
      </w:r>
      <w:r w:rsidR="00E23256" w:rsidRPr="00246B0E">
        <w:t xml:space="preserve">irls and women </w:t>
      </w:r>
      <w:r>
        <w:t xml:space="preserve">in Malaysia </w:t>
      </w:r>
      <w:r w:rsidR="00E23256" w:rsidRPr="00246B0E">
        <w:t>have access to basic (primary and secondary) health</w:t>
      </w:r>
      <w:r w:rsidR="0057171A">
        <w:t>-</w:t>
      </w:r>
      <w:r w:rsidR="00E23256" w:rsidRPr="00246B0E">
        <w:t xml:space="preserve">care services </w:t>
      </w:r>
      <w:r>
        <w:t xml:space="preserve">and </w:t>
      </w:r>
      <w:r w:rsidR="00E23256" w:rsidRPr="00246B0E">
        <w:t>benefit fr</w:t>
      </w:r>
      <w:r>
        <w:t xml:space="preserve">om improved health indicators, including </w:t>
      </w:r>
      <w:r w:rsidR="00E23256" w:rsidRPr="00246B0E">
        <w:t>child and maternal mortality</w:t>
      </w:r>
      <w:r>
        <w:t>, immunization</w:t>
      </w:r>
      <w:r w:rsidR="007F2598">
        <w:t xml:space="preserve"> and</w:t>
      </w:r>
      <w:r>
        <w:t xml:space="preserve"> life expectancy</w:t>
      </w:r>
      <w:r w:rsidR="00E23256" w:rsidRPr="00246B0E">
        <w:t>.</w:t>
      </w:r>
      <w:r w:rsidR="00453985">
        <w:t xml:space="preserve"> </w:t>
      </w:r>
      <w:r w:rsidR="00476EDC">
        <w:t>M</w:t>
      </w:r>
      <w:r w:rsidR="00B05A96">
        <w:t xml:space="preserve">aternal mortality </w:t>
      </w:r>
      <w:r w:rsidR="007F2598">
        <w:t xml:space="preserve">rates </w:t>
      </w:r>
      <w:r w:rsidR="00B05A96">
        <w:t>ha</w:t>
      </w:r>
      <w:r w:rsidR="0005299D">
        <w:t>ve</w:t>
      </w:r>
      <w:r w:rsidR="00B05A96">
        <w:t xml:space="preserve"> been </w:t>
      </w:r>
      <w:r w:rsidR="0005299D">
        <w:t xml:space="preserve">reduced </w:t>
      </w:r>
      <w:r w:rsidR="00B05A96">
        <w:t>thanks to increased access to professional care during pregnancy, childbirth and postnatal care, and access to family planning services.</w:t>
      </w:r>
      <w:r w:rsidR="00453985">
        <w:t xml:space="preserve"> </w:t>
      </w:r>
    </w:p>
    <w:p w:rsidR="003246E5" w:rsidRDefault="002233B2" w:rsidP="00934A11">
      <w:pPr>
        <w:pStyle w:val="SingleTxtG"/>
        <w:numPr>
          <w:ilvl w:val="0"/>
          <w:numId w:val="52"/>
        </w:numPr>
        <w:ind w:left="1134" w:firstLine="0"/>
      </w:pPr>
      <w:r>
        <w:t xml:space="preserve">Malaysia ratified </w:t>
      </w:r>
      <w:r w:rsidR="007F2598">
        <w:t xml:space="preserve">the </w:t>
      </w:r>
      <w:r w:rsidR="007F2598" w:rsidRPr="007F2598">
        <w:t>Convention on the Elimination of All Forms of Discrimination against Wome</w:t>
      </w:r>
      <w:r w:rsidR="007F2598">
        <w:t xml:space="preserve">n </w:t>
      </w:r>
      <w:r>
        <w:t xml:space="preserve">in 1995 but it has neither incorporated </w:t>
      </w:r>
      <w:r w:rsidR="007F2598">
        <w:t xml:space="preserve">the Convention </w:t>
      </w:r>
      <w:r>
        <w:t xml:space="preserve">into national law nor </w:t>
      </w:r>
      <w:r w:rsidR="007F2598">
        <w:t xml:space="preserve">effectively </w:t>
      </w:r>
      <w:r>
        <w:t xml:space="preserve">introduced gender equality in its legal framework. </w:t>
      </w:r>
      <w:r w:rsidR="003246E5">
        <w:t xml:space="preserve">This, together with the lack of reporting to </w:t>
      </w:r>
      <w:r w:rsidR="007F2598">
        <w:t xml:space="preserve">the Committee on the Elimination of Discrimination against Women </w:t>
      </w:r>
      <w:r w:rsidR="003246E5">
        <w:t xml:space="preserve">and other treaty bodies, makes it very difficult to properly assess the situation </w:t>
      </w:r>
      <w:r w:rsidR="001E3266">
        <w:t xml:space="preserve">and hold the authorities </w:t>
      </w:r>
      <w:r w:rsidR="0005299D">
        <w:t>accountable</w:t>
      </w:r>
      <w:r w:rsidR="001E3266">
        <w:t xml:space="preserve"> </w:t>
      </w:r>
      <w:r w:rsidR="003246E5">
        <w:t xml:space="preserve">with respect to compliance with </w:t>
      </w:r>
      <w:r w:rsidR="0055355B">
        <w:t xml:space="preserve">international </w:t>
      </w:r>
      <w:r w:rsidR="00476EDC">
        <w:t xml:space="preserve">human rights standards </w:t>
      </w:r>
      <w:r w:rsidR="003246E5">
        <w:t xml:space="preserve">related to </w:t>
      </w:r>
      <w:r w:rsidR="00476EDC">
        <w:t>non-</w:t>
      </w:r>
      <w:r w:rsidR="003246E5">
        <w:t>discrimination against women and gender equality.</w:t>
      </w:r>
      <w:r w:rsidR="00453985">
        <w:t xml:space="preserve"> </w:t>
      </w:r>
    </w:p>
    <w:p w:rsidR="00D05987" w:rsidRPr="00C131EC" w:rsidRDefault="001F71F2" w:rsidP="00934A11">
      <w:pPr>
        <w:pStyle w:val="SingleTxtG"/>
        <w:numPr>
          <w:ilvl w:val="0"/>
          <w:numId w:val="52"/>
        </w:numPr>
        <w:ind w:left="1134" w:firstLine="0"/>
      </w:pPr>
      <w:r>
        <w:t xml:space="preserve">Although </w:t>
      </w:r>
      <w:r w:rsidR="00A44A87">
        <w:t xml:space="preserve">Malaysia </w:t>
      </w:r>
      <w:r w:rsidR="0005299D">
        <w:t>has</w:t>
      </w:r>
      <w:r w:rsidR="00A44A87">
        <w:t xml:space="preserve"> consistently reaffirmed the agenda established by the International Conference on Population an</w:t>
      </w:r>
      <w:r w:rsidR="009A3B75">
        <w:t xml:space="preserve">d Development </w:t>
      </w:r>
      <w:r w:rsidR="007F2598">
        <w:t>in Cairo</w:t>
      </w:r>
      <w:r w:rsidR="009A3B75">
        <w:t xml:space="preserve"> in 1994</w:t>
      </w:r>
      <w:r w:rsidR="00A44A87">
        <w:t xml:space="preserve"> and </w:t>
      </w:r>
      <w:r w:rsidR="00E50736">
        <w:t>its</w:t>
      </w:r>
      <w:r w:rsidR="00A44A87">
        <w:t xml:space="preserve"> Programme of Action</w:t>
      </w:r>
      <w:r w:rsidR="00AC2B10">
        <w:t xml:space="preserve"> (</w:t>
      </w:r>
      <w:r w:rsidR="00AC2B10" w:rsidRPr="00934A11">
        <w:rPr>
          <w:lang w:val="en-US"/>
        </w:rPr>
        <w:t>E/CN.9/2014/4)</w:t>
      </w:r>
      <w:r w:rsidR="00680816">
        <w:t>,</w:t>
      </w:r>
      <w:r>
        <w:t xml:space="preserve"> </w:t>
      </w:r>
      <w:r w:rsidR="00A44A87">
        <w:t xml:space="preserve">many of the goals </w:t>
      </w:r>
      <w:r w:rsidR="00CC74BA">
        <w:t>on</w:t>
      </w:r>
      <w:r w:rsidR="00F66E26">
        <w:t xml:space="preserve"> that </w:t>
      </w:r>
      <w:r w:rsidR="00CC74BA">
        <w:t>agenda</w:t>
      </w:r>
      <w:r w:rsidR="00A44A87">
        <w:t xml:space="preserve"> and</w:t>
      </w:r>
      <w:r w:rsidR="00CC74BA">
        <w:t xml:space="preserve"> set</w:t>
      </w:r>
      <w:r w:rsidR="001B35C0">
        <w:t xml:space="preserve"> </w:t>
      </w:r>
      <w:r w:rsidR="0005299D">
        <w:t xml:space="preserve">in the </w:t>
      </w:r>
      <w:r w:rsidR="00A44A87">
        <w:t xml:space="preserve">follow-up to the Programme of Action have not been adequately addressed. </w:t>
      </w:r>
      <w:r w:rsidR="00E2598B">
        <w:t xml:space="preserve">While there has been </w:t>
      </w:r>
      <w:r w:rsidR="00AB37F8">
        <w:t xml:space="preserve">substantial </w:t>
      </w:r>
      <w:r w:rsidR="00E2598B">
        <w:t xml:space="preserve">progress in maternal </w:t>
      </w:r>
      <w:r w:rsidR="00603E04">
        <w:t>health indicators</w:t>
      </w:r>
      <w:r w:rsidR="00E2598B">
        <w:t xml:space="preserve">, more needs to be done to </w:t>
      </w:r>
      <w:r w:rsidR="004F6BD7">
        <w:t>achieve key goals</w:t>
      </w:r>
      <w:r w:rsidR="00694118">
        <w:t xml:space="preserve"> connected to the </w:t>
      </w:r>
      <w:r w:rsidR="00603E04">
        <w:t xml:space="preserve">enjoyment of the </w:t>
      </w:r>
      <w:r w:rsidR="00694118">
        <w:t xml:space="preserve">right to health of women and girls, in particular </w:t>
      </w:r>
      <w:r w:rsidR="00603E04">
        <w:t>concerning</w:t>
      </w:r>
      <w:r w:rsidR="00E2598B">
        <w:t xml:space="preserve"> sexual and reproductive health and rights, gender-based violence and harmful traditional practices.</w:t>
      </w:r>
      <w:r w:rsidR="00453985">
        <w:t xml:space="preserve"> </w:t>
      </w:r>
    </w:p>
    <w:p w:rsidR="00B05A96" w:rsidRPr="000031A1" w:rsidRDefault="00C131EC" w:rsidP="000031A1">
      <w:pPr>
        <w:pStyle w:val="H23G"/>
      </w:pPr>
      <w:r>
        <w:tab/>
      </w:r>
      <w:r w:rsidR="005D4BF7">
        <w:t>1.</w:t>
      </w:r>
      <w:r>
        <w:tab/>
      </w:r>
      <w:r w:rsidR="00B05A96" w:rsidRPr="000031A1">
        <w:t xml:space="preserve">Sexual and reproductive health and rights </w:t>
      </w:r>
    </w:p>
    <w:p w:rsidR="0005299D" w:rsidRDefault="00E2598B" w:rsidP="00934A11">
      <w:pPr>
        <w:pStyle w:val="SingleTxtG"/>
        <w:numPr>
          <w:ilvl w:val="0"/>
          <w:numId w:val="52"/>
        </w:numPr>
        <w:ind w:left="1134" w:firstLine="0"/>
      </w:pPr>
      <w:r>
        <w:t xml:space="preserve">During his visit, the Special Rapporteur </w:t>
      </w:r>
      <w:r w:rsidR="001F71F2">
        <w:t>noted</w:t>
      </w:r>
      <w:r>
        <w:t xml:space="preserve"> that wo</w:t>
      </w:r>
      <w:r w:rsidR="00E23256" w:rsidRPr="00B05A96">
        <w:t xml:space="preserve">men and girls face significant barriers </w:t>
      </w:r>
      <w:r w:rsidR="005D4BF7">
        <w:t xml:space="preserve">to </w:t>
      </w:r>
      <w:r w:rsidR="009F2573">
        <w:t>the full</w:t>
      </w:r>
      <w:r w:rsidR="005D4BF7">
        <w:t xml:space="preserve"> </w:t>
      </w:r>
      <w:r w:rsidR="009F2573">
        <w:t>enjoyment of their right to health, in particular when it comes to</w:t>
      </w:r>
      <w:r w:rsidR="00E23256" w:rsidRPr="00B05A96">
        <w:t xml:space="preserve"> sexual and reproductive health rights</w:t>
      </w:r>
      <w:r w:rsidR="006207F2" w:rsidRPr="00B05A96">
        <w:t xml:space="preserve">. </w:t>
      </w:r>
    </w:p>
    <w:p w:rsidR="002A5FC0" w:rsidRDefault="00DD0945" w:rsidP="00934A11">
      <w:pPr>
        <w:pStyle w:val="SingleTxtG"/>
        <w:numPr>
          <w:ilvl w:val="0"/>
          <w:numId w:val="52"/>
        </w:numPr>
        <w:ind w:left="1134" w:firstLine="0"/>
      </w:pPr>
      <w:r>
        <w:t>About o</w:t>
      </w:r>
      <w:r w:rsidR="00031B7C">
        <w:t xml:space="preserve">ne third of </w:t>
      </w:r>
      <w:r>
        <w:t xml:space="preserve">the population in Malaysia are adolescents and </w:t>
      </w:r>
      <w:r w:rsidR="00031B7C">
        <w:t>young p</w:t>
      </w:r>
      <w:r w:rsidR="006F6ACF">
        <w:t>eople, age</w:t>
      </w:r>
      <w:r w:rsidR="005D4BF7">
        <w:t>d from</w:t>
      </w:r>
      <w:r w:rsidR="006F6ACF">
        <w:t xml:space="preserve"> 10</w:t>
      </w:r>
      <w:r w:rsidR="005D4BF7">
        <w:t xml:space="preserve"> to </w:t>
      </w:r>
      <w:r w:rsidR="006F6ACF">
        <w:t>24</w:t>
      </w:r>
      <w:r w:rsidR="003A4121">
        <w:t>.</w:t>
      </w:r>
      <w:r w:rsidR="002A5FC0">
        <w:t xml:space="preserve"> The Special Rapporteur acknowledges the formulation of the National </w:t>
      </w:r>
      <w:r w:rsidR="002A5FC0">
        <w:lastRenderedPageBreak/>
        <w:t>Adolescent Health Policy and the National Adolescent Health Plan of Action (2006</w:t>
      </w:r>
      <w:r w:rsidR="00BD796F">
        <w:t>–</w:t>
      </w:r>
      <w:r w:rsidR="002A5FC0">
        <w:t>2020) to ensure coordinated delivery of health</w:t>
      </w:r>
      <w:r w:rsidR="005D4BF7">
        <w:t>-</w:t>
      </w:r>
      <w:r w:rsidR="002A5FC0">
        <w:t xml:space="preserve">care services </w:t>
      </w:r>
      <w:r w:rsidR="00E05B00">
        <w:t>to</w:t>
      </w:r>
      <w:r w:rsidR="002A5FC0">
        <w:t xml:space="preserve"> this group of the population.</w:t>
      </w:r>
      <w:r w:rsidR="00453985">
        <w:t xml:space="preserve"> </w:t>
      </w:r>
    </w:p>
    <w:p w:rsidR="00A44A87" w:rsidRDefault="003A4121" w:rsidP="00934A11">
      <w:pPr>
        <w:pStyle w:val="SingleTxtG"/>
        <w:numPr>
          <w:ilvl w:val="0"/>
          <w:numId w:val="52"/>
        </w:numPr>
        <w:ind w:left="1134" w:firstLine="0"/>
      </w:pPr>
      <w:r>
        <w:t xml:space="preserve">However, </w:t>
      </w:r>
      <w:r w:rsidR="0000555F">
        <w:t xml:space="preserve">the Special Rapporteur </w:t>
      </w:r>
      <w:r w:rsidR="0005299D">
        <w:t xml:space="preserve">is concerned </w:t>
      </w:r>
      <w:r w:rsidR="0000555F">
        <w:t xml:space="preserve">that, </w:t>
      </w:r>
      <w:r w:rsidR="0000555F" w:rsidRPr="0000555F">
        <w:t>on the basis of</w:t>
      </w:r>
      <w:r w:rsidR="0000555F">
        <w:t xml:space="preserve"> certain </w:t>
      </w:r>
      <w:r w:rsidR="006F6ACF">
        <w:t xml:space="preserve">restrictive interpretations of </w:t>
      </w:r>
      <w:r w:rsidR="0000555F">
        <w:t xml:space="preserve">religious and cultural values and beliefs which dominate the political discourse and praxis, women and girls do not always have adequate access to comprehensive sexual and reproductive health services </w:t>
      </w:r>
      <w:r w:rsidR="00AC2B10">
        <w:t xml:space="preserve">or </w:t>
      </w:r>
      <w:r w:rsidR="0000555F">
        <w:t>comprehensive sexuality education</w:t>
      </w:r>
      <w:r>
        <w:t>.</w:t>
      </w:r>
      <w:r w:rsidR="00453985">
        <w:t xml:space="preserve"> </w:t>
      </w:r>
    </w:p>
    <w:p w:rsidR="00B171F5" w:rsidRPr="00B05A96" w:rsidRDefault="000012B4" w:rsidP="00934A11">
      <w:pPr>
        <w:pStyle w:val="SingleTxtG"/>
        <w:numPr>
          <w:ilvl w:val="0"/>
          <w:numId w:val="52"/>
        </w:numPr>
        <w:ind w:left="1134" w:firstLine="0"/>
      </w:pPr>
      <w:r>
        <w:t>T</w:t>
      </w:r>
      <w:r w:rsidR="00DD0945">
        <w:t>he reproductive health services most needed, in particular among girls and young women</w:t>
      </w:r>
      <w:r w:rsidR="00603E04">
        <w:t>,</w:t>
      </w:r>
      <w:r w:rsidR="00DD0945">
        <w:t xml:space="preserve"> include access to safe, reliable and good</w:t>
      </w:r>
      <w:r w:rsidR="00AC2B10">
        <w:t>-</w:t>
      </w:r>
      <w:r w:rsidR="00DD0945">
        <w:t>quality contraception; comprehensive maternal health services; safe abortion and treatment for complications of unsafe abortion; and prevention and treatment of sexually transmitted infection and HIV/AIDS</w:t>
      </w:r>
      <w:r w:rsidR="00AC2B10">
        <w:t xml:space="preserve"> (see </w:t>
      </w:r>
      <w:r w:rsidR="00AC2B10" w:rsidRPr="00934A11">
        <w:rPr>
          <w:lang w:val="en-US"/>
        </w:rPr>
        <w:t>E/CN.9/2014/4, paras. </w:t>
      </w:r>
      <w:r w:rsidR="00AC2B10" w:rsidRPr="007A7A28">
        <w:rPr>
          <w:lang w:val="en-US"/>
        </w:rPr>
        <w:t>68–77</w:t>
      </w:r>
      <w:r w:rsidR="00AC2B10">
        <w:rPr>
          <w:lang w:val="en-US"/>
        </w:rPr>
        <w:t>)</w:t>
      </w:r>
      <w:r w:rsidR="00DD0945">
        <w:t>.</w:t>
      </w:r>
      <w:r w:rsidR="00453985">
        <w:t xml:space="preserve"> </w:t>
      </w:r>
      <w:r>
        <w:t xml:space="preserve">These services should be provided </w:t>
      </w:r>
      <w:r w:rsidR="00603E04">
        <w:t xml:space="preserve">irrespective of </w:t>
      </w:r>
      <w:r w:rsidR="002A5FC0">
        <w:t xml:space="preserve">age and </w:t>
      </w:r>
      <w:r>
        <w:t xml:space="preserve">marital status. </w:t>
      </w:r>
      <w:r w:rsidR="006F6ACF">
        <w:t>E</w:t>
      </w:r>
      <w:r w:rsidR="00B171F5">
        <w:t>vidence shows that access to comprehensive sexuality education has a positive impact on the knowledge and health-related behaviours of adolescents and youth, especially girls and women, as well as on their attitudes about gender equality</w:t>
      </w:r>
      <w:r w:rsidR="00AC2B10">
        <w:t xml:space="preserve"> (see </w:t>
      </w:r>
      <w:r w:rsidR="00AC2B10">
        <w:rPr>
          <w:lang w:val="es-AR"/>
        </w:rPr>
        <w:t>E/CN.9/2014/4, para</w:t>
      </w:r>
      <w:r w:rsidR="00AC2B10" w:rsidRPr="000012B4">
        <w:rPr>
          <w:lang w:val="es-AR"/>
        </w:rPr>
        <w:t>.</w:t>
      </w:r>
      <w:r w:rsidR="00AC2B10">
        <w:rPr>
          <w:lang w:val="es-AR"/>
        </w:rPr>
        <w:t> </w:t>
      </w:r>
      <w:r w:rsidR="00AC2B10" w:rsidRPr="007A7A28">
        <w:rPr>
          <w:lang w:val="en-US"/>
        </w:rPr>
        <w:t>68</w:t>
      </w:r>
      <w:r w:rsidR="00AC2B10">
        <w:rPr>
          <w:lang w:val="en-US"/>
        </w:rPr>
        <w:t>)</w:t>
      </w:r>
      <w:r w:rsidR="00B171F5">
        <w:t>.</w:t>
      </w:r>
    </w:p>
    <w:p w:rsidR="00E23256" w:rsidRDefault="00F50728" w:rsidP="00934A11">
      <w:pPr>
        <w:pStyle w:val="SingleTxtG"/>
        <w:numPr>
          <w:ilvl w:val="0"/>
          <w:numId w:val="52"/>
        </w:numPr>
        <w:ind w:left="1134" w:firstLine="0"/>
      </w:pPr>
      <w:r>
        <w:t>C</w:t>
      </w:r>
      <w:r w:rsidR="00E23256" w:rsidRPr="00B05A96">
        <w:t>omprehensive sexuality education is not properly integrated in</w:t>
      </w:r>
      <w:r w:rsidR="00AC2B10">
        <w:t>to</w:t>
      </w:r>
      <w:r w:rsidR="00E23256" w:rsidRPr="00B05A96">
        <w:t xml:space="preserve"> school curricula</w:t>
      </w:r>
      <w:r>
        <w:t xml:space="preserve"> in Malaysia</w:t>
      </w:r>
      <w:r w:rsidR="00D514B4">
        <w:t>.</w:t>
      </w:r>
      <w:r w:rsidR="00D514B4" w:rsidRPr="00D514B4">
        <w:t xml:space="preserve"> </w:t>
      </w:r>
      <w:r w:rsidR="00EB42D3">
        <w:t>Related e</w:t>
      </w:r>
      <w:r w:rsidR="00D514B4">
        <w:t>ducational programmes are often</w:t>
      </w:r>
      <w:r>
        <w:t xml:space="preserve"> </w:t>
      </w:r>
      <w:r w:rsidR="00D21E18">
        <w:t>not based on evidence</w:t>
      </w:r>
      <w:r>
        <w:t xml:space="preserve"> </w:t>
      </w:r>
      <w:r w:rsidR="0005299D">
        <w:t xml:space="preserve">and have </w:t>
      </w:r>
      <w:r w:rsidR="00AC2B10">
        <w:t xml:space="preserve">a </w:t>
      </w:r>
      <w:r w:rsidR="0005299D">
        <w:t>strong</w:t>
      </w:r>
      <w:r w:rsidR="00AC2B10">
        <w:t>er</w:t>
      </w:r>
      <w:r w:rsidR="0005299D">
        <w:t xml:space="preserve"> </w:t>
      </w:r>
      <w:r>
        <w:t>emphasis on</w:t>
      </w:r>
      <w:r w:rsidR="00D514B4">
        <w:t xml:space="preserve"> abstinence than </w:t>
      </w:r>
      <w:r>
        <w:t xml:space="preserve">on </w:t>
      </w:r>
      <w:r w:rsidR="00D514B4">
        <w:t xml:space="preserve">providing information and education to girls to allow them to make free and informed decisions about their sexuality. </w:t>
      </w:r>
      <w:r w:rsidR="00E23256" w:rsidRPr="00B05A96">
        <w:t xml:space="preserve">This has </w:t>
      </w:r>
      <w:r w:rsidR="000421E3">
        <w:t>contributed</w:t>
      </w:r>
      <w:r w:rsidR="00E23256" w:rsidRPr="00B05A96">
        <w:t xml:space="preserve"> to </w:t>
      </w:r>
      <w:r w:rsidR="000421E3">
        <w:t xml:space="preserve">the </w:t>
      </w:r>
      <w:r w:rsidR="00E23256" w:rsidRPr="00B05A96">
        <w:t xml:space="preserve">high prevalence of </w:t>
      </w:r>
      <w:r w:rsidR="000421E3">
        <w:t>unintended pregnancies amongst girls</w:t>
      </w:r>
      <w:r w:rsidR="003A4121">
        <w:t xml:space="preserve">, high numbers of underage marriages, </w:t>
      </w:r>
      <w:r w:rsidR="00080DC6">
        <w:t>unsafe abortions</w:t>
      </w:r>
      <w:r w:rsidR="00E23256" w:rsidRPr="00B05A96">
        <w:t xml:space="preserve"> and </w:t>
      </w:r>
      <w:r w:rsidR="000F584F">
        <w:t xml:space="preserve">a </w:t>
      </w:r>
      <w:r w:rsidR="00E23256" w:rsidRPr="00B05A96">
        <w:t>high risk of the spread of sexually</w:t>
      </w:r>
      <w:r w:rsidR="000F584F">
        <w:t xml:space="preserve"> </w:t>
      </w:r>
      <w:r w:rsidR="00E23256" w:rsidRPr="00B05A96">
        <w:t>transmitted diseases, including HIV/AIDS.</w:t>
      </w:r>
      <w:r w:rsidR="006F6ACF" w:rsidRPr="00680816">
        <w:rPr>
          <w:rStyle w:val="FootnoteReference"/>
        </w:rPr>
        <w:footnoteReference w:id="14"/>
      </w:r>
      <w:r w:rsidR="00453985">
        <w:t xml:space="preserve"> </w:t>
      </w:r>
    </w:p>
    <w:p w:rsidR="00B333AA" w:rsidRDefault="00B05A96" w:rsidP="00934A11">
      <w:pPr>
        <w:pStyle w:val="SingleTxtG"/>
        <w:numPr>
          <w:ilvl w:val="0"/>
          <w:numId w:val="52"/>
        </w:numPr>
        <w:ind w:left="1134" w:firstLine="0"/>
      </w:pPr>
      <w:r w:rsidRPr="000151D4">
        <w:t>Therapeutic abortion is available in Malaysia</w:t>
      </w:r>
      <w:r w:rsidR="004E7D3D">
        <w:t xml:space="preserve"> (under article 312 of the Criminal Code)</w:t>
      </w:r>
      <w:r w:rsidR="00F2734B" w:rsidRPr="006F6ACF">
        <w:rPr>
          <w:sz w:val="18"/>
          <w:szCs w:val="18"/>
        </w:rPr>
        <w:t xml:space="preserve"> </w:t>
      </w:r>
      <w:r w:rsidR="00080DC6">
        <w:t>and the termination of pregnancy is allowed under specific circumstances, including for saving the life of the mother, and for physical and mental health reasons.</w:t>
      </w:r>
      <w:r w:rsidR="00453985">
        <w:t xml:space="preserve"> </w:t>
      </w:r>
      <w:r w:rsidR="00080DC6">
        <w:t>In 2012</w:t>
      </w:r>
      <w:r w:rsidR="00C0301B">
        <w:t>,</w:t>
      </w:r>
      <w:r w:rsidR="00080DC6">
        <w:t xml:space="preserve"> the Ministry of Health issued Guidelines on the Termination of Pregnancy</w:t>
      </w:r>
      <w:r w:rsidR="00AF4348">
        <w:t>,</w:t>
      </w:r>
      <w:r w:rsidR="00080DC6">
        <w:t xml:space="preserve"> </w:t>
      </w:r>
      <w:r w:rsidR="00A00379">
        <w:t xml:space="preserve">in </w:t>
      </w:r>
      <w:r w:rsidR="00080DC6">
        <w:t>which</w:t>
      </w:r>
      <w:r w:rsidR="00A00379">
        <w:t xml:space="preserve"> it is</w:t>
      </w:r>
      <w:r w:rsidR="00080DC6">
        <w:t xml:space="preserve"> clearly state</w:t>
      </w:r>
      <w:r w:rsidR="00A00379">
        <w:t>d</w:t>
      </w:r>
      <w:r w:rsidR="00080DC6">
        <w:t xml:space="preserve"> that the termination of pregnancy is legal and a service provided in public hospitals.</w:t>
      </w:r>
      <w:r w:rsidR="00453985">
        <w:t xml:space="preserve"> </w:t>
      </w:r>
      <w:r w:rsidR="00541C0D">
        <w:t>Despite efforts by the authorities</w:t>
      </w:r>
      <w:r w:rsidR="00C0301B">
        <w:t>,</w:t>
      </w:r>
      <w:r w:rsidR="00752C68">
        <w:t xml:space="preserve"> </w:t>
      </w:r>
      <w:r w:rsidR="00541C0D">
        <w:t>awareness</w:t>
      </w:r>
      <w:r w:rsidR="00080DC6">
        <w:t xml:space="preserve"> about the legal status of abortion is not </w:t>
      </w:r>
      <w:r w:rsidR="00541C0D">
        <w:t xml:space="preserve">yet </w:t>
      </w:r>
      <w:r w:rsidR="00080DC6">
        <w:t>widespread</w:t>
      </w:r>
      <w:r w:rsidR="00C0301B">
        <w:t>,</w:t>
      </w:r>
      <w:r w:rsidR="00080DC6">
        <w:t xml:space="preserve"> </w:t>
      </w:r>
      <w:r w:rsidR="005E0851">
        <w:t xml:space="preserve">neither </w:t>
      </w:r>
      <w:r w:rsidR="00080DC6">
        <w:t xml:space="preserve">among women </w:t>
      </w:r>
      <w:r w:rsidR="006F6ACF">
        <w:t>nor</w:t>
      </w:r>
      <w:r w:rsidR="00B333AA">
        <w:t xml:space="preserve"> among health </w:t>
      </w:r>
      <w:r w:rsidR="00080DC6">
        <w:t>profes</w:t>
      </w:r>
      <w:r w:rsidR="00B333AA">
        <w:t>sionals</w:t>
      </w:r>
      <w:r w:rsidR="00080DC6">
        <w:t xml:space="preserve">. </w:t>
      </w:r>
      <w:r w:rsidR="0005299D">
        <w:t>An</w:t>
      </w:r>
      <w:r w:rsidR="00B333AA" w:rsidRPr="00B333AA">
        <w:t xml:space="preserve"> enabling environment is needed to ensure that every woman legally eligible has access to safe abortion care</w:t>
      </w:r>
      <w:r w:rsidR="00B333AA">
        <w:t xml:space="preserve"> in Malaysia, including by providing the necessary information</w:t>
      </w:r>
      <w:r w:rsidR="00131BC9">
        <w:t xml:space="preserve"> and training</w:t>
      </w:r>
      <w:r w:rsidR="00B333AA">
        <w:t xml:space="preserve"> to relevant health professiona</w:t>
      </w:r>
      <w:r w:rsidR="00131BC9">
        <w:t>ls and groups of women at risk</w:t>
      </w:r>
      <w:r w:rsidR="009A3B75">
        <w:t xml:space="preserve"> </w:t>
      </w:r>
      <w:r w:rsidR="00131BC9">
        <w:t>and</w:t>
      </w:r>
      <w:r w:rsidR="00B333AA">
        <w:t xml:space="preserve"> by </w:t>
      </w:r>
      <w:r w:rsidR="00B333AA" w:rsidRPr="00B333AA">
        <w:t>address</w:t>
      </w:r>
      <w:r w:rsidR="00B333AA">
        <w:t>ing the</w:t>
      </w:r>
      <w:r w:rsidR="00B333AA" w:rsidRPr="00B333AA">
        <w:t xml:space="preserve"> stigma </w:t>
      </w:r>
      <w:r w:rsidR="00B333AA">
        <w:t xml:space="preserve">associated </w:t>
      </w:r>
      <w:r w:rsidR="00C80337">
        <w:t>with</w:t>
      </w:r>
      <w:r w:rsidR="00C80337" w:rsidRPr="00B333AA">
        <w:t xml:space="preserve"> </w:t>
      </w:r>
      <w:r w:rsidR="00B333AA" w:rsidRPr="00B333AA">
        <w:t>seek</w:t>
      </w:r>
      <w:r w:rsidR="00004C59">
        <w:t>ing</w:t>
      </w:r>
      <w:r w:rsidR="00B333AA" w:rsidRPr="00B333AA">
        <w:t xml:space="preserve"> abortion services or treatment for abortion complications</w:t>
      </w:r>
      <w:r w:rsidR="00B333AA">
        <w:t>.</w:t>
      </w:r>
      <w:r w:rsidR="00004C59" w:rsidRPr="00680816">
        <w:rPr>
          <w:rStyle w:val="FootnoteReference"/>
        </w:rPr>
        <w:footnoteReference w:id="15"/>
      </w:r>
    </w:p>
    <w:p w:rsidR="00B05A96" w:rsidRPr="000031A1" w:rsidRDefault="00C131EC" w:rsidP="000031A1">
      <w:pPr>
        <w:pStyle w:val="H23G"/>
      </w:pPr>
      <w:r>
        <w:tab/>
      </w:r>
      <w:r w:rsidR="005D4BF7">
        <w:t>2.</w:t>
      </w:r>
      <w:r>
        <w:tab/>
      </w:r>
      <w:r w:rsidR="00AB37F8" w:rsidRPr="000031A1">
        <w:t>G</w:t>
      </w:r>
      <w:r w:rsidR="00AE0955" w:rsidRPr="000031A1">
        <w:t>ender-based</w:t>
      </w:r>
      <w:r w:rsidR="000A63C3" w:rsidRPr="000031A1">
        <w:t xml:space="preserve"> violence</w:t>
      </w:r>
    </w:p>
    <w:p w:rsidR="00AE0955" w:rsidRDefault="00C80337" w:rsidP="00934A11">
      <w:pPr>
        <w:pStyle w:val="SingleTxtG"/>
        <w:numPr>
          <w:ilvl w:val="0"/>
          <w:numId w:val="52"/>
        </w:numPr>
        <w:ind w:left="1134" w:firstLine="0"/>
      </w:pPr>
      <w:r>
        <w:t>G</w:t>
      </w:r>
      <w:r w:rsidR="00AE0955" w:rsidRPr="00A44A87">
        <w:t xml:space="preserve">ender-based violence in Malaysia is considered </w:t>
      </w:r>
      <w:r w:rsidR="00E558A9" w:rsidRPr="00A44A87">
        <w:t>widespread</w:t>
      </w:r>
      <w:r w:rsidR="00AE0955" w:rsidRPr="00A44A87">
        <w:t xml:space="preserve"> although underreported,</w:t>
      </w:r>
      <w:r w:rsidR="00AE0955">
        <w:t xml:space="preserve"> and the scope and enforcement of existing legal provisions </w:t>
      </w:r>
      <w:r w:rsidR="00B171F5">
        <w:t>remains</w:t>
      </w:r>
      <w:r w:rsidR="00AE0955">
        <w:t xml:space="preserve"> unsatisfactory.</w:t>
      </w:r>
      <w:r w:rsidR="00E558A9">
        <w:t xml:space="preserve"> Gender-based violence is an issue of </w:t>
      </w:r>
      <w:r>
        <w:t>concern for</w:t>
      </w:r>
      <w:r w:rsidRPr="000151D4">
        <w:t xml:space="preserve"> </w:t>
      </w:r>
      <w:r w:rsidR="00E558A9" w:rsidRPr="000151D4">
        <w:t>public health</w:t>
      </w:r>
      <w:r w:rsidR="00E558A9">
        <w:t xml:space="preserve"> and is associated with adverse consequences on </w:t>
      </w:r>
      <w:r w:rsidR="00C0301B">
        <w:t xml:space="preserve">the </w:t>
      </w:r>
      <w:r w:rsidR="00E558A9">
        <w:t xml:space="preserve">physical and mental health </w:t>
      </w:r>
      <w:r w:rsidR="00C0301B">
        <w:t xml:space="preserve">of </w:t>
      </w:r>
      <w:r w:rsidR="00E558A9">
        <w:t>women affected.</w:t>
      </w:r>
      <w:r w:rsidR="00453985">
        <w:t xml:space="preserve"> </w:t>
      </w:r>
    </w:p>
    <w:p w:rsidR="00B171F5" w:rsidRDefault="00B05A96" w:rsidP="00934A11">
      <w:pPr>
        <w:pStyle w:val="SingleTxtG"/>
        <w:numPr>
          <w:ilvl w:val="0"/>
          <w:numId w:val="52"/>
        </w:numPr>
        <w:ind w:left="1134" w:firstLine="0"/>
      </w:pPr>
      <w:r w:rsidRPr="000151D4">
        <w:t xml:space="preserve">Domestic violence </w:t>
      </w:r>
      <w:r w:rsidR="00E558A9">
        <w:t>was reported to the Special</w:t>
      </w:r>
      <w:r w:rsidR="00B171F5">
        <w:t xml:space="preserve"> Rapporteur as</w:t>
      </w:r>
      <w:r w:rsidRPr="000151D4">
        <w:t xml:space="preserve"> an issue of </w:t>
      </w:r>
      <w:r w:rsidR="00E558A9">
        <w:t>concern in Malaysia.</w:t>
      </w:r>
      <w:r w:rsidR="00453985">
        <w:t xml:space="preserve"> </w:t>
      </w:r>
      <w:r w:rsidR="004823A2">
        <w:t xml:space="preserve">Although there is little data available about </w:t>
      </w:r>
      <w:r w:rsidR="000642B0">
        <w:t>its</w:t>
      </w:r>
      <w:r w:rsidR="004823A2">
        <w:t xml:space="preserve"> incidence, anecdotal evidence points to widespread prevalence of intimate partner violence</w:t>
      </w:r>
      <w:r w:rsidR="00C0301B">
        <w:t>,</w:t>
      </w:r>
      <w:r w:rsidR="004823A2">
        <w:t xml:space="preserve"> and non-partner sexual violence. </w:t>
      </w:r>
      <w:r w:rsidR="00C0301B">
        <w:t>He</w:t>
      </w:r>
      <w:r w:rsidR="006710B2">
        <w:t xml:space="preserve"> </w:t>
      </w:r>
      <w:r w:rsidR="00F2734B">
        <w:t>commended the Government for the adoption of the Do</w:t>
      </w:r>
      <w:r w:rsidR="005B52CA">
        <w:t>mestic Violence Act (1994)</w:t>
      </w:r>
      <w:r w:rsidR="009518EE">
        <w:t xml:space="preserve"> and had discussion</w:t>
      </w:r>
      <w:r w:rsidR="0077795C">
        <w:t>s</w:t>
      </w:r>
      <w:r w:rsidR="009518EE">
        <w:t xml:space="preserve"> with the Ministry of Women, Family and Community </w:t>
      </w:r>
      <w:r w:rsidR="009518EE">
        <w:lastRenderedPageBreak/>
        <w:t xml:space="preserve">Development about </w:t>
      </w:r>
      <w:r w:rsidR="000642B0">
        <w:t>preventin</w:t>
      </w:r>
      <w:r w:rsidR="002A30D3">
        <w:t>g</w:t>
      </w:r>
      <w:r w:rsidR="000642B0">
        <w:t xml:space="preserve"> and </w:t>
      </w:r>
      <w:r w:rsidR="009518EE">
        <w:t>monitoring domestic violence in the country.</w:t>
      </w:r>
      <w:r w:rsidR="00453985">
        <w:t xml:space="preserve"> </w:t>
      </w:r>
      <w:r w:rsidR="00B171F5">
        <w:t xml:space="preserve">The Special Rapporteur emphasized the need to adopt the </w:t>
      </w:r>
      <w:r w:rsidR="002A30D3">
        <w:t>i</w:t>
      </w:r>
      <w:r w:rsidR="00B171F5">
        <w:t xml:space="preserve">nter-agency working </w:t>
      </w:r>
      <w:r w:rsidR="002A30D3">
        <w:t>together document on handling domestic violence cases</w:t>
      </w:r>
      <w:r w:rsidR="00C0301B">
        <w:t>,</w:t>
      </w:r>
      <w:r w:rsidR="00B171F5">
        <w:t xml:space="preserve"> in development since 2010.</w:t>
      </w:r>
      <w:r w:rsidR="00453985">
        <w:t xml:space="preserve"> </w:t>
      </w:r>
    </w:p>
    <w:p w:rsidR="00752C68" w:rsidRDefault="00B171F5" w:rsidP="00934A11">
      <w:pPr>
        <w:pStyle w:val="SingleTxtG"/>
        <w:numPr>
          <w:ilvl w:val="0"/>
          <w:numId w:val="52"/>
        </w:numPr>
        <w:ind w:left="1134" w:firstLine="0"/>
      </w:pPr>
      <w:r>
        <w:t>The</w:t>
      </w:r>
      <w:r w:rsidR="0077795C">
        <w:t xml:space="preserve"> Special Rapporteur</w:t>
      </w:r>
      <w:r w:rsidR="0077795C" w:rsidRPr="000151D4">
        <w:t xml:space="preserve"> </w:t>
      </w:r>
      <w:r w:rsidR="0005299D">
        <w:t xml:space="preserve">also </w:t>
      </w:r>
      <w:r w:rsidR="0077795C" w:rsidRPr="000151D4">
        <w:t>commend</w:t>
      </w:r>
      <w:r w:rsidR="0077795C">
        <w:t>ed</w:t>
      </w:r>
      <w:r w:rsidR="0077795C" w:rsidRPr="000151D4">
        <w:t xml:space="preserve"> the establishment of One Stop Crisis Centres to provide integrated services for victims in public hospitals. </w:t>
      </w:r>
      <w:r w:rsidR="00DB0572">
        <w:t>The centres follow</w:t>
      </w:r>
      <w:r w:rsidR="004823A2">
        <w:t xml:space="preserve"> a model of multisectoral response to violence against women, </w:t>
      </w:r>
      <w:r w:rsidR="00F069C1">
        <w:t>involving</w:t>
      </w:r>
      <w:r w:rsidR="004823A2">
        <w:t xml:space="preserve"> Government and non-</w:t>
      </w:r>
      <w:r w:rsidR="00DB0572">
        <w:t>g</w:t>
      </w:r>
      <w:r w:rsidR="004823A2">
        <w:t xml:space="preserve">overnment actors in the establishment of medical, counselling and police services </w:t>
      </w:r>
      <w:r w:rsidR="00DB0572">
        <w:t xml:space="preserve">for </w:t>
      </w:r>
      <w:r w:rsidR="004823A2">
        <w:t>victims of violence.</w:t>
      </w:r>
      <w:r w:rsidR="00453985">
        <w:t xml:space="preserve"> </w:t>
      </w:r>
      <w:r w:rsidR="00C0301B">
        <w:t>He</w:t>
      </w:r>
      <w:r w:rsidR="0077795C">
        <w:t xml:space="preserve"> visited some of these centres,</w:t>
      </w:r>
      <w:r w:rsidR="00DB0572">
        <w:t xml:space="preserve"> which are</w:t>
      </w:r>
      <w:r w:rsidR="0077795C">
        <w:t xml:space="preserve"> available in </w:t>
      </w:r>
      <w:r>
        <w:t xml:space="preserve">most </w:t>
      </w:r>
      <w:r w:rsidR="000642B0">
        <w:t>public</w:t>
      </w:r>
      <w:r w:rsidR="0077795C">
        <w:t xml:space="preserve"> hospitals</w:t>
      </w:r>
      <w:r w:rsidR="0077795C" w:rsidRPr="00C0301B">
        <w:t>.</w:t>
      </w:r>
      <w:r w:rsidR="00453985">
        <w:t xml:space="preserve"> </w:t>
      </w:r>
      <w:r w:rsidR="0077795C" w:rsidRPr="00C0301B">
        <w:t xml:space="preserve">However, he received </w:t>
      </w:r>
      <w:r w:rsidR="00C0301B">
        <w:t>t</w:t>
      </w:r>
      <w:r w:rsidR="00FC3C6B">
        <w:t xml:space="preserve">estimonies </w:t>
      </w:r>
      <w:r w:rsidR="00C0301B">
        <w:t>indicating</w:t>
      </w:r>
      <w:r w:rsidR="0077795C" w:rsidRPr="004823A2">
        <w:t xml:space="preserve"> that</w:t>
      </w:r>
      <w:r w:rsidR="00806B97">
        <w:t xml:space="preserve"> </w:t>
      </w:r>
      <w:r w:rsidR="00DB0572">
        <w:t xml:space="preserve">the centres </w:t>
      </w:r>
      <w:r w:rsidR="00C0301B">
        <w:t>are at times</w:t>
      </w:r>
      <w:r w:rsidR="00A44A87">
        <w:t xml:space="preserve"> </w:t>
      </w:r>
      <w:r w:rsidR="00806B97">
        <w:t>not sufficiently funded or supported with</w:t>
      </w:r>
      <w:r w:rsidR="00DB0572">
        <w:t xml:space="preserve"> the</w:t>
      </w:r>
      <w:r w:rsidR="00806B97">
        <w:t xml:space="preserve"> appropriate human resources. </w:t>
      </w:r>
    </w:p>
    <w:p w:rsidR="00E84C37" w:rsidRPr="00C131EC" w:rsidRDefault="00752C68" w:rsidP="00934A11">
      <w:pPr>
        <w:pStyle w:val="SingleTxtG"/>
        <w:numPr>
          <w:ilvl w:val="0"/>
          <w:numId w:val="52"/>
        </w:numPr>
        <w:ind w:left="1134" w:firstLine="0"/>
        <w:rPr>
          <w:lang w:val="en-US"/>
        </w:rPr>
      </w:pPr>
      <w:r>
        <w:t xml:space="preserve">Sexual harassment is not </w:t>
      </w:r>
      <w:r w:rsidR="003B0ED9">
        <w:t xml:space="preserve">covered </w:t>
      </w:r>
      <w:r>
        <w:t>in the law</w:t>
      </w:r>
      <w:r w:rsidR="00B530D5">
        <w:t xml:space="preserve"> in Malaysia.</w:t>
      </w:r>
      <w:r w:rsidR="00453985">
        <w:t xml:space="preserve"> </w:t>
      </w:r>
      <w:r w:rsidR="00B530D5">
        <w:t xml:space="preserve">The Code of Practice on the Prevention and Eradication of Sexual Harassment in the </w:t>
      </w:r>
      <w:r w:rsidR="00B530D5">
        <w:rPr>
          <w:lang w:val="en-US"/>
        </w:rPr>
        <w:t>Workplace (1999) is not binding and</w:t>
      </w:r>
      <w:r w:rsidR="005B52CA">
        <w:rPr>
          <w:lang w:val="en-US"/>
        </w:rPr>
        <w:t xml:space="preserve"> the existing legal framework does not live up to the standards set therein.</w:t>
      </w:r>
      <w:r w:rsidR="00B530D5">
        <w:rPr>
          <w:lang w:val="en-US"/>
        </w:rPr>
        <w:t xml:space="preserve"> </w:t>
      </w:r>
      <w:r w:rsidR="00B530D5">
        <w:t xml:space="preserve">While the </w:t>
      </w:r>
      <w:r w:rsidR="005B52CA">
        <w:t xml:space="preserve">last amendments to the </w:t>
      </w:r>
      <w:r w:rsidR="00B530D5">
        <w:t>Employment Act (</w:t>
      </w:r>
      <w:r w:rsidR="005B52CA">
        <w:t>2012</w:t>
      </w:r>
      <w:r w:rsidR="00B530D5">
        <w:t xml:space="preserve">) </w:t>
      </w:r>
      <w:r w:rsidR="005B52CA">
        <w:t>added</w:t>
      </w:r>
      <w:r w:rsidR="00B530D5">
        <w:t xml:space="preserve"> </w:t>
      </w:r>
      <w:r w:rsidR="005B52CA">
        <w:t>a new section</w:t>
      </w:r>
      <w:r w:rsidR="00B530D5">
        <w:t xml:space="preserve"> to address sexual harassment in the workplace</w:t>
      </w:r>
      <w:r w:rsidR="00C0301B">
        <w:t>,</w:t>
      </w:r>
      <w:r w:rsidR="00B530D5">
        <w:t xml:space="preserve"> </w:t>
      </w:r>
      <w:r w:rsidR="005B52CA">
        <w:t>the new provisions</w:t>
      </w:r>
      <w:r w:rsidR="00B530D5">
        <w:t xml:space="preserve"> omit psychological harassment, only cover strict employer-employee </w:t>
      </w:r>
      <w:r w:rsidR="00B530D5" w:rsidRPr="00AC68B6">
        <w:t>relationships in the private sector,</w:t>
      </w:r>
      <w:r w:rsidR="00B530D5">
        <w:t xml:space="preserve"> do not protect</w:t>
      </w:r>
      <w:r w:rsidR="005B52CA">
        <w:t xml:space="preserve"> inter alia</w:t>
      </w:r>
      <w:r w:rsidR="00B530D5">
        <w:t xml:space="preserve"> students or domestic workers and do not apply to East Malaysia.</w:t>
      </w:r>
      <w:r w:rsidR="00453985">
        <w:t xml:space="preserve"> </w:t>
      </w:r>
    </w:p>
    <w:p w:rsidR="00E23256" w:rsidRPr="000031A1" w:rsidRDefault="00C131EC" w:rsidP="000031A1">
      <w:pPr>
        <w:pStyle w:val="H23G"/>
      </w:pPr>
      <w:r>
        <w:tab/>
      </w:r>
      <w:r w:rsidR="005D4BF7">
        <w:t>3.</w:t>
      </w:r>
      <w:r>
        <w:tab/>
      </w:r>
      <w:r w:rsidR="00B05A96" w:rsidRPr="000031A1">
        <w:t>Harmful traditional practices</w:t>
      </w:r>
    </w:p>
    <w:p w:rsidR="00A66F8A" w:rsidRDefault="00935356" w:rsidP="00934A11">
      <w:pPr>
        <w:pStyle w:val="SingleTxtG"/>
        <w:numPr>
          <w:ilvl w:val="0"/>
          <w:numId w:val="52"/>
        </w:numPr>
        <w:ind w:left="1134" w:firstLine="0"/>
      </w:pPr>
      <w:r w:rsidRPr="00C0301B">
        <w:t xml:space="preserve">The Special Rapporteur </w:t>
      </w:r>
      <w:r w:rsidR="00A66F8A" w:rsidRPr="00C0301B">
        <w:t>expressed concern during his visit about</w:t>
      </w:r>
      <w:r w:rsidRPr="00C0301B">
        <w:t xml:space="preserve"> the situation of women and </w:t>
      </w:r>
      <w:r w:rsidRPr="000151D4">
        <w:t xml:space="preserve">girls </w:t>
      </w:r>
      <w:r w:rsidR="00F069C1">
        <w:t>who</w:t>
      </w:r>
      <w:r w:rsidRPr="000151D4">
        <w:t xml:space="preserve"> face compounded forms of discrimination </w:t>
      </w:r>
      <w:r w:rsidR="002F64AA">
        <w:t>owing</w:t>
      </w:r>
      <w:r w:rsidR="002F64AA" w:rsidRPr="000151D4">
        <w:t xml:space="preserve"> </w:t>
      </w:r>
      <w:r w:rsidRPr="000151D4">
        <w:t xml:space="preserve">to their social, cultural and religious backgrounds. </w:t>
      </w:r>
      <w:r w:rsidR="00B064CA">
        <w:t xml:space="preserve">This includes </w:t>
      </w:r>
      <w:r w:rsidR="00C0301B">
        <w:t xml:space="preserve">the prevalence of </w:t>
      </w:r>
      <w:r w:rsidR="00B064CA">
        <w:t>child marriage among Muslim and non-Muslim girls</w:t>
      </w:r>
      <w:r w:rsidR="00C0301B">
        <w:t>,</w:t>
      </w:r>
      <w:r w:rsidR="00B064CA">
        <w:t xml:space="preserve"> and the practice of female genital </w:t>
      </w:r>
      <w:r w:rsidR="007C58FF">
        <w:t>mutilation or circumcision</w:t>
      </w:r>
      <w:r w:rsidR="00C0301B">
        <w:t xml:space="preserve"> among Muslim girls</w:t>
      </w:r>
      <w:r w:rsidR="007C58FF">
        <w:t>.</w:t>
      </w:r>
      <w:r w:rsidR="001B35C0">
        <w:t xml:space="preserve"> </w:t>
      </w:r>
    </w:p>
    <w:p w:rsidR="00D56648" w:rsidRDefault="00C0301B" w:rsidP="00934A11">
      <w:pPr>
        <w:pStyle w:val="SingleTxtG"/>
        <w:numPr>
          <w:ilvl w:val="0"/>
          <w:numId w:val="52"/>
        </w:numPr>
        <w:ind w:left="1134" w:firstLine="0"/>
      </w:pPr>
      <w:r>
        <w:t>C</w:t>
      </w:r>
      <w:r w:rsidR="00935356">
        <w:t xml:space="preserve">hild marriage </w:t>
      </w:r>
      <w:r>
        <w:t xml:space="preserve">is prevalent </w:t>
      </w:r>
      <w:r w:rsidR="00053273">
        <w:t>a</w:t>
      </w:r>
      <w:r w:rsidR="00935356">
        <w:t xml:space="preserve">mong certain groups of the population, </w:t>
      </w:r>
      <w:r w:rsidR="00053273">
        <w:t xml:space="preserve">including both Muslim and non-Muslim children. Malaysian laws set the legal age of marriage at 18 both for females and males but </w:t>
      </w:r>
      <w:r w:rsidR="00376222">
        <w:t>s</w:t>
      </w:r>
      <w:r w:rsidR="008210AE">
        <w:t>h</w:t>
      </w:r>
      <w:r w:rsidR="00053273">
        <w:t xml:space="preserve">aria law lowers this to 16 for </w:t>
      </w:r>
      <w:r w:rsidR="00B064CA">
        <w:t xml:space="preserve">Muslim </w:t>
      </w:r>
      <w:r w:rsidR="00053273">
        <w:t>females.</w:t>
      </w:r>
      <w:r w:rsidR="00453985">
        <w:t xml:space="preserve"> </w:t>
      </w:r>
      <w:r w:rsidR="00053273">
        <w:t>There are exceptions to these age limits</w:t>
      </w:r>
      <w:r w:rsidR="00376222">
        <w:t>:</w:t>
      </w:r>
      <w:r w:rsidR="00053273">
        <w:t xml:space="preserve"> non-Muslim girls can marry between 16 and 18</w:t>
      </w:r>
      <w:r w:rsidR="00680816">
        <w:t> </w:t>
      </w:r>
      <w:r w:rsidR="00053273">
        <w:t>years with a licen</w:t>
      </w:r>
      <w:r w:rsidR="00376222">
        <w:t>c</w:t>
      </w:r>
      <w:r w:rsidR="00053273">
        <w:t xml:space="preserve">e </w:t>
      </w:r>
      <w:r w:rsidR="00376222">
        <w:t xml:space="preserve">from </w:t>
      </w:r>
      <w:r w:rsidR="00053273">
        <w:t>the Chief Minister</w:t>
      </w:r>
      <w:r w:rsidR="00376222">
        <w:t>,</w:t>
      </w:r>
      <w:r w:rsidR="00053273">
        <w:t xml:space="preserve"> while Muslim girls below 16 and boys below 18 can marry with </w:t>
      </w:r>
      <w:r w:rsidR="00376222">
        <w:t xml:space="preserve">the </w:t>
      </w:r>
      <w:r w:rsidR="00053273">
        <w:t>written</w:t>
      </w:r>
      <w:r w:rsidR="008210AE">
        <w:t xml:space="preserve"> permission of the </w:t>
      </w:r>
      <w:r w:rsidR="00376222">
        <w:t>s</w:t>
      </w:r>
      <w:r w:rsidR="008210AE">
        <w:t>h</w:t>
      </w:r>
      <w:r w:rsidR="00053273">
        <w:t>aria court judge.</w:t>
      </w:r>
      <w:r w:rsidR="00453985">
        <w:t xml:space="preserve"> </w:t>
      </w:r>
    </w:p>
    <w:p w:rsidR="00B51BF7" w:rsidRDefault="00B51BF7" w:rsidP="00934A11">
      <w:pPr>
        <w:pStyle w:val="SingleTxtG"/>
        <w:numPr>
          <w:ilvl w:val="0"/>
          <w:numId w:val="52"/>
        </w:numPr>
        <w:ind w:left="1134" w:firstLine="0"/>
      </w:pPr>
      <w:r>
        <w:t>Child marriage is considered a form of forced marriage and has adverse public health-related consequences, which should be of concern for the authorities. Early marriage is often associated with early and frequent pregnancies which result in higher infant and maternal mortality and morbidity rates. In addition, child marriage causes girls to drop out of school and increases the risk of domestic violence</w:t>
      </w:r>
      <w:r w:rsidR="007A5027">
        <w:t>,</w:t>
      </w:r>
      <w:r>
        <w:t xml:space="preserve"> given the subsequent impact on girls’ personal and economic autonomy.</w:t>
      </w:r>
      <w:r w:rsidRPr="00680816">
        <w:rPr>
          <w:rStyle w:val="FootnoteReference"/>
        </w:rPr>
        <w:footnoteReference w:id="16"/>
      </w:r>
      <w:r>
        <w:t xml:space="preserve"> </w:t>
      </w:r>
    </w:p>
    <w:p w:rsidR="006507FA" w:rsidRDefault="00A66F8A" w:rsidP="00934A11">
      <w:pPr>
        <w:pStyle w:val="SingleTxtG"/>
        <w:numPr>
          <w:ilvl w:val="0"/>
          <w:numId w:val="52"/>
        </w:numPr>
        <w:ind w:left="1134" w:firstLine="0"/>
      </w:pPr>
      <w:r>
        <w:t xml:space="preserve">While </w:t>
      </w:r>
      <w:r w:rsidR="00CC704D">
        <w:t>the Special Rapporteur</w:t>
      </w:r>
      <w:r>
        <w:t xml:space="preserve"> acknowledges that the incidence of early marriage among girls 15</w:t>
      </w:r>
      <w:r w:rsidR="00BD796F">
        <w:t>–</w:t>
      </w:r>
      <w:r>
        <w:t>19 years old has decreased between 1</w:t>
      </w:r>
      <w:r w:rsidR="00B064CA">
        <w:t>970 and 2010</w:t>
      </w:r>
      <w:r w:rsidR="00680816">
        <w:t>,</w:t>
      </w:r>
      <w:r w:rsidR="00B064CA" w:rsidRPr="00680816">
        <w:rPr>
          <w:rStyle w:val="FootnoteReference"/>
        </w:rPr>
        <w:footnoteReference w:id="17"/>
      </w:r>
      <w:r>
        <w:t xml:space="preserve"> he </w:t>
      </w:r>
      <w:r w:rsidR="00B064CA">
        <w:t xml:space="preserve">remains concerned about </w:t>
      </w:r>
      <w:r w:rsidR="0005299D">
        <w:t xml:space="preserve">its </w:t>
      </w:r>
      <w:r w:rsidR="00C0301B">
        <w:t>prevalence</w:t>
      </w:r>
      <w:r w:rsidR="00B064CA">
        <w:t xml:space="preserve">. Moreover, he is very worried about information received </w:t>
      </w:r>
      <w:r w:rsidR="00D56648">
        <w:t>indicating that</w:t>
      </w:r>
      <w:r w:rsidR="007A5027">
        <w:t>,</w:t>
      </w:r>
      <w:r w:rsidR="00D56648">
        <w:t xml:space="preserve"> in an attempt to reduce the incidence of premarital sex, children born out of wedlock and child abandonment, </w:t>
      </w:r>
      <w:r w:rsidR="0005299D">
        <w:t xml:space="preserve">certain </w:t>
      </w:r>
      <w:r w:rsidR="00D56648">
        <w:t xml:space="preserve">authorities </w:t>
      </w:r>
      <w:r w:rsidR="00B064CA">
        <w:t>are</w:t>
      </w:r>
      <w:r w:rsidR="00D56648">
        <w:t xml:space="preserve"> encourag</w:t>
      </w:r>
      <w:r w:rsidR="00B064CA">
        <w:t>ing</w:t>
      </w:r>
      <w:r w:rsidR="00D56648">
        <w:t xml:space="preserve"> underage marriage.</w:t>
      </w:r>
      <w:r w:rsidR="00453985">
        <w:t xml:space="preserve"> </w:t>
      </w:r>
      <w:r w:rsidR="006507FA">
        <w:t xml:space="preserve">This goes against international human rights standards, established by </w:t>
      </w:r>
      <w:r w:rsidR="007A5027" w:rsidRPr="00934A11">
        <w:rPr>
          <w:bCs/>
        </w:rPr>
        <w:t>the Committee on the Elimination of Discrimination against Women</w:t>
      </w:r>
      <w:r w:rsidR="007A5027" w:rsidDel="007A5027">
        <w:t xml:space="preserve"> </w:t>
      </w:r>
      <w:r w:rsidR="006507FA">
        <w:t xml:space="preserve">and </w:t>
      </w:r>
      <w:r w:rsidR="007A5027" w:rsidRPr="00934A11">
        <w:rPr>
          <w:bCs/>
        </w:rPr>
        <w:t>the Committee on the Rights of the Child</w:t>
      </w:r>
      <w:r w:rsidR="006507FA">
        <w:t xml:space="preserve">, and can represent a regression with respect to </w:t>
      </w:r>
      <w:r w:rsidR="007A5027">
        <w:t xml:space="preserve">the Cairo </w:t>
      </w:r>
      <w:r w:rsidR="006507FA">
        <w:t>Programme of Action.</w:t>
      </w:r>
      <w:r w:rsidR="001B35C0">
        <w:t xml:space="preserve"> </w:t>
      </w:r>
    </w:p>
    <w:p w:rsidR="002023C5" w:rsidRDefault="00C65382" w:rsidP="00934A11">
      <w:pPr>
        <w:pStyle w:val="SingleTxtG"/>
        <w:numPr>
          <w:ilvl w:val="0"/>
          <w:numId w:val="52"/>
        </w:numPr>
        <w:ind w:left="1134" w:firstLine="0"/>
      </w:pPr>
      <w:r>
        <w:lastRenderedPageBreak/>
        <w:t>Female genital mutilation</w:t>
      </w:r>
      <w:r w:rsidR="009164F0">
        <w:t>/cutting,</w:t>
      </w:r>
      <w:r w:rsidR="00CC704D">
        <w:t xml:space="preserve"> </w:t>
      </w:r>
      <w:r w:rsidR="006507FA">
        <w:t>which</w:t>
      </w:r>
      <w:r>
        <w:t xml:space="preserve"> according to various </w:t>
      </w:r>
      <w:r w:rsidR="009164F0">
        <w:t>definitions</w:t>
      </w:r>
      <w:r w:rsidR="006507FA">
        <w:t xml:space="preserve"> </w:t>
      </w:r>
      <w:r w:rsidR="009164F0">
        <w:t>include</w:t>
      </w:r>
      <w:r w:rsidR="0005299D">
        <w:t>s</w:t>
      </w:r>
      <w:r w:rsidR="00CC704D">
        <w:t xml:space="preserve"> </w:t>
      </w:r>
      <w:r w:rsidR="009164F0">
        <w:t xml:space="preserve">female </w:t>
      </w:r>
      <w:r w:rsidR="00CC704D">
        <w:t xml:space="preserve">circumcision </w:t>
      </w:r>
      <w:r w:rsidR="009164F0">
        <w:t xml:space="preserve">under </w:t>
      </w:r>
      <w:r w:rsidR="00466852">
        <w:t>t</w:t>
      </w:r>
      <w:r w:rsidR="009164F0">
        <w:t>ype IV</w:t>
      </w:r>
      <w:r w:rsidR="00CC704D">
        <w:t>,</w:t>
      </w:r>
      <w:r w:rsidR="000973CE" w:rsidRPr="00680816">
        <w:rPr>
          <w:rStyle w:val="FootnoteReference"/>
        </w:rPr>
        <w:footnoteReference w:id="18"/>
      </w:r>
      <w:r w:rsidR="00CC704D">
        <w:t xml:space="preserve"> is practised in Malaysia.</w:t>
      </w:r>
      <w:r w:rsidR="00453985">
        <w:t xml:space="preserve"> </w:t>
      </w:r>
      <w:r w:rsidR="00CC704D">
        <w:t xml:space="preserve">The Special Rapporteur expressed concern about </w:t>
      </w:r>
      <w:r w:rsidR="006507FA">
        <w:t>the prevalence of this practi</w:t>
      </w:r>
      <w:r w:rsidR="00FF3464">
        <w:t>c</w:t>
      </w:r>
      <w:r w:rsidR="006507FA">
        <w:t>e</w:t>
      </w:r>
      <w:r w:rsidR="00AF4348">
        <w:t xml:space="preserve"> and </w:t>
      </w:r>
      <w:r w:rsidR="002023C5">
        <w:t xml:space="preserve">learned that </w:t>
      </w:r>
      <w:r w:rsidR="00AF4348">
        <w:t xml:space="preserve">the </w:t>
      </w:r>
      <w:r w:rsidR="00971AFA">
        <w:t xml:space="preserve">health </w:t>
      </w:r>
      <w:r w:rsidR="002023C5">
        <w:t xml:space="preserve">authorities </w:t>
      </w:r>
      <w:r w:rsidR="00971AFA">
        <w:t>have produced</w:t>
      </w:r>
      <w:r w:rsidR="002023C5">
        <w:t xml:space="preserve"> guidelines to regulate </w:t>
      </w:r>
      <w:r w:rsidR="009164F0">
        <w:t>it</w:t>
      </w:r>
      <w:r w:rsidR="002023C5">
        <w:t>.</w:t>
      </w:r>
      <w:r w:rsidR="00453985">
        <w:t xml:space="preserve"> </w:t>
      </w:r>
      <w:r w:rsidR="00AF4348">
        <w:t>He</w:t>
      </w:r>
      <w:r w:rsidR="0070155F">
        <w:t xml:space="preserve"> i</w:t>
      </w:r>
      <w:r w:rsidR="0005299D">
        <w:t>s</w:t>
      </w:r>
      <w:r w:rsidR="0070155F">
        <w:t xml:space="preserve"> concerned that this </w:t>
      </w:r>
      <w:r w:rsidR="00AF4348">
        <w:t>could be contrary to</w:t>
      </w:r>
      <w:r w:rsidR="0070155F">
        <w:t xml:space="preserve"> the global strategy against the medicalization of this harmful practice</w:t>
      </w:r>
      <w:r w:rsidR="0005299D">
        <w:t>,</w:t>
      </w:r>
      <w:r w:rsidR="0070155F">
        <w:t xml:space="preserve"> </w:t>
      </w:r>
      <w:r w:rsidR="00AF4348">
        <w:t xml:space="preserve">as established </w:t>
      </w:r>
      <w:r w:rsidR="0070155F">
        <w:t xml:space="preserve">by </w:t>
      </w:r>
      <w:r w:rsidR="009F58CC">
        <w:t>the World Health Organization (</w:t>
      </w:r>
      <w:r w:rsidR="0070155F">
        <w:t>WHO</w:t>
      </w:r>
      <w:r w:rsidR="009F58CC">
        <w:t>)</w:t>
      </w:r>
      <w:r w:rsidR="0070155F">
        <w:t>.</w:t>
      </w:r>
      <w:r w:rsidR="0070155F" w:rsidRPr="00680816">
        <w:rPr>
          <w:rStyle w:val="FootnoteReference"/>
        </w:rPr>
        <w:footnoteReference w:id="19"/>
      </w:r>
      <w:r w:rsidR="0070155F">
        <w:t xml:space="preserve"> </w:t>
      </w:r>
    </w:p>
    <w:p w:rsidR="00497794" w:rsidRDefault="00CC704D" w:rsidP="00934A11">
      <w:pPr>
        <w:pStyle w:val="SingleTxtG"/>
        <w:numPr>
          <w:ilvl w:val="0"/>
          <w:numId w:val="52"/>
        </w:numPr>
        <w:ind w:left="1134" w:firstLine="0"/>
      </w:pPr>
      <w:r>
        <w:t>The removal, partially or wholly, of the external female genitalia, or otherwise the injury of female genital organs</w:t>
      </w:r>
      <w:r w:rsidR="006507FA">
        <w:t>,</w:t>
      </w:r>
      <w:r>
        <w:t xml:space="preserve"> for non-medical or non-health reasons</w:t>
      </w:r>
      <w:r w:rsidR="00971AFA">
        <w:t>,</w:t>
      </w:r>
      <w:r>
        <w:t xml:space="preserve"> </w:t>
      </w:r>
      <w:r w:rsidR="006507FA">
        <w:t xml:space="preserve">can lead to multiple immediate and </w:t>
      </w:r>
      <w:r w:rsidR="00833CAD">
        <w:t xml:space="preserve">long-term health consequences. </w:t>
      </w:r>
      <w:r w:rsidR="002023C5">
        <w:t xml:space="preserve">The Special Rapporteur would like to </w:t>
      </w:r>
      <w:r w:rsidR="00DF59E8">
        <w:t xml:space="preserve">highlight that </w:t>
      </w:r>
      <w:r w:rsidR="009164F0">
        <w:t xml:space="preserve">this is a form of violence against women and girls, even </w:t>
      </w:r>
      <w:r w:rsidR="009F58CC">
        <w:t>i</w:t>
      </w:r>
      <w:r w:rsidR="009164F0">
        <w:t xml:space="preserve">f not intended as an act of violence, and </w:t>
      </w:r>
      <w:r w:rsidR="00153824">
        <w:t xml:space="preserve">a </w:t>
      </w:r>
      <w:r w:rsidR="009164F0">
        <w:t xml:space="preserve">violation against their </w:t>
      </w:r>
      <w:r w:rsidR="00971AFA">
        <w:t xml:space="preserve">basic </w:t>
      </w:r>
      <w:r w:rsidR="009164F0">
        <w:t>human rights and fundamental freedoms</w:t>
      </w:r>
      <w:r w:rsidR="00971AFA">
        <w:t xml:space="preserve">, including </w:t>
      </w:r>
      <w:r w:rsidR="00476E95">
        <w:t>their right to health</w:t>
      </w:r>
      <w:r w:rsidR="009164F0">
        <w:t>.</w:t>
      </w:r>
      <w:r w:rsidR="00453985">
        <w:t xml:space="preserve"> </w:t>
      </w:r>
      <w:r w:rsidR="00DA13AE">
        <w:t>A</w:t>
      </w:r>
      <w:r w:rsidR="00497794">
        <w:t xml:space="preserve">ddressing harmful traditional practices is part of the core obligations of States parties to </w:t>
      </w:r>
      <w:r w:rsidR="009F58CC">
        <w:t xml:space="preserve">the Convention on the Elimination of All Forms of Discrimination against Women </w:t>
      </w:r>
      <w:r w:rsidR="00497794">
        <w:t xml:space="preserve">and </w:t>
      </w:r>
      <w:r w:rsidR="009F58CC">
        <w:t>the Convention on the Rights of the Child</w:t>
      </w:r>
      <w:r w:rsidR="00497794">
        <w:t>.</w:t>
      </w:r>
      <w:r w:rsidR="00453985">
        <w:t xml:space="preserve"> </w:t>
      </w:r>
      <w:r w:rsidR="00497794">
        <w:t xml:space="preserve">These practices constitute a denial of the dignity and integrity </w:t>
      </w:r>
      <w:r w:rsidR="000973CE">
        <w:t>of those affected;</w:t>
      </w:r>
      <w:r w:rsidR="00497794">
        <w:t xml:space="preserve"> are </w:t>
      </w:r>
      <w:r w:rsidR="009F58CC">
        <w:t xml:space="preserve">based </w:t>
      </w:r>
      <w:r w:rsidR="00497794">
        <w:t xml:space="preserve">on unacceptable discrimination and violence on the basis of sex, gender, </w:t>
      </w:r>
      <w:r w:rsidR="000973CE">
        <w:t>age</w:t>
      </w:r>
      <w:r w:rsidR="00497794">
        <w:t xml:space="preserve"> and other grounds</w:t>
      </w:r>
      <w:r w:rsidR="000973CE">
        <w:t>;</w:t>
      </w:r>
      <w:r w:rsidR="00497794">
        <w:t xml:space="preserve"> and often </w:t>
      </w:r>
      <w:r w:rsidR="009F58CC">
        <w:t xml:space="preserve">cause </w:t>
      </w:r>
      <w:r w:rsidR="00497794">
        <w:t>severe physical and/ or psychological harm or suffering.</w:t>
      </w:r>
      <w:r w:rsidR="00497794" w:rsidRPr="00680816">
        <w:rPr>
          <w:rStyle w:val="FootnoteReference"/>
        </w:rPr>
        <w:footnoteReference w:id="20"/>
      </w:r>
      <w:r w:rsidR="00453985">
        <w:t xml:space="preserve"> </w:t>
      </w:r>
    </w:p>
    <w:p w:rsidR="00E23256" w:rsidRPr="00C131EC" w:rsidRDefault="00C131EC" w:rsidP="000031A1">
      <w:pPr>
        <w:pStyle w:val="H1G"/>
      </w:pPr>
      <w:r>
        <w:tab/>
        <w:t>B.</w:t>
      </w:r>
      <w:r>
        <w:tab/>
      </w:r>
      <w:r w:rsidR="00E23256" w:rsidRPr="00C131EC">
        <w:t xml:space="preserve">Indigenous communities </w:t>
      </w:r>
    </w:p>
    <w:p w:rsidR="009A7C95" w:rsidRDefault="001B3319" w:rsidP="00934A11">
      <w:pPr>
        <w:pStyle w:val="SingleTxtG"/>
        <w:numPr>
          <w:ilvl w:val="0"/>
          <w:numId w:val="52"/>
        </w:numPr>
        <w:ind w:left="1134" w:firstLine="0"/>
      </w:pPr>
      <w:r>
        <w:t xml:space="preserve">The indigenous peoples in Malaysia </w:t>
      </w:r>
      <w:r w:rsidR="00D017B5">
        <w:t>represent around 12</w:t>
      </w:r>
      <w:r w:rsidR="00E92161">
        <w:t xml:space="preserve"> per cent</w:t>
      </w:r>
      <w:r w:rsidR="00D017B5">
        <w:t xml:space="preserve"> of the total population and </w:t>
      </w:r>
      <w:r>
        <w:t>include the Orang Asli, or aborigines of Peninsular Malaysia, and the natives of Sabah and Sarawak, also referred to as Orang Asal.</w:t>
      </w:r>
      <w:r w:rsidR="00453985">
        <w:t xml:space="preserve"> </w:t>
      </w:r>
      <w:r>
        <w:t>The Orang Asli represent about 0</w:t>
      </w:r>
      <w:r w:rsidR="00E92161">
        <w:t>.</w:t>
      </w:r>
      <w:r>
        <w:t>63</w:t>
      </w:r>
      <w:r w:rsidR="00E92161">
        <w:t xml:space="preserve"> per cent</w:t>
      </w:r>
      <w:r>
        <w:t xml:space="preserve"> of the total population</w:t>
      </w:r>
      <w:r w:rsidR="00680816">
        <w:t>.</w:t>
      </w:r>
      <w:r w:rsidRPr="00680816">
        <w:rPr>
          <w:rStyle w:val="FootnoteReference"/>
        </w:rPr>
        <w:footnoteReference w:id="21"/>
      </w:r>
      <w:r>
        <w:t xml:space="preserve"> </w:t>
      </w:r>
      <w:r w:rsidR="001719E1">
        <w:t>It is estimated that t</w:t>
      </w:r>
      <w:r>
        <w:t xml:space="preserve">he natives of Sabah and Sarawak represent about </w:t>
      </w:r>
      <w:r w:rsidR="00841B56">
        <w:t>70 and 60</w:t>
      </w:r>
      <w:r w:rsidR="002A6051">
        <w:t xml:space="preserve"> per cent</w:t>
      </w:r>
      <w:r w:rsidR="00841B56">
        <w:t xml:space="preserve"> of the population i</w:t>
      </w:r>
      <w:r w:rsidR="00DA13AE">
        <w:t xml:space="preserve">n the two </w:t>
      </w:r>
      <w:r w:rsidR="002A6051">
        <w:t>S</w:t>
      </w:r>
      <w:r w:rsidR="00DA13AE">
        <w:t>tates</w:t>
      </w:r>
      <w:r w:rsidR="002A6051">
        <w:t>,</w:t>
      </w:r>
      <w:r w:rsidR="00DA13AE">
        <w:t xml:space="preserve"> respectively</w:t>
      </w:r>
      <w:r w:rsidR="001719E1">
        <w:t>.</w:t>
      </w:r>
      <w:r w:rsidR="001719E1" w:rsidRPr="00680816">
        <w:rPr>
          <w:rStyle w:val="FootnoteReference"/>
        </w:rPr>
        <w:footnoteReference w:id="22"/>
      </w:r>
      <w:r w:rsidR="00453985">
        <w:t xml:space="preserve"> </w:t>
      </w:r>
      <w:r>
        <w:t>About 60</w:t>
      </w:r>
      <w:r w:rsidR="002A6051">
        <w:t xml:space="preserve"> per cent</w:t>
      </w:r>
      <w:r>
        <w:t xml:space="preserve"> of the </w:t>
      </w:r>
      <w:r w:rsidR="00841B56">
        <w:t>indigenous population</w:t>
      </w:r>
      <w:r>
        <w:t xml:space="preserve"> live in rural areas</w:t>
      </w:r>
      <w:r w:rsidR="00841B56">
        <w:t xml:space="preserve">, sometimes in remote locations of difficult access. </w:t>
      </w:r>
    </w:p>
    <w:p w:rsidR="00A77F0C" w:rsidRDefault="00841B56" w:rsidP="00934A11">
      <w:pPr>
        <w:pStyle w:val="SingleTxtG"/>
        <w:numPr>
          <w:ilvl w:val="0"/>
          <w:numId w:val="52"/>
        </w:numPr>
        <w:ind w:left="1134" w:firstLine="0"/>
      </w:pPr>
      <w:r>
        <w:t xml:space="preserve">The indigenous communities </w:t>
      </w:r>
      <w:r w:rsidR="009A7C95">
        <w:t xml:space="preserve">in Malaysia </w:t>
      </w:r>
      <w:r w:rsidR="00972BE8">
        <w:t xml:space="preserve">all have </w:t>
      </w:r>
      <w:r>
        <w:t>a</w:t>
      </w:r>
      <w:r w:rsidR="001B3319">
        <w:t xml:space="preserve"> struggle to </w:t>
      </w:r>
      <w:r w:rsidR="009A7C95">
        <w:t>p</w:t>
      </w:r>
      <w:r w:rsidR="001B3319">
        <w:t>reserve their own ways of life based on customary systems (adat)</w:t>
      </w:r>
      <w:r w:rsidR="00200628">
        <w:t>,</w:t>
      </w:r>
      <w:r w:rsidR="001B3319">
        <w:t xml:space="preserve"> constantly </w:t>
      </w:r>
      <w:r w:rsidR="00EE0E17">
        <w:t xml:space="preserve">under pressure </w:t>
      </w:r>
      <w:r w:rsidR="00200628">
        <w:t xml:space="preserve">owing </w:t>
      </w:r>
      <w:r w:rsidR="00EE0E17">
        <w:t>to</w:t>
      </w:r>
      <w:r w:rsidR="001B3319">
        <w:t xml:space="preserve"> profound changes brought by </w:t>
      </w:r>
      <w:r w:rsidR="00DA13AE">
        <w:t xml:space="preserve">the </w:t>
      </w:r>
      <w:r w:rsidR="001B3319">
        <w:t xml:space="preserve">rapid economic development in the country. </w:t>
      </w:r>
      <w:r w:rsidR="009A7C95">
        <w:t xml:space="preserve">Indigenous peoples are among the most marginalized and disadvantaged groups in </w:t>
      </w:r>
      <w:r w:rsidR="00DA13AE">
        <w:t>Malaysia</w:t>
      </w:r>
      <w:r w:rsidR="00EE0E17">
        <w:t xml:space="preserve"> suffering from </w:t>
      </w:r>
      <w:r w:rsidR="00B51BF7">
        <w:t xml:space="preserve">higher levels of poverty and </w:t>
      </w:r>
      <w:r w:rsidR="00536A82">
        <w:t xml:space="preserve">social </w:t>
      </w:r>
      <w:r w:rsidR="00B51BF7">
        <w:t>exclusion</w:t>
      </w:r>
      <w:r w:rsidR="009A7C95">
        <w:t>.</w:t>
      </w:r>
      <w:r w:rsidR="00083193">
        <w:t xml:space="preserve"> </w:t>
      </w:r>
    </w:p>
    <w:p w:rsidR="00841B56" w:rsidRDefault="00D017B5" w:rsidP="00934A11">
      <w:pPr>
        <w:pStyle w:val="SingleTxtG"/>
        <w:numPr>
          <w:ilvl w:val="0"/>
          <w:numId w:val="52"/>
        </w:numPr>
        <w:ind w:left="1134" w:firstLine="0"/>
      </w:pPr>
      <w:r>
        <w:t>Malaysia has endorsed the U</w:t>
      </w:r>
      <w:r w:rsidR="00200628">
        <w:t xml:space="preserve">nited </w:t>
      </w:r>
      <w:r>
        <w:t>N</w:t>
      </w:r>
      <w:r w:rsidR="00200628">
        <w:t>ations</w:t>
      </w:r>
      <w:r>
        <w:t xml:space="preserve"> Declaration o</w:t>
      </w:r>
      <w:r w:rsidR="00200628">
        <w:t>n</w:t>
      </w:r>
      <w:r>
        <w:t xml:space="preserve"> the Rights of Indigenous Peoples but it has not ratified </w:t>
      </w:r>
      <w:r w:rsidR="00200628">
        <w:t xml:space="preserve">International Labour Organization </w:t>
      </w:r>
      <w:r w:rsidR="00200628" w:rsidRPr="00200628">
        <w:t xml:space="preserve">Indigenous and Tribal </w:t>
      </w:r>
      <w:r w:rsidR="00200628" w:rsidRPr="00491D17">
        <w:t>Peoples</w:t>
      </w:r>
      <w:r w:rsidR="00200628">
        <w:t xml:space="preserve"> </w:t>
      </w:r>
      <w:r w:rsidR="00200628" w:rsidRPr="00934A11">
        <w:rPr>
          <w:iCs/>
        </w:rPr>
        <w:t>Convention</w:t>
      </w:r>
      <w:r w:rsidR="00200628" w:rsidRPr="00491D17">
        <w:t>, 1989 (No. </w:t>
      </w:r>
      <w:r w:rsidR="00200628" w:rsidRPr="00934A11">
        <w:rPr>
          <w:iCs/>
        </w:rPr>
        <w:t>169</w:t>
      </w:r>
      <w:r w:rsidR="00200628" w:rsidRPr="00491D17">
        <w:t>)</w:t>
      </w:r>
      <w:r>
        <w:t>.</w:t>
      </w:r>
      <w:r w:rsidR="00453985">
        <w:t xml:space="preserve"> </w:t>
      </w:r>
      <w:r w:rsidR="00841B56">
        <w:t>The Aboriginal People</w:t>
      </w:r>
      <w:r w:rsidR="000E2FA3">
        <w:t xml:space="preserve">s Act </w:t>
      </w:r>
      <w:r w:rsidR="001A07E9">
        <w:t>set forth</w:t>
      </w:r>
      <w:r w:rsidR="00841B56">
        <w:t xml:space="preserve"> the </w:t>
      </w:r>
      <w:r w:rsidR="000E2FA3">
        <w:t>rights of the</w:t>
      </w:r>
      <w:r w:rsidR="00841B56">
        <w:t xml:space="preserve"> Orang Asli </w:t>
      </w:r>
      <w:r w:rsidR="000E2FA3">
        <w:t>to education, health, socioeconomic development and culture</w:t>
      </w:r>
      <w:r w:rsidR="00841B56">
        <w:t xml:space="preserve"> </w:t>
      </w:r>
      <w:r w:rsidR="000E2FA3">
        <w:t>and beliefs.</w:t>
      </w:r>
      <w:r w:rsidR="00453985">
        <w:t xml:space="preserve"> </w:t>
      </w:r>
      <w:r w:rsidR="000E2FA3">
        <w:t xml:space="preserve">In 2010, the Department of Orang Asli Development was </w:t>
      </w:r>
      <w:r w:rsidR="00EE0E17">
        <w:t>established</w:t>
      </w:r>
      <w:r w:rsidR="000E2FA3">
        <w:t xml:space="preserve"> under the Ministry of Rural and Regional Development to provide protection to this group and their way of life in the wake of rapid development.</w:t>
      </w:r>
      <w:r w:rsidR="00453985">
        <w:t xml:space="preserve"> </w:t>
      </w:r>
      <w:r w:rsidR="000E2FA3">
        <w:t>The Orang Asli Development Strategic Plan (2011</w:t>
      </w:r>
      <w:r w:rsidR="00BD796F">
        <w:t>–</w:t>
      </w:r>
      <w:r w:rsidR="000E2FA3">
        <w:t xml:space="preserve">2015) </w:t>
      </w:r>
      <w:r w:rsidR="000E2FA3">
        <w:lastRenderedPageBreak/>
        <w:t xml:space="preserve">includes </w:t>
      </w:r>
      <w:r w:rsidR="001A07E9">
        <w:t xml:space="preserve">such </w:t>
      </w:r>
      <w:r w:rsidR="000E2FA3">
        <w:t>objectives as expanding access to infrastructure, improving health and cultivating traditional knowledge and heritage.</w:t>
      </w:r>
      <w:r w:rsidR="001B35C0">
        <w:t xml:space="preserve"> </w:t>
      </w:r>
    </w:p>
    <w:p w:rsidR="00E23256" w:rsidRDefault="00E23256" w:rsidP="00934A11">
      <w:pPr>
        <w:pStyle w:val="SingleTxtG"/>
        <w:numPr>
          <w:ilvl w:val="0"/>
          <w:numId w:val="52"/>
        </w:numPr>
        <w:ind w:left="1134" w:firstLine="0"/>
      </w:pPr>
      <w:r w:rsidRPr="000973CE">
        <w:t xml:space="preserve">Despite commendable efforts by the part of the Government to address health-related issues affecting the indigenous </w:t>
      </w:r>
      <w:r w:rsidR="00841B56">
        <w:t>communities</w:t>
      </w:r>
      <w:r w:rsidRPr="000973CE">
        <w:t xml:space="preserve">, </w:t>
      </w:r>
      <w:r w:rsidR="009A7C95">
        <w:t>the Special Rapporteur observed that</w:t>
      </w:r>
      <w:r w:rsidR="00F30268">
        <w:t xml:space="preserve"> </w:t>
      </w:r>
      <w:r w:rsidRPr="000973CE">
        <w:t>serious challenges remain with regard to their</w:t>
      </w:r>
      <w:r w:rsidR="00EE0E17">
        <w:t xml:space="preserve"> enjoyment of the</w:t>
      </w:r>
      <w:r w:rsidRPr="000973CE">
        <w:t xml:space="preserve"> right to health and related rights</w:t>
      </w:r>
      <w:r w:rsidR="009A7C95">
        <w:t>,</w:t>
      </w:r>
      <w:r w:rsidRPr="000973CE">
        <w:t xml:space="preserve"> both in </w:t>
      </w:r>
      <w:r w:rsidR="00B772F5">
        <w:t>p</w:t>
      </w:r>
      <w:r w:rsidR="00614384">
        <w:t xml:space="preserve">eninsular Malaysia and in </w:t>
      </w:r>
      <w:r w:rsidRPr="000973CE">
        <w:t>Sabah and Sarawak.</w:t>
      </w:r>
      <w:r w:rsidR="00453985">
        <w:t xml:space="preserve"> </w:t>
      </w:r>
      <w:r w:rsidRPr="000973CE">
        <w:t xml:space="preserve">Health indicators among indigenous populations are significantly worse than those of the general population. </w:t>
      </w:r>
      <w:r w:rsidR="00B772F5">
        <w:t>Their l</w:t>
      </w:r>
      <w:r w:rsidRPr="000973CE">
        <w:t xml:space="preserve">ife expectancy is </w:t>
      </w:r>
      <w:r w:rsidR="00541C0D">
        <w:t>below 60</w:t>
      </w:r>
      <w:r w:rsidRPr="000973CE">
        <w:t xml:space="preserve"> years</w:t>
      </w:r>
      <w:r w:rsidR="00B772F5">
        <w:t>,</w:t>
      </w:r>
      <w:r w:rsidRPr="000973CE">
        <w:t xml:space="preserve"> </w:t>
      </w:r>
      <w:r w:rsidR="00B772F5">
        <w:t>while</w:t>
      </w:r>
      <w:r w:rsidR="00B772F5" w:rsidRPr="000973CE">
        <w:t xml:space="preserve"> </w:t>
      </w:r>
      <w:r w:rsidRPr="000973CE">
        <w:t>the average in Malaysia is over 70</w:t>
      </w:r>
      <w:r w:rsidR="00680816">
        <w:t> </w:t>
      </w:r>
      <w:r w:rsidRPr="000973CE">
        <w:t xml:space="preserve">years, and they carry a larger burden of disease, </w:t>
      </w:r>
      <w:r w:rsidR="00EE0E17">
        <w:t>both for</w:t>
      </w:r>
      <w:r w:rsidR="00EE0E17" w:rsidRPr="000973CE">
        <w:t xml:space="preserve"> </w:t>
      </w:r>
      <w:r w:rsidRPr="000973CE">
        <w:t>communicable and non-communicable diseases</w:t>
      </w:r>
      <w:r w:rsidR="00D017B5">
        <w:t>, including tuberculosis, malaria and leprosy</w:t>
      </w:r>
      <w:r w:rsidRPr="000973CE">
        <w:t xml:space="preserve">. </w:t>
      </w:r>
      <w:r w:rsidR="00D017B5">
        <w:t xml:space="preserve">Infant and maternal mortality rates are higher than </w:t>
      </w:r>
      <w:r w:rsidR="00B772F5">
        <w:t xml:space="preserve">the </w:t>
      </w:r>
      <w:r w:rsidR="00D017B5">
        <w:t xml:space="preserve">national averages. </w:t>
      </w:r>
      <w:r w:rsidRPr="000973CE">
        <w:t xml:space="preserve">Birth registration is a serious problem </w:t>
      </w:r>
      <w:r w:rsidR="00EE0E17">
        <w:t>among</w:t>
      </w:r>
      <w:r w:rsidR="00EE0E17" w:rsidRPr="000973CE">
        <w:t xml:space="preserve"> </w:t>
      </w:r>
      <w:r w:rsidRPr="000973CE">
        <w:t>indigenous communities living in remote areas</w:t>
      </w:r>
      <w:r w:rsidR="00EE0E17">
        <w:t xml:space="preserve"> with a negative impact on</w:t>
      </w:r>
      <w:r w:rsidRPr="000973CE">
        <w:t xml:space="preserve"> access to health</w:t>
      </w:r>
      <w:r w:rsidR="00B772F5">
        <w:t xml:space="preserve"> </w:t>
      </w:r>
      <w:r w:rsidRPr="000973CE">
        <w:t>care.</w:t>
      </w:r>
    </w:p>
    <w:p w:rsidR="008C7321" w:rsidRDefault="00E23256" w:rsidP="00934A11">
      <w:pPr>
        <w:pStyle w:val="SingleTxtG"/>
        <w:numPr>
          <w:ilvl w:val="0"/>
          <w:numId w:val="52"/>
        </w:numPr>
        <w:ind w:left="1134" w:firstLine="0"/>
      </w:pPr>
      <w:r w:rsidRPr="000973CE">
        <w:t>Access to health</w:t>
      </w:r>
      <w:r w:rsidR="00B772F5">
        <w:t>-</w:t>
      </w:r>
      <w:r w:rsidRPr="000973CE">
        <w:t xml:space="preserve">care services for indigenous populations has significantly improved through the development of </w:t>
      </w:r>
      <w:r w:rsidR="00573F8C">
        <w:t xml:space="preserve">the </w:t>
      </w:r>
      <w:r w:rsidRPr="000973CE">
        <w:t xml:space="preserve">infrastructure </w:t>
      </w:r>
      <w:r w:rsidR="00573F8C">
        <w:t>for</w:t>
      </w:r>
      <w:r w:rsidR="00573F8C" w:rsidRPr="000973CE">
        <w:t xml:space="preserve"> </w:t>
      </w:r>
      <w:r w:rsidRPr="000973CE">
        <w:t>health</w:t>
      </w:r>
      <w:r w:rsidR="00573F8C">
        <w:t>-</w:t>
      </w:r>
      <w:r w:rsidRPr="000973CE">
        <w:t>care services, mostly primary care in remote areas and specialized care, including a hospital for Orang Asli</w:t>
      </w:r>
      <w:r w:rsidR="002B79C9">
        <w:t>,</w:t>
      </w:r>
      <w:r w:rsidR="00536A82">
        <w:t xml:space="preserve"> </w:t>
      </w:r>
      <w:r w:rsidR="002B79C9">
        <w:t>the Gombak Orang Asli Hospital</w:t>
      </w:r>
      <w:r w:rsidRPr="000973CE">
        <w:t>.</w:t>
      </w:r>
      <w:r w:rsidR="001B35C0">
        <w:t xml:space="preserve"> </w:t>
      </w:r>
      <w:r w:rsidR="009A7C95">
        <w:t>Some initiatives, such as “flying doctors” service</w:t>
      </w:r>
      <w:r w:rsidR="00491D17">
        <w:t>s</w:t>
      </w:r>
      <w:r w:rsidR="00A77F0C">
        <w:t xml:space="preserve"> or </w:t>
      </w:r>
      <w:r w:rsidR="002B79C9">
        <w:t xml:space="preserve">the community-based </w:t>
      </w:r>
      <w:r w:rsidR="00A77F0C">
        <w:t>Village Health Promoter Programme</w:t>
      </w:r>
      <w:r w:rsidR="009A7C95">
        <w:t>, have improved the accessib</w:t>
      </w:r>
      <w:r w:rsidR="002B79C9">
        <w:t>ility of and participation in health</w:t>
      </w:r>
      <w:r w:rsidR="00491D17">
        <w:t>-</w:t>
      </w:r>
      <w:r w:rsidR="002B79C9">
        <w:t>care services by</w:t>
      </w:r>
      <w:r w:rsidR="009A7C95">
        <w:t xml:space="preserve"> </w:t>
      </w:r>
      <w:r w:rsidR="00DA13AE">
        <w:t xml:space="preserve">indigenous </w:t>
      </w:r>
      <w:r w:rsidR="009A7C95">
        <w:t xml:space="preserve">communities in remote areas. </w:t>
      </w:r>
    </w:p>
    <w:p w:rsidR="00F30268" w:rsidRDefault="009A7C95" w:rsidP="00934A11">
      <w:pPr>
        <w:pStyle w:val="SingleTxtG"/>
        <w:numPr>
          <w:ilvl w:val="0"/>
          <w:numId w:val="52"/>
        </w:numPr>
        <w:ind w:left="1134" w:firstLine="0"/>
      </w:pPr>
      <w:r>
        <w:t xml:space="preserve">However, health information is not always accessible in a culturally </w:t>
      </w:r>
      <w:r w:rsidR="00491D17">
        <w:t xml:space="preserve">appropriate </w:t>
      </w:r>
      <w:r>
        <w:t xml:space="preserve">manner to the </w:t>
      </w:r>
      <w:r w:rsidR="00DA13AE">
        <w:t xml:space="preserve">indigenous </w:t>
      </w:r>
      <w:r>
        <w:t>communities</w:t>
      </w:r>
      <w:r w:rsidR="00F1515C">
        <w:t xml:space="preserve">, and </w:t>
      </w:r>
      <w:r>
        <w:t>the</w:t>
      </w:r>
      <w:r w:rsidR="00DA13AE">
        <w:t>y</w:t>
      </w:r>
      <w:r>
        <w:t xml:space="preserve"> are not always properly informed </w:t>
      </w:r>
      <w:r w:rsidR="002B79C9">
        <w:t>about</w:t>
      </w:r>
      <w:r>
        <w:t xml:space="preserve"> </w:t>
      </w:r>
      <w:r w:rsidR="00491D17">
        <w:t xml:space="preserve">or </w:t>
      </w:r>
      <w:r w:rsidR="00476EDC">
        <w:t xml:space="preserve">involved in </w:t>
      </w:r>
      <w:r>
        <w:t>public health decisions that affect them.</w:t>
      </w:r>
      <w:r w:rsidR="00453985">
        <w:t xml:space="preserve"> </w:t>
      </w:r>
      <w:r w:rsidR="00CF7337">
        <w:t xml:space="preserve">Language continues to be a barrier </w:t>
      </w:r>
      <w:r w:rsidR="00491D17">
        <w:t xml:space="preserve">to </w:t>
      </w:r>
      <w:r w:rsidR="00CF7337">
        <w:t>accessing health</w:t>
      </w:r>
      <w:r w:rsidR="00491D17">
        <w:t>-</w:t>
      </w:r>
      <w:r w:rsidR="00CF7337">
        <w:t>care services for indigenous communities in the country.</w:t>
      </w:r>
      <w:r>
        <w:t xml:space="preserve"> </w:t>
      </w:r>
    </w:p>
    <w:p w:rsidR="00E23256" w:rsidRPr="000973CE" w:rsidRDefault="00E23256" w:rsidP="00934A11">
      <w:pPr>
        <w:pStyle w:val="SingleTxtG"/>
        <w:numPr>
          <w:ilvl w:val="0"/>
          <w:numId w:val="52"/>
        </w:numPr>
        <w:ind w:left="1134" w:firstLine="0"/>
      </w:pPr>
      <w:r w:rsidRPr="000973CE">
        <w:t>Moreover, the right to health of indigenous people is threatened by changes in the use of land caused by development projects</w:t>
      </w:r>
      <w:r w:rsidR="007273ED">
        <w:t xml:space="preserve"> linked to logging</w:t>
      </w:r>
      <w:r w:rsidR="00CD697F">
        <w:t xml:space="preserve"> operations, palm oil plantations and energy</w:t>
      </w:r>
      <w:r w:rsidR="00491D17">
        <w:t>-</w:t>
      </w:r>
      <w:r w:rsidR="00CD697F">
        <w:t>intensive industries</w:t>
      </w:r>
      <w:r w:rsidRPr="000973CE">
        <w:t xml:space="preserve"> in certain parts of the country</w:t>
      </w:r>
      <w:r w:rsidR="008C7321">
        <w:t>, in particular in Sabah and Sarawak</w:t>
      </w:r>
      <w:r w:rsidRPr="000973CE">
        <w:t>. This has led to a substantial loss of access to traditional land and sources of livelihood</w:t>
      </w:r>
      <w:r w:rsidR="007273ED">
        <w:t>,</w:t>
      </w:r>
      <w:r w:rsidRPr="000973CE">
        <w:t xml:space="preserve"> </w:t>
      </w:r>
      <w:r w:rsidR="00A31EEA">
        <w:t xml:space="preserve">resettlement processes </w:t>
      </w:r>
      <w:r w:rsidR="00A31EEA" w:rsidRPr="00083193">
        <w:t>and instances of violence</w:t>
      </w:r>
      <w:r w:rsidR="00A31EEA">
        <w:t xml:space="preserve">, which </w:t>
      </w:r>
      <w:r w:rsidR="00D6475A">
        <w:t>have</w:t>
      </w:r>
      <w:r w:rsidRPr="000973CE">
        <w:t xml:space="preserve"> had a direct impact on </w:t>
      </w:r>
      <w:r w:rsidR="00D6475A">
        <w:t>the</w:t>
      </w:r>
      <w:r w:rsidR="007273ED">
        <w:t xml:space="preserve"> </w:t>
      </w:r>
      <w:r w:rsidRPr="000973CE">
        <w:t xml:space="preserve">physical </w:t>
      </w:r>
      <w:r w:rsidR="007273ED">
        <w:t xml:space="preserve">and mental </w:t>
      </w:r>
      <w:r w:rsidRPr="000973CE">
        <w:t>health</w:t>
      </w:r>
      <w:r w:rsidR="00D6475A">
        <w:t xml:space="preserve"> of these communities</w:t>
      </w:r>
      <w:r w:rsidR="00025686">
        <w:t>.</w:t>
      </w:r>
    </w:p>
    <w:p w:rsidR="008C7321" w:rsidRDefault="00E23256" w:rsidP="00934A11">
      <w:pPr>
        <w:pStyle w:val="SingleTxtG"/>
        <w:numPr>
          <w:ilvl w:val="0"/>
          <w:numId w:val="52"/>
        </w:numPr>
        <w:ind w:left="1134" w:firstLine="0"/>
      </w:pPr>
      <w:r w:rsidRPr="000973CE">
        <w:t xml:space="preserve">During </w:t>
      </w:r>
      <w:r w:rsidR="000B7509">
        <w:t>his</w:t>
      </w:r>
      <w:r w:rsidRPr="000973CE">
        <w:t xml:space="preserve"> visit</w:t>
      </w:r>
      <w:r w:rsidR="008C7321">
        <w:t xml:space="preserve"> to Sabah</w:t>
      </w:r>
      <w:r w:rsidRPr="000973CE">
        <w:t xml:space="preserve">, </w:t>
      </w:r>
      <w:r w:rsidR="000B7509">
        <w:t>the Special Rapporteur</w:t>
      </w:r>
      <w:r w:rsidRPr="000973CE">
        <w:t xml:space="preserve"> </w:t>
      </w:r>
      <w:r w:rsidR="00491D17">
        <w:t>heard</w:t>
      </w:r>
      <w:r w:rsidR="00491D17" w:rsidRPr="000973CE">
        <w:t xml:space="preserve"> </w:t>
      </w:r>
      <w:r w:rsidRPr="000973CE">
        <w:t xml:space="preserve">testimonies </w:t>
      </w:r>
      <w:r w:rsidR="00491D17">
        <w:t>that</w:t>
      </w:r>
      <w:r w:rsidR="0068239B">
        <w:t>,</w:t>
      </w:r>
      <w:r w:rsidR="00491D17" w:rsidRPr="000973CE">
        <w:t xml:space="preserve"> </w:t>
      </w:r>
      <w:r w:rsidR="00D6475A">
        <w:t xml:space="preserve">as a consequence of </w:t>
      </w:r>
      <w:r w:rsidR="00D017B5">
        <w:t xml:space="preserve">ongoing </w:t>
      </w:r>
      <w:r w:rsidR="00D6475A">
        <w:t>development projects</w:t>
      </w:r>
      <w:r w:rsidR="0068239B">
        <w:t>,</w:t>
      </w:r>
      <w:r w:rsidR="00D6475A">
        <w:t xml:space="preserve"> some of the communities have</w:t>
      </w:r>
      <w:r w:rsidRPr="000973CE">
        <w:t xml:space="preserve"> </w:t>
      </w:r>
      <w:r w:rsidR="00D6475A" w:rsidRPr="000973CE">
        <w:t>los</w:t>
      </w:r>
      <w:r w:rsidR="00D6475A">
        <w:t>t</w:t>
      </w:r>
      <w:r w:rsidR="00D6475A" w:rsidRPr="000973CE">
        <w:t xml:space="preserve"> access to traditional land</w:t>
      </w:r>
      <w:r w:rsidR="00D017B5">
        <w:t>s</w:t>
      </w:r>
      <w:r w:rsidR="00D6475A" w:rsidRPr="000973CE">
        <w:t xml:space="preserve"> and sources of livelihood</w:t>
      </w:r>
      <w:r w:rsidR="000E2F61">
        <w:t>,</w:t>
      </w:r>
      <w:r w:rsidR="00D6475A" w:rsidRPr="000973CE">
        <w:t xml:space="preserve"> </w:t>
      </w:r>
      <w:r w:rsidR="00D6475A">
        <w:t xml:space="preserve">which has </w:t>
      </w:r>
      <w:r w:rsidR="00D017B5">
        <w:t>had a negative impact</w:t>
      </w:r>
      <w:r w:rsidR="00D6475A">
        <w:t xml:space="preserve"> on their diet and physical health.</w:t>
      </w:r>
      <w:r w:rsidR="00453985">
        <w:t xml:space="preserve"> </w:t>
      </w:r>
      <w:r w:rsidR="00D6475A">
        <w:t>Testimonies also pointed to a lack of</w:t>
      </w:r>
      <w:r w:rsidRPr="000973CE">
        <w:t xml:space="preserve"> meaningful dialogue between authorities and indigenous communities, and these communities do not have access to basic information about </w:t>
      </w:r>
      <w:r w:rsidR="00DA13AE">
        <w:t>the</w:t>
      </w:r>
      <w:r w:rsidRPr="000973CE">
        <w:t xml:space="preserve"> projects in their region and the potential environmental impact.</w:t>
      </w:r>
      <w:r w:rsidR="00F1515C" w:rsidRPr="00680816">
        <w:rPr>
          <w:rStyle w:val="FootnoteReference"/>
        </w:rPr>
        <w:footnoteReference w:id="23"/>
      </w:r>
      <w:r w:rsidR="00F1515C">
        <w:t xml:space="preserve"> </w:t>
      </w:r>
      <w:r w:rsidRPr="000973CE">
        <w:t xml:space="preserve">This </w:t>
      </w:r>
      <w:r w:rsidR="003037F1">
        <w:t xml:space="preserve">can have a </w:t>
      </w:r>
      <w:r w:rsidRPr="000973CE">
        <w:t xml:space="preserve">serious effect on the mental health and emotional well-being of indigenous communities </w:t>
      </w:r>
      <w:r w:rsidR="00CB184F">
        <w:t>owing</w:t>
      </w:r>
      <w:r w:rsidR="00CB184F" w:rsidRPr="000973CE">
        <w:t xml:space="preserve"> </w:t>
      </w:r>
      <w:r w:rsidRPr="000973CE">
        <w:t>to uncertainties about</w:t>
      </w:r>
      <w:r w:rsidR="00CB184F">
        <w:t xml:space="preserve"> the security of</w:t>
      </w:r>
      <w:r w:rsidRPr="000973CE">
        <w:t xml:space="preserve"> their livelihood in the future</w:t>
      </w:r>
      <w:r w:rsidR="00CB184F">
        <w:t>, which</w:t>
      </w:r>
      <w:r w:rsidRPr="000973CE">
        <w:t xml:space="preserve"> lead</w:t>
      </w:r>
      <w:r w:rsidR="00CB184F">
        <w:t>s</w:t>
      </w:r>
      <w:r w:rsidRPr="000973CE">
        <w:t xml:space="preserve"> to chronic stress and anxiety. </w:t>
      </w:r>
    </w:p>
    <w:p w:rsidR="003037F1" w:rsidRPr="00C131EC" w:rsidRDefault="00D017B5" w:rsidP="00934A11">
      <w:pPr>
        <w:pStyle w:val="SingleTxtG"/>
        <w:numPr>
          <w:ilvl w:val="0"/>
          <w:numId w:val="52"/>
        </w:numPr>
        <w:ind w:left="1134" w:firstLine="0"/>
      </w:pPr>
      <w:r w:rsidRPr="00C131EC">
        <w:t>The Special Rapporteur would like to underline that t</w:t>
      </w:r>
      <w:r w:rsidR="008C7321" w:rsidRPr="00C131EC">
        <w:t>he right to health should be promoted and protected not only through access to health</w:t>
      </w:r>
      <w:r w:rsidR="00CB184F">
        <w:t>-</w:t>
      </w:r>
      <w:r w:rsidR="008C7321" w:rsidRPr="00C131EC">
        <w:t>care services</w:t>
      </w:r>
      <w:r w:rsidRPr="00C131EC">
        <w:t>, which should be available, affordable</w:t>
      </w:r>
      <w:r w:rsidR="00CC62A1" w:rsidRPr="00C131EC">
        <w:t>, appropriate</w:t>
      </w:r>
      <w:r w:rsidRPr="00C131EC">
        <w:t xml:space="preserve"> and of good quality</w:t>
      </w:r>
      <w:r w:rsidR="008C7321" w:rsidRPr="00C131EC">
        <w:t xml:space="preserve">. The right to health </w:t>
      </w:r>
      <w:r w:rsidRPr="00C131EC">
        <w:t xml:space="preserve">also </w:t>
      </w:r>
      <w:r w:rsidR="008C7321" w:rsidRPr="00C131EC">
        <w:t>implies the design and implementation of cross-sectoral programmes that address socioeconomic, cultural and environmental factors and are guided by a human rights approach</w:t>
      </w:r>
      <w:r w:rsidR="00CB184F">
        <w:t>,</w:t>
      </w:r>
      <w:r w:rsidR="008C7321" w:rsidRPr="00C131EC">
        <w:t xml:space="preserve"> with strong emphasis on the principles of non-discrimination, participation</w:t>
      </w:r>
      <w:r w:rsidR="00EE0E17">
        <w:t xml:space="preserve"> and empowerment</w:t>
      </w:r>
      <w:r w:rsidR="008C7321" w:rsidRPr="00C131EC">
        <w:t xml:space="preserve"> and accountability.</w:t>
      </w:r>
      <w:r w:rsidR="00453985">
        <w:t xml:space="preserve"> </w:t>
      </w:r>
    </w:p>
    <w:p w:rsidR="00545386" w:rsidRPr="00C131EC" w:rsidRDefault="00C131EC" w:rsidP="000031A1">
      <w:pPr>
        <w:pStyle w:val="H1G"/>
      </w:pPr>
      <w:r>
        <w:lastRenderedPageBreak/>
        <w:tab/>
        <w:t>C.</w:t>
      </w:r>
      <w:r>
        <w:tab/>
      </w:r>
      <w:r w:rsidR="00BC11AD" w:rsidRPr="00C131EC">
        <w:t>Mi</w:t>
      </w:r>
      <w:r w:rsidR="00E23256" w:rsidRPr="00C131EC">
        <w:t>grants, refugees and asylum</w:t>
      </w:r>
      <w:r w:rsidR="00CB184F">
        <w:t xml:space="preserve"> </w:t>
      </w:r>
      <w:r w:rsidR="00E23256" w:rsidRPr="00C131EC">
        <w:t>seekers</w:t>
      </w:r>
    </w:p>
    <w:p w:rsidR="00FF55D4" w:rsidRPr="000031A1" w:rsidRDefault="00C131EC" w:rsidP="000031A1">
      <w:pPr>
        <w:pStyle w:val="H23G"/>
        <w:rPr>
          <w:rFonts w:eastAsia="MS Mincho"/>
        </w:rPr>
      </w:pPr>
      <w:r>
        <w:rPr>
          <w:rFonts w:eastAsia="MS Mincho"/>
        </w:rPr>
        <w:tab/>
      </w:r>
      <w:r w:rsidR="00CB184F">
        <w:rPr>
          <w:rFonts w:eastAsia="MS Mincho"/>
        </w:rPr>
        <w:t>1.</w:t>
      </w:r>
      <w:r>
        <w:rPr>
          <w:rFonts w:eastAsia="MS Mincho"/>
        </w:rPr>
        <w:tab/>
      </w:r>
      <w:r w:rsidR="00FF55D4" w:rsidRPr="000031A1">
        <w:rPr>
          <w:rFonts w:eastAsia="MS Mincho"/>
        </w:rPr>
        <w:t>Documented and undocumented migrants</w:t>
      </w:r>
    </w:p>
    <w:p w:rsidR="00DA13AE" w:rsidRDefault="000431CF" w:rsidP="00934A11">
      <w:pPr>
        <w:pStyle w:val="SingleTxtG"/>
        <w:numPr>
          <w:ilvl w:val="0"/>
          <w:numId w:val="52"/>
        </w:numPr>
        <w:ind w:left="1134" w:firstLine="0"/>
        <w:rPr>
          <w:rFonts w:eastAsia="MS Mincho"/>
        </w:rPr>
      </w:pPr>
      <w:r w:rsidRPr="00E23256">
        <w:rPr>
          <w:rFonts w:eastAsia="MS Mincho"/>
        </w:rPr>
        <w:t>Malaysia is a multi-ethnic, multicultural, and multi-religious society that</w:t>
      </w:r>
      <w:r w:rsidR="00CB184F">
        <w:rPr>
          <w:rFonts w:eastAsia="MS Mincho"/>
        </w:rPr>
        <w:t>,</w:t>
      </w:r>
      <w:r w:rsidRPr="00E23256">
        <w:rPr>
          <w:rFonts w:eastAsia="MS Mincho"/>
        </w:rPr>
        <w:t xml:space="preserve"> </w:t>
      </w:r>
      <w:r w:rsidR="00CB184F">
        <w:rPr>
          <w:rFonts w:eastAsia="MS Mincho"/>
        </w:rPr>
        <w:t>owing</w:t>
      </w:r>
      <w:r w:rsidR="00CB184F" w:rsidRPr="00E23256">
        <w:rPr>
          <w:rFonts w:eastAsia="MS Mincho"/>
        </w:rPr>
        <w:t xml:space="preserve"> </w:t>
      </w:r>
      <w:r w:rsidRPr="00E23256">
        <w:rPr>
          <w:rFonts w:eastAsia="MS Mincho"/>
        </w:rPr>
        <w:t xml:space="preserve">to its </w:t>
      </w:r>
      <w:r w:rsidR="00552A8D">
        <w:rPr>
          <w:rFonts w:eastAsia="MS Mincho"/>
        </w:rPr>
        <w:t xml:space="preserve">geographical location and </w:t>
      </w:r>
      <w:r w:rsidRPr="00E23256">
        <w:rPr>
          <w:rFonts w:eastAsia="MS Mincho"/>
        </w:rPr>
        <w:t>economic dynamism</w:t>
      </w:r>
      <w:r w:rsidR="00CB184F">
        <w:rPr>
          <w:rFonts w:eastAsia="MS Mincho"/>
        </w:rPr>
        <w:t>,</w:t>
      </w:r>
      <w:r w:rsidRPr="00E23256">
        <w:rPr>
          <w:rFonts w:eastAsia="MS Mincho"/>
        </w:rPr>
        <w:t xml:space="preserve"> has become a main destination of workers’ migratory movements in the region</w:t>
      </w:r>
      <w:r w:rsidR="00552A8D">
        <w:rPr>
          <w:rFonts w:eastAsia="MS Mincho"/>
        </w:rPr>
        <w:t>, mostly into low-skilled labour, including domestic work</w:t>
      </w:r>
      <w:r w:rsidRPr="00E23256">
        <w:rPr>
          <w:rFonts w:eastAsia="MS Mincho"/>
        </w:rPr>
        <w:t xml:space="preserve">. It is estimated that there are currently over 6 million migrant workers in Malaysia, </w:t>
      </w:r>
      <w:r w:rsidR="00552A8D">
        <w:rPr>
          <w:rFonts w:eastAsia="MS Mincho"/>
        </w:rPr>
        <w:t xml:space="preserve">predominantly from Bangladesh, Cambodia, India, Indonesia, Nepal, </w:t>
      </w:r>
      <w:r w:rsidR="00CB184F">
        <w:rPr>
          <w:rFonts w:eastAsia="MS Mincho"/>
        </w:rPr>
        <w:t xml:space="preserve">the </w:t>
      </w:r>
      <w:r w:rsidR="00552A8D">
        <w:rPr>
          <w:rFonts w:eastAsia="MS Mincho"/>
        </w:rPr>
        <w:t>Philippines and Sri</w:t>
      </w:r>
      <w:r w:rsidR="007326E0">
        <w:rPr>
          <w:rFonts w:eastAsia="MS Mincho"/>
        </w:rPr>
        <w:t> </w:t>
      </w:r>
      <w:r w:rsidR="00552A8D">
        <w:rPr>
          <w:rFonts w:eastAsia="MS Mincho"/>
        </w:rPr>
        <w:t xml:space="preserve">Lanka, </w:t>
      </w:r>
      <w:r w:rsidRPr="00E23256">
        <w:rPr>
          <w:rFonts w:eastAsia="MS Mincho"/>
        </w:rPr>
        <w:t xml:space="preserve">of </w:t>
      </w:r>
      <w:r w:rsidR="00636378">
        <w:rPr>
          <w:rFonts w:eastAsia="MS Mincho"/>
        </w:rPr>
        <w:t>whom</w:t>
      </w:r>
      <w:r w:rsidR="00636378" w:rsidRPr="00E23256">
        <w:rPr>
          <w:rFonts w:eastAsia="MS Mincho"/>
        </w:rPr>
        <w:t xml:space="preserve"> </w:t>
      </w:r>
      <w:r w:rsidRPr="00E23256">
        <w:rPr>
          <w:rFonts w:eastAsia="MS Mincho"/>
        </w:rPr>
        <w:t>about 2.9</w:t>
      </w:r>
      <w:r w:rsidR="007326E0">
        <w:rPr>
          <w:rFonts w:eastAsia="MS Mincho"/>
        </w:rPr>
        <w:t> </w:t>
      </w:r>
      <w:r w:rsidRPr="00E23256">
        <w:rPr>
          <w:rFonts w:eastAsia="MS Mincho"/>
        </w:rPr>
        <w:t xml:space="preserve">million are </w:t>
      </w:r>
      <w:r w:rsidR="00552A8D">
        <w:rPr>
          <w:rFonts w:eastAsia="MS Mincho"/>
        </w:rPr>
        <w:t>un</w:t>
      </w:r>
      <w:r w:rsidRPr="00E23256">
        <w:rPr>
          <w:rFonts w:eastAsia="MS Mincho"/>
        </w:rPr>
        <w:t>documented.</w:t>
      </w:r>
      <w:r w:rsidR="00552A8D">
        <w:rPr>
          <w:rFonts w:eastAsia="MS Mincho"/>
        </w:rPr>
        <w:t xml:space="preserve"> </w:t>
      </w:r>
    </w:p>
    <w:p w:rsidR="000431CF" w:rsidRDefault="00AA0D6A" w:rsidP="00934A11">
      <w:pPr>
        <w:pStyle w:val="SingleTxtG"/>
        <w:numPr>
          <w:ilvl w:val="0"/>
          <w:numId w:val="52"/>
        </w:numPr>
        <w:ind w:left="1134" w:firstLine="0"/>
        <w:rPr>
          <w:rFonts w:eastAsia="MS Mincho"/>
        </w:rPr>
      </w:pPr>
      <w:r w:rsidRPr="00AA0D6A">
        <w:rPr>
          <w:rFonts w:eastAsia="MS Mincho"/>
        </w:rPr>
        <w:t xml:space="preserve">Malaysia is a party to five of the eight </w:t>
      </w:r>
      <w:r w:rsidR="00636378">
        <w:rPr>
          <w:rFonts w:eastAsia="MS Mincho"/>
        </w:rPr>
        <w:t xml:space="preserve">International Labour Organization </w:t>
      </w:r>
      <w:r>
        <w:rPr>
          <w:rFonts w:eastAsia="MS Mincho"/>
        </w:rPr>
        <w:t>core</w:t>
      </w:r>
      <w:r w:rsidRPr="00AA0D6A">
        <w:rPr>
          <w:rFonts w:eastAsia="MS Mincho"/>
        </w:rPr>
        <w:t xml:space="preserve"> </w:t>
      </w:r>
      <w:r>
        <w:rPr>
          <w:rFonts w:eastAsia="MS Mincho"/>
        </w:rPr>
        <w:t>conventions that relate to fundamental principles and right at work.</w:t>
      </w:r>
      <w:r w:rsidR="00453985">
        <w:rPr>
          <w:rFonts w:eastAsia="MS Mincho"/>
        </w:rPr>
        <w:t xml:space="preserve"> </w:t>
      </w:r>
      <w:r w:rsidR="00B51BF7">
        <w:rPr>
          <w:rFonts w:eastAsia="MS Mincho"/>
        </w:rPr>
        <w:t>But i</w:t>
      </w:r>
      <w:r>
        <w:rPr>
          <w:rFonts w:eastAsia="MS Mincho"/>
        </w:rPr>
        <w:t xml:space="preserve">t has </w:t>
      </w:r>
      <w:r w:rsidR="005F36AB">
        <w:rPr>
          <w:rFonts w:eastAsia="MS Mincho"/>
        </w:rPr>
        <w:t>neither</w:t>
      </w:r>
      <w:r>
        <w:rPr>
          <w:rFonts w:eastAsia="MS Mincho"/>
        </w:rPr>
        <w:t xml:space="preserve"> ratified </w:t>
      </w:r>
      <w:r w:rsidR="005F36AB">
        <w:rPr>
          <w:rFonts w:eastAsia="MS Mincho"/>
        </w:rPr>
        <w:t>the Freedom of Association and Protection of the Right to Organise Convention</w:t>
      </w:r>
      <w:r w:rsidR="00636378">
        <w:rPr>
          <w:rFonts w:eastAsia="MS Mincho"/>
        </w:rPr>
        <w:t>,</w:t>
      </w:r>
      <w:r w:rsidR="005F36AB">
        <w:rPr>
          <w:rFonts w:eastAsia="MS Mincho"/>
        </w:rPr>
        <w:t xml:space="preserve"> </w:t>
      </w:r>
      <w:r w:rsidR="00636378">
        <w:rPr>
          <w:rFonts w:eastAsia="MS Mincho"/>
        </w:rPr>
        <w:t>1948 (</w:t>
      </w:r>
      <w:r w:rsidR="001B35C0">
        <w:rPr>
          <w:rFonts w:eastAsia="MS Mincho"/>
        </w:rPr>
        <w:t>No. </w:t>
      </w:r>
      <w:r w:rsidR="005F36AB">
        <w:rPr>
          <w:rFonts w:eastAsia="MS Mincho"/>
        </w:rPr>
        <w:t>87) nor the Discrimination (employment and Occupation) Convention</w:t>
      </w:r>
      <w:r w:rsidR="00636378">
        <w:rPr>
          <w:rFonts w:eastAsia="MS Mincho"/>
        </w:rPr>
        <w:t>,</w:t>
      </w:r>
      <w:r w:rsidR="005F36AB">
        <w:rPr>
          <w:rFonts w:eastAsia="MS Mincho"/>
        </w:rPr>
        <w:t xml:space="preserve"> </w:t>
      </w:r>
      <w:r w:rsidR="00636378">
        <w:rPr>
          <w:rFonts w:eastAsia="MS Mincho"/>
        </w:rPr>
        <w:t>1958 (</w:t>
      </w:r>
      <w:r w:rsidR="001B35C0">
        <w:rPr>
          <w:rFonts w:eastAsia="MS Mincho"/>
        </w:rPr>
        <w:t>No. </w:t>
      </w:r>
      <w:r w:rsidR="005F36AB">
        <w:rPr>
          <w:rFonts w:eastAsia="MS Mincho"/>
        </w:rPr>
        <w:t>111), and it denounced the Abolition of Forced Labour Convention</w:t>
      </w:r>
      <w:r w:rsidR="00636378">
        <w:rPr>
          <w:rFonts w:eastAsia="MS Mincho"/>
        </w:rPr>
        <w:t>, 1957</w:t>
      </w:r>
      <w:r w:rsidR="005F36AB">
        <w:rPr>
          <w:rFonts w:eastAsia="MS Mincho"/>
        </w:rPr>
        <w:t xml:space="preserve"> </w:t>
      </w:r>
      <w:r w:rsidR="00636378">
        <w:rPr>
          <w:rFonts w:eastAsia="MS Mincho"/>
        </w:rPr>
        <w:t>(</w:t>
      </w:r>
      <w:r w:rsidR="001B35C0">
        <w:rPr>
          <w:rFonts w:eastAsia="MS Mincho"/>
        </w:rPr>
        <w:t>No. </w:t>
      </w:r>
      <w:r w:rsidR="005F36AB">
        <w:rPr>
          <w:rFonts w:eastAsia="MS Mincho"/>
        </w:rPr>
        <w:t>105) in 1990.</w:t>
      </w:r>
      <w:r w:rsidR="00C131EC">
        <w:rPr>
          <w:rFonts w:eastAsia="MS Mincho"/>
        </w:rPr>
        <w:t xml:space="preserve"> </w:t>
      </w:r>
    </w:p>
    <w:p w:rsidR="000A361D" w:rsidRDefault="000A361D" w:rsidP="00934A11">
      <w:pPr>
        <w:pStyle w:val="SingleTxtG"/>
        <w:numPr>
          <w:ilvl w:val="0"/>
          <w:numId w:val="52"/>
        </w:numPr>
        <w:ind w:left="1134" w:firstLine="0"/>
        <w:rPr>
          <w:rFonts w:eastAsia="MS Mincho"/>
        </w:rPr>
      </w:pPr>
      <w:r w:rsidRPr="000A361D">
        <w:rPr>
          <w:rFonts w:eastAsia="MS Mincho"/>
        </w:rPr>
        <w:t>The Immigration Act</w:t>
      </w:r>
      <w:r w:rsidR="000431CF">
        <w:rPr>
          <w:rFonts w:eastAsia="MS Mincho"/>
        </w:rPr>
        <w:t>, amended in 2002,</w:t>
      </w:r>
      <w:r w:rsidRPr="000A361D">
        <w:rPr>
          <w:rFonts w:eastAsia="MS Mincho"/>
        </w:rPr>
        <w:t xml:space="preserve"> </w:t>
      </w:r>
      <w:r w:rsidR="005F7C58">
        <w:rPr>
          <w:rFonts w:eastAsia="MS Mincho"/>
        </w:rPr>
        <w:t xml:space="preserve">and </w:t>
      </w:r>
      <w:r w:rsidR="005F7C58" w:rsidRPr="000A361D">
        <w:rPr>
          <w:rFonts w:eastAsia="MS Mincho"/>
        </w:rPr>
        <w:t>modified by the Immigration Regulations 1963</w:t>
      </w:r>
      <w:r w:rsidR="005F7C58">
        <w:rPr>
          <w:rFonts w:eastAsia="MS Mincho"/>
        </w:rPr>
        <w:t xml:space="preserve">, </w:t>
      </w:r>
      <w:r w:rsidRPr="000A361D">
        <w:rPr>
          <w:rFonts w:eastAsia="MS Mincho"/>
        </w:rPr>
        <w:t>form the cornerstone of the Malaysian immigration system.</w:t>
      </w:r>
      <w:r w:rsidR="001B35C0">
        <w:rPr>
          <w:rFonts w:eastAsia="MS Mincho"/>
        </w:rPr>
        <w:t xml:space="preserve"> </w:t>
      </w:r>
      <w:r w:rsidRPr="000A361D">
        <w:rPr>
          <w:rFonts w:eastAsia="MS Mincho"/>
        </w:rPr>
        <w:t>In addition</w:t>
      </w:r>
      <w:r>
        <w:rPr>
          <w:rFonts w:eastAsia="MS Mincho"/>
        </w:rPr>
        <w:t>,</w:t>
      </w:r>
      <w:r w:rsidRPr="000A361D">
        <w:rPr>
          <w:rFonts w:eastAsia="MS Mincho"/>
        </w:rPr>
        <w:t xml:space="preserve"> the Passports Act 1966 specifies requirements relating to </w:t>
      </w:r>
      <w:r w:rsidR="00EE0E17">
        <w:rPr>
          <w:rFonts w:eastAsia="MS Mincho"/>
        </w:rPr>
        <w:t xml:space="preserve">necessary documentation </w:t>
      </w:r>
      <w:r w:rsidR="005F7C58">
        <w:rPr>
          <w:rFonts w:eastAsia="MS Mincho"/>
        </w:rPr>
        <w:t>on</w:t>
      </w:r>
      <w:r w:rsidR="00EE0E17">
        <w:rPr>
          <w:rFonts w:eastAsia="MS Mincho"/>
        </w:rPr>
        <w:t xml:space="preserve"> </w:t>
      </w:r>
      <w:r w:rsidRPr="000A361D">
        <w:rPr>
          <w:rFonts w:eastAsia="MS Mincho"/>
        </w:rPr>
        <w:t>entering or leaving Malaysia.</w:t>
      </w:r>
      <w:r w:rsidR="005F36AB">
        <w:rPr>
          <w:rFonts w:eastAsia="MS Mincho"/>
        </w:rPr>
        <w:t xml:space="preserve"> </w:t>
      </w:r>
      <w:r w:rsidRPr="000A361D">
        <w:rPr>
          <w:rFonts w:eastAsia="MS Mincho"/>
        </w:rPr>
        <w:t xml:space="preserve">Before </w:t>
      </w:r>
      <w:r w:rsidR="003C0F53">
        <w:rPr>
          <w:rFonts w:eastAsia="MS Mincho"/>
        </w:rPr>
        <w:t>a</w:t>
      </w:r>
      <w:r w:rsidRPr="000A361D">
        <w:rPr>
          <w:rFonts w:eastAsia="MS Mincho"/>
        </w:rPr>
        <w:t xml:space="preserve"> work permit can be granted, prospective workers must pass a health check. The Foreign Workers Medical Examination Monitoring Agency manages the health screenin</w:t>
      </w:r>
      <w:r>
        <w:rPr>
          <w:rFonts w:eastAsia="MS Mincho"/>
        </w:rPr>
        <w:t xml:space="preserve">g system </w:t>
      </w:r>
      <w:r w:rsidR="00523475">
        <w:rPr>
          <w:rFonts w:eastAsia="MS Mincho"/>
        </w:rPr>
        <w:t xml:space="preserve">of </w:t>
      </w:r>
      <w:r w:rsidR="00523475" w:rsidRPr="000A361D">
        <w:rPr>
          <w:rFonts w:eastAsia="MS Mincho"/>
        </w:rPr>
        <w:t>foreign worker</w:t>
      </w:r>
      <w:r w:rsidR="00C80571">
        <w:rPr>
          <w:rFonts w:eastAsia="MS Mincho"/>
        </w:rPr>
        <w:t>s</w:t>
      </w:r>
      <w:r w:rsidR="00523475" w:rsidRPr="000A361D">
        <w:rPr>
          <w:rFonts w:eastAsia="MS Mincho"/>
        </w:rPr>
        <w:t xml:space="preserve"> </w:t>
      </w:r>
      <w:r>
        <w:rPr>
          <w:rFonts w:eastAsia="MS Mincho"/>
        </w:rPr>
        <w:t xml:space="preserve">in </w:t>
      </w:r>
      <w:r w:rsidR="00C80571">
        <w:rPr>
          <w:rFonts w:eastAsia="MS Mincho"/>
        </w:rPr>
        <w:t>p</w:t>
      </w:r>
      <w:r>
        <w:rPr>
          <w:rFonts w:eastAsia="MS Mincho"/>
        </w:rPr>
        <w:t>eninsular Malaysia.</w:t>
      </w:r>
      <w:r w:rsidR="00453985">
        <w:rPr>
          <w:rFonts w:eastAsia="MS Mincho"/>
        </w:rPr>
        <w:t xml:space="preserve"> </w:t>
      </w:r>
      <w:r w:rsidRPr="000A361D">
        <w:rPr>
          <w:rFonts w:eastAsia="MS Mincho"/>
        </w:rPr>
        <w:t>Fifteen medical conditions automatically</w:t>
      </w:r>
      <w:r w:rsidR="00552A8D">
        <w:rPr>
          <w:rFonts w:eastAsia="MS Mincho"/>
        </w:rPr>
        <w:t xml:space="preserve"> </w:t>
      </w:r>
      <w:r w:rsidRPr="000A361D">
        <w:rPr>
          <w:rFonts w:eastAsia="MS Mincho"/>
        </w:rPr>
        <w:t>disqualify prospective workers, including</w:t>
      </w:r>
      <w:r w:rsidR="00C80571">
        <w:rPr>
          <w:rFonts w:eastAsia="MS Mincho"/>
        </w:rPr>
        <w:t xml:space="preserve"> an</w:t>
      </w:r>
      <w:r w:rsidRPr="000A361D">
        <w:rPr>
          <w:rFonts w:eastAsia="MS Mincho"/>
        </w:rPr>
        <w:t xml:space="preserve"> HIV</w:t>
      </w:r>
      <w:r w:rsidR="00C80571">
        <w:rPr>
          <w:rFonts w:eastAsia="MS Mincho"/>
        </w:rPr>
        <w:t>-</w:t>
      </w:r>
      <w:r w:rsidRPr="000A361D">
        <w:rPr>
          <w:rFonts w:eastAsia="MS Mincho"/>
        </w:rPr>
        <w:t xml:space="preserve">seropositive status and pregnancy. Workers who are renewing work permits must pass the same health tests. </w:t>
      </w:r>
    </w:p>
    <w:p w:rsidR="00AC68B6" w:rsidRDefault="00D15179" w:rsidP="00934A11">
      <w:pPr>
        <w:pStyle w:val="SingleTxtG"/>
        <w:numPr>
          <w:ilvl w:val="0"/>
          <w:numId w:val="52"/>
        </w:numPr>
        <w:ind w:left="1134" w:firstLine="0"/>
        <w:rPr>
          <w:rFonts w:eastAsia="MS Mincho"/>
        </w:rPr>
      </w:pPr>
      <w:r w:rsidRPr="00C05422">
        <w:rPr>
          <w:rFonts w:eastAsia="MS Mincho"/>
        </w:rPr>
        <w:t>The</w:t>
      </w:r>
      <w:r w:rsidR="000A361D" w:rsidRPr="00C05422">
        <w:rPr>
          <w:rFonts w:eastAsia="MS Mincho"/>
        </w:rPr>
        <w:t xml:space="preserve"> notification of infectious diseases is required by the Prevention and Control of Infectious Diseases Act,</w:t>
      </w:r>
      <w:r w:rsidR="000A361D" w:rsidRPr="000A361D">
        <w:rPr>
          <w:rFonts w:eastAsia="MS Mincho"/>
        </w:rPr>
        <w:t xml:space="preserve"> </w:t>
      </w:r>
      <w:r w:rsidR="000A361D">
        <w:rPr>
          <w:rFonts w:eastAsia="MS Mincho"/>
        </w:rPr>
        <w:t xml:space="preserve">and </w:t>
      </w:r>
      <w:r w:rsidR="000A361D" w:rsidRPr="000A361D">
        <w:rPr>
          <w:rFonts w:eastAsia="MS Mincho"/>
        </w:rPr>
        <w:t>the Immigration Act is used to deport migrant workers with HIV and/or require them to submit to a medical examination if necessary</w:t>
      </w:r>
      <w:r w:rsidR="000A361D" w:rsidRPr="000A361D">
        <w:rPr>
          <w:rFonts w:eastAsia="MS Mincho"/>
          <w:sz w:val="18"/>
          <w:szCs w:val="18"/>
        </w:rPr>
        <w:t>.</w:t>
      </w:r>
      <w:r w:rsidR="001B35C0">
        <w:rPr>
          <w:rFonts w:eastAsia="MS Mincho"/>
          <w:sz w:val="18"/>
          <w:szCs w:val="18"/>
        </w:rPr>
        <w:t xml:space="preserve"> </w:t>
      </w:r>
      <w:r w:rsidR="00552A8D" w:rsidRPr="00E23256">
        <w:rPr>
          <w:rFonts w:eastAsia="MS Mincho"/>
        </w:rPr>
        <w:t xml:space="preserve">This </w:t>
      </w:r>
      <w:r w:rsidR="00552A8D">
        <w:rPr>
          <w:rFonts w:eastAsia="MS Mincho"/>
        </w:rPr>
        <w:t xml:space="preserve">policy and </w:t>
      </w:r>
      <w:r w:rsidR="00552A8D" w:rsidRPr="00E23256">
        <w:rPr>
          <w:rFonts w:eastAsia="MS Mincho"/>
        </w:rPr>
        <w:t xml:space="preserve">practice poses a serious problem with respect to the right not to be discriminated on the basis of health status, </w:t>
      </w:r>
      <w:r w:rsidR="00C05422">
        <w:rPr>
          <w:rFonts w:eastAsia="MS Mincho"/>
        </w:rPr>
        <w:t xml:space="preserve">the </w:t>
      </w:r>
      <w:r w:rsidR="00552A8D" w:rsidRPr="00E23256">
        <w:rPr>
          <w:rFonts w:eastAsia="MS Mincho"/>
        </w:rPr>
        <w:t>right to privacy and informed consent</w:t>
      </w:r>
      <w:r w:rsidR="00552A8D">
        <w:rPr>
          <w:rFonts w:eastAsia="MS Mincho"/>
        </w:rPr>
        <w:t>. In addition, it goes against</w:t>
      </w:r>
      <w:r w:rsidR="00552A8D" w:rsidRPr="000A361D">
        <w:rPr>
          <w:rFonts w:eastAsia="MS Mincho"/>
        </w:rPr>
        <w:t xml:space="preserve"> international guidelines set out by </w:t>
      </w:r>
      <w:r w:rsidR="00C05422">
        <w:rPr>
          <w:rFonts w:eastAsia="MS Mincho"/>
        </w:rPr>
        <w:t>the J</w:t>
      </w:r>
      <w:r w:rsidR="00C05422" w:rsidRPr="00C05422">
        <w:rPr>
          <w:rFonts w:eastAsia="MS Mincho"/>
        </w:rPr>
        <w:t xml:space="preserve">oint United Nations Programme on HIV/AIDS </w:t>
      </w:r>
      <w:r w:rsidR="00C05422">
        <w:rPr>
          <w:rFonts w:eastAsia="MS Mincho"/>
        </w:rPr>
        <w:t>(</w:t>
      </w:r>
      <w:r w:rsidR="00552A8D" w:rsidRPr="00ED7725">
        <w:rPr>
          <w:rFonts w:eastAsia="MS Mincho"/>
        </w:rPr>
        <w:t>UNAIDS</w:t>
      </w:r>
      <w:r w:rsidR="00C05422">
        <w:rPr>
          <w:rFonts w:eastAsia="MS Mincho"/>
        </w:rPr>
        <w:t>)</w:t>
      </w:r>
      <w:r w:rsidR="00552A8D" w:rsidRPr="00ED7725">
        <w:rPr>
          <w:rFonts w:eastAsia="MS Mincho"/>
        </w:rPr>
        <w:t xml:space="preserve"> and WHO regarding </w:t>
      </w:r>
      <w:r w:rsidR="00552A8D">
        <w:rPr>
          <w:rFonts w:eastAsia="MS Mincho"/>
        </w:rPr>
        <w:t xml:space="preserve">HIV </w:t>
      </w:r>
      <w:r w:rsidR="00552A8D" w:rsidRPr="00ED7725">
        <w:rPr>
          <w:rFonts w:eastAsia="MS Mincho"/>
        </w:rPr>
        <w:t>testing.</w:t>
      </w:r>
      <w:r w:rsidR="00552A8D" w:rsidRPr="00680816">
        <w:rPr>
          <w:rStyle w:val="FootnoteReference"/>
          <w:rFonts w:eastAsia="MS Mincho"/>
        </w:rPr>
        <w:footnoteReference w:id="24"/>
      </w:r>
      <w:r w:rsidR="00552A8D" w:rsidRPr="00ED7725">
        <w:rPr>
          <w:rFonts w:eastAsia="MS Mincho"/>
          <w:sz w:val="18"/>
          <w:szCs w:val="18"/>
        </w:rPr>
        <w:t xml:space="preserve"> </w:t>
      </w:r>
      <w:r w:rsidR="00552A8D" w:rsidRPr="00ED7725">
        <w:rPr>
          <w:rFonts w:eastAsia="MS Mincho"/>
        </w:rPr>
        <w:t>A</w:t>
      </w:r>
      <w:r w:rsidR="00552A8D" w:rsidRPr="000A361D">
        <w:rPr>
          <w:rFonts w:eastAsia="MS Mincho"/>
        </w:rPr>
        <w:t xml:space="preserve">lthough </w:t>
      </w:r>
      <w:r w:rsidR="00552A8D">
        <w:rPr>
          <w:rFonts w:eastAsia="MS Mincho"/>
        </w:rPr>
        <w:t>S</w:t>
      </w:r>
      <w:r w:rsidR="00552A8D" w:rsidRPr="000A361D">
        <w:rPr>
          <w:rFonts w:eastAsia="MS Mincho"/>
        </w:rPr>
        <w:t>tates may place restrictions on the entry of non-citizens on public health grounds, HIV status is not a reasonable basis for such restrictions.</w:t>
      </w:r>
      <w:r w:rsidR="00552A8D">
        <w:rPr>
          <w:rFonts w:eastAsia="MS Mincho"/>
        </w:rPr>
        <w:t xml:space="preserve"> </w:t>
      </w:r>
    </w:p>
    <w:p w:rsidR="000A361D" w:rsidRDefault="000A361D" w:rsidP="00934A11">
      <w:pPr>
        <w:pStyle w:val="SingleTxtG"/>
        <w:numPr>
          <w:ilvl w:val="0"/>
          <w:numId w:val="52"/>
        </w:numPr>
        <w:ind w:left="1134" w:firstLine="0"/>
        <w:rPr>
          <w:rFonts w:eastAsia="MS Mincho"/>
        </w:rPr>
      </w:pPr>
      <w:r w:rsidRPr="000A361D">
        <w:rPr>
          <w:rFonts w:eastAsia="MS Mincho"/>
        </w:rPr>
        <w:t>Pregnancy</w:t>
      </w:r>
      <w:r w:rsidR="00AC68B6">
        <w:rPr>
          <w:rFonts w:eastAsia="MS Mincho"/>
        </w:rPr>
        <w:t>, which is not an illness,</w:t>
      </w:r>
      <w:r w:rsidRPr="000A361D">
        <w:rPr>
          <w:rFonts w:eastAsia="MS Mincho"/>
        </w:rPr>
        <w:t xml:space="preserve"> also bars </w:t>
      </w:r>
      <w:r>
        <w:rPr>
          <w:rFonts w:eastAsia="MS Mincho"/>
        </w:rPr>
        <w:t xml:space="preserve">migrants </w:t>
      </w:r>
      <w:r w:rsidR="00C05422">
        <w:rPr>
          <w:rFonts w:eastAsia="MS Mincho"/>
        </w:rPr>
        <w:t xml:space="preserve">from entering </w:t>
      </w:r>
      <w:r>
        <w:rPr>
          <w:rFonts w:eastAsia="MS Mincho"/>
        </w:rPr>
        <w:t xml:space="preserve">Malaysia </w:t>
      </w:r>
      <w:r w:rsidRPr="000A361D">
        <w:rPr>
          <w:rFonts w:eastAsia="MS Mincho"/>
        </w:rPr>
        <w:t>and</w:t>
      </w:r>
      <w:r>
        <w:rPr>
          <w:rFonts w:eastAsia="MS Mincho"/>
        </w:rPr>
        <w:t>,</w:t>
      </w:r>
      <w:r w:rsidRPr="000A361D">
        <w:rPr>
          <w:rFonts w:eastAsia="MS Mincho"/>
        </w:rPr>
        <w:t xml:space="preserve"> </w:t>
      </w:r>
      <w:r w:rsidR="00C05422">
        <w:rPr>
          <w:rFonts w:eastAsia="MS Mincho"/>
        </w:rPr>
        <w:t>moreover</w:t>
      </w:r>
      <w:r w:rsidRPr="000A361D">
        <w:rPr>
          <w:rFonts w:eastAsia="MS Mincho"/>
        </w:rPr>
        <w:t xml:space="preserve">, under current immigration policies a migrant worker who becomes pregnant is subject to immediate dismissal and her work permit is revoked. </w:t>
      </w:r>
    </w:p>
    <w:p w:rsidR="000A361D" w:rsidRPr="00C131EC" w:rsidRDefault="000A361D" w:rsidP="00934A11">
      <w:pPr>
        <w:pStyle w:val="SingleTxtG"/>
        <w:numPr>
          <w:ilvl w:val="0"/>
          <w:numId w:val="52"/>
        </w:numPr>
        <w:ind w:left="1134" w:firstLine="0"/>
        <w:rPr>
          <w:rFonts w:eastAsia="MS Mincho"/>
          <w:sz w:val="18"/>
          <w:szCs w:val="18"/>
        </w:rPr>
      </w:pPr>
      <w:r w:rsidRPr="000A361D">
        <w:rPr>
          <w:rFonts w:eastAsia="MS Mincho"/>
        </w:rPr>
        <w:t>The</w:t>
      </w:r>
      <w:r>
        <w:rPr>
          <w:rFonts w:eastAsia="MS Mincho"/>
        </w:rPr>
        <w:t xml:space="preserve"> Special Rapporteur urges the Government to remove these</w:t>
      </w:r>
      <w:r w:rsidRPr="000A361D">
        <w:rPr>
          <w:rFonts w:eastAsia="MS Mincho"/>
        </w:rPr>
        <w:t xml:space="preserve"> requirements from the list, both the requirement to be tested for HIV status and </w:t>
      </w:r>
      <w:r w:rsidR="00AC68B6">
        <w:rPr>
          <w:rFonts w:eastAsia="MS Mincho"/>
        </w:rPr>
        <w:t xml:space="preserve">for </w:t>
      </w:r>
      <w:r w:rsidRPr="000A361D">
        <w:rPr>
          <w:rFonts w:eastAsia="MS Mincho"/>
        </w:rPr>
        <w:t xml:space="preserve">pregnancy. Moreover, </w:t>
      </w:r>
      <w:r>
        <w:rPr>
          <w:rFonts w:eastAsia="MS Mincho"/>
        </w:rPr>
        <w:t xml:space="preserve">both for reasons of public health and </w:t>
      </w:r>
      <w:r w:rsidR="00EB2E1D">
        <w:rPr>
          <w:rFonts w:eastAsia="MS Mincho"/>
        </w:rPr>
        <w:t xml:space="preserve">to ensure the </w:t>
      </w:r>
      <w:r>
        <w:rPr>
          <w:rFonts w:eastAsia="MS Mincho"/>
        </w:rPr>
        <w:t xml:space="preserve">right to privacy and information, </w:t>
      </w:r>
      <w:r w:rsidRPr="000A361D">
        <w:rPr>
          <w:rFonts w:eastAsia="MS Mincho"/>
        </w:rPr>
        <w:t>it is essential to ensure that the results of medical examinations are communicated to migrants along with the appropriate hea</w:t>
      </w:r>
      <w:r w:rsidR="00471DB5">
        <w:rPr>
          <w:rFonts w:eastAsia="MS Mincho"/>
        </w:rPr>
        <w:t>lth information and counselling</w:t>
      </w:r>
      <w:r w:rsidRPr="000A361D">
        <w:rPr>
          <w:rFonts w:eastAsia="MS Mincho"/>
          <w:sz w:val="18"/>
          <w:szCs w:val="18"/>
        </w:rPr>
        <w:t>.</w:t>
      </w:r>
      <w:r w:rsidRPr="00680816">
        <w:rPr>
          <w:rStyle w:val="FootnoteReference"/>
          <w:rFonts w:eastAsia="MS Mincho"/>
        </w:rPr>
        <w:footnoteReference w:id="25"/>
      </w:r>
      <w:r w:rsidRPr="000A361D">
        <w:rPr>
          <w:rFonts w:eastAsia="MS Mincho"/>
          <w:sz w:val="18"/>
          <w:szCs w:val="18"/>
        </w:rPr>
        <w:t xml:space="preserve"> </w:t>
      </w:r>
    </w:p>
    <w:p w:rsidR="00AC68B6" w:rsidRDefault="00AC68B6" w:rsidP="00934A11">
      <w:pPr>
        <w:pStyle w:val="SingleTxtG"/>
        <w:numPr>
          <w:ilvl w:val="0"/>
          <w:numId w:val="52"/>
        </w:numPr>
        <w:ind w:left="1134" w:firstLine="0"/>
        <w:rPr>
          <w:rFonts w:eastAsia="MS Mincho"/>
        </w:rPr>
      </w:pPr>
      <w:r>
        <w:rPr>
          <w:rFonts w:eastAsia="MS Mincho"/>
        </w:rPr>
        <w:t>D</w:t>
      </w:r>
      <w:r w:rsidR="00ED7725" w:rsidRPr="00E23256">
        <w:rPr>
          <w:rFonts w:eastAsia="MS Mincho"/>
        </w:rPr>
        <w:t xml:space="preserve">ocumented migrants, as </w:t>
      </w:r>
      <w:r>
        <w:rPr>
          <w:rFonts w:eastAsia="MS Mincho"/>
        </w:rPr>
        <w:t>non-</w:t>
      </w:r>
      <w:r w:rsidR="00ED7725" w:rsidRPr="00E23256">
        <w:rPr>
          <w:rFonts w:eastAsia="MS Mincho"/>
        </w:rPr>
        <w:t>nationals, face specific barriers when accessing the health</w:t>
      </w:r>
      <w:r w:rsidR="00C05422">
        <w:rPr>
          <w:rFonts w:eastAsia="MS Mincho"/>
        </w:rPr>
        <w:t>-</w:t>
      </w:r>
      <w:r w:rsidR="00ED7725" w:rsidRPr="00E23256">
        <w:rPr>
          <w:rFonts w:eastAsia="MS Mincho"/>
        </w:rPr>
        <w:t>care system</w:t>
      </w:r>
      <w:r w:rsidR="00C05422">
        <w:rPr>
          <w:rFonts w:eastAsia="MS Mincho"/>
        </w:rPr>
        <w:t>,</w:t>
      </w:r>
      <w:r w:rsidR="002E46E2">
        <w:rPr>
          <w:rFonts w:eastAsia="MS Mincho"/>
        </w:rPr>
        <w:t xml:space="preserve"> which </w:t>
      </w:r>
      <w:r w:rsidR="002E46E2" w:rsidRPr="00ED7725">
        <w:rPr>
          <w:rFonts w:eastAsia="MS Mincho"/>
        </w:rPr>
        <w:t>presume</w:t>
      </w:r>
      <w:r w:rsidR="00AF5AE0">
        <w:rPr>
          <w:rFonts w:eastAsia="MS Mincho"/>
        </w:rPr>
        <w:t>s</w:t>
      </w:r>
      <w:r w:rsidR="002E46E2" w:rsidRPr="00ED7725">
        <w:rPr>
          <w:rFonts w:eastAsia="MS Mincho"/>
        </w:rPr>
        <w:t xml:space="preserve"> that migrants place a burden on an overstretched public health system</w:t>
      </w:r>
      <w:r w:rsidR="00ED7725" w:rsidRPr="00E23256">
        <w:rPr>
          <w:rFonts w:eastAsia="MS Mincho"/>
        </w:rPr>
        <w:t xml:space="preserve">. </w:t>
      </w:r>
      <w:r w:rsidR="00471DB5">
        <w:rPr>
          <w:rFonts w:eastAsia="MS Mincho"/>
        </w:rPr>
        <w:t>M</w:t>
      </w:r>
      <w:r w:rsidR="002E46E2">
        <w:rPr>
          <w:rFonts w:eastAsia="MS Mincho"/>
        </w:rPr>
        <w:t xml:space="preserve">igrants and foreign nationals have </w:t>
      </w:r>
      <w:r w:rsidR="002E46E2" w:rsidRPr="00E23256">
        <w:rPr>
          <w:rFonts w:eastAsia="MS Mincho"/>
        </w:rPr>
        <w:t xml:space="preserve">a limit of five days to access medication </w:t>
      </w:r>
      <w:r w:rsidR="002E46E2" w:rsidRPr="00E23256">
        <w:rPr>
          <w:rFonts w:eastAsia="MS Mincho"/>
        </w:rPr>
        <w:lastRenderedPageBreak/>
        <w:t xml:space="preserve">with </w:t>
      </w:r>
      <w:r w:rsidR="00C05422">
        <w:rPr>
          <w:rFonts w:eastAsia="MS Mincho"/>
        </w:rPr>
        <w:t xml:space="preserve">a </w:t>
      </w:r>
      <w:r w:rsidR="002E46E2" w:rsidRPr="00E23256">
        <w:rPr>
          <w:rFonts w:eastAsia="MS Mincho"/>
        </w:rPr>
        <w:t>prescription for chronic illnesses</w:t>
      </w:r>
      <w:r w:rsidR="002E46E2">
        <w:rPr>
          <w:rFonts w:eastAsia="MS Mincho"/>
        </w:rPr>
        <w:t xml:space="preserve">, which can have devastating effects </w:t>
      </w:r>
      <w:r w:rsidR="00C05422">
        <w:rPr>
          <w:rFonts w:eastAsia="MS Mincho"/>
        </w:rPr>
        <w:t xml:space="preserve">on </w:t>
      </w:r>
      <w:r w:rsidR="002E46E2">
        <w:rPr>
          <w:rFonts w:eastAsia="MS Mincho"/>
        </w:rPr>
        <w:t>the adequate treatment of some illnesses</w:t>
      </w:r>
      <w:r>
        <w:rPr>
          <w:rFonts w:eastAsia="MS Mincho"/>
        </w:rPr>
        <w:t xml:space="preserve">. </w:t>
      </w:r>
    </w:p>
    <w:p w:rsidR="00ED7725" w:rsidRDefault="002E46E2" w:rsidP="00934A11">
      <w:pPr>
        <w:pStyle w:val="SingleTxtG"/>
        <w:numPr>
          <w:ilvl w:val="0"/>
          <w:numId w:val="52"/>
        </w:numPr>
        <w:ind w:left="1134" w:firstLine="0"/>
        <w:rPr>
          <w:rFonts w:eastAsia="MS Mincho"/>
        </w:rPr>
      </w:pPr>
      <w:r>
        <w:rPr>
          <w:rFonts w:eastAsia="MS Mincho"/>
        </w:rPr>
        <w:t xml:space="preserve">Moreover, </w:t>
      </w:r>
      <w:r w:rsidR="00ED7725" w:rsidRPr="00ED7725">
        <w:rPr>
          <w:rFonts w:eastAsia="MS Mincho"/>
        </w:rPr>
        <w:t xml:space="preserve">Malaysia </w:t>
      </w:r>
      <w:r w:rsidR="00ED7725">
        <w:rPr>
          <w:rFonts w:eastAsia="MS Mincho"/>
        </w:rPr>
        <w:t xml:space="preserve">has </w:t>
      </w:r>
      <w:r>
        <w:rPr>
          <w:rFonts w:eastAsia="MS Mincho"/>
        </w:rPr>
        <w:t xml:space="preserve">a </w:t>
      </w:r>
      <w:r w:rsidR="00ED7725">
        <w:rPr>
          <w:rFonts w:eastAsia="MS Mincho"/>
        </w:rPr>
        <w:t>policy of double f</w:t>
      </w:r>
      <w:r w:rsidR="00ED7725" w:rsidRPr="00ED7725">
        <w:rPr>
          <w:rFonts w:eastAsia="MS Mincho"/>
        </w:rPr>
        <w:t>ees</w:t>
      </w:r>
      <w:r w:rsidR="00C05422">
        <w:rPr>
          <w:rFonts w:eastAsia="MS Mincho"/>
        </w:rPr>
        <w:t>,</w:t>
      </w:r>
      <w:r w:rsidR="00ED7725" w:rsidRPr="00ED7725">
        <w:rPr>
          <w:rFonts w:eastAsia="MS Mincho"/>
        </w:rPr>
        <w:t xml:space="preserve"> </w:t>
      </w:r>
      <w:r>
        <w:rPr>
          <w:rFonts w:eastAsia="MS Mincho"/>
        </w:rPr>
        <w:t>which requires</w:t>
      </w:r>
      <w:r w:rsidR="00ED7725" w:rsidRPr="00ED7725">
        <w:rPr>
          <w:rFonts w:eastAsia="MS Mincho"/>
        </w:rPr>
        <w:t xml:space="preserve"> migrant workers</w:t>
      </w:r>
      <w:r>
        <w:rPr>
          <w:rFonts w:eastAsia="MS Mincho"/>
        </w:rPr>
        <w:t>,</w:t>
      </w:r>
      <w:r w:rsidR="00ED7725" w:rsidRPr="00ED7725">
        <w:rPr>
          <w:rFonts w:eastAsia="MS Mincho"/>
        </w:rPr>
        <w:t xml:space="preserve"> like all foreigners</w:t>
      </w:r>
      <w:r>
        <w:rPr>
          <w:rFonts w:eastAsia="MS Mincho"/>
        </w:rPr>
        <w:t>,</w:t>
      </w:r>
      <w:r w:rsidR="00ED7725" w:rsidRPr="00ED7725">
        <w:rPr>
          <w:rFonts w:eastAsia="MS Mincho"/>
        </w:rPr>
        <w:t xml:space="preserve"> </w:t>
      </w:r>
      <w:r w:rsidR="00ED7725" w:rsidRPr="003C0F53">
        <w:rPr>
          <w:rFonts w:eastAsia="MS Mincho"/>
        </w:rPr>
        <w:t xml:space="preserve">to pay </w:t>
      </w:r>
      <w:r w:rsidR="00EB2E1D">
        <w:rPr>
          <w:rFonts w:eastAsia="MS Mincho"/>
        </w:rPr>
        <w:t>higher</w:t>
      </w:r>
      <w:r w:rsidR="00ED7725" w:rsidRPr="003C0F53">
        <w:rPr>
          <w:rFonts w:eastAsia="MS Mincho"/>
        </w:rPr>
        <w:t xml:space="preserve"> fees</w:t>
      </w:r>
      <w:r w:rsidR="00ED7725" w:rsidRPr="00ED7725">
        <w:rPr>
          <w:rFonts w:eastAsia="MS Mincho"/>
        </w:rPr>
        <w:t>. This means</w:t>
      </w:r>
      <w:r w:rsidR="00ED7725">
        <w:rPr>
          <w:rFonts w:eastAsia="MS Mincho"/>
        </w:rPr>
        <w:t>,</w:t>
      </w:r>
      <w:r w:rsidR="00ED7725" w:rsidRPr="00ED7725">
        <w:rPr>
          <w:rFonts w:eastAsia="MS Mincho"/>
        </w:rPr>
        <w:t xml:space="preserve"> in practice</w:t>
      </w:r>
      <w:r w:rsidR="00ED7725">
        <w:rPr>
          <w:rFonts w:eastAsia="MS Mincho"/>
        </w:rPr>
        <w:t>,</w:t>
      </w:r>
      <w:r w:rsidR="00ED7725" w:rsidRPr="00ED7725">
        <w:rPr>
          <w:rFonts w:eastAsia="MS Mincho"/>
        </w:rPr>
        <w:t xml:space="preserve"> that migrants admitted to public hospitals pay first</w:t>
      </w:r>
      <w:r w:rsidR="00C05422">
        <w:rPr>
          <w:rFonts w:eastAsia="MS Mincho"/>
        </w:rPr>
        <w:t>-</w:t>
      </w:r>
      <w:r w:rsidR="00ED7725" w:rsidRPr="00ED7725">
        <w:rPr>
          <w:rFonts w:eastAsia="MS Mincho"/>
        </w:rPr>
        <w:t xml:space="preserve">class fees, but </w:t>
      </w:r>
      <w:r w:rsidR="00C05422">
        <w:rPr>
          <w:rFonts w:eastAsia="MS Mincho"/>
        </w:rPr>
        <w:t>are</w:t>
      </w:r>
      <w:r w:rsidR="00ED7725" w:rsidRPr="00ED7725">
        <w:rPr>
          <w:rFonts w:eastAsia="MS Mincho"/>
        </w:rPr>
        <w:t xml:space="preserve"> entitled only to third</w:t>
      </w:r>
      <w:r w:rsidR="00C05422">
        <w:rPr>
          <w:rFonts w:eastAsia="MS Mincho"/>
        </w:rPr>
        <w:t>-</w:t>
      </w:r>
      <w:r w:rsidR="00ED7725" w:rsidRPr="00ED7725">
        <w:rPr>
          <w:rFonts w:eastAsia="MS Mincho"/>
        </w:rPr>
        <w:t>class treatment. The outpatient fee for migrants in public hospitals</w:t>
      </w:r>
      <w:r w:rsidR="00ED7725">
        <w:rPr>
          <w:rFonts w:eastAsia="MS Mincho"/>
        </w:rPr>
        <w:t>,</w:t>
      </w:r>
      <w:r w:rsidR="00ED7725" w:rsidRPr="00ED7725">
        <w:rPr>
          <w:rFonts w:eastAsia="MS Mincho"/>
        </w:rPr>
        <w:t xml:space="preserve"> which used to be 2</w:t>
      </w:r>
      <w:r w:rsidR="00EE22DD">
        <w:rPr>
          <w:rFonts w:eastAsia="MS Mincho"/>
        </w:rPr>
        <w:t xml:space="preserve"> ringitt</w:t>
      </w:r>
      <w:r w:rsidR="00ED7725" w:rsidRPr="00ED7725">
        <w:rPr>
          <w:rFonts w:eastAsia="MS Mincho"/>
        </w:rPr>
        <w:t xml:space="preserve"> (as </w:t>
      </w:r>
      <w:r w:rsidR="00C05422">
        <w:rPr>
          <w:rFonts w:eastAsia="MS Mincho"/>
        </w:rPr>
        <w:t>opposed to</w:t>
      </w:r>
      <w:r w:rsidR="00C05422" w:rsidRPr="00ED7725">
        <w:rPr>
          <w:rFonts w:eastAsia="MS Mincho"/>
        </w:rPr>
        <w:t xml:space="preserve"> </w:t>
      </w:r>
      <w:r w:rsidR="00ED7725" w:rsidRPr="00ED7725">
        <w:rPr>
          <w:rFonts w:eastAsia="MS Mincho"/>
        </w:rPr>
        <w:t>1</w:t>
      </w:r>
      <w:r w:rsidR="00EE22DD">
        <w:rPr>
          <w:rFonts w:eastAsia="MS Mincho"/>
        </w:rPr>
        <w:t xml:space="preserve"> ringitt</w:t>
      </w:r>
      <w:r w:rsidR="00ED7725" w:rsidRPr="00ED7725">
        <w:rPr>
          <w:rFonts w:eastAsia="MS Mincho"/>
        </w:rPr>
        <w:t xml:space="preserve"> paid by Malaysians) </w:t>
      </w:r>
      <w:r w:rsidR="00ED7725">
        <w:rPr>
          <w:rFonts w:eastAsia="MS Mincho"/>
        </w:rPr>
        <w:t xml:space="preserve">was </w:t>
      </w:r>
      <w:r w:rsidR="00ED7725" w:rsidRPr="00ED7725">
        <w:rPr>
          <w:rFonts w:eastAsia="MS Mincho"/>
        </w:rPr>
        <w:t>increased to 15</w:t>
      </w:r>
      <w:r w:rsidR="00EE22DD">
        <w:rPr>
          <w:rFonts w:eastAsia="MS Mincho"/>
        </w:rPr>
        <w:t xml:space="preserve"> ringitt</w:t>
      </w:r>
      <w:r w:rsidR="00ED7725" w:rsidRPr="00ED7725">
        <w:rPr>
          <w:rFonts w:eastAsia="MS Mincho"/>
        </w:rPr>
        <w:t xml:space="preserve"> in 2004.</w:t>
      </w:r>
      <w:r w:rsidR="001B35C0">
        <w:rPr>
          <w:rFonts w:eastAsia="MS Mincho"/>
        </w:rPr>
        <w:t xml:space="preserve"> </w:t>
      </w:r>
      <w:r w:rsidR="00471DB5">
        <w:rPr>
          <w:rFonts w:eastAsia="MS Mincho"/>
        </w:rPr>
        <w:t>T</w:t>
      </w:r>
      <w:r w:rsidR="00ED7725">
        <w:rPr>
          <w:rFonts w:eastAsia="MS Mincho"/>
        </w:rPr>
        <w:t>he Special Rapporteur learn</w:t>
      </w:r>
      <w:r w:rsidR="00EE22DD">
        <w:rPr>
          <w:rFonts w:eastAsia="MS Mincho"/>
        </w:rPr>
        <w:t>ed</w:t>
      </w:r>
      <w:r w:rsidR="00ED7725">
        <w:rPr>
          <w:rFonts w:eastAsia="MS Mincho"/>
        </w:rPr>
        <w:t xml:space="preserve"> about a</w:t>
      </w:r>
      <w:r w:rsidR="00523475">
        <w:rPr>
          <w:rFonts w:eastAsia="MS Mincho"/>
        </w:rPr>
        <w:t>n</w:t>
      </w:r>
      <w:r w:rsidR="00ED7725">
        <w:rPr>
          <w:rFonts w:eastAsia="MS Mincho"/>
        </w:rPr>
        <w:t xml:space="preserve"> </w:t>
      </w:r>
      <w:r w:rsidR="00ED7725" w:rsidRPr="00D15179">
        <w:rPr>
          <w:rFonts w:eastAsia="MS Mincho"/>
        </w:rPr>
        <w:t>initiative in 2014 to increase the fees that migrants and non-nationals pay to access public health</w:t>
      </w:r>
      <w:r w:rsidR="00EE22DD">
        <w:rPr>
          <w:rFonts w:eastAsia="MS Mincho"/>
        </w:rPr>
        <w:t xml:space="preserve"> </w:t>
      </w:r>
      <w:r w:rsidR="00ED7725" w:rsidRPr="00D15179">
        <w:rPr>
          <w:rFonts w:eastAsia="MS Mincho"/>
        </w:rPr>
        <w:t xml:space="preserve">care. </w:t>
      </w:r>
      <w:r w:rsidR="00EB2E1D" w:rsidRPr="00D15179">
        <w:rPr>
          <w:rFonts w:eastAsia="MS Mincho"/>
        </w:rPr>
        <w:t>This</w:t>
      </w:r>
      <w:r w:rsidR="00EB2E1D">
        <w:rPr>
          <w:rFonts w:eastAsia="MS Mincho"/>
        </w:rPr>
        <w:t xml:space="preserve"> can have </w:t>
      </w:r>
      <w:r w:rsidR="00EE22DD">
        <w:rPr>
          <w:rFonts w:eastAsia="MS Mincho"/>
        </w:rPr>
        <w:t xml:space="preserve">a </w:t>
      </w:r>
      <w:r w:rsidR="00EB2E1D">
        <w:rPr>
          <w:rFonts w:eastAsia="MS Mincho"/>
        </w:rPr>
        <w:t xml:space="preserve">catastrophic impact on the </w:t>
      </w:r>
      <w:r w:rsidR="00B51BF7">
        <w:rPr>
          <w:rFonts w:eastAsia="MS Mincho"/>
        </w:rPr>
        <w:t xml:space="preserve">enjoyment of the </w:t>
      </w:r>
      <w:r w:rsidR="00EB2E1D">
        <w:rPr>
          <w:rFonts w:eastAsia="MS Mincho"/>
        </w:rPr>
        <w:t>right to health of migrants, both documented and undocumented,</w:t>
      </w:r>
      <w:r w:rsidR="00FE2596">
        <w:rPr>
          <w:rFonts w:eastAsia="MS Mincho"/>
        </w:rPr>
        <w:t xml:space="preserve"> given their economic vulnerability and low wages.</w:t>
      </w:r>
      <w:r w:rsidR="001B35C0">
        <w:rPr>
          <w:rFonts w:eastAsia="MS Mincho"/>
        </w:rPr>
        <w:t xml:space="preserve"> </w:t>
      </w:r>
    </w:p>
    <w:p w:rsidR="000151D4" w:rsidRDefault="0078732A" w:rsidP="00934A11">
      <w:pPr>
        <w:pStyle w:val="SingleTxtG"/>
        <w:numPr>
          <w:ilvl w:val="0"/>
          <w:numId w:val="52"/>
        </w:numPr>
        <w:ind w:left="1134" w:firstLine="0"/>
        <w:rPr>
          <w:rFonts w:eastAsia="MS Mincho"/>
        </w:rPr>
      </w:pPr>
      <w:r>
        <w:rPr>
          <w:rFonts w:eastAsia="MS Mincho"/>
        </w:rPr>
        <w:t>During his visit, the Special Rapporteur</w:t>
      </w:r>
      <w:r w:rsidR="00E23256" w:rsidRPr="00E23256">
        <w:rPr>
          <w:rFonts w:eastAsia="MS Mincho"/>
        </w:rPr>
        <w:t xml:space="preserve"> </w:t>
      </w:r>
      <w:r w:rsidR="002E46E2">
        <w:rPr>
          <w:rFonts w:eastAsia="MS Mincho"/>
        </w:rPr>
        <w:t xml:space="preserve">also </w:t>
      </w:r>
      <w:r w:rsidR="00E23256" w:rsidRPr="00E23256">
        <w:rPr>
          <w:rFonts w:eastAsia="MS Mincho"/>
        </w:rPr>
        <w:t>learned about the establishment of immigration counters inside public hospitals to facilitate referrals of undocumented migrants</w:t>
      </w:r>
      <w:r w:rsidR="00147ECB">
        <w:rPr>
          <w:rFonts w:eastAsia="MS Mincho"/>
        </w:rPr>
        <w:t>,</w:t>
      </w:r>
      <w:r w:rsidR="00E23256" w:rsidRPr="00E23256">
        <w:rPr>
          <w:rFonts w:eastAsia="MS Mincho"/>
        </w:rPr>
        <w:t xml:space="preserve"> </w:t>
      </w:r>
      <w:r w:rsidR="00147ECB">
        <w:rPr>
          <w:rFonts w:eastAsia="MS Mincho"/>
        </w:rPr>
        <w:t>which often includes</w:t>
      </w:r>
      <w:r w:rsidR="00E23256" w:rsidRPr="00E23256">
        <w:rPr>
          <w:rFonts w:eastAsia="MS Mincho"/>
        </w:rPr>
        <w:t xml:space="preserve"> asylum seekers</w:t>
      </w:r>
      <w:r w:rsidR="00147ECB">
        <w:rPr>
          <w:rFonts w:eastAsia="MS Mincho"/>
        </w:rPr>
        <w:t>,</w:t>
      </w:r>
      <w:r w:rsidR="00E23256" w:rsidRPr="00E23256">
        <w:rPr>
          <w:rFonts w:eastAsia="MS Mincho"/>
        </w:rPr>
        <w:t xml:space="preserve"> to the police when they come seeking medical attention. </w:t>
      </w:r>
      <w:r>
        <w:rPr>
          <w:rFonts w:eastAsia="MS Mincho"/>
        </w:rPr>
        <w:t>He expressed concern that</w:t>
      </w:r>
      <w:r w:rsidR="00E23256" w:rsidRPr="00E23256">
        <w:rPr>
          <w:rFonts w:eastAsia="MS Mincho"/>
        </w:rPr>
        <w:t xml:space="preserve"> this </w:t>
      </w:r>
      <w:r>
        <w:rPr>
          <w:rFonts w:eastAsia="MS Mincho"/>
        </w:rPr>
        <w:t>practi</w:t>
      </w:r>
      <w:r w:rsidR="00EE22DD">
        <w:rPr>
          <w:rFonts w:eastAsia="MS Mincho"/>
        </w:rPr>
        <w:t>c</w:t>
      </w:r>
      <w:r>
        <w:rPr>
          <w:rFonts w:eastAsia="MS Mincho"/>
        </w:rPr>
        <w:t xml:space="preserve">e </w:t>
      </w:r>
      <w:r w:rsidR="00147ECB">
        <w:rPr>
          <w:rFonts w:eastAsia="MS Mincho"/>
        </w:rPr>
        <w:t xml:space="preserve">is not only discriminatory but </w:t>
      </w:r>
      <w:r w:rsidR="00EE22DD">
        <w:rPr>
          <w:rFonts w:eastAsia="MS Mincho"/>
        </w:rPr>
        <w:t>also</w:t>
      </w:r>
      <w:r w:rsidR="00147ECB">
        <w:rPr>
          <w:rFonts w:eastAsia="MS Mincho"/>
        </w:rPr>
        <w:t xml:space="preserve"> </w:t>
      </w:r>
      <w:r w:rsidR="00E23256" w:rsidRPr="00E23256">
        <w:rPr>
          <w:rFonts w:eastAsia="MS Mincho"/>
        </w:rPr>
        <w:t xml:space="preserve">goes against public health interests and </w:t>
      </w:r>
      <w:r w:rsidR="00147ECB">
        <w:rPr>
          <w:rFonts w:eastAsia="MS Mincho"/>
        </w:rPr>
        <w:t xml:space="preserve">the code of ethics of doctors. </w:t>
      </w:r>
      <w:r>
        <w:rPr>
          <w:rFonts w:eastAsia="MS Mincho"/>
        </w:rPr>
        <w:t>While acknowledging that health</w:t>
      </w:r>
      <w:r w:rsidR="00EE22DD">
        <w:rPr>
          <w:rFonts w:eastAsia="MS Mincho"/>
        </w:rPr>
        <w:t>-</w:t>
      </w:r>
      <w:r>
        <w:rPr>
          <w:rFonts w:eastAsia="MS Mincho"/>
        </w:rPr>
        <w:t xml:space="preserve">care services are </w:t>
      </w:r>
      <w:r w:rsidR="00AC68B6">
        <w:rPr>
          <w:rFonts w:eastAsia="MS Mincho"/>
        </w:rPr>
        <w:t xml:space="preserve">de facto </w:t>
      </w:r>
      <w:r>
        <w:rPr>
          <w:rFonts w:eastAsia="MS Mincho"/>
        </w:rPr>
        <w:t>available to migrants, including undocumented</w:t>
      </w:r>
      <w:r w:rsidR="00B51BF7">
        <w:rPr>
          <w:rFonts w:eastAsia="MS Mincho"/>
        </w:rPr>
        <w:t xml:space="preserve"> ones</w:t>
      </w:r>
      <w:r>
        <w:rPr>
          <w:rFonts w:eastAsia="MS Mincho"/>
        </w:rPr>
        <w:t xml:space="preserve">, the Special Rapporteur warned about the potential adverse impact that the establishment of </w:t>
      </w:r>
      <w:r w:rsidR="00AC68B6">
        <w:rPr>
          <w:rFonts w:eastAsia="MS Mincho"/>
        </w:rPr>
        <w:t>immigration</w:t>
      </w:r>
      <w:r>
        <w:rPr>
          <w:rFonts w:eastAsia="MS Mincho"/>
        </w:rPr>
        <w:t xml:space="preserve"> counters</w:t>
      </w:r>
      <w:r w:rsidR="00EE22DD">
        <w:rPr>
          <w:rFonts w:eastAsia="MS Mincho"/>
        </w:rPr>
        <w:t>,</w:t>
      </w:r>
      <w:r w:rsidR="00E22D4B">
        <w:rPr>
          <w:rFonts w:eastAsia="MS Mincho"/>
        </w:rPr>
        <w:t xml:space="preserve"> as u</w:t>
      </w:r>
      <w:r w:rsidR="00E23256" w:rsidRPr="00E23256">
        <w:rPr>
          <w:rFonts w:eastAsia="MS Mincho"/>
        </w:rPr>
        <w:t xml:space="preserve">ndocumented migrants will </w:t>
      </w:r>
      <w:r>
        <w:rPr>
          <w:rFonts w:eastAsia="MS Mincho"/>
        </w:rPr>
        <w:t>likely be deterred from seeking health</w:t>
      </w:r>
      <w:r w:rsidR="00EE22DD">
        <w:rPr>
          <w:rFonts w:eastAsia="MS Mincho"/>
        </w:rPr>
        <w:t xml:space="preserve"> </w:t>
      </w:r>
      <w:r w:rsidR="00AC68B6">
        <w:rPr>
          <w:rFonts w:eastAsia="MS Mincho"/>
        </w:rPr>
        <w:t>care for fear of being reported. This</w:t>
      </w:r>
      <w:r w:rsidR="00E23256" w:rsidRPr="00E23256">
        <w:rPr>
          <w:rFonts w:eastAsia="MS Mincho"/>
        </w:rPr>
        <w:t xml:space="preserve"> could </w:t>
      </w:r>
      <w:r w:rsidR="00FE2596">
        <w:rPr>
          <w:rFonts w:eastAsia="MS Mincho"/>
        </w:rPr>
        <w:t xml:space="preserve">have </w:t>
      </w:r>
      <w:r w:rsidR="00AC68B6">
        <w:rPr>
          <w:rFonts w:eastAsia="MS Mincho"/>
        </w:rPr>
        <w:t xml:space="preserve">a </w:t>
      </w:r>
      <w:r w:rsidR="002758A3">
        <w:rPr>
          <w:rFonts w:eastAsia="MS Mincho"/>
        </w:rPr>
        <w:t>devastating</w:t>
      </w:r>
      <w:r w:rsidR="00FE2596">
        <w:rPr>
          <w:rFonts w:eastAsia="MS Mincho"/>
        </w:rPr>
        <w:t xml:space="preserve"> impact on their health status and could </w:t>
      </w:r>
      <w:r w:rsidR="00E23256" w:rsidRPr="00E23256">
        <w:rPr>
          <w:rFonts w:eastAsia="MS Mincho"/>
        </w:rPr>
        <w:t>cause the spread of communicable diseases</w:t>
      </w:r>
      <w:r w:rsidR="00FE2596">
        <w:rPr>
          <w:rFonts w:eastAsia="MS Mincho"/>
        </w:rPr>
        <w:t>, including HIV/AIDS</w:t>
      </w:r>
      <w:r w:rsidR="00E23256" w:rsidRPr="00E23256">
        <w:rPr>
          <w:rFonts w:eastAsia="MS Mincho"/>
        </w:rPr>
        <w:t>.</w:t>
      </w:r>
      <w:r w:rsidR="001B35C0">
        <w:rPr>
          <w:rFonts w:eastAsia="MS Mincho"/>
        </w:rPr>
        <w:t xml:space="preserve"> </w:t>
      </w:r>
    </w:p>
    <w:p w:rsidR="0078732A" w:rsidRDefault="00E23256" w:rsidP="00934A11">
      <w:pPr>
        <w:pStyle w:val="SingleTxtG"/>
        <w:numPr>
          <w:ilvl w:val="0"/>
          <w:numId w:val="52"/>
        </w:numPr>
        <w:ind w:left="1134" w:firstLine="0"/>
        <w:rPr>
          <w:rFonts w:eastAsia="MS Mincho"/>
        </w:rPr>
      </w:pPr>
      <w:r w:rsidRPr="00E23256">
        <w:rPr>
          <w:rFonts w:eastAsia="MS Mincho"/>
        </w:rPr>
        <w:t>In th</w:t>
      </w:r>
      <w:r w:rsidR="00EE22DD">
        <w:rPr>
          <w:rFonts w:eastAsia="MS Mincho"/>
        </w:rPr>
        <w:t>at</w:t>
      </w:r>
      <w:r w:rsidRPr="00E23256">
        <w:rPr>
          <w:rFonts w:eastAsia="MS Mincho"/>
        </w:rPr>
        <w:t xml:space="preserve"> connection, </w:t>
      </w:r>
      <w:r w:rsidR="0078732A">
        <w:rPr>
          <w:rFonts w:eastAsia="MS Mincho"/>
        </w:rPr>
        <w:t xml:space="preserve">the Special Rapporteur was </w:t>
      </w:r>
      <w:r w:rsidRPr="00E23256">
        <w:rPr>
          <w:rFonts w:eastAsia="MS Mincho"/>
        </w:rPr>
        <w:t xml:space="preserve">alarmed </w:t>
      </w:r>
      <w:r w:rsidR="00EE22DD">
        <w:rPr>
          <w:rFonts w:eastAsia="MS Mincho"/>
        </w:rPr>
        <w:t>by</w:t>
      </w:r>
      <w:r w:rsidR="00EE22DD" w:rsidRPr="00E23256">
        <w:rPr>
          <w:rFonts w:eastAsia="MS Mincho"/>
        </w:rPr>
        <w:t xml:space="preserve"> </w:t>
      </w:r>
      <w:r w:rsidRPr="00E23256">
        <w:rPr>
          <w:rFonts w:eastAsia="MS Mincho"/>
        </w:rPr>
        <w:t xml:space="preserve">testimonies </w:t>
      </w:r>
      <w:r w:rsidR="0078732A">
        <w:rPr>
          <w:rFonts w:eastAsia="MS Mincho"/>
        </w:rPr>
        <w:t xml:space="preserve">during his visit </w:t>
      </w:r>
      <w:r w:rsidRPr="00E23256">
        <w:rPr>
          <w:rFonts w:eastAsia="MS Mincho"/>
        </w:rPr>
        <w:t xml:space="preserve">about a wave of arrests of undocumented women migrants and asylum seekers who, </w:t>
      </w:r>
      <w:r w:rsidR="0078732A">
        <w:rPr>
          <w:rFonts w:eastAsia="MS Mincho"/>
        </w:rPr>
        <w:t xml:space="preserve">a few days </w:t>
      </w:r>
      <w:r w:rsidR="00EE22DD">
        <w:rPr>
          <w:rFonts w:eastAsia="MS Mincho"/>
        </w:rPr>
        <w:t xml:space="preserve">after </w:t>
      </w:r>
      <w:r w:rsidR="0078732A">
        <w:rPr>
          <w:rFonts w:eastAsia="MS Mincho"/>
        </w:rPr>
        <w:t>giving birth, had</w:t>
      </w:r>
      <w:r w:rsidRPr="00E23256">
        <w:rPr>
          <w:rFonts w:eastAsia="MS Mincho"/>
        </w:rPr>
        <w:t xml:space="preserve"> been taken from hospitals directly to detention centres.</w:t>
      </w:r>
      <w:r w:rsidR="00453985">
        <w:rPr>
          <w:rFonts w:eastAsia="MS Mincho"/>
        </w:rPr>
        <w:t xml:space="preserve"> </w:t>
      </w:r>
      <w:r w:rsidRPr="00E23256">
        <w:rPr>
          <w:rFonts w:eastAsia="MS Mincho"/>
        </w:rPr>
        <w:t>In those centres, some of these women and their babies ha</w:t>
      </w:r>
      <w:r w:rsidR="0078732A">
        <w:rPr>
          <w:rFonts w:eastAsia="MS Mincho"/>
        </w:rPr>
        <w:t>d</w:t>
      </w:r>
      <w:r w:rsidRPr="00E23256">
        <w:rPr>
          <w:rFonts w:eastAsia="MS Mincho"/>
        </w:rPr>
        <w:t xml:space="preserve"> reportedly neither received the necessary medical attention nor the appro</w:t>
      </w:r>
      <w:r w:rsidR="00FE2596">
        <w:rPr>
          <w:rFonts w:eastAsia="MS Mincho"/>
        </w:rPr>
        <w:t>priate care needed during the postnatal period.</w:t>
      </w:r>
      <w:r w:rsidR="001B35C0">
        <w:rPr>
          <w:rFonts w:eastAsia="MS Mincho"/>
        </w:rPr>
        <w:t xml:space="preserve"> </w:t>
      </w:r>
    </w:p>
    <w:p w:rsidR="002E46E2" w:rsidRDefault="0078732A" w:rsidP="00934A11">
      <w:pPr>
        <w:pStyle w:val="SingleTxtG"/>
        <w:numPr>
          <w:ilvl w:val="0"/>
          <w:numId w:val="52"/>
        </w:numPr>
        <w:ind w:left="1134" w:firstLine="0"/>
        <w:rPr>
          <w:rFonts w:eastAsia="MS Mincho"/>
        </w:rPr>
      </w:pPr>
      <w:r>
        <w:rPr>
          <w:rFonts w:eastAsia="MS Mincho"/>
        </w:rPr>
        <w:t>The Special Rapporteur called upon the authorities</w:t>
      </w:r>
      <w:r w:rsidR="00E23256" w:rsidRPr="00E23256">
        <w:rPr>
          <w:rFonts w:eastAsia="MS Mincho"/>
        </w:rPr>
        <w:t xml:space="preserve"> to ensure that law enforcement </w:t>
      </w:r>
      <w:r w:rsidR="00EE22DD">
        <w:rPr>
          <w:rFonts w:eastAsia="MS Mincho"/>
        </w:rPr>
        <w:t xml:space="preserve">officers </w:t>
      </w:r>
      <w:r w:rsidR="00E23256" w:rsidRPr="00E23256">
        <w:rPr>
          <w:rFonts w:eastAsia="MS Mincho"/>
        </w:rPr>
        <w:t xml:space="preserve">refrain from using medical procedures and medical care </w:t>
      </w:r>
      <w:r>
        <w:rPr>
          <w:rFonts w:eastAsia="MS Mincho"/>
        </w:rPr>
        <w:t xml:space="preserve">facilities </w:t>
      </w:r>
      <w:r w:rsidR="00E23256" w:rsidRPr="00E23256">
        <w:rPr>
          <w:rFonts w:eastAsia="MS Mincho"/>
        </w:rPr>
        <w:t xml:space="preserve">for security </w:t>
      </w:r>
      <w:r>
        <w:rPr>
          <w:rFonts w:eastAsia="MS Mincho"/>
        </w:rPr>
        <w:t xml:space="preserve">and </w:t>
      </w:r>
      <w:r w:rsidR="00471DB5">
        <w:rPr>
          <w:rFonts w:eastAsia="MS Mincho"/>
        </w:rPr>
        <w:t>im</w:t>
      </w:r>
      <w:r>
        <w:rPr>
          <w:rFonts w:eastAsia="MS Mincho"/>
        </w:rPr>
        <w:t xml:space="preserve">migration </w:t>
      </w:r>
      <w:r w:rsidR="00E23256" w:rsidRPr="00E23256">
        <w:rPr>
          <w:rFonts w:eastAsia="MS Mincho"/>
        </w:rPr>
        <w:t xml:space="preserve">purposes. </w:t>
      </w:r>
      <w:r w:rsidR="002E46E2">
        <w:rPr>
          <w:rFonts w:eastAsia="MS Mincho"/>
        </w:rPr>
        <w:t>The</w:t>
      </w:r>
      <w:r w:rsidR="002E46E2" w:rsidRPr="00ED7725">
        <w:rPr>
          <w:rFonts w:eastAsia="MS Mincho"/>
        </w:rPr>
        <w:t>s</w:t>
      </w:r>
      <w:r w:rsidR="002E46E2">
        <w:rPr>
          <w:rFonts w:eastAsia="MS Mincho"/>
        </w:rPr>
        <w:t>e</w:t>
      </w:r>
      <w:r w:rsidR="002E46E2" w:rsidRPr="00ED7725">
        <w:rPr>
          <w:rFonts w:eastAsia="MS Mincho"/>
        </w:rPr>
        <w:t xml:space="preserve"> </w:t>
      </w:r>
      <w:r w:rsidR="002E46E2">
        <w:rPr>
          <w:rFonts w:eastAsia="MS Mincho"/>
        </w:rPr>
        <w:t xml:space="preserve">policies </w:t>
      </w:r>
      <w:r w:rsidR="00AE662D">
        <w:rPr>
          <w:rFonts w:eastAsia="MS Mincho"/>
        </w:rPr>
        <w:t xml:space="preserve">and practices </w:t>
      </w:r>
      <w:r w:rsidR="002E46E2">
        <w:rPr>
          <w:rFonts w:eastAsia="MS Mincho"/>
        </w:rPr>
        <w:t xml:space="preserve">are intrinsically discriminatory on the basis of legal status and </w:t>
      </w:r>
      <w:r w:rsidR="00471DB5">
        <w:rPr>
          <w:rFonts w:eastAsia="MS Mincho"/>
        </w:rPr>
        <w:t xml:space="preserve">country of </w:t>
      </w:r>
      <w:r w:rsidR="002E46E2">
        <w:rPr>
          <w:rFonts w:eastAsia="MS Mincho"/>
        </w:rPr>
        <w:t>origin</w:t>
      </w:r>
      <w:r w:rsidR="00AE662D">
        <w:rPr>
          <w:rFonts w:eastAsia="MS Mincho"/>
        </w:rPr>
        <w:t>,</w:t>
      </w:r>
      <w:r w:rsidR="002E46E2">
        <w:rPr>
          <w:rFonts w:eastAsia="MS Mincho"/>
        </w:rPr>
        <w:t xml:space="preserve"> can create and reinforce health inequalities</w:t>
      </w:r>
      <w:r w:rsidR="002E46E2" w:rsidRPr="00ED7725">
        <w:rPr>
          <w:rFonts w:eastAsia="MS Mincho"/>
        </w:rPr>
        <w:t xml:space="preserve"> </w:t>
      </w:r>
      <w:r w:rsidR="002E46E2">
        <w:rPr>
          <w:rFonts w:eastAsia="MS Mincho"/>
        </w:rPr>
        <w:t>and can have</w:t>
      </w:r>
      <w:r w:rsidR="002E46E2" w:rsidRPr="00ED7725">
        <w:rPr>
          <w:rFonts w:eastAsia="MS Mincho"/>
        </w:rPr>
        <w:t xml:space="preserve"> serious </w:t>
      </w:r>
      <w:r w:rsidR="002E46E2">
        <w:rPr>
          <w:rFonts w:eastAsia="MS Mincho"/>
        </w:rPr>
        <w:t xml:space="preserve">public health </w:t>
      </w:r>
      <w:r w:rsidR="002E46E2" w:rsidRPr="00ED7725">
        <w:rPr>
          <w:rFonts w:eastAsia="MS Mincho"/>
        </w:rPr>
        <w:t>consequences</w:t>
      </w:r>
      <w:r w:rsidR="00EE22DD">
        <w:rPr>
          <w:rFonts w:eastAsia="MS Mincho"/>
        </w:rPr>
        <w:t xml:space="preserve"> (see </w:t>
      </w:r>
      <w:r w:rsidR="00EE22DD" w:rsidRPr="00EB2E1D">
        <w:t>A/HRC/23</w:t>
      </w:r>
      <w:r w:rsidR="00EE22DD">
        <w:t>/41</w:t>
      </w:r>
      <w:r w:rsidR="00EE22DD">
        <w:rPr>
          <w:rFonts w:eastAsia="MS Mincho"/>
        </w:rPr>
        <w:t>)</w:t>
      </w:r>
      <w:r w:rsidR="002E46E2">
        <w:rPr>
          <w:rFonts w:eastAsia="MS Mincho"/>
        </w:rPr>
        <w:t>.</w:t>
      </w:r>
      <w:r w:rsidR="00453985">
        <w:rPr>
          <w:rFonts w:eastAsia="MS Mincho"/>
        </w:rPr>
        <w:t xml:space="preserve"> </w:t>
      </w:r>
      <w:r w:rsidR="002E46E2">
        <w:rPr>
          <w:rFonts w:eastAsia="MS Mincho"/>
        </w:rPr>
        <w:t>I</w:t>
      </w:r>
      <w:r w:rsidR="002E46E2" w:rsidRPr="00ED7725">
        <w:rPr>
          <w:rFonts w:eastAsia="MS Mincho"/>
        </w:rPr>
        <w:t xml:space="preserve">t is </w:t>
      </w:r>
      <w:r w:rsidR="002E46E2">
        <w:rPr>
          <w:rFonts w:eastAsia="MS Mincho"/>
        </w:rPr>
        <w:t xml:space="preserve">therefore </w:t>
      </w:r>
      <w:r w:rsidR="002E46E2" w:rsidRPr="00ED7725">
        <w:rPr>
          <w:rFonts w:eastAsia="MS Mincho"/>
        </w:rPr>
        <w:t>vital that the Ministry of Health guarantee</w:t>
      </w:r>
      <w:r w:rsidR="002E46E2">
        <w:rPr>
          <w:rFonts w:eastAsia="MS Mincho"/>
        </w:rPr>
        <w:t>s</w:t>
      </w:r>
      <w:r w:rsidR="002E46E2" w:rsidRPr="00ED7725">
        <w:rPr>
          <w:rFonts w:eastAsia="MS Mincho"/>
        </w:rPr>
        <w:t xml:space="preserve"> access</w:t>
      </w:r>
      <w:r w:rsidR="002E46E2">
        <w:rPr>
          <w:rFonts w:eastAsia="MS Mincho"/>
        </w:rPr>
        <w:t xml:space="preserve"> and affordability</w:t>
      </w:r>
      <w:r w:rsidR="002E46E2" w:rsidRPr="00ED7725">
        <w:rPr>
          <w:rFonts w:eastAsia="MS Mincho"/>
        </w:rPr>
        <w:t xml:space="preserve"> to adequate health</w:t>
      </w:r>
      <w:r w:rsidR="000C4F2E">
        <w:rPr>
          <w:rFonts w:eastAsia="MS Mincho"/>
        </w:rPr>
        <w:t xml:space="preserve"> </w:t>
      </w:r>
      <w:r w:rsidR="002E46E2" w:rsidRPr="00ED7725">
        <w:rPr>
          <w:rFonts w:eastAsia="MS Mincho"/>
        </w:rPr>
        <w:t xml:space="preserve">care to all </w:t>
      </w:r>
      <w:r w:rsidR="00471DB5">
        <w:rPr>
          <w:rFonts w:eastAsia="MS Mincho"/>
        </w:rPr>
        <w:t>groups</w:t>
      </w:r>
      <w:r w:rsidR="002E46E2" w:rsidRPr="00ED7725">
        <w:rPr>
          <w:rFonts w:eastAsia="MS Mincho"/>
        </w:rPr>
        <w:t xml:space="preserve"> in Malaysia, including </w:t>
      </w:r>
      <w:r w:rsidR="00AE662D">
        <w:rPr>
          <w:rFonts w:eastAsia="MS Mincho"/>
        </w:rPr>
        <w:t xml:space="preserve">documented and undocumented </w:t>
      </w:r>
      <w:r w:rsidR="002E46E2" w:rsidRPr="00ED7725">
        <w:rPr>
          <w:rFonts w:eastAsia="MS Mincho"/>
        </w:rPr>
        <w:t>migrants.</w:t>
      </w:r>
    </w:p>
    <w:p w:rsidR="00FF55D4" w:rsidRPr="00962336" w:rsidRDefault="00C131EC" w:rsidP="000031A1">
      <w:pPr>
        <w:pStyle w:val="H23G"/>
        <w:rPr>
          <w:rFonts w:eastAsia="MS Mincho"/>
        </w:rPr>
      </w:pPr>
      <w:r>
        <w:rPr>
          <w:rFonts w:eastAsia="MS Mincho"/>
        </w:rPr>
        <w:tab/>
      </w:r>
      <w:r w:rsidR="00EE22DD">
        <w:rPr>
          <w:rFonts w:eastAsia="MS Mincho"/>
        </w:rPr>
        <w:t>2.</w:t>
      </w:r>
      <w:r>
        <w:rPr>
          <w:rFonts w:eastAsia="MS Mincho"/>
        </w:rPr>
        <w:tab/>
      </w:r>
      <w:r w:rsidR="00FF55D4" w:rsidRPr="00962336">
        <w:rPr>
          <w:rFonts w:eastAsia="MS Mincho"/>
        </w:rPr>
        <w:t>Asylum</w:t>
      </w:r>
      <w:r w:rsidR="00EE22DD">
        <w:rPr>
          <w:rFonts w:eastAsia="MS Mincho"/>
        </w:rPr>
        <w:t xml:space="preserve"> </w:t>
      </w:r>
      <w:r w:rsidR="00FF55D4" w:rsidRPr="00962336">
        <w:rPr>
          <w:rFonts w:eastAsia="MS Mincho"/>
        </w:rPr>
        <w:t>seekers and refugees</w:t>
      </w:r>
    </w:p>
    <w:p w:rsidR="00BA0782" w:rsidRDefault="00E370F7" w:rsidP="00934A11">
      <w:pPr>
        <w:pStyle w:val="SingleTxtG"/>
        <w:numPr>
          <w:ilvl w:val="0"/>
          <w:numId w:val="52"/>
        </w:numPr>
        <w:ind w:left="1134" w:firstLine="0"/>
        <w:rPr>
          <w:rFonts w:eastAsia="MS Mincho"/>
        </w:rPr>
      </w:pPr>
      <w:r w:rsidRPr="00962336">
        <w:rPr>
          <w:rFonts w:eastAsia="MS Mincho"/>
        </w:rPr>
        <w:t>A</w:t>
      </w:r>
      <w:r w:rsidR="00C42BA6" w:rsidRPr="00962336">
        <w:rPr>
          <w:rFonts w:eastAsia="MS Mincho"/>
        </w:rPr>
        <w:t>sylum</w:t>
      </w:r>
      <w:r w:rsidR="000C4F2E">
        <w:rPr>
          <w:rFonts w:eastAsia="MS Mincho"/>
        </w:rPr>
        <w:t xml:space="preserve"> </w:t>
      </w:r>
      <w:r w:rsidR="00C42BA6" w:rsidRPr="00962336">
        <w:rPr>
          <w:rFonts w:eastAsia="MS Mincho"/>
        </w:rPr>
        <w:t>seekers and refuge</w:t>
      </w:r>
      <w:r w:rsidR="00B77438" w:rsidRPr="00962336">
        <w:rPr>
          <w:rFonts w:eastAsia="MS Mincho"/>
        </w:rPr>
        <w:t>e</w:t>
      </w:r>
      <w:r w:rsidR="00C42BA6" w:rsidRPr="00962336">
        <w:rPr>
          <w:rFonts w:eastAsia="MS Mincho"/>
        </w:rPr>
        <w:t xml:space="preserve">s are by definition groups in </w:t>
      </w:r>
      <w:r w:rsidR="000C4F2E">
        <w:rPr>
          <w:rFonts w:eastAsia="MS Mincho"/>
        </w:rPr>
        <w:t xml:space="preserve">a </w:t>
      </w:r>
      <w:r w:rsidR="00C42BA6" w:rsidRPr="00962336">
        <w:rPr>
          <w:rFonts w:eastAsia="MS Mincho"/>
        </w:rPr>
        <w:t>vulnerable situation</w:t>
      </w:r>
      <w:r w:rsidR="000C4F2E">
        <w:rPr>
          <w:rFonts w:eastAsia="MS Mincho"/>
        </w:rPr>
        <w:t>,</w:t>
      </w:r>
      <w:r w:rsidR="00C42BA6" w:rsidRPr="00962336">
        <w:rPr>
          <w:rFonts w:eastAsia="MS Mincho"/>
        </w:rPr>
        <w:t xml:space="preserve"> given the persecution </w:t>
      </w:r>
      <w:r w:rsidR="003C0F53" w:rsidRPr="00962336">
        <w:rPr>
          <w:rFonts w:eastAsia="MS Mincho"/>
        </w:rPr>
        <w:t xml:space="preserve">and violence </w:t>
      </w:r>
      <w:r w:rsidR="00C42BA6" w:rsidRPr="00962336">
        <w:rPr>
          <w:rFonts w:eastAsia="MS Mincho"/>
        </w:rPr>
        <w:t>they have faced in their countries of origin and the risks they face if deported back.</w:t>
      </w:r>
      <w:r w:rsidR="00453985" w:rsidRPr="00962336">
        <w:rPr>
          <w:rFonts w:eastAsia="MS Mincho"/>
        </w:rPr>
        <w:t xml:space="preserve"> </w:t>
      </w:r>
      <w:r w:rsidRPr="00962336">
        <w:rPr>
          <w:rFonts w:eastAsia="MS Mincho"/>
        </w:rPr>
        <w:t>A</w:t>
      </w:r>
      <w:r w:rsidR="00B77438" w:rsidRPr="00962336">
        <w:rPr>
          <w:rFonts w:eastAsia="MS Mincho"/>
        </w:rPr>
        <w:t>t end</w:t>
      </w:r>
      <w:r w:rsidR="00B77438" w:rsidRPr="000431CF">
        <w:rPr>
          <w:rFonts w:eastAsia="MS Mincho"/>
        </w:rPr>
        <w:t xml:space="preserve"> </w:t>
      </w:r>
      <w:r w:rsidR="00BA0782">
        <w:rPr>
          <w:rFonts w:eastAsia="MS Mincho"/>
        </w:rPr>
        <w:t>November 2014</w:t>
      </w:r>
      <w:r w:rsidR="00B77438" w:rsidRPr="000431CF">
        <w:rPr>
          <w:rFonts w:eastAsia="MS Mincho"/>
        </w:rPr>
        <w:t xml:space="preserve">, there were approximately </w:t>
      </w:r>
      <w:r w:rsidR="00BA0782">
        <w:rPr>
          <w:rFonts w:eastAsia="MS Mincho"/>
        </w:rPr>
        <w:t>150</w:t>
      </w:r>
      <w:r w:rsidR="00B77438" w:rsidRPr="000431CF">
        <w:rPr>
          <w:rFonts w:eastAsia="MS Mincho"/>
        </w:rPr>
        <w:t>,</w:t>
      </w:r>
      <w:r w:rsidR="00BA0782">
        <w:rPr>
          <w:rFonts w:eastAsia="MS Mincho"/>
        </w:rPr>
        <w:t>460</w:t>
      </w:r>
      <w:r w:rsidR="00B77438" w:rsidRPr="000431CF">
        <w:rPr>
          <w:rFonts w:eastAsia="MS Mincho"/>
        </w:rPr>
        <w:t xml:space="preserve"> refugees and asylum</w:t>
      </w:r>
      <w:r w:rsidR="000C4F2E">
        <w:rPr>
          <w:rFonts w:eastAsia="MS Mincho"/>
        </w:rPr>
        <w:t xml:space="preserve"> </w:t>
      </w:r>
      <w:r w:rsidR="00B77438" w:rsidRPr="000431CF">
        <w:rPr>
          <w:rFonts w:eastAsia="MS Mincho"/>
        </w:rPr>
        <w:t>seekers registered with t</w:t>
      </w:r>
      <w:r w:rsidR="00B77438">
        <w:rPr>
          <w:rFonts w:eastAsia="MS Mincho"/>
        </w:rPr>
        <w:t xml:space="preserve">he </w:t>
      </w:r>
      <w:r w:rsidR="000C4F2E">
        <w:rPr>
          <w:rFonts w:eastAsia="MS Mincho"/>
        </w:rPr>
        <w:t>Office of the United Nations High Commissioner for Refugees (</w:t>
      </w:r>
      <w:r w:rsidR="00B77438">
        <w:rPr>
          <w:rFonts w:eastAsia="MS Mincho"/>
        </w:rPr>
        <w:t>UNHCR</w:t>
      </w:r>
      <w:r w:rsidR="000C4F2E">
        <w:rPr>
          <w:rFonts w:eastAsia="MS Mincho"/>
        </w:rPr>
        <w:t>)</w:t>
      </w:r>
      <w:r w:rsidR="00B77438">
        <w:rPr>
          <w:rFonts w:eastAsia="MS Mincho"/>
        </w:rPr>
        <w:t xml:space="preserve"> in Malaysia</w:t>
      </w:r>
      <w:r w:rsidR="00BA0782">
        <w:rPr>
          <w:rFonts w:eastAsia="MS Mincho"/>
        </w:rPr>
        <w:t xml:space="preserve">, the majority of them from Myanmar, but also from countries such as </w:t>
      </w:r>
      <w:r w:rsidR="000C4F2E">
        <w:rPr>
          <w:rFonts w:eastAsia="MS Mincho"/>
        </w:rPr>
        <w:t xml:space="preserve">Iraq, </w:t>
      </w:r>
      <w:r w:rsidR="00BA0782">
        <w:rPr>
          <w:rFonts w:eastAsia="MS Mincho"/>
        </w:rPr>
        <w:t xml:space="preserve">Pakistan, Somalia, </w:t>
      </w:r>
      <w:r w:rsidR="000C4F2E">
        <w:rPr>
          <w:rFonts w:eastAsia="MS Mincho"/>
        </w:rPr>
        <w:t xml:space="preserve">Sri Lanka and the </w:t>
      </w:r>
      <w:r w:rsidR="00BA0782">
        <w:rPr>
          <w:rFonts w:eastAsia="MS Mincho"/>
        </w:rPr>
        <w:t>Syria</w:t>
      </w:r>
      <w:r w:rsidR="000C4F2E">
        <w:rPr>
          <w:rFonts w:eastAsia="MS Mincho"/>
        </w:rPr>
        <w:t>n Arab Republic</w:t>
      </w:r>
      <w:r w:rsidR="00B77438">
        <w:rPr>
          <w:rFonts w:eastAsia="MS Mincho"/>
        </w:rPr>
        <w:t>.</w:t>
      </w:r>
      <w:r w:rsidR="00B77438" w:rsidRPr="000431CF">
        <w:rPr>
          <w:rFonts w:eastAsia="MS Mincho"/>
        </w:rPr>
        <w:t xml:space="preserve"> </w:t>
      </w:r>
      <w:r w:rsidR="00B77438">
        <w:rPr>
          <w:rFonts w:eastAsia="MS Mincho"/>
        </w:rPr>
        <w:t>O</w:t>
      </w:r>
      <w:r w:rsidR="00B77438" w:rsidRPr="000431CF">
        <w:rPr>
          <w:rFonts w:eastAsia="MS Mincho"/>
        </w:rPr>
        <w:t>f these, approximately</w:t>
      </w:r>
      <w:r w:rsidR="00BA0782">
        <w:rPr>
          <w:rFonts w:eastAsia="MS Mincho"/>
        </w:rPr>
        <w:t xml:space="preserve"> 30</w:t>
      </w:r>
      <w:r w:rsidR="000C4F2E">
        <w:rPr>
          <w:rFonts w:eastAsia="MS Mincho"/>
        </w:rPr>
        <w:t xml:space="preserve"> per cent</w:t>
      </w:r>
      <w:r w:rsidR="00BA0782">
        <w:rPr>
          <w:rFonts w:eastAsia="MS Mincho"/>
        </w:rPr>
        <w:t xml:space="preserve"> are women and it is estimated that about</w:t>
      </w:r>
      <w:r w:rsidR="00B77438" w:rsidRPr="000431CF">
        <w:rPr>
          <w:rFonts w:eastAsia="MS Mincho"/>
        </w:rPr>
        <w:t xml:space="preserve"> </w:t>
      </w:r>
      <w:r w:rsidR="00BA0782">
        <w:rPr>
          <w:rFonts w:eastAsia="MS Mincho"/>
        </w:rPr>
        <w:t>32,710</w:t>
      </w:r>
      <w:r w:rsidR="00B77438" w:rsidRPr="000431CF">
        <w:rPr>
          <w:rFonts w:eastAsia="MS Mincho"/>
        </w:rPr>
        <w:t xml:space="preserve"> </w:t>
      </w:r>
      <w:r w:rsidR="00B77438">
        <w:rPr>
          <w:rFonts w:eastAsia="MS Mincho"/>
        </w:rPr>
        <w:t>were</w:t>
      </w:r>
      <w:r w:rsidR="00BF30A2">
        <w:rPr>
          <w:rFonts w:eastAsia="MS Mincho"/>
        </w:rPr>
        <w:t xml:space="preserve"> children </w:t>
      </w:r>
      <w:r w:rsidR="00B77438" w:rsidRPr="000431CF">
        <w:rPr>
          <w:rFonts w:eastAsia="MS Mincho"/>
        </w:rPr>
        <w:t>under 18</w:t>
      </w:r>
      <w:r w:rsidR="007326E0">
        <w:rPr>
          <w:rFonts w:eastAsia="MS Mincho"/>
        </w:rPr>
        <w:t> </w:t>
      </w:r>
      <w:r w:rsidR="00B77438">
        <w:rPr>
          <w:rFonts w:eastAsia="MS Mincho"/>
        </w:rPr>
        <w:t>years of age</w:t>
      </w:r>
      <w:r w:rsidR="00B77438" w:rsidRPr="000431CF">
        <w:rPr>
          <w:rFonts w:eastAsia="MS Mincho"/>
          <w:sz w:val="18"/>
          <w:szCs w:val="18"/>
        </w:rPr>
        <w:t>.</w:t>
      </w:r>
      <w:r w:rsidR="00B77438" w:rsidRPr="00680816">
        <w:rPr>
          <w:rStyle w:val="FootnoteReference"/>
          <w:rFonts w:eastAsia="MS Mincho"/>
        </w:rPr>
        <w:footnoteReference w:id="26"/>
      </w:r>
      <w:r w:rsidR="00453985">
        <w:rPr>
          <w:rFonts w:eastAsia="MS Mincho"/>
          <w:sz w:val="18"/>
          <w:szCs w:val="18"/>
        </w:rPr>
        <w:t xml:space="preserve"> </w:t>
      </w:r>
    </w:p>
    <w:p w:rsidR="00AC68B6" w:rsidRDefault="00E23256" w:rsidP="00934A11">
      <w:pPr>
        <w:pStyle w:val="SingleTxtG"/>
        <w:numPr>
          <w:ilvl w:val="0"/>
          <w:numId w:val="52"/>
        </w:numPr>
        <w:ind w:left="1134" w:firstLine="0"/>
        <w:rPr>
          <w:rFonts w:eastAsia="MS Mincho"/>
        </w:rPr>
      </w:pPr>
      <w:r w:rsidRPr="00E23256">
        <w:rPr>
          <w:rFonts w:eastAsia="MS Mincho"/>
        </w:rPr>
        <w:t xml:space="preserve">The </w:t>
      </w:r>
      <w:r w:rsidR="00AC68B6">
        <w:rPr>
          <w:rFonts w:eastAsia="MS Mincho"/>
        </w:rPr>
        <w:t>vulnerability</w:t>
      </w:r>
      <w:r w:rsidR="00B77438">
        <w:rPr>
          <w:rFonts w:eastAsia="MS Mincho"/>
        </w:rPr>
        <w:t xml:space="preserve"> of this group</w:t>
      </w:r>
      <w:r w:rsidRPr="00E23256">
        <w:rPr>
          <w:rFonts w:eastAsia="MS Mincho"/>
        </w:rPr>
        <w:t xml:space="preserve"> is exacerbated by the fact that Malaysian law does not provide for the protection of this group</w:t>
      </w:r>
      <w:r w:rsidR="000C4F2E">
        <w:rPr>
          <w:rFonts w:eastAsia="MS Mincho"/>
        </w:rPr>
        <w:t>,</w:t>
      </w:r>
      <w:r w:rsidRPr="00E23256">
        <w:rPr>
          <w:rFonts w:eastAsia="MS Mincho"/>
        </w:rPr>
        <w:t xml:space="preserve"> since the country is not a signatory to the 1951 Convention </w:t>
      </w:r>
      <w:r w:rsidR="000C4F2E">
        <w:rPr>
          <w:rFonts w:eastAsia="MS Mincho"/>
        </w:rPr>
        <w:t>relating to</w:t>
      </w:r>
      <w:r w:rsidR="000C4F2E" w:rsidRPr="00E23256">
        <w:rPr>
          <w:rFonts w:eastAsia="MS Mincho"/>
        </w:rPr>
        <w:t xml:space="preserve"> </w:t>
      </w:r>
      <w:r w:rsidRPr="00E23256">
        <w:rPr>
          <w:rFonts w:eastAsia="MS Mincho"/>
        </w:rPr>
        <w:t>the Status of Refugees</w:t>
      </w:r>
      <w:r w:rsidR="000431CF">
        <w:rPr>
          <w:rFonts w:eastAsia="MS Mincho"/>
        </w:rPr>
        <w:t xml:space="preserve"> or its 1967 Protocol</w:t>
      </w:r>
      <w:r w:rsidRPr="00E23256">
        <w:rPr>
          <w:rFonts w:eastAsia="MS Mincho"/>
        </w:rPr>
        <w:t xml:space="preserve">. </w:t>
      </w:r>
      <w:r w:rsidR="00AC68B6" w:rsidRPr="00E23256">
        <w:rPr>
          <w:rFonts w:eastAsia="MS Mincho"/>
        </w:rPr>
        <w:t>As a result</w:t>
      </w:r>
      <w:r w:rsidR="00AC68B6">
        <w:rPr>
          <w:rFonts w:eastAsia="MS Mincho"/>
        </w:rPr>
        <w:t>,</w:t>
      </w:r>
      <w:r w:rsidR="00AC68B6" w:rsidRPr="00E23256">
        <w:rPr>
          <w:rFonts w:eastAsia="MS Mincho"/>
        </w:rPr>
        <w:t xml:space="preserve"> asylum</w:t>
      </w:r>
      <w:r w:rsidR="000C4F2E">
        <w:rPr>
          <w:rFonts w:eastAsia="MS Mincho"/>
        </w:rPr>
        <w:t xml:space="preserve"> </w:t>
      </w:r>
      <w:r w:rsidR="00AC68B6" w:rsidRPr="00E23256">
        <w:rPr>
          <w:rFonts w:eastAsia="MS Mincho"/>
        </w:rPr>
        <w:lastRenderedPageBreak/>
        <w:t xml:space="preserve">seekers </w:t>
      </w:r>
      <w:r w:rsidR="00AC68B6">
        <w:rPr>
          <w:rFonts w:eastAsia="MS Mincho"/>
        </w:rPr>
        <w:t xml:space="preserve">and refugees </w:t>
      </w:r>
      <w:r w:rsidR="00195939">
        <w:rPr>
          <w:rFonts w:eastAsia="MS Mincho"/>
        </w:rPr>
        <w:t>are</w:t>
      </w:r>
      <w:r w:rsidR="00AC68B6" w:rsidRPr="00E23256">
        <w:rPr>
          <w:rFonts w:eastAsia="MS Mincho"/>
        </w:rPr>
        <w:t xml:space="preserve"> subject to the Immigration Act as undocumented migrants, and hence are liable to being imprisoned, whipped or removed.</w:t>
      </w:r>
      <w:r w:rsidR="00AC68B6">
        <w:rPr>
          <w:rFonts w:eastAsia="MS Mincho"/>
        </w:rPr>
        <w:t xml:space="preserve"> </w:t>
      </w:r>
    </w:p>
    <w:p w:rsidR="00236FCA" w:rsidRDefault="0039510F" w:rsidP="00934A11">
      <w:pPr>
        <w:pStyle w:val="SingleTxtG"/>
        <w:numPr>
          <w:ilvl w:val="0"/>
          <w:numId w:val="52"/>
        </w:numPr>
        <w:ind w:left="1134" w:firstLine="0"/>
        <w:rPr>
          <w:rFonts w:eastAsia="MS Mincho"/>
        </w:rPr>
      </w:pPr>
      <w:r>
        <w:rPr>
          <w:rFonts w:eastAsia="MS Mincho"/>
        </w:rPr>
        <w:t>T</w:t>
      </w:r>
      <w:r w:rsidR="00B77438" w:rsidRPr="000431CF">
        <w:rPr>
          <w:rFonts w:eastAsia="MS Mincho"/>
        </w:rPr>
        <w:t>here have been some improvements for refuge</w:t>
      </w:r>
      <w:r>
        <w:rPr>
          <w:rFonts w:eastAsia="MS Mincho"/>
        </w:rPr>
        <w:t>es and asylum</w:t>
      </w:r>
      <w:r w:rsidR="000C4F2E">
        <w:rPr>
          <w:rFonts w:eastAsia="MS Mincho"/>
        </w:rPr>
        <w:t xml:space="preserve"> </w:t>
      </w:r>
      <w:r>
        <w:rPr>
          <w:rFonts w:eastAsia="MS Mincho"/>
        </w:rPr>
        <w:t xml:space="preserve">seekers in the country recently, and those </w:t>
      </w:r>
      <w:r w:rsidRPr="0039510F">
        <w:rPr>
          <w:rFonts w:eastAsia="MS Mincho"/>
        </w:rPr>
        <w:t xml:space="preserve">who have obtained recognition </w:t>
      </w:r>
      <w:r w:rsidR="00AC68B6">
        <w:rPr>
          <w:rFonts w:eastAsia="MS Mincho"/>
        </w:rPr>
        <w:t xml:space="preserve">as “persons of concern” </w:t>
      </w:r>
      <w:r w:rsidRPr="0039510F">
        <w:rPr>
          <w:rFonts w:eastAsia="MS Mincho"/>
        </w:rPr>
        <w:t>from the UNHCR may be able to enjoy a basic de facto status at the national level.</w:t>
      </w:r>
      <w:r w:rsidR="00453985">
        <w:rPr>
          <w:rFonts w:eastAsia="MS Mincho"/>
        </w:rPr>
        <w:t xml:space="preserve"> </w:t>
      </w:r>
      <w:r>
        <w:rPr>
          <w:rFonts w:eastAsia="MS Mincho"/>
        </w:rPr>
        <w:t xml:space="preserve">However, </w:t>
      </w:r>
      <w:r w:rsidR="00B77438" w:rsidRPr="000431CF">
        <w:rPr>
          <w:rFonts w:eastAsia="MS Mincho"/>
        </w:rPr>
        <w:t xml:space="preserve">these advances have not been codified into laws or written policies that could provide </w:t>
      </w:r>
      <w:r w:rsidR="003C0F53">
        <w:rPr>
          <w:rFonts w:eastAsia="MS Mincho"/>
        </w:rPr>
        <w:t xml:space="preserve">and ensure </w:t>
      </w:r>
      <w:r w:rsidR="00B77438" w:rsidRPr="000431CF">
        <w:rPr>
          <w:rFonts w:eastAsia="MS Mincho"/>
        </w:rPr>
        <w:t>a</w:t>
      </w:r>
      <w:r>
        <w:rPr>
          <w:rFonts w:eastAsia="MS Mincho"/>
        </w:rPr>
        <w:t xml:space="preserve">n appropriate </w:t>
      </w:r>
      <w:r w:rsidR="00B77438" w:rsidRPr="000431CF">
        <w:rPr>
          <w:rFonts w:eastAsia="MS Mincho"/>
        </w:rPr>
        <w:t xml:space="preserve">framework </w:t>
      </w:r>
      <w:r w:rsidR="003C0F53">
        <w:rPr>
          <w:rFonts w:eastAsia="MS Mincho"/>
        </w:rPr>
        <w:t>of protection</w:t>
      </w:r>
      <w:r w:rsidR="00B77438" w:rsidRPr="000431CF">
        <w:rPr>
          <w:rFonts w:eastAsia="MS Mincho"/>
        </w:rPr>
        <w:t>.</w:t>
      </w:r>
    </w:p>
    <w:p w:rsidR="00650433" w:rsidRDefault="00650433" w:rsidP="00934A11">
      <w:pPr>
        <w:pStyle w:val="SingleTxtG"/>
        <w:numPr>
          <w:ilvl w:val="0"/>
          <w:numId w:val="52"/>
        </w:numPr>
        <w:ind w:left="1134" w:firstLine="0"/>
        <w:rPr>
          <w:rFonts w:eastAsia="MS Mincho"/>
        </w:rPr>
      </w:pPr>
      <w:r>
        <w:rPr>
          <w:rFonts w:eastAsia="MS Mincho"/>
        </w:rPr>
        <w:t>The health needs of refugees and asylum seekers are complex and require special consideration</w:t>
      </w:r>
      <w:r w:rsidR="0028538C">
        <w:rPr>
          <w:rFonts w:eastAsia="MS Mincho"/>
        </w:rPr>
        <w:t>,</w:t>
      </w:r>
      <w:r>
        <w:rPr>
          <w:rFonts w:eastAsia="MS Mincho"/>
        </w:rPr>
        <w:t xml:space="preserve"> given their displacement and relocation</w:t>
      </w:r>
      <w:r w:rsidR="00AC68B6">
        <w:rPr>
          <w:rFonts w:eastAsia="MS Mincho"/>
        </w:rPr>
        <w:t>.</w:t>
      </w:r>
      <w:r w:rsidR="00453985">
        <w:rPr>
          <w:rFonts w:eastAsia="MS Mincho"/>
        </w:rPr>
        <w:t xml:space="preserve"> </w:t>
      </w:r>
      <w:r w:rsidR="0028538C">
        <w:rPr>
          <w:rFonts w:eastAsia="MS Mincho"/>
        </w:rPr>
        <w:t xml:space="preserve">In </w:t>
      </w:r>
      <w:r>
        <w:rPr>
          <w:rFonts w:eastAsia="MS Mincho"/>
        </w:rPr>
        <w:t>2005, the Ministry of Health agreed to provide UNHCR</w:t>
      </w:r>
      <w:r w:rsidR="0028538C">
        <w:rPr>
          <w:rFonts w:eastAsia="MS Mincho"/>
        </w:rPr>
        <w:t>-</w:t>
      </w:r>
      <w:r>
        <w:rPr>
          <w:rFonts w:eastAsia="MS Mincho"/>
        </w:rPr>
        <w:t>recognized refugees with a 50</w:t>
      </w:r>
      <w:r w:rsidR="0028538C">
        <w:rPr>
          <w:rFonts w:eastAsia="MS Mincho"/>
        </w:rPr>
        <w:t xml:space="preserve"> per cent</w:t>
      </w:r>
      <w:r>
        <w:rPr>
          <w:rFonts w:eastAsia="MS Mincho"/>
        </w:rPr>
        <w:t xml:space="preserve"> discount on fees charged to non-nationals for health</w:t>
      </w:r>
      <w:r w:rsidR="0028538C">
        <w:rPr>
          <w:rFonts w:eastAsia="MS Mincho"/>
        </w:rPr>
        <w:t>-</w:t>
      </w:r>
      <w:r>
        <w:rPr>
          <w:rFonts w:eastAsia="MS Mincho"/>
        </w:rPr>
        <w:t>care services in public hospitals</w:t>
      </w:r>
      <w:r w:rsidR="002D17EA">
        <w:rPr>
          <w:rFonts w:eastAsia="MS Mincho"/>
        </w:rPr>
        <w:t>, which includes reproductive health, family planning and immunization.</w:t>
      </w:r>
      <w:r w:rsidR="001B35C0">
        <w:rPr>
          <w:rFonts w:eastAsia="MS Mincho"/>
        </w:rPr>
        <w:t xml:space="preserve"> </w:t>
      </w:r>
      <w:r w:rsidR="002D17EA">
        <w:rPr>
          <w:rFonts w:eastAsia="MS Mincho"/>
        </w:rPr>
        <w:t>Refugees are recognized as one of the target groups under the National Strategic Plan on HIV/AIDS 2011</w:t>
      </w:r>
      <w:r w:rsidR="00BD796F">
        <w:rPr>
          <w:rFonts w:eastAsia="MS Mincho"/>
        </w:rPr>
        <w:t>–</w:t>
      </w:r>
      <w:r w:rsidR="002D17EA">
        <w:rPr>
          <w:rFonts w:eastAsia="MS Mincho"/>
        </w:rPr>
        <w:t>2015</w:t>
      </w:r>
      <w:r w:rsidR="00EC758F">
        <w:rPr>
          <w:rFonts w:eastAsia="MS Mincho"/>
        </w:rPr>
        <w:t xml:space="preserve">, which gives them access to treatment and medication and could be considered as a good </w:t>
      </w:r>
      <w:r w:rsidR="003678E3">
        <w:rPr>
          <w:rFonts w:eastAsia="MS Mincho"/>
        </w:rPr>
        <w:t>step</w:t>
      </w:r>
      <w:r w:rsidR="002D17EA">
        <w:rPr>
          <w:rFonts w:eastAsia="MS Mincho"/>
        </w:rPr>
        <w:t>.</w:t>
      </w:r>
    </w:p>
    <w:p w:rsidR="00EC758F" w:rsidRDefault="002758A3" w:rsidP="00934A11">
      <w:pPr>
        <w:pStyle w:val="SingleTxtG"/>
        <w:numPr>
          <w:ilvl w:val="0"/>
          <w:numId w:val="52"/>
        </w:numPr>
        <w:ind w:left="1134" w:firstLine="0"/>
        <w:rPr>
          <w:rFonts w:eastAsia="MS Mincho"/>
        </w:rPr>
      </w:pPr>
      <w:r>
        <w:rPr>
          <w:rFonts w:eastAsia="MS Mincho"/>
        </w:rPr>
        <w:t>However, while</w:t>
      </w:r>
      <w:r w:rsidR="00EC758F">
        <w:rPr>
          <w:rFonts w:eastAsia="MS Mincho"/>
        </w:rPr>
        <w:t xml:space="preserve"> health</w:t>
      </w:r>
      <w:r w:rsidR="0028538C">
        <w:rPr>
          <w:rFonts w:eastAsia="MS Mincho"/>
        </w:rPr>
        <w:t>-</w:t>
      </w:r>
      <w:r w:rsidR="00EC758F">
        <w:rPr>
          <w:rFonts w:eastAsia="MS Mincho"/>
        </w:rPr>
        <w:t>care services are available for this group, they are not affordable or accessible, especially for asylum</w:t>
      </w:r>
      <w:r w:rsidR="00350BCF">
        <w:rPr>
          <w:rFonts w:eastAsia="MS Mincho"/>
        </w:rPr>
        <w:t xml:space="preserve"> </w:t>
      </w:r>
      <w:r w:rsidR="00EC758F">
        <w:rPr>
          <w:rFonts w:eastAsia="MS Mincho"/>
        </w:rPr>
        <w:t>seekers. The cost is prohibitive for asylum</w:t>
      </w:r>
      <w:r w:rsidR="00350BCF">
        <w:rPr>
          <w:rFonts w:eastAsia="MS Mincho"/>
        </w:rPr>
        <w:t xml:space="preserve"> </w:t>
      </w:r>
      <w:r w:rsidR="00EC758F">
        <w:rPr>
          <w:rFonts w:eastAsia="MS Mincho"/>
        </w:rPr>
        <w:t>seekers</w:t>
      </w:r>
      <w:r w:rsidR="00350BCF">
        <w:rPr>
          <w:rFonts w:eastAsia="MS Mincho"/>
        </w:rPr>
        <w:t>,</w:t>
      </w:r>
      <w:r w:rsidR="00EC758F">
        <w:rPr>
          <w:rFonts w:eastAsia="MS Mincho"/>
        </w:rPr>
        <w:t xml:space="preserve"> who are required to pay full foreign rates and cannot work to support themselves.</w:t>
      </w:r>
      <w:r w:rsidR="00453985">
        <w:rPr>
          <w:rFonts w:eastAsia="MS Mincho"/>
        </w:rPr>
        <w:t xml:space="preserve"> </w:t>
      </w:r>
      <w:r w:rsidR="00EC758F">
        <w:rPr>
          <w:rFonts w:eastAsia="MS Mincho"/>
        </w:rPr>
        <w:t>The sustained fears of arrest, detention and deportation, exacerbated by the measures described above, deter asylum</w:t>
      </w:r>
      <w:r w:rsidR="00350BCF">
        <w:rPr>
          <w:rFonts w:eastAsia="MS Mincho"/>
        </w:rPr>
        <w:t xml:space="preserve"> </w:t>
      </w:r>
      <w:r w:rsidR="00EC758F">
        <w:rPr>
          <w:rFonts w:eastAsia="MS Mincho"/>
        </w:rPr>
        <w:t>seekers from seeking medical treatment. Language barriers also act a major obstacle to access vital health-related services and information.</w:t>
      </w:r>
      <w:r w:rsidR="00453985">
        <w:rPr>
          <w:rFonts w:eastAsia="MS Mincho"/>
        </w:rPr>
        <w:t xml:space="preserve"> </w:t>
      </w:r>
    </w:p>
    <w:p w:rsidR="00157540" w:rsidRDefault="00157540" w:rsidP="00934A11">
      <w:pPr>
        <w:pStyle w:val="SingleTxtG"/>
        <w:numPr>
          <w:ilvl w:val="0"/>
          <w:numId w:val="52"/>
        </w:numPr>
        <w:ind w:left="1134" w:firstLine="0"/>
        <w:rPr>
          <w:rFonts w:eastAsia="MS Mincho"/>
        </w:rPr>
      </w:pPr>
      <w:r>
        <w:rPr>
          <w:rFonts w:eastAsia="MS Mincho"/>
        </w:rPr>
        <w:t>Despite the fact that Malaysia has not ratified international standards that protect and promote the rights of refugees and asylum</w:t>
      </w:r>
      <w:r w:rsidR="00350BCF">
        <w:rPr>
          <w:rFonts w:eastAsia="MS Mincho"/>
        </w:rPr>
        <w:t xml:space="preserve"> </w:t>
      </w:r>
      <w:r>
        <w:rPr>
          <w:rFonts w:eastAsia="MS Mincho"/>
        </w:rPr>
        <w:t>seekers, the principle of non-refoulement is part of customary international law.</w:t>
      </w:r>
      <w:r w:rsidR="00453985">
        <w:rPr>
          <w:rFonts w:eastAsia="MS Mincho"/>
        </w:rPr>
        <w:t xml:space="preserve"> </w:t>
      </w:r>
      <w:r w:rsidR="00E370F7">
        <w:rPr>
          <w:rFonts w:eastAsia="MS Mincho"/>
        </w:rPr>
        <w:t xml:space="preserve">In addition, </w:t>
      </w:r>
      <w:r>
        <w:rPr>
          <w:rFonts w:eastAsia="MS Mincho"/>
        </w:rPr>
        <w:t>Malaysia is bound by the obligations contained in the international human rights treaties that</w:t>
      </w:r>
      <w:r w:rsidR="00350BCF">
        <w:rPr>
          <w:rFonts w:eastAsia="MS Mincho"/>
        </w:rPr>
        <w:t xml:space="preserve"> it</w:t>
      </w:r>
      <w:r>
        <w:rPr>
          <w:rFonts w:eastAsia="MS Mincho"/>
        </w:rPr>
        <w:t xml:space="preserve"> has ratified </w:t>
      </w:r>
      <w:r w:rsidR="00E370F7">
        <w:rPr>
          <w:rFonts w:eastAsia="MS Mincho"/>
        </w:rPr>
        <w:t>which</w:t>
      </w:r>
      <w:r>
        <w:rPr>
          <w:rFonts w:eastAsia="MS Mincho"/>
        </w:rPr>
        <w:t xml:space="preserve"> </w:t>
      </w:r>
      <w:r w:rsidR="00772635">
        <w:rPr>
          <w:rFonts w:eastAsia="MS Mincho"/>
        </w:rPr>
        <w:t>cover</w:t>
      </w:r>
      <w:r w:rsidR="00A3337D">
        <w:rPr>
          <w:rFonts w:eastAsia="MS Mincho"/>
        </w:rPr>
        <w:t xml:space="preserve"> the rights of the</w:t>
      </w:r>
      <w:r>
        <w:rPr>
          <w:rFonts w:eastAsia="MS Mincho"/>
        </w:rPr>
        <w:t>s</w:t>
      </w:r>
      <w:r w:rsidR="00A3337D">
        <w:rPr>
          <w:rFonts w:eastAsia="MS Mincho"/>
        </w:rPr>
        <w:t>e</w:t>
      </w:r>
      <w:r>
        <w:rPr>
          <w:rFonts w:eastAsia="MS Mincho"/>
        </w:rPr>
        <w:t xml:space="preserve"> groups.</w:t>
      </w:r>
      <w:r w:rsidRPr="00680816">
        <w:rPr>
          <w:rStyle w:val="FootnoteReference"/>
          <w:rFonts w:eastAsia="MS Mincho"/>
        </w:rPr>
        <w:footnoteReference w:id="27"/>
      </w:r>
      <w:r w:rsidR="00C131EC">
        <w:rPr>
          <w:rFonts w:eastAsia="MS Mincho"/>
        </w:rPr>
        <w:t xml:space="preserve"> </w:t>
      </w:r>
    </w:p>
    <w:p w:rsidR="00A9509B" w:rsidRPr="000031A1" w:rsidRDefault="00C131EC" w:rsidP="000031A1">
      <w:pPr>
        <w:pStyle w:val="H23G"/>
        <w:rPr>
          <w:rFonts w:eastAsia="MS Mincho"/>
        </w:rPr>
      </w:pPr>
      <w:r>
        <w:rPr>
          <w:rFonts w:eastAsia="MS Mincho"/>
        </w:rPr>
        <w:tab/>
      </w:r>
      <w:r w:rsidR="00350BCF">
        <w:rPr>
          <w:rFonts w:eastAsia="MS Mincho"/>
        </w:rPr>
        <w:t>3.</w:t>
      </w:r>
      <w:r>
        <w:rPr>
          <w:rFonts w:eastAsia="MS Mincho"/>
        </w:rPr>
        <w:tab/>
      </w:r>
      <w:r w:rsidR="00A9509B" w:rsidRPr="000031A1">
        <w:rPr>
          <w:rFonts w:eastAsia="MS Mincho"/>
        </w:rPr>
        <w:t>Detention conditions in immigration centres</w:t>
      </w:r>
    </w:p>
    <w:p w:rsidR="00971F43" w:rsidRDefault="00A535AB" w:rsidP="00934A11">
      <w:pPr>
        <w:pStyle w:val="SingleTxtG"/>
        <w:numPr>
          <w:ilvl w:val="0"/>
          <w:numId w:val="52"/>
        </w:numPr>
        <w:ind w:left="1134" w:firstLine="0"/>
        <w:rPr>
          <w:rFonts w:eastAsia="MS Mincho"/>
        </w:rPr>
      </w:pPr>
      <w:r>
        <w:rPr>
          <w:rFonts w:eastAsia="MS Mincho"/>
        </w:rPr>
        <w:t>Illegal entry and re-entry in Malaysia is punishable with a fine of up to 10,000 ringgit (</w:t>
      </w:r>
      <w:r w:rsidRPr="00A535AB">
        <w:rPr>
          <w:rFonts w:eastAsia="MS Mincho"/>
        </w:rPr>
        <w:t>about US</w:t>
      </w:r>
      <w:r w:rsidR="00350BCF">
        <w:rPr>
          <w:rFonts w:eastAsia="MS Mincho"/>
        </w:rPr>
        <w:t>$</w:t>
      </w:r>
      <w:r>
        <w:rPr>
          <w:rFonts w:eastAsia="MS Mincho"/>
        </w:rPr>
        <w:t xml:space="preserve"> </w:t>
      </w:r>
      <w:r w:rsidRPr="00A535AB">
        <w:rPr>
          <w:rFonts w:eastAsia="MS Mincho"/>
        </w:rPr>
        <w:t>2,780), imprisonment</w:t>
      </w:r>
      <w:r>
        <w:rPr>
          <w:rFonts w:eastAsia="MS Mincho"/>
        </w:rPr>
        <w:t xml:space="preserve"> o</w:t>
      </w:r>
      <w:r w:rsidR="00962336">
        <w:rPr>
          <w:rFonts w:eastAsia="MS Mincho"/>
        </w:rPr>
        <w:t xml:space="preserve">f not more than five years and </w:t>
      </w:r>
      <w:r>
        <w:rPr>
          <w:rFonts w:eastAsia="MS Mincho"/>
        </w:rPr>
        <w:t>whipping of not more than six strokes.</w:t>
      </w:r>
      <w:r w:rsidRPr="00680816">
        <w:rPr>
          <w:rStyle w:val="FootnoteReference"/>
          <w:rFonts w:eastAsia="MS Mincho"/>
        </w:rPr>
        <w:footnoteReference w:id="28"/>
      </w:r>
      <w:r w:rsidR="00453985">
        <w:rPr>
          <w:rFonts w:eastAsia="MS Mincho"/>
        </w:rPr>
        <w:t xml:space="preserve"> </w:t>
      </w:r>
      <w:r w:rsidR="002758A3">
        <w:rPr>
          <w:rFonts w:eastAsia="MS Mincho"/>
        </w:rPr>
        <w:t>Existing m</w:t>
      </w:r>
      <w:r>
        <w:rPr>
          <w:rFonts w:eastAsia="MS Mincho"/>
        </w:rPr>
        <w:t>igration policy, together with the fact that the country does not recognize the special need for protection of refugees and asylum</w:t>
      </w:r>
      <w:r w:rsidR="00E57F83">
        <w:rPr>
          <w:rFonts w:eastAsia="MS Mincho"/>
        </w:rPr>
        <w:t xml:space="preserve"> </w:t>
      </w:r>
      <w:r>
        <w:rPr>
          <w:rFonts w:eastAsia="MS Mincho"/>
        </w:rPr>
        <w:t>seekers, leads to high numbers of migrants, refugees and asylum</w:t>
      </w:r>
      <w:r w:rsidR="00E57F83">
        <w:rPr>
          <w:rFonts w:eastAsia="MS Mincho"/>
        </w:rPr>
        <w:t xml:space="preserve"> </w:t>
      </w:r>
      <w:r>
        <w:rPr>
          <w:rFonts w:eastAsia="MS Mincho"/>
        </w:rPr>
        <w:t>seekers in detention</w:t>
      </w:r>
      <w:r w:rsidR="00E57F83">
        <w:rPr>
          <w:rFonts w:eastAsia="MS Mincho"/>
        </w:rPr>
        <w:t>,</w:t>
      </w:r>
      <w:r>
        <w:rPr>
          <w:rFonts w:eastAsia="MS Mincho"/>
        </w:rPr>
        <w:t xml:space="preserve"> who </w:t>
      </w:r>
      <w:r w:rsidR="005E042A">
        <w:rPr>
          <w:rFonts w:eastAsia="MS Mincho"/>
        </w:rPr>
        <w:t>are</w:t>
      </w:r>
      <w:r>
        <w:rPr>
          <w:rFonts w:eastAsia="MS Mincho"/>
        </w:rPr>
        <w:t xml:space="preserve"> exposed to corporal punishment against the universal prohibition of </w:t>
      </w:r>
      <w:r w:rsidR="005E042A">
        <w:rPr>
          <w:rFonts w:eastAsia="MS Mincho"/>
        </w:rPr>
        <w:t>torture</w:t>
      </w:r>
      <w:r w:rsidR="005E042A" w:rsidRPr="005E042A">
        <w:rPr>
          <w:rFonts w:eastAsia="MS Mincho"/>
        </w:rPr>
        <w:t xml:space="preserve"> </w:t>
      </w:r>
      <w:r w:rsidR="005E042A">
        <w:rPr>
          <w:rFonts w:eastAsia="MS Mincho"/>
        </w:rPr>
        <w:t>and ill-treatment</w:t>
      </w:r>
      <w:r w:rsidR="00E20F62">
        <w:rPr>
          <w:rFonts w:eastAsia="MS Mincho"/>
        </w:rPr>
        <w:t xml:space="preserve"> and </w:t>
      </w:r>
      <w:r w:rsidR="00E57F83">
        <w:rPr>
          <w:rFonts w:eastAsia="MS Mincho"/>
        </w:rPr>
        <w:t xml:space="preserve">the </w:t>
      </w:r>
      <w:r w:rsidR="00E20F62">
        <w:rPr>
          <w:rFonts w:eastAsia="MS Mincho"/>
        </w:rPr>
        <w:t>obligations</w:t>
      </w:r>
      <w:r w:rsidR="00E57F83">
        <w:rPr>
          <w:rFonts w:eastAsia="MS Mincho"/>
        </w:rPr>
        <w:t xml:space="preserve"> of Malaysia</w:t>
      </w:r>
      <w:r w:rsidR="00E20F62">
        <w:rPr>
          <w:rFonts w:eastAsia="MS Mincho"/>
        </w:rPr>
        <w:t xml:space="preserve"> under international law</w:t>
      </w:r>
      <w:r>
        <w:rPr>
          <w:rFonts w:eastAsia="MS Mincho"/>
        </w:rPr>
        <w:t>.</w:t>
      </w:r>
      <w:r w:rsidR="00453985">
        <w:rPr>
          <w:rFonts w:eastAsia="MS Mincho"/>
        </w:rPr>
        <w:t xml:space="preserve"> </w:t>
      </w:r>
    </w:p>
    <w:p w:rsidR="00134335" w:rsidRDefault="005E042A" w:rsidP="00934A11">
      <w:pPr>
        <w:pStyle w:val="SingleTxtG"/>
        <w:numPr>
          <w:ilvl w:val="0"/>
          <w:numId w:val="52"/>
        </w:numPr>
        <w:ind w:left="1134" w:firstLine="0"/>
        <w:rPr>
          <w:rFonts w:eastAsia="MS Mincho"/>
        </w:rPr>
      </w:pPr>
      <w:r>
        <w:rPr>
          <w:rFonts w:eastAsia="MS Mincho"/>
        </w:rPr>
        <w:t>O</w:t>
      </w:r>
      <w:r w:rsidR="00B77438">
        <w:rPr>
          <w:rFonts w:eastAsia="MS Mincho"/>
        </w:rPr>
        <w:t>ne</w:t>
      </w:r>
      <w:r w:rsidR="00311C46" w:rsidRPr="00311C46">
        <w:rPr>
          <w:rFonts w:eastAsia="MS Mincho"/>
        </w:rPr>
        <w:t xml:space="preserve"> of the main concerns relating to migrant workers</w:t>
      </w:r>
      <w:r w:rsidR="00134335">
        <w:rPr>
          <w:rFonts w:eastAsia="MS Mincho"/>
        </w:rPr>
        <w:t>,</w:t>
      </w:r>
      <w:r w:rsidR="00311C46" w:rsidRPr="00311C46">
        <w:rPr>
          <w:rFonts w:eastAsia="MS Mincho"/>
        </w:rPr>
        <w:t xml:space="preserve"> </w:t>
      </w:r>
      <w:r w:rsidR="00134335">
        <w:rPr>
          <w:rFonts w:eastAsia="MS Mincho"/>
        </w:rPr>
        <w:t>refugees, and</w:t>
      </w:r>
      <w:r w:rsidR="00B77438">
        <w:rPr>
          <w:rFonts w:eastAsia="MS Mincho"/>
        </w:rPr>
        <w:t xml:space="preserve"> asylum</w:t>
      </w:r>
      <w:r w:rsidR="00E57F83">
        <w:rPr>
          <w:rFonts w:eastAsia="MS Mincho"/>
        </w:rPr>
        <w:t xml:space="preserve"> </w:t>
      </w:r>
      <w:r w:rsidR="00B77438">
        <w:rPr>
          <w:rFonts w:eastAsia="MS Mincho"/>
        </w:rPr>
        <w:t xml:space="preserve">seekers </w:t>
      </w:r>
      <w:r w:rsidR="00134335">
        <w:rPr>
          <w:rFonts w:eastAsia="MS Mincho"/>
        </w:rPr>
        <w:t xml:space="preserve">in detention </w:t>
      </w:r>
      <w:r w:rsidR="00311C46" w:rsidRPr="00311C46">
        <w:rPr>
          <w:rFonts w:eastAsia="MS Mincho"/>
        </w:rPr>
        <w:t>is their mental and physical health needs</w:t>
      </w:r>
      <w:r w:rsidR="00134335">
        <w:rPr>
          <w:rFonts w:eastAsia="MS Mincho"/>
        </w:rPr>
        <w:t xml:space="preserve">. </w:t>
      </w:r>
      <w:r w:rsidR="005F36AB">
        <w:rPr>
          <w:rFonts w:eastAsia="MS Mincho"/>
        </w:rPr>
        <w:t>Long periods of detention and poor living conditions facilitate the transmission of communicable diseases and can have devastating effects on the mental health of migrants</w:t>
      </w:r>
      <w:r w:rsidR="00E57F83">
        <w:rPr>
          <w:rFonts w:eastAsia="MS Mincho"/>
        </w:rPr>
        <w:t xml:space="preserve"> (see </w:t>
      </w:r>
      <w:r w:rsidR="00E57F83">
        <w:t>A/HRC/23/41</w:t>
      </w:r>
      <w:r w:rsidR="00E57F83" w:rsidRPr="00276407">
        <w:t>, para.</w:t>
      </w:r>
      <w:r w:rsidR="00E57F83">
        <w:t> </w:t>
      </w:r>
      <w:r w:rsidR="00E57F83" w:rsidRPr="00276407">
        <w:t>36</w:t>
      </w:r>
      <w:r w:rsidR="00E57F83">
        <w:t>)</w:t>
      </w:r>
      <w:r w:rsidR="005F36AB">
        <w:rPr>
          <w:rFonts w:eastAsia="MS Mincho"/>
        </w:rPr>
        <w:t>.</w:t>
      </w:r>
      <w:r w:rsidR="00453985">
        <w:rPr>
          <w:rFonts w:eastAsia="MS Mincho"/>
        </w:rPr>
        <w:t xml:space="preserve"> </w:t>
      </w:r>
      <w:r w:rsidR="005F36AB">
        <w:rPr>
          <w:rFonts w:eastAsia="MS Mincho"/>
        </w:rPr>
        <w:t>This is exacerbated in the case of asylum</w:t>
      </w:r>
      <w:r w:rsidR="00E57F83">
        <w:rPr>
          <w:rFonts w:eastAsia="MS Mincho"/>
        </w:rPr>
        <w:t xml:space="preserve"> </w:t>
      </w:r>
      <w:r w:rsidR="005F36AB">
        <w:rPr>
          <w:rFonts w:eastAsia="MS Mincho"/>
        </w:rPr>
        <w:t>seekers and refugees</w:t>
      </w:r>
      <w:r w:rsidR="00E57F83">
        <w:rPr>
          <w:rFonts w:eastAsia="MS Mincho"/>
        </w:rPr>
        <w:t>,</w:t>
      </w:r>
      <w:r w:rsidR="005F36AB">
        <w:rPr>
          <w:rFonts w:eastAsia="MS Mincho"/>
        </w:rPr>
        <w:t xml:space="preserve"> who often suffer</w:t>
      </w:r>
      <w:r w:rsidR="00650433">
        <w:rPr>
          <w:rFonts w:eastAsia="MS Mincho"/>
        </w:rPr>
        <w:t xml:space="preserve"> from </w:t>
      </w:r>
      <w:r w:rsidR="003678E3">
        <w:rPr>
          <w:rFonts w:eastAsia="MS Mincho"/>
        </w:rPr>
        <w:t xml:space="preserve">previous </w:t>
      </w:r>
      <w:r w:rsidR="00650433">
        <w:rPr>
          <w:rFonts w:eastAsia="MS Mincho"/>
        </w:rPr>
        <w:t xml:space="preserve">trauma </w:t>
      </w:r>
      <w:r w:rsidR="00E57F83">
        <w:rPr>
          <w:rFonts w:eastAsia="MS Mincho"/>
        </w:rPr>
        <w:t xml:space="preserve">from </w:t>
      </w:r>
      <w:r w:rsidR="00650433">
        <w:rPr>
          <w:rFonts w:eastAsia="MS Mincho"/>
        </w:rPr>
        <w:t xml:space="preserve">violence, </w:t>
      </w:r>
      <w:r w:rsidR="005F36AB">
        <w:rPr>
          <w:rFonts w:eastAsia="MS Mincho"/>
        </w:rPr>
        <w:t>persecution</w:t>
      </w:r>
      <w:r w:rsidR="00650433">
        <w:rPr>
          <w:rFonts w:eastAsia="MS Mincho"/>
        </w:rPr>
        <w:t xml:space="preserve"> and displacement</w:t>
      </w:r>
      <w:r>
        <w:rPr>
          <w:rFonts w:eastAsia="MS Mincho"/>
        </w:rPr>
        <w:t xml:space="preserve">. </w:t>
      </w:r>
    </w:p>
    <w:p w:rsidR="00282964" w:rsidRDefault="003678E3" w:rsidP="00934A11">
      <w:pPr>
        <w:pStyle w:val="SingleTxtG"/>
        <w:numPr>
          <w:ilvl w:val="0"/>
          <w:numId w:val="52"/>
        </w:numPr>
        <w:ind w:left="1134" w:firstLine="0"/>
        <w:rPr>
          <w:rFonts w:eastAsia="MS Mincho"/>
        </w:rPr>
      </w:pPr>
      <w:r>
        <w:rPr>
          <w:rFonts w:eastAsia="MS Mincho"/>
        </w:rPr>
        <w:t>L</w:t>
      </w:r>
      <w:r w:rsidR="008D6A49">
        <w:rPr>
          <w:rFonts w:eastAsia="MS Mincho"/>
        </w:rPr>
        <w:t xml:space="preserve">egislation referring to the administration of immigration detention centres </w:t>
      </w:r>
      <w:r>
        <w:rPr>
          <w:rFonts w:eastAsia="MS Mincho"/>
        </w:rPr>
        <w:t xml:space="preserve">includes </w:t>
      </w:r>
      <w:r w:rsidR="008D6A49">
        <w:rPr>
          <w:rFonts w:eastAsia="MS Mincho"/>
        </w:rPr>
        <w:t xml:space="preserve">the Prisons Act of 1995, the Prisons Regulations of 2000 and the Immigration </w:t>
      </w:r>
      <w:r w:rsidR="008D6A49">
        <w:rPr>
          <w:rFonts w:eastAsia="MS Mincho"/>
        </w:rPr>
        <w:lastRenderedPageBreak/>
        <w:t>(Administration and Management of Immigration Depots) Regulation of 2003.</w:t>
      </w:r>
      <w:r w:rsidR="00453985">
        <w:rPr>
          <w:rFonts w:eastAsia="MS Mincho"/>
        </w:rPr>
        <w:t xml:space="preserve"> </w:t>
      </w:r>
      <w:r w:rsidR="00E4510B">
        <w:rPr>
          <w:rFonts w:eastAsia="MS Mincho"/>
        </w:rPr>
        <w:t>Suhakam is the only entity with legal permission to monitor the conditions of detention in these centres</w:t>
      </w:r>
      <w:r w:rsidR="004032C4">
        <w:rPr>
          <w:rFonts w:eastAsia="MS Mincho"/>
        </w:rPr>
        <w:t xml:space="preserve">, although the </w:t>
      </w:r>
      <w:r w:rsidR="003A7AEE">
        <w:rPr>
          <w:rFonts w:eastAsia="MS Mincho"/>
        </w:rPr>
        <w:t xml:space="preserve">International Committee of the Red Cross </w:t>
      </w:r>
      <w:r w:rsidR="004032C4">
        <w:rPr>
          <w:rFonts w:eastAsia="MS Mincho"/>
        </w:rPr>
        <w:t>and UNHCR are allowed</w:t>
      </w:r>
      <w:r w:rsidR="003A7AEE">
        <w:rPr>
          <w:rFonts w:eastAsia="MS Mincho"/>
        </w:rPr>
        <w:t xml:space="preserve"> to visit</w:t>
      </w:r>
      <w:r w:rsidR="004032C4">
        <w:rPr>
          <w:rFonts w:eastAsia="MS Mincho"/>
        </w:rPr>
        <w:t xml:space="preserve"> on a regular basis</w:t>
      </w:r>
      <w:r w:rsidR="00E4510B">
        <w:rPr>
          <w:rFonts w:eastAsia="MS Mincho"/>
        </w:rPr>
        <w:t xml:space="preserve">. </w:t>
      </w:r>
      <w:r w:rsidR="003A7AEE">
        <w:rPr>
          <w:rFonts w:eastAsia="MS Mincho"/>
        </w:rPr>
        <w:t xml:space="preserve">Non-governmental organizations </w:t>
      </w:r>
      <w:r w:rsidR="005E5300">
        <w:rPr>
          <w:rFonts w:eastAsia="MS Mincho"/>
        </w:rPr>
        <w:t>have very limited access to places</w:t>
      </w:r>
      <w:r w:rsidR="003A7AEE">
        <w:rPr>
          <w:rFonts w:eastAsia="MS Mincho"/>
        </w:rPr>
        <w:t xml:space="preserve"> in which migrants are detained</w:t>
      </w:r>
      <w:r w:rsidR="005E5300">
        <w:rPr>
          <w:rFonts w:eastAsia="MS Mincho"/>
        </w:rPr>
        <w:t>.</w:t>
      </w:r>
      <w:r w:rsidR="00C131EC">
        <w:rPr>
          <w:rFonts w:eastAsia="MS Mincho"/>
        </w:rPr>
        <w:t xml:space="preserve"> </w:t>
      </w:r>
      <w:r w:rsidR="00025686">
        <w:rPr>
          <w:rFonts w:eastAsia="MS Mincho"/>
        </w:rPr>
        <w:t>The Special Rapporteur is encouraged by the fact that the</w:t>
      </w:r>
      <w:r w:rsidR="00025686" w:rsidRPr="00C141DC">
        <w:rPr>
          <w:rFonts w:eastAsia="MS Mincho"/>
        </w:rPr>
        <w:t xml:space="preserve"> Ministry of Health </w:t>
      </w:r>
      <w:r w:rsidR="00025686">
        <w:rPr>
          <w:rFonts w:eastAsia="MS Mincho"/>
        </w:rPr>
        <w:t xml:space="preserve">is now </w:t>
      </w:r>
      <w:r w:rsidR="00025686" w:rsidRPr="00C141DC">
        <w:rPr>
          <w:rFonts w:eastAsia="MS Mincho"/>
        </w:rPr>
        <w:t>conduct</w:t>
      </w:r>
      <w:r w:rsidR="00025686">
        <w:rPr>
          <w:rFonts w:eastAsia="MS Mincho"/>
        </w:rPr>
        <w:t>ing</w:t>
      </w:r>
      <w:r w:rsidR="00025686" w:rsidRPr="00C141DC">
        <w:rPr>
          <w:rFonts w:eastAsia="MS Mincho"/>
        </w:rPr>
        <w:t xml:space="preserve"> visits </w:t>
      </w:r>
      <w:r w:rsidR="00025686">
        <w:rPr>
          <w:rFonts w:eastAsia="MS Mincho"/>
        </w:rPr>
        <w:t xml:space="preserve">on a regular basis </w:t>
      </w:r>
      <w:r w:rsidR="00025686" w:rsidRPr="00C141DC">
        <w:rPr>
          <w:rFonts w:eastAsia="MS Mincho"/>
        </w:rPr>
        <w:t>to some of the</w:t>
      </w:r>
      <w:r w:rsidR="00025686">
        <w:rPr>
          <w:rFonts w:eastAsia="MS Mincho"/>
        </w:rPr>
        <w:t xml:space="preserve"> immigration detention centres.</w:t>
      </w:r>
    </w:p>
    <w:p w:rsidR="00971F43" w:rsidRDefault="003C0F53" w:rsidP="00934A11">
      <w:pPr>
        <w:pStyle w:val="SingleTxtG"/>
        <w:numPr>
          <w:ilvl w:val="0"/>
          <w:numId w:val="52"/>
        </w:numPr>
        <w:ind w:left="1134" w:firstLine="0"/>
        <w:rPr>
          <w:rFonts w:eastAsia="MS Mincho"/>
        </w:rPr>
      </w:pPr>
      <w:r>
        <w:rPr>
          <w:rFonts w:eastAsia="MS Mincho"/>
        </w:rPr>
        <w:t>T</w:t>
      </w:r>
      <w:r w:rsidR="003D416E" w:rsidRPr="00E23256">
        <w:rPr>
          <w:rFonts w:eastAsia="MS Mincho"/>
        </w:rPr>
        <w:t xml:space="preserve">he detention conditions in immigration centres </w:t>
      </w:r>
      <w:r w:rsidR="00236FCA">
        <w:rPr>
          <w:rFonts w:eastAsia="MS Mincho"/>
        </w:rPr>
        <w:t>have been</w:t>
      </w:r>
      <w:r w:rsidR="003D416E" w:rsidRPr="00E23256">
        <w:rPr>
          <w:rFonts w:eastAsia="MS Mincho"/>
        </w:rPr>
        <w:t xml:space="preserve"> reported as a source of concern </w:t>
      </w:r>
      <w:r w:rsidR="003A7AEE">
        <w:rPr>
          <w:rFonts w:eastAsia="MS Mincho"/>
        </w:rPr>
        <w:t xml:space="preserve">about health (see </w:t>
      </w:r>
      <w:r w:rsidR="003A7AEE" w:rsidRPr="005E5300">
        <w:t>A/HRC/16/47/Add.2</w:t>
      </w:r>
      <w:r w:rsidR="003A7AEE">
        <w:t>)</w:t>
      </w:r>
      <w:r>
        <w:rPr>
          <w:rFonts w:eastAsia="MS Mincho"/>
        </w:rPr>
        <w:t>.</w:t>
      </w:r>
      <w:r w:rsidR="00236FCA" w:rsidRPr="00680816">
        <w:rPr>
          <w:rStyle w:val="FootnoteReference"/>
          <w:rFonts w:eastAsia="MS Mincho"/>
        </w:rPr>
        <w:footnoteReference w:id="29"/>
      </w:r>
      <w:r>
        <w:rPr>
          <w:rFonts w:eastAsia="MS Mincho"/>
        </w:rPr>
        <w:t xml:space="preserve"> During his visit, </w:t>
      </w:r>
      <w:r w:rsidR="00236FCA">
        <w:rPr>
          <w:rFonts w:eastAsia="MS Mincho"/>
        </w:rPr>
        <w:t>the Special Rapporteur</w:t>
      </w:r>
      <w:r w:rsidR="003D416E">
        <w:rPr>
          <w:rFonts w:eastAsia="MS Mincho"/>
        </w:rPr>
        <w:t xml:space="preserve"> </w:t>
      </w:r>
      <w:r>
        <w:rPr>
          <w:rFonts w:eastAsia="MS Mincho"/>
        </w:rPr>
        <w:t>had access to</w:t>
      </w:r>
      <w:r w:rsidR="003D416E" w:rsidRPr="00E23256">
        <w:rPr>
          <w:rFonts w:eastAsia="MS Mincho"/>
        </w:rPr>
        <w:t xml:space="preserve"> </w:t>
      </w:r>
      <w:r w:rsidR="000B6FC4">
        <w:rPr>
          <w:rFonts w:eastAsia="MS Mincho"/>
        </w:rPr>
        <w:t xml:space="preserve">the </w:t>
      </w:r>
      <w:r w:rsidR="003D416E" w:rsidRPr="00E23256">
        <w:rPr>
          <w:rFonts w:eastAsia="MS Mincho"/>
        </w:rPr>
        <w:t>Le</w:t>
      </w:r>
      <w:r w:rsidR="000B6FC4">
        <w:rPr>
          <w:rFonts w:eastAsia="MS Mincho"/>
        </w:rPr>
        <w:t>n</w:t>
      </w:r>
      <w:r w:rsidR="003D416E" w:rsidRPr="00E23256">
        <w:rPr>
          <w:rFonts w:eastAsia="MS Mincho"/>
        </w:rPr>
        <w:t xml:space="preserve">ggeng </w:t>
      </w:r>
      <w:r w:rsidR="00282964">
        <w:rPr>
          <w:rFonts w:eastAsia="MS Mincho"/>
        </w:rPr>
        <w:t>Immigration Depot (Negeri Sembilan)</w:t>
      </w:r>
      <w:r w:rsidR="003D416E" w:rsidRPr="00E23256">
        <w:rPr>
          <w:rFonts w:eastAsia="MS Mincho"/>
        </w:rPr>
        <w:t xml:space="preserve"> and the</w:t>
      </w:r>
      <w:r w:rsidR="0027758E" w:rsidRPr="0027758E">
        <w:rPr>
          <w:rFonts w:eastAsia="MS Mincho"/>
        </w:rPr>
        <w:t xml:space="preserve"> </w:t>
      </w:r>
      <w:r w:rsidR="0027758E">
        <w:rPr>
          <w:rFonts w:eastAsia="MS Mincho"/>
        </w:rPr>
        <w:t>I</w:t>
      </w:r>
      <w:r w:rsidR="0027758E" w:rsidRPr="000B6FC4">
        <w:rPr>
          <w:rFonts w:eastAsia="MS Mincho"/>
        </w:rPr>
        <w:t>mmigration D</w:t>
      </w:r>
      <w:r w:rsidR="0027758E">
        <w:rPr>
          <w:rFonts w:eastAsia="MS Mincho"/>
        </w:rPr>
        <w:t>etention Depot of the</w:t>
      </w:r>
      <w:r w:rsidR="003D416E" w:rsidRPr="00E23256">
        <w:rPr>
          <w:rFonts w:eastAsia="MS Mincho"/>
        </w:rPr>
        <w:t xml:space="preserve"> Kuala Lumpur International Airport </w:t>
      </w:r>
      <w:r w:rsidR="00282964">
        <w:rPr>
          <w:rFonts w:eastAsia="MS Mincho"/>
        </w:rPr>
        <w:t>(Sepang, Selangor)</w:t>
      </w:r>
      <w:r w:rsidR="003D416E" w:rsidRPr="00E23256">
        <w:rPr>
          <w:rFonts w:eastAsia="MS Mincho"/>
        </w:rPr>
        <w:t>.</w:t>
      </w:r>
      <w:r w:rsidR="00453985">
        <w:rPr>
          <w:rFonts w:eastAsia="MS Mincho"/>
        </w:rPr>
        <w:t xml:space="preserve"> </w:t>
      </w:r>
    </w:p>
    <w:p w:rsidR="003C0F53" w:rsidRDefault="003C0F53" w:rsidP="00934A11">
      <w:pPr>
        <w:pStyle w:val="SingleTxtG"/>
        <w:numPr>
          <w:ilvl w:val="0"/>
          <w:numId w:val="52"/>
        </w:numPr>
        <w:ind w:left="1134" w:firstLine="0"/>
        <w:rPr>
          <w:rFonts w:eastAsia="MS Mincho"/>
        </w:rPr>
      </w:pPr>
      <w:r w:rsidRPr="00E23256">
        <w:rPr>
          <w:rFonts w:eastAsia="MS Mincho"/>
        </w:rPr>
        <w:t xml:space="preserve">During </w:t>
      </w:r>
      <w:r>
        <w:rPr>
          <w:rFonts w:eastAsia="MS Mincho"/>
        </w:rPr>
        <w:t>his</w:t>
      </w:r>
      <w:r w:rsidR="00907C83">
        <w:rPr>
          <w:rFonts w:eastAsia="MS Mincho"/>
        </w:rPr>
        <w:t xml:space="preserve"> visit</w:t>
      </w:r>
      <w:r w:rsidRPr="00E23256">
        <w:rPr>
          <w:rFonts w:eastAsia="MS Mincho"/>
        </w:rPr>
        <w:t xml:space="preserve"> to </w:t>
      </w:r>
      <w:r w:rsidR="0027758E">
        <w:rPr>
          <w:rFonts w:eastAsia="MS Mincho"/>
        </w:rPr>
        <w:t xml:space="preserve">the </w:t>
      </w:r>
      <w:r w:rsidR="00907C83">
        <w:rPr>
          <w:rFonts w:eastAsia="MS Mincho"/>
        </w:rPr>
        <w:t>Le</w:t>
      </w:r>
      <w:r w:rsidR="00282964">
        <w:rPr>
          <w:rFonts w:eastAsia="MS Mincho"/>
        </w:rPr>
        <w:t>n</w:t>
      </w:r>
      <w:r w:rsidR="00907C83">
        <w:rPr>
          <w:rFonts w:eastAsia="MS Mincho"/>
        </w:rPr>
        <w:t>ggeng</w:t>
      </w:r>
      <w:r w:rsidR="00282964">
        <w:rPr>
          <w:rFonts w:eastAsia="MS Mincho"/>
        </w:rPr>
        <w:t xml:space="preserve"> Depot</w:t>
      </w:r>
      <w:r w:rsidRPr="00E23256">
        <w:rPr>
          <w:rFonts w:eastAsia="MS Mincho"/>
        </w:rPr>
        <w:t xml:space="preserve">, </w:t>
      </w:r>
      <w:r>
        <w:rPr>
          <w:rFonts w:eastAsia="MS Mincho"/>
        </w:rPr>
        <w:t>the Special Rapporteur</w:t>
      </w:r>
      <w:r w:rsidRPr="00E23256">
        <w:rPr>
          <w:rFonts w:eastAsia="MS Mincho"/>
        </w:rPr>
        <w:t xml:space="preserve"> found out that women who have just given birth are held in a separate area where they have mattresses for them and their babies and are provided with the necessary hygienic products. </w:t>
      </w:r>
      <w:r w:rsidR="00907C83">
        <w:rPr>
          <w:rFonts w:eastAsia="MS Mincho"/>
        </w:rPr>
        <w:t>However, t</w:t>
      </w:r>
      <w:r w:rsidRPr="00E23256">
        <w:rPr>
          <w:rFonts w:eastAsia="MS Mincho"/>
        </w:rPr>
        <w:t xml:space="preserve">heir diet does not seem sufficient for breastfeeding mothers as it was reported that they only get two meals per day. In addition, access to clean water seems to </w:t>
      </w:r>
      <w:r w:rsidR="008A6216">
        <w:rPr>
          <w:rFonts w:eastAsia="MS Mincho"/>
        </w:rPr>
        <w:t>be only upon request and</w:t>
      </w:r>
      <w:r w:rsidRPr="00E23256">
        <w:rPr>
          <w:rFonts w:eastAsia="MS Mincho"/>
        </w:rPr>
        <w:t xml:space="preserve"> some of these women are reportedly not allowed to spend enough time outside the common cell</w:t>
      </w:r>
      <w:r w:rsidR="00282964">
        <w:rPr>
          <w:rFonts w:eastAsia="MS Mincho"/>
        </w:rPr>
        <w:t>, including</w:t>
      </w:r>
      <w:r w:rsidRPr="00E23256">
        <w:rPr>
          <w:rFonts w:eastAsia="MS Mincho"/>
        </w:rPr>
        <w:t xml:space="preserve"> with their babies. </w:t>
      </w:r>
    </w:p>
    <w:p w:rsidR="000B6FC4" w:rsidRDefault="00282964" w:rsidP="00934A11">
      <w:pPr>
        <w:pStyle w:val="SingleTxtG"/>
        <w:numPr>
          <w:ilvl w:val="0"/>
          <w:numId w:val="52"/>
        </w:numPr>
        <w:ind w:left="1134" w:firstLine="0"/>
        <w:rPr>
          <w:rFonts w:eastAsia="MS Mincho"/>
        </w:rPr>
      </w:pPr>
      <w:r>
        <w:rPr>
          <w:rFonts w:eastAsia="MS Mincho"/>
        </w:rPr>
        <w:t xml:space="preserve">In </w:t>
      </w:r>
      <w:r w:rsidR="0027758E">
        <w:rPr>
          <w:rFonts w:eastAsia="MS Mincho"/>
        </w:rPr>
        <w:t xml:space="preserve">the </w:t>
      </w:r>
      <w:r>
        <w:rPr>
          <w:rFonts w:eastAsia="MS Mincho"/>
        </w:rPr>
        <w:t>Lenggeng Depot</w:t>
      </w:r>
      <w:r w:rsidR="0027758E">
        <w:rPr>
          <w:rFonts w:eastAsia="MS Mincho"/>
        </w:rPr>
        <w:t>,</w:t>
      </w:r>
      <w:r>
        <w:rPr>
          <w:rFonts w:eastAsia="MS Mincho"/>
        </w:rPr>
        <w:t xml:space="preserve"> the Special Rapporteur </w:t>
      </w:r>
      <w:r w:rsidR="0027758E">
        <w:rPr>
          <w:rFonts w:eastAsia="MS Mincho"/>
        </w:rPr>
        <w:t>heard of</w:t>
      </w:r>
      <w:r>
        <w:rPr>
          <w:rFonts w:eastAsia="MS Mincho"/>
        </w:rPr>
        <w:t xml:space="preserve"> two cases of migrants held in isolation </w:t>
      </w:r>
      <w:r w:rsidR="00FE3A34">
        <w:rPr>
          <w:rFonts w:eastAsia="MS Mincho"/>
        </w:rPr>
        <w:t xml:space="preserve">cells </w:t>
      </w:r>
      <w:r>
        <w:rPr>
          <w:rFonts w:eastAsia="MS Mincho"/>
        </w:rPr>
        <w:t xml:space="preserve">due to mental health issues. </w:t>
      </w:r>
      <w:r w:rsidR="002758A3">
        <w:rPr>
          <w:rFonts w:eastAsia="MS Mincho"/>
        </w:rPr>
        <w:t>He learnt that</w:t>
      </w:r>
      <w:r w:rsidR="0027758E">
        <w:rPr>
          <w:rFonts w:eastAsia="MS Mincho"/>
        </w:rPr>
        <w:t>,</w:t>
      </w:r>
      <w:r w:rsidR="002758A3">
        <w:rPr>
          <w:rFonts w:eastAsia="MS Mincho"/>
        </w:rPr>
        <w:t xml:space="preserve"> </w:t>
      </w:r>
      <w:r w:rsidR="0027758E">
        <w:rPr>
          <w:rFonts w:eastAsia="MS Mincho"/>
        </w:rPr>
        <w:t xml:space="preserve">in such </w:t>
      </w:r>
      <w:r w:rsidR="000B6FC4">
        <w:rPr>
          <w:rFonts w:eastAsia="MS Mincho"/>
        </w:rPr>
        <w:t>cases</w:t>
      </w:r>
      <w:r w:rsidR="0027758E">
        <w:rPr>
          <w:rFonts w:eastAsia="MS Mincho"/>
        </w:rPr>
        <w:t>,</w:t>
      </w:r>
      <w:r>
        <w:rPr>
          <w:rFonts w:eastAsia="MS Mincho"/>
        </w:rPr>
        <w:t xml:space="preserve"> </w:t>
      </w:r>
      <w:r w:rsidR="0027758E">
        <w:rPr>
          <w:rFonts w:eastAsia="MS Mincho"/>
        </w:rPr>
        <w:t xml:space="preserve">sufferers </w:t>
      </w:r>
      <w:r>
        <w:rPr>
          <w:rFonts w:eastAsia="MS Mincho"/>
        </w:rPr>
        <w:t xml:space="preserve">do not </w:t>
      </w:r>
      <w:r w:rsidR="002758A3">
        <w:rPr>
          <w:rFonts w:eastAsia="MS Mincho"/>
        </w:rPr>
        <w:t>receive</w:t>
      </w:r>
      <w:r>
        <w:rPr>
          <w:rFonts w:eastAsia="MS Mincho"/>
        </w:rPr>
        <w:t xml:space="preserve"> specialized medical attention and one </w:t>
      </w:r>
      <w:r w:rsidR="0027758E">
        <w:rPr>
          <w:rFonts w:eastAsia="MS Mincho"/>
        </w:rPr>
        <w:t>migrants</w:t>
      </w:r>
      <w:r>
        <w:rPr>
          <w:rFonts w:eastAsia="MS Mincho"/>
        </w:rPr>
        <w:t xml:space="preserve"> had been </w:t>
      </w:r>
      <w:r w:rsidR="002758A3">
        <w:rPr>
          <w:rFonts w:eastAsia="MS Mincho"/>
        </w:rPr>
        <w:t>in detention</w:t>
      </w:r>
      <w:r>
        <w:rPr>
          <w:rFonts w:eastAsia="MS Mincho"/>
        </w:rPr>
        <w:t xml:space="preserve"> for over </w:t>
      </w:r>
      <w:r w:rsidR="0027758E">
        <w:rPr>
          <w:rFonts w:eastAsia="MS Mincho"/>
        </w:rPr>
        <w:t xml:space="preserve">a </w:t>
      </w:r>
      <w:r>
        <w:rPr>
          <w:rFonts w:eastAsia="MS Mincho"/>
        </w:rPr>
        <w:t>year.</w:t>
      </w:r>
      <w:r w:rsidR="00453985">
        <w:rPr>
          <w:rFonts w:eastAsia="MS Mincho"/>
        </w:rPr>
        <w:t xml:space="preserve"> </w:t>
      </w:r>
      <w:r>
        <w:rPr>
          <w:rFonts w:eastAsia="MS Mincho"/>
        </w:rPr>
        <w:t>Both women seemed in good physical condition</w:t>
      </w:r>
      <w:r w:rsidR="0027758E">
        <w:rPr>
          <w:rFonts w:eastAsia="MS Mincho"/>
        </w:rPr>
        <w:t>,</w:t>
      </w:r>
      <w:r>
        <w:rPr>
          <w:rFonts w:eastAsia="MS Mincho"/>
        </w:rPr>
        <w:t xml:space="preserve"> but isolation cells are </w:t>
      </w:r>
      <w:r w:rsidR="00971F43">
        <w:rPr>
          <w:rFonts w:eastAsia="MS Mincho"/>
        </w:rPr>
        <w:t xml:space="preserve">too </w:t>
      </w:r>
      <w:r>
        <w:rPr>
          <w:rFonts w:eastAsia="MS Mincho"/>
        </w:rPr>
        <w:t xml:space="preserve">small and should not be used for </w:t>
      </w:r>
      <w:r w:rsidR="000B6FC4">
        <w:rPr>
          <w:rFonts w:eastAsia="MS Mincho"/>
        </w:rPr>
        <w:t xml:space="preserve">the same person for </w:t>
      </w:r>
      <w:r>
        <w:rPr>
          <w:rFonts w:eastAsia="MS Mincho"/>
        </w:rPr>
        <w:t>prolonged periods of time.</w:t>
      </w:r>
      <w:r w:rsidR="00453985">
        <w:rPr>
          <w:rFonts w:eastAsia="MS Mincho"/>
        </w:rPr>
        <w:t xml:space="preserve"> </w:t>
      </w:r>
    </w:p>
    <w:p w:rsidR="000B6FC4" w:rsidRDefault="00FE4173" w:rsidP="00934A11">
      <w:pPr>
        <w:pStyle w:val="SingleTxtG"/>
        <w:numPr>
          <w:ilvl w:val="0"/>
          <w:numId w:val="52"/>
        </w:numPr>
        <w:ind w:left="1134" w:firstLine="0"/>
        <w:rPr>
          <w:rFonts w:eastAsia="MS Mincho"/>
        </w:rPr>
      </w:pPr>
      <w:r>
        <w:rPr>
          <w:rFonts w:eastAsia="MS Mincho"/>
        </w:rPr>
        <w:t xml:space="preserve">The Special Rapporteur </w:t>
      </w:r>
      <w:r w:rsidR="00B51BF7">
        <w:rPr>
          <w:rFonts w:eastAsia="MS Mincho"/>
        </w:rPr>
        <w:t>regrets</w:t>
      </w:r>
      <w:r>
        <w:rPr>
          <w:rFonts w:eastAsia="MS Mincho"/>
        </w:rPr>
        <w:t xml:space="preserve"> that </w:t>
      </w:r>
      <w:r w:rsidR="000B6FC4">
        <w:rPr>
          <w:rFonts w:eastAsia="MS Mincho"/>
        </w:rPr>
        <w:t xml:space="preserve">during his visit to Lenggeng he could not finish </w:t>
      </w:r>
      <w:r>
        <w:rPr>
          <w:rFonts w:eastAsia="MS Mincho"/>
        </w:rPr>
        <w:t>an</w:t>
      </w:r>
      <w:r w:rsidR="000B6FC4">
        <w:rPr>
          <w:rFonts w:eastAsia="MS Mincho"/>
        </w:rPr>
        <w:t xml:space="preserve"> interview with a group of women </w:t>
      </w:r>
      <w:r>
        <w:rPr>
          <w:rFonts w:eastAsia="MS Mincho"/>
        </w:rPr>
        <w:t xml:space="preserve">because </w:t>
      </w:r>
      <w:r w:rsidR="000B6FC4">
        <w:rPr>
          <w:rFonts w:eastAsia="MS Mincho"/>
        </w:rPr>
        <w:t>he was interrupted by an immigration offi</w:t>
      </w:r>
      <w:r>
        <w:rPr>
          <w:rFonts w:eastAsia="MS Mincho"/>
        </w:rPr>
        <w:t xml:space="preserve">cer arguing security concerns. </w:t>
      </w:r>
      <w:r w:rsidR="00962336">
        <w:rPr>
          <w:rFonts w:eastAsia="MS Mincho"/>
        </w:rPr>
        <w:t>I</w:t>
      </w:r>
      <w:r w:rsidR="000B6FC4">
        <w:rPr>
          <w:rFonts w:eastAsia="MS Mincho"/>
        </w:rPr>
        <w:t>nternational standards that apply to mon</w:t>
      </w:r>
      <w:r w:rsidR="00962336">
        <w:rPr>
          <w:rFonts w:eastAsia="MS Mincho"/>
        </w:rPr>
        <w:t xml:space="preserve">itoring places of detention specify that </w:t>
      </w:r>
      <w:r w:rsidR="000B6FC4">
        <w:rPr>
          <w:rFonts w:eastAsia="MS Mincho"/>
        </w:rPr>
        <w:t>interviews should be conducted out</w:t>
      </w:r>
      <w:r w:rsidR="0027758E">
        <w:rPr>
          <w:rFonts w:eastAsia="MS Mincho"/>
        </w:rPr>
        <w:t xml:space="preserve"> </w:t>
      </w:r>
      <w:r w:rsidR="000B6FC4">
        <w:rPr>
          <w:rFonts w:eastAsia="MS Mincho"/>
        </w:rPr>
        <w:t>of</w:t>
      </w:r>
      <w:r w:rsidR="0027758E">
        <w:rPr>
          <w:rFonts w:eastAsia="MS Mincho"/>
        </w:rPr>
        <w:t xml:space="preserve"> </w:t>
      </w:r>
      <w:r w:rsidR="000B6FC4">
        <w:rPr>
          <w:rFonts w:eastAsia="MS Mincho"/>
        </w:rPr>
        <w:t xml:space="preserve">sight and </w:t>
      </w:r>
      <w:r w:rsidR="0027758E">
        <w:rPr>
          <w:rFonts w:eastAsia="MS Mincho"/>
        </w:rPr>
        <w:t>earshot</w:t>
      </w:r>
      <w:r w:rsidR="000B6FC4">
        <w:rPr>
          <w:rFonts w:eastAsia="MS Mincho"/>
        </w:rPr>
        <w:t xml:space="preserve"> of the authorities responsible for the management of the facilities.</w:t>
      </w:r>
      <w:r w:rsidR="00453985">
        <w:rPr>
          <w:rFonts w:eastAsia="MS Mincho"/>
        </w:rPr>
        <w:t xml:space="preserve"> </w:t>
      </w:r>
    </w:p>
    <w:p w:rsidR="007326E0" w:rsidRDefault="00A6632A" w:rsidP="00934A11">
      <w:pPr>
        <w:pStyle w:val="SingleTxtG"/>
        <w:numPr>
          <w:ilvl w:val="0"/>
          <w:numId w:val="52"/>
        </w:numPr>
        <w:ind w:left="1134" w:firstLine="0"/>
        <w:rPr>
          <w:rFonts w:eastAsia="MS Mincho"/>
        </w:rPr>
      </w:pPr>
      <w:r w:rsidRPr="00E23256">
        <w:rPr>
          <w:rFonts w:eastAsia="MS Mincho"/>
        </w:rPr>
        <w:t xml:space="preserve">During </w:t>
      </w:r>
      <w:r>
        <w:rPr>
          <w:rFonts w:eastAsia="MS Mincho"/>
        </w:rPr>
        <w:t>his visit</w:t>
      </w:r>
      <w:r w:rsidRPr="00E23256">
        <w:rPr>
          <w:rFonts w:eastAsia="MS Mincho"/>
        </w:rPr>
        <w:t xml:space="preserve"> to</w:t>
      </w:r>
      <w:r>
        <w:rPr>
          <w:rFonts w:eastAsia="MS Mincho"/>
        </w:rPr>
        <w:t xml:space="preserve"> </w:t>
      </w:r>
      <w:r w:rsidRPr="00E23256">
        <w:rPr>
          <w:rFonts w:eastAsia="MS Mincho"/>
        </w:rPr>
        <w:t xml:space="preserve">the </w:t>
      </w:r>
      <w:r w:rsidR="0027758E">
        <w:rPr>
          <w:rFonts w:eastAsia="MS Mincho"/>
        </w:rPr>
        <w:t>I</w:t>
      </w:r>
      <w:r w:rsidRPr="000B6FC4">
        <w:rPr>
          <w:rFonts w:eastAsia="MS Mincho"/>
        </w:rPr>
        <w:t>mmigration D</w:t>
      </w:r>
      <w:r>
        <w:rPr>
          <w:rFonts w:eastAsia="MS Mincho"/>
        </w:rPr>
        <w:t>etention Depot</w:t>
      </w:r>
      <w:r w:rsidR="0027758E">
        <w:rPr>
          <w:rFonts w:eastAsia="MS Mincho"/>
        </w:rPr>
        <w:t xml:space="preserve"> of the Kuala Lumpur International Airport</w:t>
      </w:r>
      <w:r>
        <w:rPr>
          <w:rFonts w:eastAsia="MS Mincho"/>
        </w:rPr>
        <w:t xml:space="preserve">, the Special Rapporteur found </w:t>
      </w:r>
      <w:r w:rsidR="004B6827">
        <w:rPr>
          <w:rFonts w:eastAsia="MS Mincho"/>
        </w:rPr>
        <w:t>out that the conditions in the male wards were not up to international standards.</w:t>
      </w:r>
      <w:r w:rsidR="00453985">
        <w:rPr>
          <w:rFonts w:eastAsia="MS Mincho"/>
        </w:rPr>
        <w:t xml:space="preserve"> </w:t>
      </w:r>
      <w:r w:rsidR="00971F43">
        <w:rPr>
          <w:rFonts w:eastAsia="MS Mincho"/>
        </w:rPr>
        <w:t>Men held there</w:t>
      </w:r>
      <w:r w:rsidR="008273FC">
        <w:rPr>
          <w:rFonts w:eastAsia="MS Mincho"/>
        </w:rPr>
        <w:t xml:space="preserve"> have to sleep </w:t>
      </w:r>
      <w:r w:rsidR="0020291E">
        <w:rPr>
          <w:rFonts w:eastAsia="MS Mincho"/>
        </w:rPr>
        <w:t xml:space="preserve">on </w:t>
      </w:r>
      <w:r w:rsidR="008273FC">
        <w:rPr>
          <w:rFonts w:eastAsia="MS Mincho"/>
        </w:rPr>
        <w:t>concrete floors</w:t>
      </w:r>
      <w:r w:rsidR="007023B2">
        <w:rPr>
          <w:rFonts w:eastAsia="MS Mincho"/>
        </w:rPr>
        <w:t>,</w:t>
      </w:r>
      <w:r w:rsidR="004B6827">
        <w:rPr>
          <w:rFonts w:eastAsia="MS Mincho"/>
        </w:rPr>
        <w:t xml:space="preserve"> do not always get blankets when </w:t>
      </w:r>
      <w:r w:rsidR="0027758E">
        <w:rPr>
          <w:rFonts w:eastAsia="MS Mincho"/>
        </w:rPr>
        <w:t>the weather is</w:t>
      </w:r>
      <w:r w:rsidR="004B6827">
        <w:rPr>
          <w:rFonts w:eastAsia="MS Mincho"/>
        </w:rPr>
        <w:t xml:space="preserve"> cold</w:t>
      </w:r>
      <w:r w:rsidR="007023B2">
        <w:rPr>
          <w:rFonts w:eastAsia="MS Mincho"/>
        </w:rPr>
        <w:t xml:space="preserve"> and </w:t>
      </w:r>
      <w:r w:rsidR="005E5300">
        <w:rPr>
          <w:rFonts w:eastAsia="MS Mincho"/>
        </w:rPr>
        <w:t xml:space="preserve">do not have access to </w:t>
      </w:r>
      <w:r w:rsidR="007023B2">
        <w:rPr>
          <w:rFonts w:eastAsia="MS Mincho"/>
        </w:rPr>
        <w:t>soap to wash their clothes</w:t>
      </w:r>
      <w:r w:rsidR="008273FC">
        <w:rPr>
          <w:rFonts w:eastAsia="MS Mincho"/>
        </w:rPr>
        <w:t xml:space="preserve">. </w:t>
      </w:r>
      <w:r w:rsidR="0078092C">
        <w:rPr>
          <w:rFonts w:eastAsia="MS Mincho"/>
        </w:rPr>
        <w:t>He also</w:t>
      </w:r>
      <w:r w:rsidR="004B6827">
        <w:rPr>
          <w:rFonts w:eastAsia="MS Mincho"/>
        </w:rPr>
        <w:t xml:space="preserve"> found </w:t>
      </w:r>
      <w:r>
        <w:rPr>
          <w:rFonts w:eastAsia="MS Mincho"/>
        </w:rPr>
        <w:t xml:space="preserve">one minor </w:t>
      </w:r>
      <w:r w:rsidR="0078092C">
        <w:rPr>
          <w:rFonts w:eastAsia="MS Mincho"/>
        </w:rPr>
        <w:t>who had been</w:t>
      </w:r>
      <w:r w:rsidR="004B6827">
        <w:rPr>
          <w:rFonts w:eastAsia="MS Mincho"/>
        </w:rPr>
        <w:t xml:space="preserve"> </w:t>
      </w:r>
      <w:r>
        <w:rPr>
          <w:rFonts w:eastAsia="MS Mincho"/>
        </w:rPr>
        <w:t xml:space="preserve">held with adults for </w:t>
      </w:r>
      <w:r w:rsidR="007023B2">
        <w:rPr>
          <w:rFonts w:eastAsia="MS Mincho"/>
        </w:rPr>
        <w:t>more than</w:t>
      </w:r>
      <w:r>
        <w:rPr>
          <w:rFonts w:eastAsia="MS Mincho"/>
        </w:rPr>
        <w:t xml:space="preserve"> nine </w:t>
      </w:r>
      <w:r w:rsidR="007023B2">
        <w:rPr>
          <w:rFonts w:eastAsia="MS Mincho"/>
        </w:rPr>
        <w:t>months,</w:t>
      </w:r>
      <w:r w:rsidR="004B6827">
        <w:rPr>
          <w:rFonts w:eastAsia="MS Mincho"/>
        </w:rPr>
        <w:t xml:space="preserve"> and a mental </w:t>
      </w:r>
      <w:r w:rsidR="007023B2">
        <w:rPr>
          <w:rFonts w:eastAsia="MS Mincho"/>
        </w:rPr>
        <w:t xml:space="preserve">health </w:t>
      </w:r>
      <w:r w:rsidR="0027758E">
        <w:rPr>
          <w:rFonts w:eastAsia="MS Mincho"/>
        </w:rPr>
        <w:t xml:space="preserve">patient </w:t>
      </w:r>
      <w:r w:rsidR="004B6827">
        <w:rPr>
          <w:rFonts w:eastAsia="MS Mincho"/>
        </w:rPr>
        <w:t>unidentified and not properly treated.</w:t>
      </w:r>
    </w:p>
    <w:p w:rsidR="007023B2" w:rsidRDefault="007326E0" w:rsidP="00934A11">
      <w:pPr>
        <w:pStyle w:val="SingleTxtG"/>
        <w:numPr>
          <w:ilvl w:val="0"/>
          <w:numId w:val="52"/>
        </w:numPr>
        <w:ind w:left="1134" w:firstLine="0"/>
        <w:rPr>
          <w:rFonts w:eastAsia="MS Mincho"/>
        </w:rPr>
      </w:pPr>
      <w:r>
        <w:rPr>
          <w:rFonts w:eastAsia="MS Mincho"/>
        </w:rPr>
        <w:t>In th</w:t>
      </w:r>
      <w:r w:rsidR="0027758E">
        <w:rPr>
          <w:rFonts w:eastAsia="MS Mincho"/>
        </w:rPr>
        <w:t>at</w:t>
      </w:r>
      <w:r>
        <w:rPr>
          <w:rFonts w:eastAsia="MS Mincho"/>
        </w:rPr>
        <w:t xml:space="preserve"> </w:t>
      </w:r>
      <w:r w:rsidR="0027758E">
        <w:rPr>
          <w:rFonts w:eastAsia="MS Mincho"/>
        </w:rPr>
        <w:t>d</w:t>
      </w:r>
      <w:r>
        <w:rPr>
          <w:rFonts w:eastAsia="MS Mincho"/>
        </w:rPr>
        <w:t>epot, the Special Rapporteur visited the female ward and met with number of children of Rohingya origin, age</w:t>
      </w:r>
      <w:r w:rsidR="0027758E">
        <w:rPr>
          <w:rFonts w:eastAsia="MS Mincho"/>
        </w:rPr>
        <w:t>d</w:t>
      </w:r>
      <w:r>
        <w:rPr>
          <w:rFonts w:eastAsia="MS Mincho"/>
        </w:rPr>
        <w:t xml:space="preserve"> from 4</w:t>
      </w:r>
      <w:r w:rsidR="0027758E">
        <w:rPr>
          <w:rFonts w:eastAsia="MS Mincho"/>
        </w:rPr>
        <w:t xml:space="preserve"> to </w:t>
      </w:r>
      <w:r>
        <w:rPr>
          <w:rFonts w:eastAsia="MS Mincho"/>
        </w:rPr>
        <w:t>12 years old, who had been held for a period of five to seven months, some of them with special health needs. The detention of children with their parents has a detrimental effect of their physical and mental health and should be avoided</w:t>
      </w:r>
      <w:r w:rsidR="00F563F6">
        <w:rPr>
          <w:rFonts w:eastAsia="MS Mincho"/>
        </w:rPr>
        <w:t>;</w:t>
      </w:r>
      <w:r>
        <w:rPr>
          <w:rFonts w:eastAsia="MS Mincho"/>
        </w:rPr>
        <w:t xml:space="preserve"> non-custodial alternatives should be explored. </w:t>
      </w:r>
      <w:r>
        <w:t>A decision to detain migrants who are accompanied by their children should only be taken in very exceptional circumstances and States should always try to preserve the family unit by using alternatives to det</w:t>
      </w:r>
      <w:r w:rsidR="00F563F6">
        <w:t>aining</w:t>
      </w:r>
      <w:r>
        <w:t xml:space="preserve"> the entire family</w:t>
      </w:r>
      <w:r w:rsidR="00F563F6">
        <w:t xml:space="preserve"> (see </w:t>
      </w:r>
      <w:r w:rsidR="00F563F6" w:rsidRPr="00934A11">
        <w:rPr>
          <w:lang w:val="en-US"/>
        </w:rPr>
        <w:t>A/HRC/20/24, para. 40</w:t>
      </w:r>
      <w:r w:rsidR="00F563F6">
        <w:t>)</w:t>
      </w:r>
      <w:r>
        <w:t>.</w:t>
      </w:r>
    </w:p>
    <w:p w:rsidR="005B4589" w:rsidRPr="005E042A" w:rsidRDefault="0078092C" w:rsidP="00934A11">
      <w:pPr>
        <w:pStyle w:val="SingleTxtG"/>
        <w:numPr>
          <w:ilvl w:val="0"/>
          <w:numId w:val="52"/>
        </w:numPr>
        <w:ind w:left="1134" w:firstLine="0"/>
        <w:rPr>
          <w:rFonts w:eastAsia="MS Mincho"/>
        </w:rPr>
      </w:pPr>
      <w:r w:rsidRPr="00934A11">
        <w:rPr>
          <w:rFonts w:eastAsia="MS Mincho"/>
        </w:rPr>
        <w:t>T</w:t>
      </w:r>
      <w:r w:rsidR="005B4589" w:rsidRPr="00934A11">
        <w:rPr>
          <w:rFonts w:eastAsia="MS Mincho"/>
        </w:rPr>
        <w:t>he</w:t>
      </w:r>
      <w:r w:rsidR="005B4589" w:rsidRPr="005B4589">
        <w:rPr>
          <w:bCs/>
        </w:rPr>
        <w:t xml:space="preserve"> right to health requires States to ensure the right of access to health facilities, goods and services on a non-discriminatory basis, e</w:t>
      </w:r>
      <w:r w:rsidR="005E042A">
        <w:rPr>
          <w:bCs/>
        </w:rPr>
        <w:t>specially for vulnerable groups</w:t>
      </w:r>
      <w:r w:rsidR="00B51BF7">
        <w:rPr>
          <w:bCs/>
        </w:rPr>
        <w:t>, as well as to the underlying determinants of health</w:t>
      </w:r>
      <w:r w:rsidR="005B4589" w:rsidRPr="005B4589">
        <w:rPr>
          <w:bCs/>
        </w:rPr>
        <w:t>.</w:t>
      </w:r>
      <w:r w:rsidR="005B4589" w:rsidRPr="00680816">
        <w:rPr>
          <w:rStyle w:val="FootnoteReference"/>
        </w:rPr>
        <w:footnoteReference w:id="30"/>
      </w:r>
      <w:r w:rsidR="005B4589" w:rsidRPr="005B4589">
        <w:rPr>
          <w:bCs/>
        </w:rPr>
        <w:t xml:space="preserve"> Prisoners and detainees are </w:t>
      </w:r>
      <w:r w:rsidR="005B4589">
        <w:rPr>
          <w:bCs/>
        </w:rPr>
        <w:t xml:space="preserve">in a particularly </w:t>
      </w:r>
      <w:r w:rsidR="005B4589">
        <w:rPr>
          <w:bCs/>
        </w:rPr>
        <w:lastRenderedPageBreak/>
        <w:t>vulnerable situation</w:t>
      </w:r>
      <w:r w:rsidR="005B4589" w:rsidRPr="005B4589">
        <w:rPr>
          <w:bCs/>
        </w:rPr>
        <w:t xml:space="preserve"> due to their complete reliance on the State for food, shelter</w:t>
      </w:r>
      <w:r w:rsidR="00927317">
        <w:rPr>
          <w:bCs/>
        </w:rPr>
        <w:t>,</w:t>
      </w:r>
      <w:r w:rsidR="005B4589" w:rsidRPr="005B4589">
        <w:rPr>
          <w:bCs/>
        </w:rPr>
        <w:t xml:space="preserve"> and access to health goods and services. </w:t>
      </w:r>
    </w:p>
    <w:p w:rsidR="00C033BF" w:rsidRDefault="005B4589" w:rsidP="00934A11">
      <w:pPr>
        <w:pStyle w:val="SingleTxtG"/>
        <w:numPr>
          <w:ilvl w:val="0"/>
          <w:numId w:val="52"/>
        </w:numPr>
        <w:ind w:left="1134" w:firstLine="0"/>
      </w:pPr>
      <w:r w:rsidRPr="005E042A">
        <w:rPr>
          <w:rFonts w:eastAsia="MS Mincho"/>
        </w:rPr>
        <w:t>In</w:t>
      </w:r>
      <w:r>
        <w:t xml:space="preserve"> addition, t</w:t>
      </w:r>
      <w:r w:rsidR="00C033BF" w:rsidRPr="005B4589">
        <w:t xml:space="preserve">he </w:t>
      </w:r>
      <w:r w:rsidR="00C033BF" w:rsidRPr="005B4589">
        <w:rPr>
          <w:bCs/>
        </w:rPr>
        <w:t>Standard Minimum Rules for the Treatment of Prisoners provide for standards related to the availability and accessibility of health care in prisons as well as the un</w:t>
      </w:r>
      <w:r>
        <w:rPr>
          <w:bCs/>
        </w:rPr>
        <w:t>derlying determinants of health</w:t>
      </w:r>
      <w:r w:rsidR="00C033BF" w:rsidRPr="005B4589">
        <w:rPr>
          <w:bCs/>
        </w:rPr>
        <w:t xml:space="preserve">. The Basic Principles for the Treatment of Prisoners and the </w:t>
      </w:r>
      <w:r w:rsidR="00C033BF" w:rsidRPr="005B4589">
        <w:t xml:space="preserve">Body of Principles for the Protection of All Persons under Any Form of Detention or Imprisonment provide for free and non-discriminatory access of prisoners to the </w:t>
      </w:r>
      <w:r>
        <w:t xml:space="preserve">same </w:t>
      </w:r>
      <w:r w:rsidR="00C033BF" w:rsidRPr="005B4589">
        <w:t xml:space="preserve">health services available outside the penitentiary system in the place of detention or imprisonment. </w:t>
      </w:r>
    </w:p>
    <w:p w:rsidR="00E23256" w:rsidRPr="000151D4" w:rsidRDefault="00C131EC" w:rsidP="00934A11">
      <w:pPr>
        <w:pStyle w:val="H1G"/>
      </w:pPr>
      <w:r>
        <w:tab/>
      </w:r>
      <w:r w:rsidRPr="001B313D">
        <w:t>D.</w:t>
      </w:r>
      <w:r w:rsidRPr="001B313D">
        <w:tab/>
      </w:r>
      <w:r w:rsidR="00015A03" w:rsidRPr="001B313D">
        <w:t>L</w:t>
      </w:r>
      <w:r w:rsidR="000151D4" w:rsidRPr="001B313D">
        <w:t>esbian, gay, bisexual and transgender</w:t>
      </w:r>
      <w:r w:rsidR="00E23256" w:rsidRPr="001B313D">
        <w:t xml:space="preserve"> persons</w:t>
      </w:r>
    </w:p>
    <w:p w:rsidR="004746A5" w:rsidRDefault="00276407" w:rsidP="00934A11">
      <w:pPr>
        <w:pStyle w:val="SingleTxtG"/>
        <w:numPr>
          <w:ilvl w:val="0"/>
          <w:numId w:val="52"/>
        </w:numPr>
        <w:ind w:left="1134" w:firstLine="0"/>
        <w:rPr>
          <w:rFonts w:eastAsia="MS Mincho"/>
        </w:rPr>
      </w:pPr>
      <w:r>
        <w:rPr>
          <w:rFonts w:eastAsia="MS Mincho"/>
        </w:rPr>
        <w:t>Although discrimination on the basis of gender</w:t>
      </w:r>
      <w:r w:rsidR="001B313D">
        <w:rPr>
          <w:rFonts w:eastAsia="MS Mincho"/>
        </w:rPr>
        <w:t xml:space="preserve"> is prohibited in the Federal Constitution (art. 8 (2))</w:t>
      </w:r>
      <w:r w:rsidR="00680816">
        <w:rPr>
          <w:rFonts w:eastAsia="MS Mincho"/>
        </w:rPr>
        <w:t>,</w:t>
      </w:r>
      <w:r>
        <w:rPr>
          <w:rFonts w:eastAsia="MS Mincho"/>
        </w:rPr>
        <w:t xml:space="preserve"> t</w:t>
      </w:r>
      <w:r w:rsidR="00E23256" w:rsidRPr="00E23256">
        <w:rPr>
          <w:rFonts w:eastAsia="MS Mincho"/>
        </w:rPr>
        <w:t xml:space="preserve">he rights of lesbian, gay, bisexual, and transgender </w:t>
      </w:r>
      <w:r>
        <w:rPr>
          <w:rFonts w:eastAsia="MS Mincho"/>
        </w:rPr>
        <w:t xml:space="preserve">(LGBT) </w:t>
      </w:r>
      <w:r w:rsidR="002D7720">
        <w:rPr>
          <w:rFonts w:eastAsia="MS Mincho"/>
        </w:rPr>
        <w:t xml:space="preserve">persons </w:t>
      </w:r>
      <w:r>
        <w:rPr>
          <w:rFonts w:eastAsia="MS Mincho"/>
        </w:rPr>
        <w:t>are not explicitly recognized.</w:t>
      </w:r>
      <w:r w:rsidR="00453985">
        <w:rPr>
          <w:rFonts w:eastAsia="MS Mincho"/>
        </w:rPr>
        <w:t xml:space="preserve"> </w:t>
      </w:r>
      <w:r w:rsidR="008A6819">
        <w:rPr>
          <w:rFonts w:eastAsia="MS Mincho"/>
        </w:rPr>
        <w:t>Colonial</w:t>
      </w:r>
      <w:r w:rsidR="001B313D">
        <w:rPr>
          <w:rFonts w:eastAsia="MS Mincho"/>
        </w:rPr>
        <w:t>-</w:t>
      </w:r>
      <w:r w:rsidR="008A6819">
        <w:rPr>
          <w:rFonts w:eastAsia="MS Mincho"/>
        </w:rPr>
        <w:t xml:space="preserve">era provisions </w:t>
      </w:r>
      <w:r>
        <w:rPr>
          <w:rFonts w:eastAsia="MS Mincho"/>
        </w:rPr>
        <w:t>have been</w:t>
      </w:r>
      <w:r w:rsidR="008A6819">
        <w:rPr>
          <w:rFonts w:eastAsia="MS Mincho"/>
        </w:rPr>
        <w:t xml:space="preserve"> retained under the Penal Code </w:t>
      </w:r>
      <w:r w:rsidR="007F0EC6">
        <w:rPr>
          <w:rFonts w:eastAsia="MS Mincho"/>
        </w:rPr>
        <w:t xml:space="preserve">and they </w:t>
      </w:r>
      <w:r>
        <w:rPr>
          <w:rFonts w:eastAsia="MS Mincho"/>
        </w:rPr>
        <w:t>criminaliz</w:t>
      </w:r>
      <w:r w:rsidR="007F0EC6">
        <w:rPr>
          <w:rFonts w:eastAsia="MS Mincho"/>
        </w:rPr>
        <w:t>e</w:t>
      </w:r>
      <w:r w:rsidR="008A6819">
        <w:rPr>
          <w:rFonts w:eastAsia="MS Mincho"/>
        </w:rPr>
        <w:t xml:space="preserve"> sodomy</w:t>
      </w:r>
      <w:r w:rsidR="001B313D">
        <w:rPr>
          <w:rFonts w:eastAsia="MS Mincho"/>
        </w:rPr>
        <w:t xml:space="preserve"> (</w:t>
      </w:r>
      <w:r w:rsidR="001B313D">
        <w:t>Penal Code, sect</w:t>
      </w:r>
      <w:r w:rsidR="001B313D" w:rsidRPr="00276407">
        <w:t>s</w:t>
      </w:r>
      <w:r w:rsidR="001B313D">
        <w:t>. </w:t>
      </w:r>
      <w:r w:rsidR="001B313D" w:rsidRPr="00276407">
        <w:t>377(a) and 377(b)</w:t>
      </w:r>
      <w:r w:rsidR="001B313D">
        <w:t>)</w:t>
      </w:r>
      <w:r w:rsidR="008A6819" w:rsidRPr="008A6819">
        <w:rPr>
          <w:rFonts w:eastAsia="MS Mincho"/>
        </w:rPr>
        <w:t xml:space="preserve"> </w:t>
      </w:r>
      <w:r w:rsidR="008A6819">
        <w:rPr>
          <w:rFonts w:eastAsia="MS Mincho"/>
        </w:rPr>
        <w:t>and perpetuat</w:t>
      </w:r>
      <w:r w:rsidR="007F0EC6">
        <w:rPr>
          <w:rFonts w:eastAsia="MS Mincho"/>
        </w:rPr>
        <w:t xml:space="preserve">e </w:t>
      </w:r>
      <w:r w:rsidR="008A6819">
        <w:rPr>
          <w:rFonts w:eastAsia="MS Mincho"/>
        </w:rPr>
        <w:t>dis</w:t>
      </w:r>
      <w:r>
        <w:rPr>
          <w:rFonts w:eastAsia="MS Mincho"/>
        </w:rPr>
        <w:t xml:space="preserve">crimination against LGBT </w:t>
      </w:r>
      <w:r w:rsidR="001B313D">
        <w:rPr>
          <w:rFonts w:eastAsia="MS Mincho"/>
        </w:rPr>
        <w:t>persons</w:t>
      </w:r>
      <w:r w:rsidR="008A6819">
        <w:rPr>
          <w:rFonts w:eastAsia="MS Mincho"/>
        </w:rPr>
        <w:t xml:space="preserve">. </w:t>
      </w:r>
      <w:r w:rsidR="004746A5" w:rsidRPr="00254A6A">
        <w:rPr>
          <w:rFonts w:eastAsia="MS Mincho"/>
        </w:rPr>
        <w:t xml:space="preserve">In addition, discriminatory societal attitudes towards LGBT </w:t>
      </w:r>
      <w:r w:rsidR="001B313D">
        <w:rPr>
          <w:rFonts w:eastAsia="MS Mincho"/>
        </w:rPr>
        <w:t>persons</w:t>
      </w:r>
      <w:r w:rsidR="001B313D" w:rsidRPr="00254A6A">
        <w:rPr>
          <w:rFonts w:eastAsia="MS Mincho"/>
        </w:rPr>
        <w:t xml:space="preserve"> </w:t>
      </w:r>
      <w:r w:rsidR="004746A5" w:rsidRPr="00254A6A">
        <w:rPr>
          <w:rFonts w:eastAsia="MS Mincho"/>
        </w:rPr>
        <w:t>prevail in Malaysia</w:t>
      </w:r>
      <w:r w:rsidR="00580827" w:rsidRPr="00254A6A">
        <w:rPr>
          <w:rFonts w:eastAsia="MS Mincho"/>
        </w:rPr>
        <w:t xml:space="preserve"> and </w:t>
      </w:r>
      <w:r w:rsidR="0044043C" w:rsidRPr="00254A6A">
        <w:rPr>
          <w:rFonts w:eastAsia="MS Mincho"/>
        </w:rPr>
        <w:t>have been</w:t>
      </w:r>
      <w:r w:rsidR="004746A5" w:rsidRPr="00254A6A">
        <w:rPr>
          <w:rFonts w:eastAsia="MS Mincho"/>
        </w:rPr>
        <w:t xml:space="preserve"> exacerbated </w:t>
      </w:r>
      <w:r w:rsidR="0042613E" w:rsidRPr="00254A6A">
        <w:rPr>
          <w:rFonts w:eastAsia="MS Mincho"/>
        </w:rPr>
        <w:t xml:space="preserve">over the past few decades </w:t>
      </w:r>
      <w:r w:rsidR="004746A5" w:rsidRPr="00254A6A">
        <w:rPr>
          <w:rFonts w:eastAsia="MS Mincho"/>
        </w:rPr>
        <w:t>by the use of a stigmati</w:t>
      </w:r>
      <w:r w:rsidR="001B313D">
        <w:rPr>
          <w:rFonts w:eastAsia="MS Mincho"/>
        </w:rPr>
        <w:t>z</w:t>
      </w:r>
      <w:r w:rsidR="004746A5" w:rsidRPr="00254A6A">
        <w:rPr>
          <w:rFonts w:eastAsia="MS Mincho"/>
        </w:rPr>
        <w:t>ing rhetoric by politicians, public officials and religious leaders.</w:t>
      </w:r>
      <w:r w:rsidR="001B35C0">
        <w:rPr>
          <w:rFonts w:eastAsia="MS Mincho"/>
        </w:rPr>
        <w:t xml:space="preserve"> </w:t>
      </w:r>
    </w:p>
    <w:p w:rsidR="00276407" w:rsidRDefault="00276407" w:rsidP="00934A11">
      <w:pPr>
        <w:pStyle w:val="SingleTxtG"/>
        <w:numPr>
          <w:ilvl w:val="0"/>
          <w:numId w:val="52"/>
        </w:numPr>
        <w:ind w:left="1134" w:firstLine="0"/>
        <w:rPr>
          <w:rFonts w:eastAsia="MS Mincho"/>
        </w:rPr>
      </w:pPr>
      <w:r>
        <w:rPr>
          <w:rFonts w:eastAsia="MS Mincho"/>
        </w:rPr>
        <w:t>Malaysia has become one of the few countries where transgender people are criminalized.</w:t>
      </w:r>
      <w:r w:rsidR="00453985">
        <w:rPr>
          <w:rFonts w:eastAsia="MS Mincho"/>
        </w:rPr>
        <w:t xml:space="preserve"> </w:t>
      </w:r>
      <w:r>
        <w:rPr>
          <w:rFonts w:eastAsia="MS Mincho"/>
        </w:rPr>
        <w:t>S</w:t>
      </w:r>
      <w:r w:rsidR="00A4144B">
        <w:rPr>
          <w:rFonts w:eastAsia="MS Mincho"/>
        </w:rPr>
        <w:t xml:space="preserve">ince </w:t>
      </w:r>
      <w:r w:rsidR="001B313D">
        <w:rPr>
          <w:rFonts w:eastAsia="MS Mincho"/>
        </w:rPr>
        <w:t xml:space="preserve">the </w:t>
      </w:r>
      <w:r w:rsidR="00A4144B">
        <w:rPr>
          <w:rFonts w:eastAsia="MS Mincho"/>
        </w:rPr>
        <w:t>1980s</w:t>
      </w:r>
      <w:r w:rsidR="001B313D">
        <w:rPr>
          <w:rFonts w:eastAsia="MS Mincho"/>
        </w:rPr>
        <w:t>,</w:t>
      </w:r>
      <w:r w:rsidR="00A4144B">
        <w:rPr>
          <w:rFonts w:eastAsia="MS Mincho"/>
        </w:rPr>
        <w:t xml:space="preserve"> a series of legislative initiatives, mostly undertaken under </w:t>
      </w:r>
      <w:r w:rsidR="001B313D">
        <w:rPr>
          <w:rFonts w:eastAsia="MS Mincho"/>
        </w:rPr>
        <w:t>s</w:t>
      </w:r>
      <w:r w:rsidR="00A4144B">
        <w:rPr>
          <w:rFonts w:eastAsia="MS Mincho"/>
        </w:rPr>
        <w:t>haria enactments, prohibited “cross dressing” and forced transgender people, who had historically enjoyed a certain degree of acceptance in society, to go underground</w:t>
      </w:r>
      <w:r>
        <w:rPr>
          <w:rFonts w:eastAsia="MS Mincho"/>
        </w:rPr>
        <w:t>.</w:t>
      </w:r>
      <w:r w:rsidR="00453985">
        <w:rPr>
          <w:rFonts w:eastAsia="MS Mincho"/>
        </w:rPr>
        <w:t xml:space="preserve"> </w:t>
      </w:r>
      <w:r>
        <w:rPr>
          <w:rFonts w:eastAsia="MS Mincho"/>
        </w:rPr>
        <w:t>In 1982, a fatwa issued by the National Fatwa Council</w:t>
      </w:r>
      <w:r w:rsidR="007F0EC6">
        <w:rPr>
          <w:rFonts w:eastAsia="MS Mincho"/>
        </w:rPr>
        <w:t>,</w:t>
      </w:r>
      <w:r>
        <w:rPr>
          <w:rFonts w:eastAsia="MS Mincho"/>
        </w:rPr>
        <w:t xml:space="preserve"> prohibited Muslims from undergoing sex reassignment surgery</w:t>
      </w:r>
      <w:r w:rsidR="00692278">
        <w:rPr>
          <w:rFonts w:eastAsia="MS Mincho"/>
        </w:rPr>
        <w:t xml:space="preserve"> </w:t>
      </w:r>
      <w:r w:rsidR="00C1355F">
        <w:rPr>
          <w:rFonts w:eastAsia="MS Mincho"/>
        </w:rPr>
        <w:t xml:space="preserve">and since then very few hospitals have performed </w:t>
      </w:r>
      <w:r w:rsidR="00515CE3">
        <w:rPr>
          <w:rFonts w:eastAsia="MS Mincho"/>
        </w:rPr>
        <w:t xml:space="preserve">such </w:t>
      </w:r>
      <w:r w:rsidR="00C1355F">
        <w:rPr>
          <w:rFonts w:eastAsia="MS Mincho"/>
        </w:rPr>
        <w:t>surger</w:t>
      </w:r>
      <w:r w:rsidR="00515CE3">
        <w:rPr>
          <w:rFonts w:eastAsia="MS Mincho"/>
        </w:rPr>
        <w:t>y</w:t>
      </w:r>
      <w:r>
        <w:rPr>
          <w:rFonts w:eastAsia="MS Mincho"/>
        </w:rPr>
        <w:t>.</w:t>
      </w:r>
      <w:r w:rsidR="00453985">
        <w:rPr>
          <w:rFonts w:eastAsia="MS Mincho"/>
        </w:rPr>
        <w:t xml:space="preserve"> </w:t>
      </w:r>
      <w:r>
        <w:rPr>
          <w:rFonts w:eastAsia="MS Mincho"/>
        </w:rPr>
        <w:t xml:space="preserve">The National Registration Department does not allow the </w:t>
      </w:r>
      <w:r w:rsidR="00515CE3">
        <w:rPr>
          <w:rFonts w:eastAsia="MS Mincho"/>
        </w:rPr>
        <w:t xml:space="preserve">gender indicator </w:t>
      </w:r>
      <w:r>
        <w:rPr>
          <w:rFonts w:eastAsia="MS Mincho"/>
        </w:rPr>
        <w:t>on identity cards</w:t>
      </w:r>
      <w:r w:rsidR="00515CE3">
        <w:rPr>
          <w:rFonts w:eastAsia="MS Mincho"/>
        </w:rPr>
        <w:t xml:space="preserve"> to be changed</w:t>
      </w:r>
      <w:r>
        <w:rPr>
          <w:rFonts w:eastAsia="MS Mincho"/>
        </w:rPr>
        <w:t>, and this applies both to Muslims and non-Muslims.</w:t>
      </w:r>
      <w:r w:rsidR="00453985">
        <w:rPr>
          <w:rFonts w:eastAsia="MS Mincho"/>
        </w:rPr>
        <w:t xml:space="preserve"> </w:t>
      </w:r>
    </w:p>
    <w:p w:rsidR="002619C1" w:rsidRDefault="002619C1" w:rsidP="00934A11">
      <w:pPr>
        <w:pStyle w:val="SingleTxtG"/>
        <w:numPr>
          <w:ilvl w:val="0"/>
          <w:numId w:val="52"/>
        </w:numPr>
        <w:ind w:left="1134" w:firstLine="0"/>
        <w:rPr>
          <w:rFonts w:eastAsia="MS Mincho"/>
        </w:rPr>
      </w:pPr>
      <w:r>
        <w:rPr>
          <w:rFonts w:eastAsia="MS Mincho"/>
        </w:rPr>
        <w:t xml:space="preserve">Some Government institutions have recognized the </w:t>
      </w:r>
      <w:r w:rsidR="007F0EC6">
        <w:rPr>
          <w:rFonts w:eastAsia="MS Mincho"/>
        </w:rPr>
        <w:t xml:space="preserve">health </w:t>
      </w:r>
      <w:r>
        <w:rPr>
          <w:rFonts w:eastAsia="MS Mincho"/>
        </w:rPr>
        <w:t xml:space="preserve">needs of transgender </w:t>
      </w:r>
      <w:r w:rsidR="00727E56">
        <w:rPr>
          <w:rFonts w:eastAsia="MS Mincho"/>
        </w:rPr>
        <w:t>persons</w:t>
      </w:r>
      <w:r>
        <w:rPr>
          <w:rFonts w:eastAsia="MS Mincho"/>
        </w:rPr>
        <w:t xml:space="preserve">. The Ministry of Health has included transgender </w:t>
      </w:r>
      <w:r w:rsidR="00727E56">
        <w:rPr>
          <w:rFonts w:eastAsia="MS Mincho"/>
        </w:rPr>
        <w:t xml:space="preserve">persons </w:t>
      </w:r>
      <w:r w:rsidR="00C1355F">
        <w:rPr>
          <w:rFonts w:eastAsia="MS Mincho"/>
        </w:rPr>
        <w:t>and men who have sex with men</w:t>
      </w:r>
      <w:r>
        <w:rPr>
          <w:rFonts w:eastAsia="MS Mincho"/>
        </w:rPr>
        <w:t xml:space="preserve"> as a group at risk under the National Strat</w:t>
      </w:r>
      <w:r w:rsidR="00AD79C3">
        <w:rPr>
          <w:rFonts w:eastAsia="MS Mincho"/>
        </w:rPr>
        <w:t>egic Plan on HIV/AIDS 2011</w:t>
      </w:r>
      <w:r w:rsidR="00BD796F">
        <w:rPr>
          <w:rFonts w:eastAsia="MS Mincho"/>
        </w:rPr>
        <w:t>–</w:t>
      </w:r>
      <w:r w:rsidR="00AD79C3">
        <w:rPr>
          <w:rFonts w:eastAsia="MS Mincho"/>
        </w:rPr>
        <w:t>2015</w:t>
      </w:r>
      <w:r>
        <w:rPr>
          <w:rFonts w:eastAsia="MS Mincho"/>
        </w:rPr>
        <w:t>, which gives them access to treatment and medication and is a positive step.</w:t>
      </w:r>
    </w:p>
    <w:p w:rsidR="007326E0" w:rsidRDefault="007326E0" w:rsidP="00934A11">
      <w:pPr>
        <w:pStyle w:val="SingleTxtG"/>
        <w:numPr>
          <w:ilvl w:val="0"/>
          <w:numId w:val="52"/>
        </w:numPr>
        <w:ind w:left="1134" w:firstLine="0"/>
        <w:rPr>
          <w:rFonts w:eastAsia="MS Mincho"/>
        </w:rPr>
      </w:pPr>
      <w:r w:rsidRPr="004B3C0A">
        <w:rPr>
          <w:rFonts w:eastAsia="MS Mincho"/>
        </w:rPr>
        <w:t>The criminalization of same</w:t>
      </w:r>
      <w:r w:rsidR="00727E56">
        <w:rPr>
          <w:rFonts w:eastAsia="MS Mincho"/>
        </w:rPr>
        <w:t>-</w:t>
      </w:r>
      <w:r w:rsidRPr="004B3C0A">
        <w:rPr>
          <w:rFonts w:eastAsia="MS Mincho"/>
        </w:rPr>
        <w:t>sex conduct and of different forms of gender identity and expression has reinforced negative societal attitudes and has led to serious human rights violations</w:t>
      </w:r>
      <w:r w:rsidR="00C66639">
        <w:rPr>
          <w:rFonts w:eastAsia="MS Mincho"/>
        </w:rPr>
        <w:t xml:space="preserve"> </w:t>
      </w:r>
      <w:r w:rsidR="00727E56">
        <w:rPr>
          <w:rFonts w:eastAsia="MS Mincho"/>
        </w:rPr>
        <w:t>of the rights of</w:t>
      </w:r>
      <w:r w:rsidRPr="004B3C0A">
        <w:rPr>
          <w:rFonts w:eastAsia="MS Mincho"/>
        </w:rPr>
        <w:t xml:space="preserve"> this group of the population</w:t>
      </w:r>
      <w:r w:rsidR="00C66639" w:rsidRPr="004B3C0A">
        <w:rPr>
          <w:rFonts w:eastAsia="MS Mincho"/>
        </w:rPr>
        <w:t>, including significant barriers in access to health</w:t>
      </w:r>
      <w:r w:rsidR="00C66639">
        <w:rPr>
          <w:rFonts w:eastAsia="MS Mincho"/>
        </w:rPr>
        <w:t xml:space="preserve"> </w:t>
      </w:r>
      <w:r w:rsidR="00C66639" w:rsidRPr="004B3C0A">
        <w:rPr>
          <w:rFonts w:eastAsia="MS Mincho"/>
        </w:rPr>
        <w:t>care</w:t>
      </w:r>
      <w:r w:rsidRPr="004B3C0A">
        <w:rPr>
          <w:rFonts w:eastAsia="MS Mincho"/>
        </w:rPr>
        <w:t xml:space="preserve">. </w:t>
      </w:r>
      <w:r>
        <w:rPr>
          <w:rFonts w:eastAsia="MS Mincho"/>
        </w:rPr>
        <w:t>L</w:t>
      </w:r>
      <w:r w:rsidRPr="00E23256">
        <w:rPr>
          <w:rFonts w:eastAsia="MS Mincho"/>
        </w:rPr>
        <w:t xml:space="preserve">aw enforcement officials arrest transgender women and subject them to various abuses, including </w:t>
      </w:r>
      <w:r>
        <w:rPr>
          <w:rFonts w:eastAsia="MS Mincho"/>
        </w:rPr>
        <w:t>humiliation</w:t>
      </w:r>
      <w:r w:rsidRPr="00E23256">
        <w:rPr>
          <w:rFonts w:eastAsia="MS Mincho"/>
        </w:rPr>
        <w:t xml:space="preserve"> </w:t>
      </w:r>
      <w:r w:rsidR="00727E56">
        <w:rPr>
          <w:rFonts w:eastAsia="MS Mincho"/>
        </w:rPr>
        <w:t>in</w:t>
      </w:r>
      <w:r w:rsidRPr="00E23256">
        <w:rPr>
          <w:rFonts w:eastAsia="MS Mincho"/>
        </w:rPr>
        <w:t xml:space="preserve"> the media, </w:t>
      </w:r>
      <w:r>
        <w:rPr>
          <w:rFonts w:eastAsia="MS Mincho"/>
        </w:rPr>
        <w:t xml:space="preserve">and </w:t>
      </w:r>
      <w:r w:rsidRPr="00E23256">
        <w:rPr>
          <w:rFonts w:eastAsia="MS Mincho"/>
        </w:rPr>
        <w:t>physical and verbal abuse.</w:t>
      </w:r>
    </w:p>
    <w:p w:rsidR="00580827" w:rsidRPr="00E23256" w:rsidRDefault="0042613E" w:rsidP="00934A11">
      <w:pPr>
        <w:pStyle w:val="SingleTxtG"/>
        <w:numPr>
          <w:ilvl w:val="0"/>
          <w:numId w:val="52"/>
        </w:numPr>
        <w:ind w:left="1134" w:firstLine="0"/>
        <w:rPr>
          <w:rFonts w:eastAsia="MS Mincho"/>
        </w:rPr>
      </w:pPr>
      <w:r>
        <w:rPr>
          <w:rFonts w:eastAsia="MS Mincho"/>
        </w:rPr>
        <w:t>T</w:t>
      </w:r>
      <w:r w:rsidR="00E23256" w:rsidRPr="00E23256">
        <w:rPr>
          <w:rFonts w:eastAsia="MS Mincho"/>
        </w:rPr>
        <w:t xml:space="preserve">ransgender women </w:t>
      </w:r>
      <w:r>
        <w:rPr>
          <w:rFonts w:eastAsia="MS Mincho"/>
        </w:rPr>
        <w:t xml:space="preserve">also </w:t>
      </w:r>
      <w:r w:rsidR="00E23256" w:rsidRPr="00E23256">
        <w:rPr>
          <w:rFonts w:eastAsia="MS Mincho"/>
        </w:rPr>
        <w:t>face serious discrimination</w:t>
      </w:r>
      <w:r w:rsidR="004746A5">
        <w:rPr>
          <w:rFonts w:eastAsia="MS Mincho"/>
        </w:rPr>
        <w:t xml:space="preserve"> in public health</w:t>
      </w:r>
      <w:r w:rsidR="00727E56">
        <w:rPr>
          <w:rFonts w:eastAsia="MS Mincho"/>
        </w:rPr>
        <w:t>-</w:t>
      </w:r>
      <w:r w:rsidR="004746A5">
        <w:rPr>
          <w:rFonts w:eastAsia="MS Mincho"/>
        </w:rPr>
        <w:t>care facilities</w:t>
      </w:r>
      <w:r w:rsidR="00E23256" w:rsidRPr="00E23256">
        <w:rPr>
          <w:rFonts w:eastAsia="MS Mincho"/>
        </w:rPr>
        <w:t>.</w:t>
      </w:r>
      <w:r w:rsidR="00453985">
        <w:rPr>
          <w:rFonts w:eastAsia="MS Mincho"/>
        </w:rPr>
        <w:t xml:space="preserve"> </w:t>
      </w:r>
      <w:r w:rsidR="00E23256" w:rsidRPr="00E23256">
        <w:rPr>
          <w:rFonts w:eastAsia="MS Mincho"/>
        </w:rPr>
        <w:t xml:space="preserve">They are </w:t>
      </w:r>
      <w:r w:rsidR="004746A5">
        <w:rPr>
          <w:rFonts w:eastAsia="MS Mincho"/>
        </w:rPr>
        <w:t>often associated with sex work, which is a crime, and they</w:t>
      </w:r>
      <w:r w:rsidR="00C150DB">
        <w:rPr>
          <w:rFonts w:eastAsia="MS Mincho"/>
        </w:rPr>
        <w:t xml:space="preserve"> are</w:t>
      </w:r>
      <w:r w:rsidR="004746A5">
        <w:rPr>
          <w:rFonts w:eastAsia="MS Mincho"/>
        </w:rPr>
        <w:t xml:space="preserve"> forcibly tested for HIV/AIDS.</w:t>
      </w:r>
      <w:r w:rsidR="00453985">
        <w:rPr>
          <w:rFonts w:eastAsia="MS Mincho"/>
        </w:rPr>
        <w:t xml:space="preserve"> </w:t>
      </w:r>
      <w:r w:rsidR="004746A5">
        <w:rPr>
          <w:rFonts w:eastAsia="MS Mincho"/>
        </w:rPr>
        <w:t>They</w:t>
      </w:r>
      <w:r w:rsidR="00E23256" w:rsidRPr="00E23256">
        <w:rPr>
          <w:rFonts w:eastAsia="MS Mincho"/>
        </w:rPr>
        <w:t xml:space="preserve"> are identified on the basis of their </w:t>
      </w:r>
      <w:r w:rsidR="00727E56">
        <w:rPr>
          <w:rFonts w:eastAsia="MS Mincho"/>
        </w:rPr>
        <w:t xml:space="preserve">identity card </w:t>
      </w:r>
      <w:r w:rsidR="00692278">
        <w:rPr>
          <w:rFonts w:eastAsia="MS Mincho"/>
        </w:rPr>
        <w:t>and</w:t>
      </w:r>
      <w:r w:rsidR="00E23256" w:rsidRPr="00E23256">
        <w:rPr>
          <w:rFonts w:eastAsia="MS Mincho"/>
        </w:rPr>
        <w:t>,</w:t>
      </w:r>
      <w:r w:rsidR="00692278">
        <w:rPr>
          <w:rFonts w:eastAsia="MS Mincho"/>
        </w:rPr>
        <w:t xml:space="preserve"> unless they have undergone </w:t>
      </w:r>
      <w:r w:rsidR="001B313D">
        <w:rPr>
          <w:rFonts w:eastAsia="MS Mincho"/>
        </w:rPr>
        <w:t>sex reassignment surgery</w:t>
      </w:r>
      <w:r w:rsidR="00692278">
        <w:rPr>
          <w:rFonts w:eastAsia="MS Mincho"/>
        </w:rPr>
        <w:t>,</w:t>
      </w:r>
      <w:r w:rsidR="00E23256" w:rsidRPr="00E23256">
        <w:rPr>
          <w:rFonts w:eastAsia="MS Mincho"/>
        </w:rPr>
        <w:t xml:space="preserve"> are </w:t>
      </w:r>
      <w:r w:rsidR="00692278">
        <w:rPr>
          <w:rFonts w:eastAsia="MS Mincho"/>
        </w:rPr>
        <w:t xml:space="preserve">often </w:t>
      </w:r>
      <w:r w:rsidR="00E23256" w:rsidRPr="00E23256">
        <w:rPr>
          <w:rFonts w:eastAsia="MS Mincho"/>
        </w:rPr>
        <w:t xml:space="preserve">housed in male wards where they </w:t>
      </w:r>
      <w:r w:rsidR="00692278">
        <w:rPr>
          <w:rFonts w:eastAsia="MS Mincho"/>
        </w:rPr>
        <w:t>can be</w:t>
      </w:r>
      <w:r w:rsidR="00692278" w:rsidRPr="00E23256">
        <w:rPr>
          <w:rFonts w:eastAsia="MS Mincho"/>
        </w:rPr>
        <w:t xml:space="preserve"> </w:t>
      </w:r>
      <w:r w:rsidR="00E23256" w:rsidRPr="00E23256">
        <w:rPr>
          <w:rFonts w:eastAsia="MS Mincho"/>
        </w:rPr>
        <w:t xml:space="preserve">exposed to violence and abuse. </w:t>
      </w:r>
      <w:r w:rsidR="004746A5">
        <w:rPr>
          <w:rFonts w:eastAsia="MS Mincho"/>
        </w:rPr>
        <w:t>The fear of stigma and discrimination deters transgender women, and other LGBT people, from seeking health</w:t>
      </w:r>
      <w:r w:rsidR="00C150DB">
        <w:rPr>
          <w:rFonts w:eastAsia="MS Mincho"/>
        </w:rPr>
        <w:t xml:space="preserve"> </w:t>
      </w:r>
      <w:r w:rsidR="004746A5">
        <w:rPr>
          <w:rFonts w:eastAsia="MS Mincho"/>
        </w:rPr>
        <w:t>care</w:t>
      </w:r>
      <w:r w:rsidR="00C150DB">
        <w:rPr>
          <w:rFonts w:eastAsia="MS Mincho"/>
        </w:rPr>
        <w:t>,</w:t>
      </w:r>
      <w:r w:rsidR="004746A5">
        <w:rPr>
          <w:rFonts w:eastAsia="MS Mincho"/>
        </w:rPr>
        <w:t xml:space="preserve"> </w:t>
      </w:r>
      <w:r w:rsidR="00580827">
        <w:rPr>
          <w:rFonts w:eastAsia="MS Mincho"/>
        </w:rPr>
        <w:t xml:space="preserve">with the consequent devastating effects that this </w:t>
      </w:r>
      <w:r>
        <w:rPr>
          <w:rFonts w:eastAsia="MS Mincho"/>
        </w:rPr>
        <w:t>can</w:t>
      </w:r>
      <w:r w:rsidR="00580827">
        <w:rPr>
          <w:rFonts w:eastAsia="MS Mincho"/>
        </w:rPr>
        <w:t xml:space="preserve"> have.</w:t>
      </w:r>
      <w:r w:rsidR="00453985">
        <w:rPr>
          <w:rFonts w:eastAsia="MS Mincho"/>
        </w:rPr>
        <w:t xml:space="preserve"> </w:t>
      </w:r>
    </w:p>
    <w:p w:rsidR="00A4144B" w:rsidRDefault="00E20F62" w:rsidP="00934A11">
      <w:pPr>
        <w:pStyle w:val="SingleTxtG"/>
        <w:numPr>
          <w:ilvl w:val="0"/>
          <w:numId w:val="52"/>
        </w:numPr>
        <w:ind w:left="1134" w:firstLine="0"/>
        <w:rPr>
          <w:rFonts w:eastAsia="MS Mincho"/>
        </w:rPr>
      </w:pPr>
      <w:r w:rsidRPr="0042711F">
        <w:rPr>
          <w:rFonts w:eastAsia="MS Mincho"/>
        </w:rPr>
        <w:t>The Special Rapporteur</w:t>
      </w:r>
      <w:r w:rsidR="00E23256" w:rsidRPr="0042711F">
        <w:rPr>
          <w:rFonts w:eastAsia="MS Mincho"/>
        </w:rPr>
        <w:t xml:space="preserve"> welcome</w:t>
      </w:r>
      <w:r w:rsidR="00C542A7">
        <w:rPr>
          <w:rFonts w:eastAsia="MS Mincho"/>
        </w:rPr>
        <w:t>s</w:t>
      </w:r>
      <w:r w:rsidR="00E23256" w:rsidRPr="0042711F">
        <w:rPr>
          <w:rFonts w:eastAsia="MS Mincho"/>
        </w:rPr>
        <w:t xml:space="preserve"> the judgement of the Court of Appeal </w:t>
      </w:r>
      <w:r w:rsidR="0044043C" w:rsidRPr="0042711F">
        <w:rPr>
          <w:rFonts w:eastAsia="MS Mincho"/>
        </w:rPr>
        <w:t>issued on 7</w:t>
      </w:r>
      <w:r w:rsidR="007326E0">
        <w:rPr>
          <w:rFonts w:eastAsia="MS Mincho"/>
        </w:rPr>
        <w:t> </w:t>
      </w:r>
      <w:r w:rsidR="0044043C" w:rsidRPr="0042711F">
        <w:rPr>
          <w:rFonts w:eastAsia="MS Mincho"/>
        </w:rPr>
        <w:t xml:space="preserve">November 2014 </w:t>
      </w:r>
      <w:r w:rsidR="00E23256" w:rsidRPr="0042711F">
        <w:rPr>
          <w:rFonts w:eastAsia="MS Mincho"/>
        </w:rPr>
        <w:t xml:space="preserve">that found </w:t>
      </w:r>
      <w:r w:rsidR="00BD796F">
        <w:rPr>
          <w:rFonts w:eastAsia="MS Mincho"/>
        </w:rPr>
        <w:t>section </w:t>
      </w:r>
      <w:r w:rsidR="00E23256" w:rsidRPr="0042711F">
        <w:rPr>
          <w:rFonts w:eastAsia="MS Mincho"/>
        </w:rPr>
        <w:t xml:space="preserve">66 of the </w:t>
      </w:r>
      <w:r w:rsidR="0042711F" w:rsidRPr="0042711F">
        <w:rPr>
          <w:rFonts w:eastAsia="MS Mincho"/>
        </w:rPr>
        <w:t>S</w:t>
      </w:r>
      <w:r w:rsidR="00C150DB">
        <w:rPr>
          <w:rFonts w:eastAsia="MS Mincho"/>
        </w:rPr>
        <w:t>y</w:t>
      </w:r>
      <w:r w:rsidR="0042711F" w:rsidRPr="0042711F">
        <w:rPr>
          <w:rFonts w:eastAsia="MS Mincho"/>
        </w:rPr>
        <w:t>ariah</w:t>
      </w:r>
      <w:r w:rsidR="00E23256" w:rsidRPr="0042711F">
        <w:rPr>
          <w:rFonts w:eastAsia="MS Mincho"/>
        </w:rPr>
        <w:t xml:space="preserve"> Criminal Enactment of Negeri </w:t>
      </w:r>
      <w:r w:rsidR="00E23256" w:rsidRPr="0042711F">
        <w:rPr>
          <w:rFonts w:eastAsia="MS Mincho"/>
        </w:rPr>
        <w:lastRenderedPageBreak/>
        <w:t>Sembilan State criminali</w:t>
      </w:r>
      <w:r w:rsidR="00C150DB">
        <w:rPr>
          <w:rFonts w:eastAsia="MS Mincho"/>
        </w:rPr>
        <w:t>z</w:t>
      </w:r>
      <w:r w:rsidR="00E23256" w:rsidRPr="0042711F">
        <w:rPr>
          <w:rFonts w:eastAsia="MS Mincho"/>
        </w:rPr>
        <w:t>ing cross-dressing unconstitutional.</w:t>
      </w:r>
      <w:r w:rsidR="0042711F" w:rsidRPr="00680816">
        <w:rPr>
          <w:rStyle w:val="FootnoteReference"/>
          <w:rFonts w:eastAsia="MS Mincho"/>
        </w:rPr>
        <w:footnoteReference w:id="31"/>
      </w:r>
      <w:r w:rsidR="00E23256" w:rsidRPr="0042711F">
        <w:rPr>
          <w:rFonts w:eastAsia="MS Mincho"/>
        </w:rPr>
        <w:t xml:space="preserve"> </w:t>
      </w:r>
      <w:r w:rsidR="0044043C" w:rsidRPr="0042711F">
        <w:rPr>
          <w:rFonts w:eastAsia="MS Mincho"/>
        </w:rPr>
        <w:t>The</w:t>
      </w:r>
      <w:r w:rsidR="0044043C">
        <w:rPr>
          <w:rFonts w:eastAsia="MS Mincho"/>
        </w:rPr>
        <w:t xml:space="preserve"> judgement of the Court of Appeal stated that </w:t>
      </w:r>
      <w:r w:rsidR="00BD796F">
        <w:rPr>
          <w:rFonts w:eastAsia="MS Mincho"/>
        </w:rPr>
        <w:t>section </w:t>
      </w:r>
      <w:r w:rsidR="0044043C">
        <w:rPr>
          <w:rFonts w:eastAsia="MS Mincho"/>
        </w:rPr>
        <w:t xml:space="preserve">66 of </w:t>
      </w:r>
      <w:r w:rsidR="00123E61">
        <w:rPr>
          <w:rFonts w:eastAsia="MS Mincho"/>
        </w:rPr>
        <w:t>the</w:t>
      </w:r>
      <w:r w:rsidR="0044043C">
        <w:rPr>
          <w:rFonts w:eastAsia="MS Mincho"/>
        </w:rPr>
        <w:t xml:space="preserve"> </w:t>
      </w:r>
      <w:r w:rsidR="0042711F">
        <w:rPr>
          <w:rFonts w:eastAsia="MS Mincho"/>
        </w:rPr>
        <w:t>S</w:t>
      </w:r>
      <w:r w:rsidR="00C150DB">
        <w:rPr>
          <w:rFonts w:eastAsia="MS Mincho"/>
        </w:rPr>
        <w:t>y</w:t>
      </w:r>
      <w:r w:rsidR="0042711F">
        <w:rPr>
          <w:rFonts w:eastAsia="MS Mincho"/>
        </w:rPr>
        <w:t>ariah</w:t>
      </w:r>
      <w:r w:rsidR="0044043C">
        <w:rPr>
          <w:rFonts w:eastAsia="MS Mincho"/>
        </w:rPr>
        <w:t xml:space="preserve"> enactment was not in conformity with the Federal Constitution </w:t>
      </w:r>
      <w:r w:rsidR="0042711F">
        <w:rPr>
          <w:rFonts w:eastAsia="MS Mincho"/>
        </w:rPr>
        <w:t xml:space="preserve">and </w:t>
      </w:r>
      <w:r w:rsidR="0044043C">
        <w:rPr>
          <w:rFonts w:eastAsia="MS Mincho"/>
        </w:rPr>
        <w:t xml:space="preserve">violated the rights to </w:t>
      </w:r>
      <w:r w:rsidR="0044043C" w:rsidRPr="0044043C">
        <w:rPr>
          <w:rFonts w:eastAsia="MS Mincho"/>
        </w:rPr>
        <w:t xml:space="preserve">live with dignity, </w:t>
      </w:r>
      <w:r w:rsidR="0044043C">
        <w:rPr>
          <w:rFonts w:eastAsia="MS Mincho"/>
        </w:rPr>
        <w:t xml:space="preserve">equality before the law and non-discrimination, </w:t>
      </w:r>
      <w:r w:rsidR="0044043C" w:rsidRPr="0044043C">
        <w:rPr>
          <w:rFonts w:eastAsia="MS Mincho"/>
        </w:rPr>
        <w:t>and directly affect</w:t>
      </w:r>
      <w:r w:rsidR="0042613E">
        <w:rPr>
          <w:rFonts w:eastAsia="MS Mincho"/>
        </w:rPr>
        <w:t>ed</w:t>
      </w:r>
      <w:r w:rsidR="0044043C" w:rsidRPr="0044043C">
        <w:rPr>
          <w:rFonts w:eastAsia="MS Mincho"/>
        </w:rPr>
        <w:t xml:space="preserve"> </w:t>
      </w:r>
      <w:r w:rsidR="0044043C">
        <w:rPr>
          <w:rFonts w:eastAsia="MS Mincho"/>
        </w:rPr>
        <w:t>freedom of movement and expression</w:t>
      </w:r>
      <w:r w:rsidR="0044043C" w:rsidRPr="0044043C">
        <w:rPr>
          <w:rFonts w:eastAsia="MS Mincho"/>
        </w:rPr>
        <w:t>.</w:t>
      </w:r>
      <w:r w:rsidR="0042711F">
        <w:rPr>
          <w:rFonts w:eastAsia="MS Mincho"/>
        </w:rPr>
        <w:t xml:space="preserve"> The judgement explicitly acknowledges the profound effect that </w:t>
      </w:r>
      <w:r w:rsidR="00BD796F">
        <w:rPr>
          <w:rFonts w:eastAsia="MS Mincho"/>
        </w:rPr>
        <w:t>section </w:t>
      </w:r>
      <w:r w:rsidR="0042711F">
        <w:rPr>
          <w:rFonts w:eastAsia="MS Mincho"/>
        </w:rPr>
        <w:t>66 has on the appellants who live perpetually at risk of arrest and prosecution simply because they express their gender identity.</w:t>
      </w:r>
      <w:r w:rsidR="00453985">
        <w:rPr>
          <w:rFonts w:eastAsia="MS Mincho"/>
        </w:rPr>
        <w:t xml:space="preserve"> </w:t>
      </w:r>
      <w:r w:rsidR="0042613E">
        <w:rPr>
          <w:rFonts w:eastAsia="MS Mincho"/>
        </w:rPr>
        <w:t>The Court of Appeal underlined</w:t>
      </w:r>
      <w:r w:rsidR="0042711F">
        <w:rPr>
          <w:rFonts w:eastAsia="MS Mincho"/>
        </w:rPr>
        <w:t xml:space="preserve"> that the existence of a law that punishes gender expression is degrading and deprives those affected of their dignity and value in society.</w:t>
      </w:r>
      <w:r w:rsidR="00453985">
        <w:rPr>
          <w:rFonts w:eastAsia="MS Mincho"/>
        </w:rPr>
        <w:t xml:space="preserve"> </w:t>
      </w:r>
    </w:p>
    <w:p w:rsidR="00A4144B" w:rsidRDefault="00A4144B" w:rsidP="00934A11">
      <w:pPr>
        <w:pStyle w:val="SingleTxtG"/>
        <w:numPr>
          <w:ilvl w:val="0"/>
          <w:numId w:val="52"/>
        </w:numPr>
        <w:ind w:left="1134" w:firstLine="0"/>
        <w:rPr>
          <w:rFonts w:eastAsia="MS Mincho"/>
        </w:rPr>
      </w:pPr>
      <w:r w:rsidRPr="00A4144B">
        <w:rPr>
          <w:rFonts w:eastAsia="MS Mincho"/>
        </w:rPr>
        <w:t xml:space="preserve">Laws that criminalize </w:t>
      </w:r>
      <w:r w:rsidR="00315FF5" w:rsidRPr="00E23256">
        <w:rPr>
          <w:rFonts w:eastAsia="MS Mincho"/>
        </w:rPr>
        <w:t>same</w:t>
      </w:r>
      <w:r w:rsidR="00C150DB">
        <w:rPr>
          <w:rFonts w:eastAsia="MS Mincho"/>
        </w:rPr>
        <w:t>-</w:t>
      </w:r>
      <w:r w:rsidR="00315FF5">
        <w:rPr>
          <w:rFonts w:eastAsia="MS Mincho"/>
        </w:rPr>
        <w:t xml:space="preserve">sex conduct, as well as legal enactments that criminalize </w:t>
      </w:r>
      <w:r w:rsidRPr="00A4144B">
        <w:rPr>
          <w:rFonts w:eastAsia="MS Mincho"/>
        </w:rPr>
        <w:t>transgender women</w:t>
      </w:r>
      <w:r w:rsidR="00315FF5">
        <w:rPr>
          <w:rFonts w:eastAsia="MS Mincho"/>
        </w:rPr>
        <w:t>,</w:t>
      </w:r>
      <w:r w:rsidRPr="00A4144B">
        <w:rPr>
          <w:rFonts w:eastAsia="MS Mincho"/>
        </w:rPr>
        <w:t xml:space="preserve"> infringe on the</w:t>
      </w:r>
      <w:r w:rsidR="00AD79C3">
        <w:rPr>
          <w:rFonts w:eastAsia="MS Mincho"/>
        </w:rPr>
        <w:t xml:space="preserve"> enjoyment of the</w:t>
      </w:r>
      <w:r w:rsidRPr="00A4144B">
        <w:rPr>
          <w:rFonts w:eastAsia="MS Mincho"/>
        </w:rPr>
        <w:t xml:space="preserve"> right to health </w:t>
      </w:r>
      <w:r w:rsidR="00C150DB">
        <w:rPr>
          <w:rFonts w:eastAsia="MS Mincho"/>
        </w:rPr>
        <w:t>and</w:t>
      </w:r>
      <w:r w:rsidR="0042613E">
        <w:rPr>
          <w:rFonts w:eastAsia="MS Mincho"/>
        </w:rPr>
        <w:t xml:space="preserve"> </w:t>
      </w:r>
      <w:r w:rsidRPr="00A4144B">
        <w:rPr>
          <w:rFonts w:eastAsia="MS Mincho"/>
        </w:rPr>
        <w:t xml:space="preserve">other </w:t>
      </w:r>
      <w:r w:rsidR="00315FF5">
        <w:rPr>
          <w:rFonts w:eastAsia="MS Mincho"/>
        </w:rPr>
        <w:t xml:space="preserve">basic </w:t>
      </w:r>
      <w:r w:rsidRPr="00A4144B">
        <w:rPr>
          <w:rFonts w:eastAsia="MS Mincho"/>
        </w:rPr>
        <w:t>human rights</w:t>
      </w:r>
      <w:r w:rsidR="00C150DB">
        <w:rPr>
          <w:rFonts w:eastAsia="MS Mincho"/>
        </w:rPr>
        <w:t xml:space="preserve"> (see </w:t>
      </w:r>
      <w:r w:rsidR="00C150DB">
        <w:t>A/HRC/14/20,</w:t>
      </w:r>
      <w:r w:rsidR="00C150DB" w:rsidRPr="00785F07">
        <w:t xml:space="preserve"> para.</w:t>
      </w:r>
      <w:r w:rsidR="00C150DB">
        <w:t> </w:t>
      </w:r>
      <w:r w:rsidR="00C150DB" w:rsidRPr="00785F07">
        <w:t>6</w:t>
      </w:r>
      <w:r w:rsidR="00C150DB">
        <w:t>)</w:t>
      </w:r>
      <w:r w:rsidRPr="00A4144B">
        <w:rPr>
          <w:rFonts w:eastAsia="MS Mincho"/>
        </w:rPr>
        <w:t xml:space="preserve"> </w:t>
      </w:r>
      <w:r w:rsidR="00E13E49">
        <w:rPr>
          <w:rFonts w:eastAsia="MS Mincho"/>
        </w:rPr>
        <w:t xml:space="preserve">which are </w:t>
      </w:r>
      <w:r w:rsidRPr="00A4144B">
        <w:rPr>
          <w:rFonts w:eastAsia="MS Mincho"/>
        </w:rPr>
        <w:t xml:space="preserve">guaranteed by the </w:t>
      </w:r>
      <w:r w:rsidR="00580827">
        <w:rPr>
          <w:rFonts w:eastAsia="MS Mincho"/>
        </w:rPr>
        <w:t xml:space="preserve">Federal </w:t>
      </w:r>
      <w:r w:rsidRPr="00A4144B">
        <w:rPr>
          <w:rFonts w:eastAsia="MS Mincho"/>
        </w:rPr>
        <w:t xml:space="preserve">Constitution and </w:t>
      </w:r>
      <w:r w:rsidR="00C150DB">
        <w:rPr>
          <w:rFonts w:eastAsia="MS Mincho"/>
        </w:rPr>
        <w:t xml:space="preserve">the </w:t>
      </w:r>
      <w:r w:rsidRPr="00A4144B">
        <w:rPr>
          <w:rFonts w:eastAsia="MS Mincho"/>
        </w:rPr>
        <w:t xml:space="preserve">international treaties that Malaysia has ratified, including the human rights to dignity, equality before the law and equal protection of the law, freedom from discrimination </w:t>
      </w:r>
      <w:r w:rsidR="00AD5387">
        <w:rPr>
          <w:rFonts w:eastAsia="MS Mincho"/>
        </w:rPr>
        <w:t xml:space="preserve">and </w:t>
      </w:r>
      <w:r w:rsidRPr="00A4144B">
        <w:rPr>
          <w:rFonts w:eastAsia="MS Mincho"/>
        </w:rPr>
        <w:t>freedom of expression.</w:t>
      </w:r>
      <w:r w:rsidR="00315FF5">
        <w:rPr>
          <w:rFonts w:eastAsia="MS Mincho"/>
        </w:rPr>
        <w:t xml:space="preserve"> </w:t>
      </w:r>
    </w:p>
    <w:p w:rsidR="007F0EC6" w:rsidRDefault="00580827" w:rsidP="00934A11">
      <w:pPr>
        <w:pStyle w:val="SingleTxtG"/>
        <w:numPr>
          <w:ilvl w:val="0"/>
          <w:numId w:val="52"/>
        </w:numPr>
        <w:ind w:left="1134" w:firstLine="0"/>
        <w:rPr>
          <w:rFonts w:eastAsia="MS Mincho"/>
        </w:rPr>
      </w:pPr>
      <w:r>
        <w:rPr>
          <w:rFonts w:eastAsia="MS Mincho"/>
        </w:rPr>
        <w:t>During his visit, t</w:t>
      </w:r>
      <w:r w:rsidR="00E20F62">
        <w:rPr>
          <w:rFonts w:eastAsia="MS Mincho"/>
        </w:rPr>
        <w:t xml:space="preserve">he Special Rapporteur was </w:t>
      </w:r>
      <w:r w:rsidR="00C8084F">
        <w:rPr>
          <w:rFonts w:eastAsia="MS Mincho"/>
        </w:rPr>
        <w:t xml:space="preserve">also </w:t>
      </w:r>
      <w:r w:rsidR="00E23256" w:rsidRPr="00E23256">
        <w:rPr>
          <w:rFonts w:eastAsia="MS Mincho"/>
        </w:rPr>
        <w:t>very concerned about information received on programmes and practices supported by public institutions to change the sexual orientation of adolescents, so-called “corrective therapies”. Such therapies are not only unacceptable from the human rights perspective but they are also against scientific evidence, and have a serious negative impact on the mental health and well-being of adolescents. State-led program</w:t>
      </w:r>
      <w:r w:rsidR="00C150DB">
        <w:rPr>
          <w:rFonts w:eastAsia="MS Mincho"/>
        </w:rPr>
        <w:t>me</w:t>
      </w:r>
      <w:r w:rsidR="00E23256" w:rsidRPr="00E23256">
        <w:rPr>
          <w:rFonts w:eastAsia="MS Mincho"/>
        </w:rPr>
        <w:t xml:space="preserve">s to identify, “expose”, and punish LGBT </w:t>
      </w:r>
      <w:r w:rsidR="0020291E">
        <w:rPr>
          <w:rFonts w:eastAsia="MS Mincho"/>
        </w:rPr>
        <w:t>adolescents</w:t>
      </w:r>
      <w:r w:rsidR="00FD1A69">
        <w:rPr>
          <w:rFonts w:eastAsia="MS Mincho"/>
        </w:rPr>
        <w:t xml:space="preserve"> </w:t>
      </w:r>
      <w:r w:rsidR="00E23256" w:rsidRPr="00E23256">
        <w:rPr>
          <w:rFonts w:eastAsia="MS Mincho"/>
        </w:rPr>
        <w:t xml:space="preserve">contribute to a detrimental educational environment where the inherent dignity of the child is not respected and discrimination on basis of sexual orientation and gender identity is encouraged. </w:t>
      </w:r>
    </w:p>
    <w:p w:rsidR="00E23256" w:rsidRPr="00C131EC" w:rsidRDefault="00C131EC" w:rsidP="000031A1">
      <w:pPr>
        <w:pStyle w:val="H1G"/>
      </w:pPr>
      <w:r>
        <w:tab/>
        <w:t>E.</w:t>
      </w:r>
      <w:r>
        <w:tab/>
      </w:r>
      <w:r w:rsidR="00C150DB">
        <w:t>Persons</w:t>
      </w:r>
      <w:r w:rsidR="00C150DB" w:rsidRPr="00C131EC">
        <w:t xml:space="preserve"> </w:t>
      </w:r>
      <w:r w:rsidR="00E23256" w:rsidRPr="00C131EC">
        <w:t>living with HIV/AIDS and drug users</w:t>
      </w:r>
    </w:p>
    <w:p w:rsidR="00442565" w:rsidRDefault="000A35BF" w:rsidP="00934A11">
      <w:pPr>
        <w:pStyle w:val="SingleTxtG"/>
        <w:numPr>
          <w:ilvl w:val="0"/>
          <w:numId w:val="52"/>
        </w:numPr>
        <w:ind w:left="1134" w:firstLine="0"/>
        <w:rPr>
          <w:rFonts w:eastAsia="MS Mincho"/>
        </w:rPr>
      </w:pPr>
      <w:r>
        <w:rPr>
          <w:rFonts w:eastAsia="MS Mincho"/>
        </w:rPr>
        <w:t xml:space="preserve">The </w:t>
      </w:r>
      <w:r w:rsidR="00E23256" w:rsidRPr="00E23256">
        <w:rPr>
          <w:rFonts w:eastAsia="MS Mincho"/>
        </w:rPr>
        <w:t>Government is to be commended on measures taken t</w:t>
      </w:r>
      <w:r w:rsidR="00785F07">
        <w:rPr>
          <w:rFonts w:eastAsia="MS Mincho"/>
        </w:rPr>
        <w:t>o reduce the spread of HIV/</w:t>
      </w:r>
      <w:r w:rsidR="00785F07" w:rsidRPr="00934A11">
        <w:t>AIDS</w:t>
      </w:r>
      <w:r w:rsidR="00E23256" w:rsidRPr="00E23256">
        <w:rPr>
          <w:rFonts w:eastAsia="MS Mincho"/>
        </w:rPr>
        <w:t>.</w:t>
      </w:r>
      <w:r w:rsidR="00453985">
        <w:rPr>
          <w:rFonts w:eastAsia="MS Mincho"/>
        </w:rPr>
        <w:t xml:space="preserve"> </w:t>
      </w:r>
      <w:r w:rsidR="00785F07" w:rsidRPr="00785F07">
        <w:rPr>
          <w:rFonts w:eastAsia="MS Mincho"/>
        </w:rPr>
        <w:t xml:space="preserve">As a result, there has been a significant reduction </w:t>
      </w:r>
      <w:r w:rsidR="00754FA8">
        <w:rPr>
          <w:rFonts w:eastAsia="MS Mincho"/>
        </w:rPr>
        <w:t>of</w:t>
      </w:r>
      <w:r w:rsidR="00754FA8" w:rsidRPr="00785F07">
        <w:rPr>
          <w:rFonts w:eastAsia="MS Mincho"/>
        </w:rPr>
        <w:t xml:space="preserve"> </w:t>
      </w:r>
      <w:r w:rsidR="00785F07" w:rsidRPr="00785F07">
        <w:rPr>
          <w:rFonts w:eastAsia="MS Mincho"/>
        </w:rPr>
        <w:t xml:space="preserve">more than half </w:t>
      </w:r>
      <w:r w:rsidR="00754FA8">
        <w:rPr>
          <w:rFonts w:eastAsia="MS Mincho"/>
        </w:rPr>
        <w:t>in</w:t>
      </w:r>
      <w:r w:rsidR="00754FA8" w:rsidRPr="00785F07">
        <w:rPr>
          <w:rFonts w:eastAsia="MS Mincho"/>
        </w:rPr>
        <w:t xml:space="preserve"> new cases</w:t>
      </w:r>
      <w:r w:rsidR="00754FA8">
        <w:rPr>
          <w:rFonts w:eastAsia="MS Mincho"/>
        </w:rPr>
        <w:t>,</w:t>
      </w:r>
      <w:r w:rsidR="00754FA8" w:rsidRPr="00785F07">
        <w:rPr>
          <w:rFonts w:eastAsia="MS Mincho"/>
        </w:rPr>
        <w:t xml:space="preserve"> </w:t>
      </w:r>
      <w:r w:rsidR="00785F07" w:rsidRPr="00785F07">
        <w:rPr>
          <w:rFonts w:eastAsia="MS Mincho"/>
        </w:rPr>
        <w:t xml:space="preserve">from 28.4 per 100,000 </w:t>
      </w:r>
      <w:r w:rsidR="00754FA8">
        <w:rPr>
          <w:rFonts w:eastAsia="MS Mincho"/>
        </w:rPr>
        <w:t>persons</w:t>
      </w:r>
      <w:r w:rsidR="00754FA8" w:rsidRPr="00785F07">
        <w:rPr>
          <w:rFonts w:eastAsia="MS Mincho"/>
        </w:rPr>
        <w:t xml:space="preserve"> </w:t>
      </w:r>
      <w:r w:rsidR="00785F07" w:rsidRPr="00785F07">
        <w:rPr>
          <w:rFonts w:eastAsia="MS Mincho"/>
        </w:rPr>
        <w:t xml:space="preserve">in 2002 to 11.42 cases per 100,000 </w:t>
      </w:r>
      <w:r w:rsidR="00754FA8">
        <w:rPr>
          <w:rFonts w:eastAsia="MS Mincho"/>
        </w:rPr>
        <w:t>persons</w:t>
      </w:r>
      <w:r w:rsidR="00754FA8" w:rsidRPr="00785F07">
        <w:rPr>
          <w:rFonts w:eastAsia="MS Mincho"/>
        </w:rPr>
        <w:t xml:space="preserve"> </w:t>
      </w:r>
      <w:r w:rsidR="00785F07" w:rsidRPr="00785F07">
        <w:rPr>
          <w:rFonts w:eastAsia="MS Mincho"/>
        </w:rPr>
        <w:t>in 2012</w:t>
      </w:r>
      <w:r w:rsidR="00785F07">
        <w:rPr>
          <w:rFonts w:eastAsia="MS Mincho"/>
        </w:rPr>
        <w:t xml:space="preserve">. </w:t>
      </w:r>
      <w:r w:rsidR="00442565">
        <w:rPr>
          <w:rFonts w:eastAsia="MS Mincho"/>
        </w:rPr>
        <w:t xml:space="preserve">The </w:t>
      </w:r>
      <w:r w:rsidR="00442565" w:rsidRPr="00442565">
        <w:rPr>
          <w:rFonts w:eastAsia="MS Mincho"/>
        </w:rPr>
        <w:t xml:space="preserve">number of </w:t>
      </w:r>
      <w:r w:rsidR="00754FA8">
        <w:rPr>
          <w:rFonts w:eastAsia="MS Mincho"/>
        </w:rPr>
        <w:t>persons</w:t>
      </w:r>
      <w:r w:rsidR="00754FA8" w:rsidRPr="00442565">
        <w:rPr>
          <w:rFonts w:eastAsia="MS Mincho"/>
        </w:rPr>
        <w:t xml:space="preserve"> </w:t>
      </w:r>
      <w:r w:rsidR="00442565" w:rsidRPr="00442565">
        <w:rPr>
          <w:rFonts w:eastAsia="MS Mincho"/>
        </w:rPr>
        <w:t>li</w:t>
      </w:r>
      <w:r w:rsidR="00442565">
        <w:rPr>
          <w:rFonts w:eastAsia="MS Mincho"/>
        </w:rPr>
        <w:t>ving with HIV in 2013 was</w:t>
      </w:r>
      <w:r w:rsidR="00442565" w:rsidRPr="00442565">
        <w:rPr>
          <w:rFonts w:eastAsia="MS Mincho"/>
        </w:rPr>
        <w:t xml:space="preserve"> estimated at 86,324</w:t>
      </w:r>
      <w:r w:rsidR="00442565">
        <w:rPr>
          <w:rFonts w:eastAsia="MS Mincho"/>
        </w:rPr>
        <w:t xml:space="preserve">. </w:t>
      </w:r>
    </w:p>
    <w:p w:rsidR="00DF1743" w:rsidRDefault="00785F07" w:rsidP="00934A11">
      <w:pPr>
        <w:pStyle w:val="SingleTxtG"/>
        <w:numPr>
          <w:ilvl w:val="0"/>
          <w:numId w:val="52"/>
        </w:numPr>
        <w:ind w:left="1134" w:firstLine="0"/>
        <w:rPr>
          <w:rFonts w:eastAsia="MS Mincho"/>
        </w:rPr>
      </w:pPr>
      <w:r w:rsidRPr="00785F07">
        <w:rPr>
          <w:rFonts w:eastAsia="MS Mincho"/>
        </w:rPr>
        <w:t xml:space="preserve">Malaysia is a country with </w:t>
      </w:r>
      <w:r w:rsidR="00754FA8">
        <w:rPr>
          <w:rFonts w:eastAsia="MS Mincho"/>
        </w:rPr>
        <w:t xml:space="preserve">a </w:t>
      </w:r>
      <w:r w:rsidRPr="00785F07">
        <w:rPr>
          <w:rFonts w:eastAsia="MS Mincho"/>
        </w:rPr>
        <w:t>concentrated HIV epide</w:t>
      </w:r>
      <w:r>
        <w:rPr>
          <w:rFonts w:eastAsia="MS Mincho"/>
        </w:rPr>
        <w:t>mic</w:t>
      </w:r>
      <w:r w:rsidR="00754FA8">
        <w:rPr>
          <w:rFonts w:eastAsia="MS Mincho"/>
        </w:rPr>
        <w:t>,</w:t>
      </w:r>
      <w:r>
        <w:rPr>
          <w:rFonts w:eastAsia="MS Mincho"/>
        </w:rPr>
        <w:t xml:space="preserve"> with infection rates that remain high, </w:t>
      </w:r>
      <w:r w:rsidRPr="00785F07">
        <w:rPr>
          <w:rFonts w:eastAsia="MS Mincho"/>
        </w:rPr>
        <w:t>above 5</w:t>
      </w:r>
      <w:r w:rsidR="00754FA8">
        <w:rPr>
          <w:rFonts w:eastAsia="MS Mincho"/>
        </w:rPr>
        <w:t xml:space="preserve"> per cent</w:t>
      </w:r>
      <w:r w:rsidR="007F0EC6">
        <w:rPr>
          <w:rFonts w:eastAsia="MS Mincho"/>
        </w:rPr>
        <w:t>,</w:t>
      </w:r>
      <w:r w:rsidRPr="00785F07">
        <w:rPr>
          <w:rFonts w:eastAsia="MS Mincho"/>
        </w:rPr>
        <w:t xml:space="preserve"> among most-at-risk popula</w:t>
      </w:r>
      <w:r>
        <w:rPr>
          <w:rFonts w:eastAsia="MS Mincho"/>
        </w:rPr>
        <w:t>tions, which include drug users</w:t>
      </w:r>
      <w:r w:rsidRPr="00785F07">
        <w:rPr>
          <w:rFonts w:eastAsia="MS Mincho"/>
        </w:rPr>
        <w:t xml:space="preserve">, sex workers, transgender </w:t>
      </w:r>
      <w:r w:rsidR="00754FA8">
        <w:rPr>
          <w:rFonts w:eastAsia="MS Mincho"/>
        </w:rPr>
        <w:t>persons</w:t>
      </w:r>
      <w:r>
        <w:rPr>
          <w:rFonts w:eastAsia="MS Mincho"/>
        </w:rPr>
        <w:t xml:space="preserve"> </w:t>
      </w:r>
      <w:r w:rsidRPr="00785F07">
        <w:rPr>
          <w:rFonts w:eastAsia="MS Mincho"/>
        </w:rPr>
        <w:t>and men</w:t>
      </w:r>
      <w:r w:rsidR="00754FA8">
        <w:rPr>
          <w:rFonts w:eastAsia="MS Mincho"/>
        </w:rPr>
        <w:t xml:space="preserve"> having</w:t>
      </w:r>
      <w:r w:rsidRPr="00785F07">
        <w:rPr>
          <w:rFonts w:eastAsia="MS Mincho"/>
        </w:rPr>
        <w:t xml:space="preserve"> sex with men.</w:t>
      </w:r>
      <w:r w:rsidRPr="00680816">
        <w:rPr>
          <w:rStyle w:val="FootnoteReference"/>
          <w:rFonts w:eastAsia="MS Mincho"/>
        </w:rPr>
        <w:footnoteReference w:id="32"/>
      </w:r>
      <w:r w:rsidR="00453985">
        <w:rPr>
          <w:rFonts w:eastAsia="MS Mincho"/>
        </w:rPr>
        <w:t xml:space="preserve"> </w:t>
      </w:r>
      <w:r w:rsidR="00E23256" w:rsidRPr="00E23256">
        <w:rPr>
          <w:rFonts w:eastAsia="MS Mincho"/>
        </w:rPr>
        <w:t xml:space="preserve">Measures have included </w:t>
      </w:r>
      <w:r w:rsidR="00754FA8">
        <w:rPr>
          <w:rFonts w:eastAsia="MS Mincho"/>
        </w:rPr>
        <w:t>making available</w:t>
      </w:r>
      <w:r w:rsidR="00754FA8" w:rsidRPr="00E23256">
        <w:rPr>
          <w:rFonts w:eastAsia="MS Mincho"/>
        </w:rPr>
        <w:t xml:space="preserve"> </w:t>
      </w:r>
      <w:r w:rsidR="00E23256" w:rsidRPr="00E23256">
        <w:rPr>
          <w:rFonts w:eastAsia="MS Mincho"/>
        </w:rPr>
        <w:t>evidence-based treatment, such as antiretroviral treatment</w:t>
      </w:r>
      <w:r w:rsidR="00963D87">
        <w:rPr>
          <w:rFonts w:eastAsia="MS Mincho"/>
        </w:rPr>
        <w:t xml:space="preserve"> </w:t>
      </w:r>
      <w:r w:rsidR="00E23256" w:rsidRPr="00E23256">
        <w:rPr>
          <w:rFonts w:eastAsia="MS Mincho"/>
        </w:rPr>
        <w:t>and the implementation of harm reduction programmes</w:t>
      </w:r>
      <w:r w:rsidR="00754FA8">
        <w:rPr>
          <w:rFonts w:eastAsia="MS Mincho"/>
        </w:rPr>
        <w:t>,</w:t>
      </w:r>
      <w:r w:rsidR="00BC10FA">
        <w:rPr>
          <w:rFonts w:eastAsia="MS Mincho"/>
        </w:rPr>
        <w:t xml:space="preserve"> most</w:t>
      </w:r>
      <w:r w:rsidR="00963D87">
        <w:rPr>
          <w:rFonts w:eastAsia="MS Mincho"/>
        </w:rPr>
        <w:t xml:space="preserve"> </w:t>
      </w:r>
      <w:r w:rsidR="00754FA8">
        <w:rPr>
          <w:rFonts w:eastAsia="MS Mincho"/>
        </w:rPr>
        <w:t xml:space="preserve">of which have been in place </w:t>
      </w:r>
      <w:r w:rsidR="00963D87">
        <w:rPr>
          <w:rFonts w:eastAsia="MS Mincho"/>
        </w:rPr>
        <w:t>since 2005</w:t>
      </w:r>
      <w:r w:rsidR="00E23256" w:rsidRPr="00E23256">
        <w:rPr>
          <w:rFonts w:eastAsia="MS Mincho"/>
        </w:rPr>
        <w:t>.</w:t>
      </w:r>
      <w:r w:rsidR="00453985">
        <w:rPr>
          <w:rFonts w:eastAsia="MS Mincho"/>
        </w:rPr>
        <w:t xml:space="preserve"> </w:t>
      </w:r>
    </w:p>
    <w:p w:rsidR="00785F07" w:rsidRDefault="00DF1743" w:rsidP="00934A11">
      <w:pPr>
        <w:pStyle w:val="SingleTxtG"/>
        <w:numPr>
          <w:ilvl w:val="0"/>
          <w:numId w:val="52"/>
        </w:numPr>
        <w:ind w:left="1134" w:firstLine="0"/>
        <w:rPr>
          <w:rFonts w:eastAsia="MS Mincho"/>
        </w:rPr>
      </w:pPr>
      <w:r>
        <w:rPr>
          <w:rFonts w:eastAsia="MS Mincho"/>
        </w:rPr>
        <w:t>Over the past decades, the Government</w:t>
      </w:r>
      <w:r w:rsidR="0078092C">
        <w:rPr>
          <w:rFonts w:eastAsia="MS Mincho"/>
        </w:rPr>
        <w:t>’s</w:t>
      </w:r>
      <w:r>
        <w:rPr>
          <w:rFonts w:eastAsia="MS Mincho"/>
        </w:rPr>
        <w:t xml:space="preserve"> </w:t>
      </w:r>
      <w:r w:rsidRPr="00DF1743">
        <w:rPr>
          <w:rFonts w:eastAsia="MS Mincho"/>
        </w:rPr>
        <w:t xml:space="preserve">response has </w:t>
      </w:r>
      <w:r>
        <w:rPr>
          <w:rFonts w:eastAsia="MS Mincho"/>
        </w:rPr>
        <w:t>evolved</w:t>
      </w:r>
      <w:r w:rsidRPr="00DF1743">
        <w:rPr>
          <w:rFonts w:eastAsia="MS Mincho"/>
        </w:rPr>
        <w:t xml:space="preserve"> to include</w:t>
      </w:r>
      <w:r w:rsidR="00F80E83">
        <w:rPr>
          <w:rFonts w:eastAsia="MS Mincho"/>
        </w:rPr>
        <w:t xml:space="preserve"> the input of</w:t>
      </w:r>
      <w:r w:rsidRPr="00DF1743">
        <w:rPr>
          <w:rFonts w:eastAsia="MS Mincho"/>
        </w:rPr>
        <w:t xml:space="preserve"> </w:t>
      </w:r>
      <w:r>
        <w:rPr>
          <w:rFonts w:eastAsia="MS Mincho"/>
        </w:rPr>
        <w:t>a</w:t>
      </w:r>
      <w:r w:rsidRPr="00DF1743">
        <w:rPr>
          <w:rFonts w:eastAsia="MS Mincho"/>
        </w:rPr>
        <w:t xml:space="preserve"> group of stakeholders</w:t>
      </w:r>
      <w:r>
        <w:rPr>
          <w:rFonts w:eastAsia="MS Mincho"/>
        </w:rPr>
        <w:t>,</w:t>
      </w:r>
      <w:r w:rsidRPr="00DF1743">
        <w:rPr>
          <w:rFonts w:eastAsia="MS Mincho"/>
        </w:rPr>
        <w:t xml:space="preserve"> including </w:t>
      </w:r>
      <w:r w:rsidR="00754FA8">
        <w:rPr>
          <w:rFonts w:eastAsia="MS Mincho"/>
        </w:rPr>
        <w:t xml:space="preserve">from </w:t>
      </w:r>
      <w:r w:rsidRPr="00DF1743">
        <w:rPr>
          <w:rFonts w:eastAsia="MS Mincho"/>
        </w:rPr>
        <w:t xml:space="preserve">non-health </w:t>
      </w:r>
      <w:r w:rsidR="00754FA8">
        <w:rPr>
          <w:rFonts w:eastAsia="MS Mincho"/>
        </w:rPr>
        <w:t xml:space="preserve">units </w:t>
      </w:r>
      <w:r>
        <w:rPr>
          <w:rFonts w:eastAsia="MS Mincho"/>
        </w:rPr>
        <w:t xml:space="preserve">within government agencies, </w:t>
      </w:r>
      <w:r w:rsidRPr="00DF1743">
        <w:rPr>
          <w:rFonts w:eastAsia="MS Mincho"/>
        </w:rPr>
        <w:t>civil society</w:t>
      </w:r>
      <w:r>
        <w:rPr>
          <w:rFonts w:eastAsia="MS Mincho"/>
        </w:rPr>
        <w:t xml:space="preserve"> actors</w:t>
      </w:r>
      <w:r w:rsidRPr="00DF1743">
        <w:rPr>
          <w:rFonts w:eastAsia="MS Mincho"/>
        </w:rPr>
        <w:t xml:space="preserve">, private agencies </w:t>
      </w:r>
      <w:r>
        <w:rPr>
          <w:rFonts w:eastAsia="MS Mincho"/>
        </w:rPr>
        <w:t xml:space="preserve">and </w:t>
      </w:r>
      <w:r w:rsidRPr="00DF1743">
        <w:rPr>
          <w:rFonts w:eastAsia="MS Mincho"/>
        </w:rPr>
        <w:t xml:space="preserve">bilateral and international agencies. </w:t>
      </w:r>
      <w:r w:rsidR="00785F07" w:rsidRPr="00785F07">
        <w:rPr>
          <w:rFonts w:eastAsia="MS Mincho"/>
        </w:rPr>
        <w:t xml:space="preserve">In 1992, </w:t>
      </w:r>
      <w:r w:rsidR="00D526D8">
        <w:rPr>
          <w:rFonts w:eastAsia="MS Mincho"/>
        </w:rPr>
        <w:t xml:space="preserve">the </w:t>
      </w:r>
      <w:r w:rsidR="00785F07" w:rsidRPr="00785F07">
        <w:rPr>
          <w:rFonts w:eastAsia="MS Mincho"/>
        </w:rPr>
        <w:t>Malaysia</w:t>
      </w:r>
      <w:r w:rsidR="00D526D8">
        <w:rPr>
          <w:rFonts w:eastAsia="MS Mincho"/>
        </w:rPr>
        <w:t>n</w:t>
      </w:r>
      <w:r w:rsidR="00785F07" w:rsidRPr="00785F07">
        <w:rPr>
          <w:rFonts w:eastAsia="MS Mincho"/>
        </w:rPr>
        <w:t xml:space="preserve"> AIDS Council was established under the auspices of the Ministry of Health to compl</w:t>
      </w:r>
      <w:r w:rsidR="00D526D8">
        <w:rPr>
          <w:rFonts w:eastAsia="MS Mincho"/>
        </w:rPr>
        <w:t>e</w:t>
      </w:r>
      <w:r w:rsidR="00785F07" w:rsidRPr="00785F07">
        <w:rPr>
          <w:rFonts w:eastAsia="MS Mincho"/>
        </w:rPr>
        <w:t xml:space="preserve">ment the </w:t>
      </w:r>
      <w:r w:rsidR="00D526D8">
        <w:rPr>
          <w:rFonts w:eastAsia="MS Mincho"/>
        </w:rPr>
        <w:t>country’s</w:t>
      </w:r>
      <w:r w:rsidR="00D526D8" w:rsidRPr="00785F07">
        <w:rPr>
          <w:rFonts w:eastAsia="MS Mincho"/>
        </w:rPr>
        <w:t xml:space="preserve"> </w:t>
      </w:r>
      <w:r w:rsidR="00785F07" w:rsidRPr="00785F07">
        <w:rPr>
          <w:rFonts w:eastAsia="MS Mincho"/>
        </w:rPr>
        <w:t>responses</w:t>
      </w:r>
      <w:r w:rsidR="00D526D8">
        <w:rPr>
          <w:rFonts w:eastAsia="MS Mincho"/>
        </w:rPr>
        <w:t>,</w:t>
      </w:r>
      <w:r w:rsidR="00785F07" w:rsidRPr="00785F07">
        <w:rPr>
          <w:rFonts w:eastAsia="MS Mincho"/>
        </w:rPr>
        <w:t xml:space="preserve"> with special focus on</w:t>
      </w:r>
      <w:r w:rsidR="00D526D8">
        <w:rPr>
          <w:rFonts w:eastAsia="MS Mincho"/>
        </w:rPr>
        <w:t xml:space="preserve"> the</w:t>
      </w:r>
      <w:r w:rsidR="00785F07" w:rsidRPr="00785F07">
        <w:rPr>
          <w:rFonts w:eastAsia="MS Mincho"/>
        </w:rPr>
        <w:t xml:space="preserve"> most-at-risk populations.</w:t>
      </w:r>
      <w:r>
        <w:rPr>
          <w:rFonts w:eastAsia="MS Mincho"/>
        </w:rPr>
        <w:t xml:space="preserve"> This multi</w:t>
      </w:r>
      <w:r w:rsidR="00442565">
        <w:rPr>
          <w:rFonts w:eastAsia="MS Mincho"/>
        </w:rPr>
        <w:t>sectoral and m</w:t>
      </w:r>
      <w:r w:rsidR="000362B3">
        <w:rPr>
          <w:rFonts w:eastAsia="MS Mincho"/>
        </w:rPr>
        <w:t>u</w:t>
      </w:r>
      <w:r w:rsidR="00442565">
        <w:rPr>
          <w:rFonts w:eastAsia="MS Mincho"/>
        </w:rPr>
        <w:t>lti-</w:t>
      </w:r>
      <w:r>
        <w:rPr>
          <w:rFonts w:eastAsia="MS Mincho"/>
        </w:rPr>
        <w:t>stakeholder response</w:t>
      </w:r>
      <w:r w:rsidR="000362B3" w:rsidRPr="000362B3">
        <w:rPr>
          <w:rFonts w:eastAsia="MS Mincho"/>
        </w:rPr>
        <w:t xml:space="preserve"> </w:t>
      </w:r>
      <w:r w:rsidR="000362B3">
        <w:rPr>
          <w:rFonts w:eastAsia="MS Mincho"/>
        </w:rPr>
        <w:t>to the pandemic</w:t>
      </w:r>
      <w:r>
        <w:rPr>
          <w:rFonts w:eastAsia="MS Mincho"/>
        </w:rPr>
        <w:t xml:space="preserve"> has contributed to achieving positive results.</w:t>
      </w:r>
      <w:r w:rsidR="00453985">
        <w:rPr>
          <w:rFonts w:eastAsia="MS Mincho"/>
        </w:rPr>
        <w:t xml:space="preserve"> </w:t>
      </w:r>
    </w:p>
    <w:p w:rsidR="000362B3" w:rsidRDefault="00785F07" w:rsidP="00934A11">
      <w:pPr>
        <w:pStyle w:val="SingleTxtG"/>
        <w:numPr>
          <w:ilvl w:val="0"/>
          <w:numId w:val="52"/>
        </w:numPr>
        <w:ind w:left="1134" w:firstLine="0"/>
        <w:rPr>
          <w:rFonts w:eastAsia="MS Mincho"/>
        </w:rPr>
      </w:pPr>
      <w:r>
        <w:rPr>
          <w:rFonts w:eastAsia="MS Mincho"/>
        </w:rPr>
        <w:lastRenderedPageBreak/>
        <w:t>Nevertheless, i</w:t>
      </w:r>
      <w:r w:rsidR="00E23256" w:rsidRPr="00E23256">
        <w:rPr>
          <w:rFonts w:eastAsia="MS Mincho"/>
        </w:rPr>
        <w:t xml:space="preserve">n recent years, Malaysia has seen a surge in HIV/AIDS infections due to sexual transmission, mainly affecting men having sex with men, </w:t>
      </w:r>
      <w:r w:rsidR="00875912">
        <w:rPr>
          <w:rFonts w:eastAsia="MS Mincho"/>
        </w:rPr>
        <w:t>but</w:t>
      </w:r>
      <w:r w:rsidR="00E23256" w:rsidRPr="00E23256">
        <w:rPr>
          <w:rFonts w:eastAsia="MS Mincho"/>
        </w:rPr>
        <w:t xml:space="preserve"> now also women.</w:t>
      </w:r>
      <w:r w:rsidR="00963D87" w:rsidRPr="00680816">
        <w:rPr>
          <w:rStyle w:val="FootnoteReference"/>
          <w:rFonts w:eastAsia="MS Mincho"/>
        </w:rPr>
        <w:footnoteReference w:id="33"/>
      </w:r>
      <w:r w:rsidR="00453985">
        <w:rPr>
          <w:rFonts w:eastAsia="MS Mincho"/>
        </w:rPr>
        <w:t xml:space="preserve"> </w:t>
      </w:r>
      <w:r w:rsidR="00875912">
        <w:rPr>
          <w:rFonts w:eastAsia="MS Mincho"/>
        </w:rPr>
        <w:t>The</w:t>
      </w:r>
      <w:r w:rsidR="00E23256" w:rsidRPr="00E23256">
        <w:rPr>
          <w:rFonts w:eastAsia="MS Mincho"/>
        </w:rPr>
        <w:t xml:space="preserve"> previous success in addressing the epidemic has been </w:t>
      </w:r>
      <w:r w:rsidR="00963D87">
        <w:rPr>
          <w:rFonts w:eastAsia="MS Mincho"/>
        </w:rPr>
        <w:t>some</w:t>
      </w:r>
      <w:r w:rsidR="00D526D8">
        <w:rPr>
          <w:rFonts w:eastAsia="MS Mincho"/>
        </w:rPr>
        <w:t>what</w:t>
      </w:r>
      <w:r w:rsidR="00963D87">
        <w:rPr>
          <w:rFonts w:eastAsia="MS Mincho"/>
        </w:rPr>
        <w:t xml:space="preserve"> </w:t>
      </w:r>
      <w:r w:rsidR="00E23256" w:rsidRPr="00E23256">
        <w:rPr>
          <w:rFonts w:eastAsia="MS Mincho"/>
        </w:rPr>
        <w:t xml:space="preserve">hampered by a lack of </w:t>
      </w:r>
      <w:r w:rsidR="00963D87">
        <w:rPr>
          <w:rFonts w:eastAsia="MS Mincho"/>
        </w:rPr>
        <w:t>full</w:t>
      </w:r>
      <w:r w:rsidR="00E23256" w:rsidRPr="00E23256">
        <w:rPr>
          <w:rFonts w:eastAsia="MS Mincho"/>
        </w:rPr>
        <w:t xml:space="preserve"> adhere</w:t>
      </w:r>
      <w:r w:rsidR="00963D87">
        <w:rPr>
          <w:rFonts w:eastAsia="MS Mincho"/>
        </w:rPr>
        <w:t>nce</w:t>
      </w:r>
      <w:r w:rsidR="00E23256" w:rsidRPr="00E23256">
        <w:rPr>
          <w:rFonts w:eastAsia="MS Mincho"/>
        </w:rPr>
        <w:t xml:space="preserve"> to universal human rights obligations and principles, and </w:t>
      </w:r>
      <w:r w:rsidR="00963D87">
        <w:rPr>
          <w:rFonts w:eastAsia="MS Mincho"/>
        </w:rPr>
        <w:t>the subsequent lack of recognition of</w:t>
      </w:r>
      <w:r w:rsidR="00E23256" w:rsidRPr="00E23256">
        <w:rPr>
          <w:rFonts w:eastAsia="MS Mincho"/>
        </w:rPr>
        <w:t xml:space="preserve"> the rights of the groups most affected</w:t>
      </w:r>
      <w:r w:rsidR="00AD5387">
        <w:rPr>
          <w:rFonts w:eastAsia="MS Mincho"/>
        </w:rPr>
        <w:t xml:space="preserve">, including LGBT </w:t>
      </w:r>
      <w:r w:rsidR="00D526D8">
        <w:rPr>
          <w:rFonts w:eastAsia="MS Mincho"/>
        </w:rPr>
        <w:t>persons</w:t>
      </w:r>
      <w:r w:rsidR="00E23256" w:rsidRPr="00E23256">
        <w:rPr>
          <w:rFonts w:eastAsia="MS Mincho"/>
        </w:rPr>
        <w:t xml:space="preserve">. </w:t>
      </w:r>
    </w:p>
    <w:p w:rsidR="00ED135A" w:rsidRPr="00E23256" w:rsidRDefault="00875912" w:rsidP="00934A11">
      <w:pPr>
        <w:pStyle w:val="SingleTxtG"/>
        <w:numPr>
          <w:ilvl w:val="0"/>
          <w:numId w:val="52"/>
        </w:numPr>
        <w:ind w:left="1134" w:firstLine="0"/>
        <w:rPr>
          <w:rFonts w:eastAsia="MS Mincho"/>
        </w:rPr>
      </w:pPr>
      <w:r>
        <w:rPr>
          <w:rFonts w:eastAsia="MS Mincho"/>
        </w:rPr>
        <w:t>T</w:t>
      </w:r>
      <w:r w:rsidR="00E23256" w:rsidRPr="00E23256">
        <w:rPr>
          <w:rFonts w:eastAsia="MS Mincho"/>
        </w:rPr>
        <w:t>he experience of the HIV/AIDS pandemic has shown that the exposure of vulnerable groups to HIV/AIDS is reinforced through discrimination, stigmatization and disrespect for human rights. Discriminating and ostracizing vulnerable groups will only add to the continuation a</w:t>
      </w:r>
      <w:r w:rsidR="0054130F">
        <w:rPr>
          <w:rFonts w:eastAsia="MS Mincho"/>
        </w:rPr>
        <w:t>nd further spread of HIV/AIDS.</w:t>
      </w:r>
      <w:r w:rsidR="00453985">
        <w:rPr>
          <w:rFonts w:eastAsia="MS Mincho"/>
        </w:rPr>
        <w:t xml:space="preserve"> </w:t>
      </w:r>
      <w:r w:rsidR="007F0EC6">
        <w:rPr>
          <w:rFonts w:eastAsia="MS Mincho"/>
        </w:rPr>
        <w:t>I</w:t>
      </w:r>
      <w:r w:rsidR="000362B3">
        <w:rPr>
          <w:rFonts w:eastAsia="MS Mincho"/>
        </w:rPr>
        <w:t xml:space="preserve">n order to address the increasing rate of sexual transmission of HIV, </w:t>
      </w:r>
      <w:r>
        <w:rPr>
          <w:rFonts w:eastAsia="MS Mincho"/>
        </w:rPr>
        <w:t>the Special Rapporteur</w:t>
      </w:r>
      <w:r w:rsidR="007F0EC6">
        <w:rPr>
          <w:rFonts w:eastAsia="MS Mincho"/>
        </w:rPr>
        <w:t xml:space="preserve"> encourages the authorities to st</w:t>
      </w:r>
      <w:r w:rsidR="0078092C">
        <w:rPr>
          <w:rFonts w:eastAsia="MS Mincho"/>
        </w:rPr>
        <w:t>ep</w:t>
      </w:r>
      <w:r w:rsidR="007F0EC6">
        <w:rPr>
          <w:rFonts w:eastAsia="MS Mincho"/>
        </w:rPr>
        <w:t xml:space="preserve"> up their efforts and</w:t>
      </w:r>
      <w:r w:rsidR="000362B3">
        <w:rPr>
          <w:rFonts w:eastAsia="MS Mincho"/>
        </w:rPr>
        <w:t xml:space="preserve"> offer comprehensive sexuality education, which is a key component of </w:t>
      </w:r>
      <w:r w:rsidR="007A20A0">
        <w:rPr>
          <w:rFonts w:eastAsia="MS Mincho"/>
        </w:rPr>
        <w:t>the fight against AIDS.</w:t>
      </w:r>
      <w:r w:rsidR="001B35C0">
        <w:rPr>
          <w:rFonts w:eastAsia="MS Mincho"/>
        </w:rPr>
        <w:t xml:space="preserve"> </w:t>
      </w:r>
    </w:p>
    <w:p w:rsidR="0054130F" w:rsidRPr="00180FBD" w:rsidRDefault="00963D87" w:rsidP="00934A11">
      <w:pPr>
        <w:pStyle w:val="SingleTxtG"/>
        <w:numPr>
          <w:ilvl w:val="0"/>
          <w:numId w:val="52"/>
        </w:numPr>
        <w:ind w:left="1134" w:firstLine="0"/>
        <w:rPr>
          <w:rFonts w:eastAsia="MS Mincho"/>
        </w:rPr>
      </w:pPr>
      <w:r>
        <w:rPr>
          <w:rFonts w:eastAsia="MS Mincho"/>
        </w:rPr>
        <w:t>Regarding drug policy and the situation of drug users</w:t>
      </w:r>
      <w:r w:rsidR="00AD5387">
        <w:rPr>
          <w:rFonts w:eastAsia="MS Mincho"/>
        </w:rPr>
        <w:t xml:space="preserve">, </w:t>
      </w:r>
      <w:r w:rsidR="00180FBD" w:rsidRPr="00180FBD">
        <w:rPr>
          <w:rFonts w:eastAsia="MS Mincho"/>
        </w:rPr>
        <w:t xml:space="preserve">Malaysia has ratified the three </w:t>
      </w:r>
      <w:r w:rsidR="001360E7">
        <w:rPr>
          <w:rFonts w:eastAsia="MS Mincho"/>
        </w:rPr>
        <w:t>International Drug Control</w:t>
      </w:r>
      <w:r w:rsidR="00180FBD" w:rsidRPr="00180FBD">
        <w:rPr>
          <w:rFonts w:eastAsia="MS Mincho"/>
        </w:rPr>
        <w:t xml:space="preserve"> Conventions. The Dangerous Drugs Act describes the punishments for drug-related crimes. </w:t>
      </w:r>
      <w:r w:rsidR="0054130F">
        <w:rPr>
          <w:rFonts w:eastAsia="MS Mincho"/>
        </w:rPr>
        <w:t xml:space="preserve">Under this </w:t>
      </w:r>
      <w:r w:rsidR="00516944">
        <w:rPr>
          <w:rFonts w:eastAsia="MS Mincho"/>
        </w:rPr>
        <w:t>a</w:t>
      </w:r>
      <w:r w:rsidR="0054130F">
        <w:rPr>
          <w:rFonts w:eastAsia="MS Mincho"/>
        </w:rPr>
        <w:t>ct, the possession of 5</w:t>
      </w:r>
      <w:r w:rsidR="00BD796F">
        <w:rPr>
          <w:rFonts w:eastAsia="MS Mincho"/>
        </w:rPr>
        <w:t>–</w:t>
      </w:r>
      <w:r w:rsidR="00180FBD" w:rsidRPr="00180FBD">
        <w:rPr>
          <w:rFonts w:eastAsia="MS Mincho"/>
        </w:rPr>
        <w:t xml:space="preserve">15 grams of heroin can result in a life sentence, while possession of more than 15 grams may result in the death penalty. Drug trafficking </w:t>
      </w:r>
      <w:r w:rsidR="00516944">
        <w:rPr>
          <w:rFonts w:eastAsia="MS Mincho"/>
        </w:rPr>
        <w:t>is</w:t>
      </w:r>
      <w:r w:rsidR="00516944" w:rsidRPr="00180FBD">
        <w:rPr>
          <w:rFonts w:eastAsia="MS Mincho"/>
        </w:rPr>
        <w:t xml:space="preserve"> </w:t>
      </w:r>
      <w:r w:rsidR="00180FBD" w:rsidRPr="00180FBD">
        <w:rPr>
          <w:rFonts w:eastAsia="MS Mincho"/>
        </w:rPr>
        <w:t xml:space="preserve">also </w:t>
      </w:r>
      <w:r w:rsidR="00516944">
        <w:rPr>
          <w:rFonts w:eastAsia="MS Mincho"/>
        </w:rPr>
        <w:t>liable to</w:t>
      </w:r>
      <w:r w:rsidR="00180FBD" w:rsidRPr="00180FBD">
        <w:rPr>
          <w:rFonts w:eastAsia="MS Mincho"/>
        </w:rPr>
        <w:t xml:space="preserve"> capital punishment.</w:t>
      </w:r>
      <w:r w:rsidR="0054130F" w:rsidRPr="00680816">
        <w:rPr>
          <w:rStyle w:val="FootnoteReference"/>
          <w:rFonts w:eastAsia="MS Mincho"/>
        </w:rPr>
        <w:footnoteReference w:id="34"/>
      </w:r>
      <w:r w:rsidR="00180FBD" w:rsidRPr="00180FBD">
        <w:rPr>
          <w:rFonts w:eastAsia="MS Mincho"/>
        </w:rPr>
        <w:t xml:space="preserve"> </w:t>
      </w:r>
    </w:p>
    <w:p w:rsidR="00180FBD" w:rsidRDefault="0078092C" w:rsidP="00934A11">
      <w:pPr>
        <w:pStyle w:val="SingleTxtG"/>
        <w:numPr>
          <w:ilvl w:val="0"/>
          <w:numId w:val="52"/>
        </w:numPr>
        <w:ind w:left="1134" w:firstLine="0"/>
        <w:rPr>
          <w:rFonts w:eastAsia="MS Mincho"/>
        </w:rPr>
      </w:pPr>
      <w:r>
        <w:rPr>
          <w:rFonts w:eastAsia="MS Mincho"/>
        </w:rPr>
        <w:t>In Malaysia,</w:t>
      </w:r>
      <w:r w:rsidR="00963D87" w:rsidRPr="00E23256">
        <w:rPr>
          <w:rFonts w:eastAsia="MS Mincho"/>
        </w:rPr>
        <w:t xml:space="preserve"> drug users are forcibly confined to rehabilitation camps</w:t>
      </w:r>
      <w:r w:rsidR="00C62007">
        <w:rPr>
          <w:rFonts w:eastAsia="MS Mincho"/>
        </w:rPr>
        <w:t>, known as Cure and Care Rehabilitation Centres,</w:t>
      </w:r>
      <w:r w:rsidR="00963D87" w:rsidRPr="00E23256">
        <w:rPr>
          <w:rFonts w:eastAsia="MS Mincho"/>
        </w:rPr>
        <w:t xml:space="preserve"> and receive treatment without their explicit and informed consent</w:t>
      </w:r>
      <w:r w:rsidR="00963D87">
        <w:rPr>
          <w:rFonts w:eastAsia="MS Mincho"/>
        </w:rPr>
        <w:t xml:space="preserve">. </w:t>
      </w:r>
      <w:r w:rsidR="00180FBD" w:rsidRPr="00180FBD">
        <w:rPr>
          <w:rFonts w:eastAsia="MS Mincho"/>
        </w:rPr>
        <w:t>The Drug Dependants (Treatment and Rehabilitation) Act established compulsory drug treatment centres, placed under the supervision of the Ministry of Home Affairs. Upon arrest, drug users undergo</w:t>
      </w:r>
      <w:r w:rsidR="00DF1743">
        <w:rPr>
          <w:rFonts w:eastAsia="MS Mincho"/>
        </w:rPr>
        <w:t xml:space="preserve"> </w:t>
      </w:r>
      <w:r w:rsidR="00180FBD" w:rsidRPr="00180FBD">
        <w:rPr>
          <w:rFonts w:eastAsia="MS Mincho"/>
        </w:rPr>
        <w:t>drug</w:t>
      </w:r>
      <w:r w:rsidR="00A8576C">
        <w:rPr>
          <w:rFonts w:eastAsia="MS Mincho"/>
        </w:rPr>
        <w:t>-</w:t>
      </w:r>
      <w:r w:rsidR="00180FBD" w:rsidRPr="00180FBD">
        <w:rPr>
          <w:rFonts w:eastAsia="MS Mincho"/>
        </w:rPr>
        <w:t xml:space="preserve">use testing. If the test is positive, the </w:t>
      </w:r>
      <w:r w:rsidR="00DF1743">
        <w:rPr>
          <w:rFonts w:eastAsia="MS Mincho"/>
        </w:rPr>
        <w:t xml:space="preserve">person using drugs </w:t>
      </w:r>
      <w:r w:rsidR="00180FBD" w:rsidRPr="00180FBD">
        <w:rPr>
          <w:rFonts w:eastAsia="MS Mincho"/>
        </w:rPr>
        <w:t xml:space="preserve">appears before a magistrate, who </w:t>
      </w:r>
      <w:r w:rsidR="00DF1743">
        <w:rPr>
          <w:rFonts w:eastAsia="MS Mincho"/>
        </w:rPr>
        <w:t xml:space="preserve">can </w:t>
      </w:r>
      <w:r w:rsidR="00180FBD" w:rsidRPr="00180FBD">
        <w:rPr>
          <w:rFonts w:eastAsia="MS Mincho"/>
        </w:rPr>
        <w:t>send the user to a drug treatment centre for a period of two years.</w:t>
      </w:r>
      <w:r w:rsidR="00453985">
        <w:rPr>
          <w:rFonts w:eastAsia="MS Mincho"/>
        </w:rPr>
        <w:t xml:space="preserve"> </w:t>
      </w:r>
      <w:r w:rsidR="00BC10FA">
        <w:rPr>
          <w:rFonts w:eastAsia="MS Mincho"/>
        </w:rPr>
        <w:t>In these centres, HIV testing is compulsory upon arrival</w:t>
      </w:r>
      <w:r w:rsidR="00BC10FA" w:rsidRPr="00BC10FA">
        <w:rPr>
          <w:rFonts w:eastAsia="MS Mincho"/>
        </w:rPr>
        <w:t xml:space="preserve"> </w:t>
      </w:r>
      <w:r w:rsidR="00BC10FA">
        <w:rPr>
          <w:rFonts w:eastAsia="MS Mincho"/>
        </w:rPr>
        <w:t xml:space="preserve">and treatment </w:t>
      </w:r>
      <w:r w:rsidR="003861A3">
        <w:rPr>
          <w:rFonts w:eastAsia="MS Mincho"/>
        </w:rPr>
        <w:t>is mostly</w:t>
      </w:r>
      <w:r w:rsidR="00BC10FA">
        <w:rPr>
          <w:rFonts w:eastAsia="MS Mincho"/>
        </w:rPr>
        <w:t xml:space="preserve"> abstinence-based</w:t>
      </w:r>
      <w:r w:rsidR="003861A3">
        <w:rPr>
          <w:rFonts w:eastAsia="MS Mincho"/>
        </w:rPr>
        <w:t>, although limited methadone maintenance and anti-retroviral treatments have been introduced</w:t>
      </w:r>
      <w:r w:rsidR="00A8576C">
        <w:rPr>
          <w:rFonts w:eastAsia="MS Mincho"/>
        </w:rPr>
        <w:t>.</w:t>
      </w:r>
      <w:r w:rsidR="00BC10FA">
        <w:rPr>
          <w:rFonts w:eastAsia="MS Mincho"/>
        </w:rPr>
        <w:t xml:space="preserve"> </w:t>
      </w:r>
      <w:r w:rsidR="00A8576C">
        <w:rPr>
          <w:rFonts w:eastAsia="MS Mincho"/>
        </w:rPr>
        <w:t>Treatment</w:t>
      </w:r>
      <w:r w:rsidR="00BC10FA">
        <w:rPr>
          <w:rFonts w:eastAsia="MS Mincho"/>
        </w:rPr>
        <w:t xml:space="preserve"> is still closely supervised by </w:t>
      </w:r>
      <w:r w:rsidR="003861A3">
        <w:rPr>
          <w:rFonts w:eastAsia="MS Mincho"/>
        </w:rPr>
        <w:t>staff, which includes</w:t>
      </w:r>
      <w:r w:rsidR="00BC10FA">
        <w:rPr>
          <w:rFonts w:eastAsia="MS Mincho"/>
        </w:rPr>
        <w:t xml:space="preserve"> military personnel and security officers</w:t>
      </w:r>
      <w:r w:rsidR="003861A3">
        <w:rPr>
          <w:rFonts w:eastAsia="MS Mincho"/>
        </w:rPr>
        <w:t>, with limited knowledge and skills in health</w:t>
      </w:r>
      <w:r w:rsidR="00BC10FA">
        <w:rPr>
          <w:rFonts w:eastAsia="MS Mincho"/>
        </w:rPr>
        <w:t>.</w:t>
      </w:r>
      <w:r w:rsidR="00BC10FA" w:rsidRPr="00680816">
        <w:rPr>
          <w:rStyle w:val="FootnoteReference"/>
          <w:rFonts w:eastAsia="MS Mincho"/>
        </w:rPr>
        <w:footnoteReference w:id="35"/>
      </w:r>
      <w:r w:rsidR="00BC10FA">
        <w:rPr>
          <w:rFonts w:eastAsia="MS Mincho"/>
        </w:rPr>
        <w:t xml:space="preserve"> </w:t>
      </w:r>
      <w:r w:rsidR="00C62007">
        <w:rPr>
          <w:rFonts w:eastAsia="MS Mincho"/>
        </w:rPr>
        <w:t>According to dat</w:t>
      </w:r>
      <w:r w:rsidR="00A8576C">
        <w:rPr>
          <w:rFonts w:eastAsia="MS Mincho"/>
        </w:rPr>
        <w:t>a</w:t>
      </w:r>
      <w:r w:rsidR="00A8576C" w:rsidRPr="00A8576C">
        <w:rPr>
          <w:rFonts w:eastAsia="MS Mincho"/>
        </w:rPr>
        <w:t xml:space="preserve"> </w:t>
      </w:r>
      <w:r w:rsidR="00A8576C">
        <w:rPr>
          <w:rFonts w:eastAsia="MS Mincho"/>
        </w:rPr>
        <w:t>available</w:t>
      </w:r>
      <w:r w:rsidR="00C62007">
        <w:rPr>
          <w:rFonts w:eastAsia="MS Mincho"/>
        </w:rPr>
        <w:t>,</w:t>
      </w:r>
      <w:r w:rsidR="00A8576C">
        <w:rPr>
          <w:rFonts w:eastAsia="MS Mincho"/>
        </w:rPr>
        <w:t xml:space="preserve"> the</w:t>
      </w:r>
      <w:r w:rsidR="00C62007">
        <w:rPr>
          <w:rFonts w:eastAsia="MS Mincho"/>
        </w:rPr>
        <w:t xml:space="preserve"> relapse rate of drug users held in compulsory detention centres</w:t>
      </w:r>
      <w:r w:rsidR="00BC10FA">
        <w:rPr>
          <w:rFonts w:eastAsia="MS Mincho"/>
        </w:rPr>
        <w:t xml:space="preserve"> </w:t>
      </w:r>
      <w:r w:rsidR="00C62007">
        <w:rPr>
          <w:rFonts w:eastAsia="MS Mincho"/>
        </w:rPr>
        <w:t>was up to 90</w:t>
      </w:r>
      <w:r w:rsidR="00A8576C">
        <w:rPr>
          <w:rFonts w:eastAsia="MS Mincho"/>
        </w:rPr>
        <w:t xml:space="preserve"> per cent</w:t>
      </w:r>
      <w:r w:rsidR="00C62007">
        <w:rPr>
          <w:rFonts w:eastAsia="MS Mincho"/>
        </w:rPr>
        <w:t>.</w:t>
      </w:r>
      <w:r w:rsidR="00C62007" w:rsidRPr="00680816">
        <w:rPr>
          <w:rStyle w:val="FootnoteReference"/>
          <w:rFonts w:eastAsia="MS Mincho"/>
        </w:rPr>
        <w:footnoteReference w:id="36"/>
      </w:r>
      <w:r w:rsidR="00BC10FA">
        <w:rPr>
          <w:rFonts w:eastAsia="MS Mincho"/>
        </w:rPr>
        <w:t xml:space="preserve"> </w:t>
      </w:r>
    </w:p>
    <w:p w:rsidR="001D3E5B" w:rsidRPr="00934A11" w:rsidRDefault="0078092C" w:rsidP="00934A11">
      <w:pPr>
        <w:pStyle w:val="SingleTxtG"/>
        <w:numPr>
          <w:ilvl w:val="0"/>
          <w:numId w:val="52"/>
        </w:numPr>
        <w:ind w:left="1134" w:firstLine="0"/>
      </w:pPr>
      <w:r w:rsidRPr="00713E79">
        <w:t>The Special Rapporteur would like to underline that t</w:t>
      </w:r>
      <w:r w:rsidR="00C55EE1" w:rsidRPr="00D56C15">
        <w:t>he right to health includes the right to be free from non-consensual medical treatment and requires the informed consent of all who possess legal capacity be obtained prior to the administration of medical treatment</w:t>
      </w:r>
      <w:r w:rsidR="00A8576C">
        <w:t xml:space="preserve"> (A/64/272)</w:t>
      </w:r>
      <w:r w:rsidR="00C55EE1" w:rsidRPr="00D56C15">
        <w:t>.</w:t>
      </w:r>
      <w:r w:rsidR="00453985" w:rsidRPr="00C930F1">
        <w:t xml:space="preserve"> </w:t>
      </w:r>
      <w:r w:rsidR="001D3E5B" w:rsidRPr="00713E79">
        <w:t xml:space="preserve">Punitive drug policy regulatory frameworks tend to </w:t>
      </w:r>
      <w:r w:rsidR="001D3E5B" w:rsidRPr="00D56C15">
        <w:rPr>
          <w:szCs w:val="24"/>
        </w:rPr>
        <w:t>result in more health-related harms than those they seek to prevent</w:t>
      </w:r>
      <w:r w:rsidR="00A8576C">
        <w:rPr>
          <w:szCs w:val="24"/>
        </w:rPr>
        <w:t xml:space="preserve"> (see </w:t>
      </w:r>
      <w:r w:rsidR="00A8576C" w:rsidRPr="00453985">
        <w:t>A/65/255</w:t>
      </w:r>
      <w:r w:rsidR="00A8576C">
        <w:rPr>
          <w:szCs w:val="24"/>
        </w:rPr>
        <w:t>)</w:t>
      </w:r>
      <w:r w:rsidR="001D3E5B" w:rsidRPr="00D56C15">
        <w:rPr>
          <w:szCs w:val="24"/>
        </w:rPr>
        <w:t>.</w:t>
      </w:r>
      <w:r w:rsidR="00453985" w:rsidRPr="00C930F1">
        <w:rPr>
          <w:szCs w:val="24"/>
        </w:rPr>
        <w:t xml:space="preserve"> </w:t>
      </w:r>
      <w:r w:rsidR="007F0EC6" w:rsidRPr="00713E79">
        <w:rPr>
          <w:szCs w:val="24"/>
        </w:rPr>
        <w:t>A</w:t>
      </w:r>
      <w:r w:rsidR="001D3E5B" w:rsidRPr="00713E79">
        <w:rPr>
          <w:szCs w:val="24"/>
        </w:rPr>
        <w:t xml:space="preserve"> human rights </w:t>
      </w:r>
      <w:r w:rsidR="007F0EC6" w:rsidRPr="00D56C15">
        <w:rPr>
          <w:szCs w:val="24"/>
        </w:rPr>
        <w:t>focus on</w:t>
      </w:r>
      <w:r w:rsidR="001D3E5B" w:rsidRPr="00D56C15">
        <w:rPr>
          <w:szCs w:val="24"/>
        </w:rPr>
        <w:t xml:space="preserve"> drug policy and control should </w:t>
      </w:r>
      <w:r w:rsidR="00A8576C">
        <w:rPr>
          <w:szCs w:val="24"/>
        </w:rPr>
        <w:t>place the</w:t>
      </w:r>
      <w:r w:rsidR="00A8576C" w:rsidRPr="00D56C15">
        <w:rPr>
          <w:szCs w:val="24"/>
        </w:rPr>
        <w:t xml:space="preserve"> </w:t>
      </w:r>
      <w:r w:rsidR="001D3E5B" w:rsidRPr="00D56C15">
        <w:rPr>
          <w:szCs w:val="24"/>
        </w:rPr>
        <w:t>emphasis on voluntary, medically</w:t>
      </w:r>
      <w:r w:rsidR="00A8576C">
        <w:rPr>
          <w:szCs w:val="24"/>
        </w:rPr>
        <w:t xml:space="preserve"> </w:t>
      </w:r>
      <w:r w:rsidR="001D3E5B" w:rsidRPr="00D56C15">
        <w:rPr>
          <w:szCs w:val="24"/>
        </w:rPr>
        <w:t>assisted and evidence</w:t>
      </w:r>
      <w:r w:rsidR="00A8576C">
        <w:rPr>
          <w:szCs w:val="24"/>
        </w:rPr>
        <w:t>-</w:t>
      </w:r>
      <w:r w:rsidR="001D3E5B" w:rsidRPr="00D56C15">
        <w:rPr>
          <w:szCs w:val="24"/>
        </w:rPr>
        <w:t>based approaches.</w:t>
      </w:r>
      <w:r w:rsidR="00C131EC" w:rsidRPr="00D56C15">
        <w:rPr>
          <w:szCs w:val="24"/>
        </w:rPr>
        <w:t xml:space="preserve"> </w:t>
      </w:r>
    </w:p>
    <w:p w:rsidR="00E23256" w:rsidRPr="00C131EC" w:rsidRDefault="00C131EC" w:rsidP="000031A1">
      <w:pPr>
        <w:pStyle w:val="H1G"/>
      </w:pPr>
      <w:r>
        <w:tab/>
        <w:t>F.</w:t>
      </w:r>
      <w:r>
        <w:tab/>
      </w:r>
      <w:r w:rsidR="00E23256" w:rsidRPr="00C131EC">
        <w:t>Children and the right to health</w:t>
      </w:r>
    </w:p>
    <w:p w:rsidR="00E23256" w:rsidRPr="00C131EC" w:rsidRDefault="000A12DB" w:rsidP="00934A11">
      <w:pPr>
        <w:pStyle w:val="SingleTxtG"/>
        <w:numPr>
          <w:ilvl w:val="0"/>
          <w:numId w:val="52"/>
        </w:numPr>
        <w:ind w:left="1134" w:firstLine="0"/>
        <w:rPr>
          <w:rFonts w:eastAsia="MS Mincho"/>
        </w:rPr>
      </w:pPr>
      <w:r>
        <w:rPr>
          <w:rFonts w:eastAsia="MS Mincho"/>
        </w:rPr>
        <w:t xml:space="preserve">The right to health of children has progressed significantly over the past few decades. </w:t>
      </w:r>
      <w:r w:rsidR="00E23256" w:rsidRPr="00E23256">
        <w:rPr>
          <w:rFonts w:eastAsia="MS Mincho"/>
        </w:rPr>
        <w:t>Malaysia has achieved good results in the area of right to life and survival, reaching and sustaining low rates of infant and children under-</w:t>
      </w:r>
      <w:r w:rsidR="00355B34">
        <w:rPr>
          <w:rFonts w:eastAsia="MS Mincho"/>
        </w:rPr>
        <w:t>5</w:t>
      </w:r>
      <w:r w:rsidR="00355B34" w:rsidRPr="00E23256">
        <w:rPr>
          <w:rFonts w:eastAsia="MS Mincho"/>
        </w:rPr>
        <w:t xml:space="preserve"> </w:t>
      </w:r>
      <w:r w:rsidR="00E23256" w:rsidRPr="00E23256">
        <w:rPr>
          <w:rFonts w:eastAsia="MS Mincho"/>
        </w:rPr>
        <w:t>mortality, and high coverage of child immunization program</w:t>
      </w:r>
      <w:r w:rsidR="00DB3532">
        <w:rPr>
          <w:rFonts w:eastAsia="MS Mincho"/>
        </w:rPr>
        <w:t>me</w:t>
      </w:r>
      <w:r w:rsidR="00E23256" w:rsidRPr="00E23256">
        <w:rPr>
          <w:rFonts w:eastAsia="MS Mincho"/>
        </w:rPr>
        <w:t xml:space="preserve">s. Recently, there have been effective efforts to </w:t>
      </w:r>
      <w:r w:rsidR="00E23256" w:rsidRPr="00E23256">
        <w:rPr>
          <w:rFonts w:eastAsia="MS Mincho"/>
        </w:rPr>
        <w:lastRenderedPageBreak/>
        <w:t xml:space="preserve">prevent non-communicable diseases from childhood, </w:t>
      </w:r>
      <w:r w:rsidR="00DB3532">
        <w:rPr>
          <w:rFonts w:eastAsia="MS Mincho"/>
        </w:rPr>
        <w:t xml:space="preserve">for example by </w:t>
      </w:r>
      <w:r w:rsidR="00E23256" w:rsidRPr="00E23256">
        <w:rPr>
          <w:rFonts w:eastAsia="MS Mincho"/>
        </w:rPr>
        <w:t xml:space="preserve">promoting healthy lifestyles </w:t>
      </w:r>
      <w:r w:rsidR="0078092C">
        <w:rPr>
          <w:rFonts w:eastAsia="MS Mincho"/>
        </w:rPr>
        <w:t xml:space="preserve">and </w:t>
      </w:r>
      <w:r w:rsidR="00E23256" w:rsidRPr="00E23256">
        <w:rPr>
          <w:rFonts w:eastAsia="MS Mincho"/>
        </w:rPr>
        <w:t>preventi</w:t>
      </w:r>
      <w:r w:rsidR="00DB3532">
        <w:rPr>
          <w:rFonts w:eastAsia="MS Mincho"/>
        </w:rPr>
        <w:t>ng</w:t>
      </w:r>
      <w:r w:rsidR="00E23256" w:rsidRPr="00E23256">
        <w:rPr>
          <w:rFonts w:eastAsia="MS Mincho"/>
        </w:rPr>
        <w:t xml:space="preserve"> under</w:t>
      </w:r>
      <w:r w:rsidR="00DB3532">
        <w:rPr>
          <w:rFonts w:eastAsia="MS Mincho"/>
        </w:rPr>
        <w:t>-</w:t>
      </w:r>
      <w:r w:rsidR="00E23256" w:rsidRPr="00E23256">
        <w:rPr>
          <w:rFonts w:eastAsia="MS Mincho"/>
        </w:rPr>
        <w:t xml:space="preserve">nutrition, as well as </w:t>
      </w:r>
      <w:r w:rsidR="00DB3532">
        <w:rPr>
          <w:rFonts w:eastAsia="MS Mincho"/>
        </w:rPr>
        <w:t>excess weight</w:t>
      </w:r>
      <w:r w:rsidR="00E23256" w:rsidRPr="00E23256">
        <w:rPr>
          <w:rFonts w:eastAsia="MS Mincho"/>
        </w:rPr>
        <w:t xml:space="preserve"> and obesity.</w:t>
      </w:r>
    </w:p>
    <w:p w:rsidR="00740DEB" w:rsidRDefault="000A12DB" w:rsidP="00934A11">
      <w:pPr>
        <w:pStyle w:val="SingleTxtG"/>
        <w:numPr>
          <w:ilvl w:val="0"/>
          <w:numId w:val="52"/>
        </w:numPr>
        <w:ind w:left="1134" w:firstLine="0"/>
        <w:rPr>
          <w:rFonts w:eastAsia="MS Mincho"/>
        </w:rPr>
      </w:pPr>
      <w:r>
        <w:rPr>
          <w:rFonts w:eastAsia="MS Mincho"/>
        </w:rPr>
        <w:t>Malaysia acceded to the Convention on the R</w:t>
      </w:r>
      <w:r w:rsidR="0078092C">
        <w:rPr>
          <w:rFonts w:eastAsia="MS Mincho"/>
        </w:rPr>
        <w:t xml:space="preserve">ights of the Child in 1995 but </w:t>
      </w:r>
      <w:r>
        <w:rPr>
          <w:rFonts w:eastAsia="MS Mincho"/>
        </w:rPr>
        <w:t>still maintains reservations to core articles of the Convention, including art</w:t>
      </w:r>
      <w:r w:rsidR="00BD796F">
        <w:rPr>
          <w:rFonts w:eastAsia="MS Mincho"/>
        </w:rPr>
        <w:t>icles </w:t>
      </w:r>
      <w:r>
        <w:rPr>
          <w:rFonts w:eastAsia="MS Mincho"/>
        </w:rPr>
        <w:t>2</w:t>
      </w:r>
      <w:r w:rsidR="00DC2495">
        <w:rPr>
          <w:rFonts w:eastAsia="MS Mincho"/>
        </w:rPr>
        <w:t>,</w:t>
      </w:r>
      <w:r>
        <w:rPr>
          <w:rFonts w:eastAsia="MS Mincho"/>
        </w:rPr>
        <w:t xml:space="preserve"> 7, </w:t>
      </w:r>
      <w:r w:rsidR="00DC2495">
        <w:rPr>
          <w:rFonts w:eastAsia="MS Mincho"/>
        </w:rPr>
        <w:t>1</w:t>
      </w:r>
      <w:r>
        <w:rPr>
          <w:rFonts w:eastAsia="MS Mincho"/>
        </w:rPr>
        <w:t>4, 28</w:t>
      </w:r>
      <w:r w:rsidR="00082855">
        <w:rPr>
          <w:rFonts w:eastAsia="MS Mincho"/>
        </w:rPr>
        <w:t xml:space="preserve"> </w:t>
      </w:r>
      <w:r>
        <w:rPr>
          <w:rFonts w:eastAsia="MS Mincho"/>
        </w:rPr>
        <w:t>(1)</w:t>
      </w:r>
      <w:r w:rsidR="00082855">
        <w:rPr>
          <w:rFonts w:eastAsia="MS Mincho"/>
        </w:rPr>
        <w:t xml:space="preserve"> </w:t>
      </w:r>
      <w:r>
        <w:rPr>
          <w:rFonts w:eastAsia="MS Mincho"/>
        </w:rPr>
        <w:t>(a)</w:t>
      </w:r>
      <w:r w:rsidR="00DC2495">
        <w:rPr>
          <w:rFonts w:eastAsia="MS Mincho"/>
        </w:rPr>
        <w:t xml:space="preserve"> and </w:t>
      </w:r>
      <w:r>
        <w:rPr>
          <w:rFonts w:eastAsia="MS Mincho"/>
        </w:rPr>
        <w:t>37.</w:t>
      </w:r>
      <w:r w:rsidR="00453985">
        <w:rPr>
          <w:rFonts w:eastAsia="MS Mincho"/>
        </w:rPr>
        <w:t xml:space="preserve"> </w:t>
      </w:r>
      <w:r>
        <w:rPr>
          <w:rFonts w:eastAsia="MS Mincho"/>
        </w:rPr>
        <w:t xml:space="preserve">As stated above, there remain inconsistencies in the definition of the child in national legislation, both civil and </w:t>
      </w:r>
      <w:r w:rsidR="00BB52E8">
        <w:rPr>
          <w:rFonts w:eastAsia="MS Mincho"/>
        </w:rPr>
        <w:t>s</w:t>
      </w:r>
      <w:r>
        <w:rPr>
          <w:rFonts w:eastAsia="MS Mincho"/>
        </w:rPr>
        <w:t>haria law.</w:t>
      </w:r>
      <w:r w:rsidR="00453985">
        <w:rPr>
          <w:rFonts w:eastAsia="MS Mincho"/>
        </w:rPr>
        <w:t xml:space="preserve"> </w:t>
      </w:r>
      <w:r w:rsidR="0078092C">
        <w:rPr>
          <w:rFonts w:eastAsia="MS Mincho"/>
        </w:rPr>
        <w:t>T</w:t>
      </w:r>
      <w:r w:rsidR="00740DEB">
        <w:rPr>
          <w:rFonts w:eastAsia="MS Mincho"/>
        </w:rPr>
        <w:t xml:space="preserve">he Child Act </w:t>
      </w:r>
      <w:r w:rsidR="0078092C">
        <w:rPr>
          <w:rFonts w:eastAsia="MS Mincho"/>
        </w:rPr>
        <w:t xml:space="preserve">was enacted </w:t>
      </w:r>
      <w:r w:rsidR="00740DEB">
        <w:rPr>
          <w:rFonts w:eastAsia="MS Mincho"/>
        </w:rPr>
        <w:t>in 2001 and the National Child Policy and the National Child Protection Policy</w:t>
      </w:r>
      <w:r w:rsidR="0013431F">
        <w:rPr>
          <w:rFonts w:eastAsia="MS Mincho"/>
        </w:rPr>
        <w:t>,</w:t>
      </w:r>
      <w:r w:rsidR="00740DEB">
        <w:rPr>
          <w:rFonts w:eastAsia="MS Mincho"/>
        </w:rPr>
        <w:t xml:space="preserve"> with its Action Plan</w:t>
      </w:r>
      <w:r w:rsidR="0013431F">
        <w:rPr>
          <w:rFonts w:eastAsia="MS Mincho"/>
        </w:rPr>
        <w:t>, were introduced</w:t>
      </w:r>
      <w:r w:rsidR="00BC4F31" w:rsidRPr="00BC4F31">
        <w:rPr>
          <w:rFonts w:eastAsia="MS Mincho"/>
        </w:rPr>
        <w:t xml:space="preserve"> </w:t>
      </w:r>
      <w:r w:rsidR="00BC4F31">
        <w:rPr>
          <w:rFonts w:eastAsia="MS Mincho"/>
        </w:rPr>
        <w:t>in 2009</w:t>
      </w:r>
      <w:r w:rsidR="00740DEB">
        <w:rPr>
          <w:rFonts w:eastAsia="MS Mincho"/>
        </w:rPr>
        <w:t>.</w:t>
      </w:r>
      <w:r w:rsidR="00453985">
        <w:rPr>
          <w:rFonts w:eastAsia="MS Mincho"/>
        </w:rPr>
        <w:t xml:space="preserve"> </w:t>
      </w:r>
    </w:p>
    <w:p w:rsidR="000A12DB" w:rsidRDefault="00875912" w:rsidP="00934A11">
      <w:pPr>
        <w:pStyle w:val="SingleTxtG"/>
        <w:numPr>
          <w:ilvl w:val="0"/>
          <w:numId w:val="52"/>
        </w:numPr>
        <w:ind w:left="1134" w:firstLine="0"/>
        <w:rPr>
          <w:rFonts w:eastAsia="MS Mincho"/>
        </w:rPr>
      </w:pPr>
      <w:r>
        <w:rPr>
          <w:rFonts w:eastAsia="MS Mincho"/>
        </w:rPr>
        <w:t>M</w:t>
      </w:r>
      <w:r w:rsidR="00E23256" w:rsidRPr="00E23256">
        <w:rPr>
          <w:rFonts w:eastAsia="MS Mincho"/>
        </w:rPr>
        <w:t xml:space="preserve">any recommendations </w:t>
      </w:r>
      <w:r w:rsidR="00740DEB">
        <w:rPr>
          <w:rFonts w:eastAsia="MS Mincho"/>
        </w:rPr>
        <w:t>made by</w:t>
      </w:r>
      <w:r w:rsidR="00E23256" w:rsidRPr="00E23256">
        <w:rPr>
          <w:rFonts w:eastAsia="MS Mincho"/>
        </w:rPr>
        <w:t xml:space="preserve"> the Commit</w:t>
      </w:r>
      <w:r>
        <w:rPr>
          <w:rFonts w:eastAsia="MS Mincho"/>
        </w:rPr>
        <w:t>tee on the Rights of the Child in 2007</w:t>
      </w:r>
      <w:r w:rsidR="00E23256" w:rsidRPr="00E23256">
        <w:rPr>
          <w:rFonts w:eastAsia="MS Mincho"/>
        </w:rPr>
        <w:t xml:space="preserve"> h</w:t>
      </w:r>
      <w:r>
        <w:rPr>
          <w:rFonts w:eastAsia="MS Mincho"/>
        </w:rPr>
        <w:t>ave not been properly addressed, and</w:t>
      </w:r>
      <w:r w:rsidR="00E23256" w:rsidRPr="00E23256">
        <w:rPr>
          <w:rFonts w:eastAsia="MS Mincho"/>
        </w:rPr>
        <w:t xml:space="preserve"> </w:t>
      </w:r>
      <w:r>
        <w:rPr>
          <w:rFonts w:eastAsia="MS Mincho"/>
        </w:rPr>
        <w:t>i</w:t>
      </w:r>
      <w:r w:rsidR="00740DEB">
        <w:rPr>
          <w:rFonts w:eastAsia="MS Mincho"/>
        </w:rPr>
        <w:t xml:space="preserve">mportant </w:t>
      </w:r>
      <w:r w:rsidR="0000489D">
        <w:rPr>
          <w:rFonts w:eastAsia="MS Mincho"/>
        </w:rPr>
        <w:t xml:space="preserve">challenges remain, mainly </w:t>
      </w:r>
      <w:r w:rsidR="0013431F">
        <w:rPr>
          <w:rFonts w:eastAsia="MS Mincho"/>
        </w:rPr>
        <w:t xml:space="preserve">concerning </w:t>
      </w:r>
      <w:r w:rsidR="00873369">
        <w:rPr>
          <w:rFonts w:eastAsia="MS Mincho"/>
        </w:rPr>
        <w:t xml:space="preserve">the girl child and children from </w:t>
      </w:r>
      <w:r w:rsidR="0000489D">
        <w:rPr>
          <w:rFonts w:eastAsia="MS Mincho"/>
        </w:rPr>
        <w:t>disadvantaged groups, including indigenous</w:t>
      </w:r>
      <w:r w:rsidR="00BB52E8">
        <w:rPr>
          <w:rFonts w:eastAsia="MS Mincho"/>
        </w:rPr>
        <w:t xml:space="preserve"> children</w:t>
      </w:r>
      <w:r w:rsidR="0000489D">
        <w:rPr>
          <w:rFonts w:eastAsia="MS Mincho"/>
        </w:rPr>
        <w:t>, children with disabilities, refugee and asylum-seek</w:t>
      </w:r>
      <w:r w:rsidR="00BB52E8">
        <w:rPr>
          <w:rFonts w:eastAsia="MS Mincho"/>
        </w:rPr>
        <w:t>ing children</w:t>
      </w:r>
      <w:r w:rsidR="0000489D">
        <w:rPr>
          <w:rFonts w:eastAsia="MS Mincho"/>
        </w:rPr>
        <w:t xml:space="preserve">, undocumented </w:t>
      </w:r>
      <w:r w:rsidR="00BB52E8">
        <w:rPr>
          <w:rFonts w:eastAsia="MS Mincho"/>
        </w:rPr>
        <w:t>migrant children</w:t>
      </w:r>
      <w:r w:rsidR="0000489D">
        <w:rPr>
          <w:rFonts w:eastAsia="MS Mincho"/>
        </w:rPr>
        <w:t xml:space="preserve"> and LGBT children. </w:t>
      </w:r>
    </w:p>
    <w:p w:rsidR="00E23256" w:rsidRDefault="0013431F" w:rsidP="00934A11">
      <w:pPr>
        <w:pStyle w:val="SingleTxtG"/>
        <w:numPr>
          <w:ilvl w:val="0"/>
          <w:numId w:val="52"/>
        </w:numPr>
        <w:ind w:left="1134" w:firstLine="0"/>
        <w:rPr>
          <w:rFonts w:eastAsia="MS Mincho"/>
        </w:rPr>
      </w:pPr>
      <w:r>
        <w:rPr>
          <w:rFonts w:eastAsia="MS Mincho"/>
        </w:rPr>
        <w:t>The</w:t>
      </w:r>
      <w:r w:rsidR="000A12DB">
        <w:rPr>
          <w:rFonts w:eastAsia="MS Mincho"/>
        </w:rPr>
        <w:t xml:space="preserve"> Special Rapporteur underlined </w:t>
      </w:r>
      <w:r w:rsidR="00E23256" w:rsidRPr="00E23256">
        <w:rPr>
          <w:rFonts w:eastAsia="MS Mincho"/>
        </w:rPr>
        <w:t>the lack of recognition of the right of children to holistic development</w:t>
      </w:r>
      <w:r w:rsidRPr="0013431F">
        <w:rPr>
          <w:rFonts w:eastAsia="MS Mincho"/>
        </w:rPr>
        <w:t xml:space="preserve"> </w:t>
      </w:r>
      <w:r w:rsidRPr="00E23256">
        <w:rPr>
          <w:rFonts w:eastAsia="MS Mincho"/>
        </w:rPr>
        <w:t>a</w:t>
      </w:r>
      <w:r>
        <w:rPr>
          <w:rFonts w:eastAsia="MS Mincho"/>
        </w:rPr>
        <w:t>s the main cross-cutting issue</w:t>
      </w:r>
      <w:r w:rsidR="00E23256" w:rsidRPr="00E23256">
        <w:rPr>
          <w:rFonts w:eastAsia="MS Mincho"/>
        </w:rPr>
        <w:t>.</w:t>
      </w:r>
      <w:r w:rsidR="00453985">
        <w:rPr>
          <w:rFonts w:eastAsia="MS Mincho"/>
        </w:rPr>
        <w:t xml:space="preserve"> </w:t>
      </w:r>
      <w:r w:rsidR="00E23256" w:rsidRPr="00E23256">
        <w:rPr>
          <w:rFonts w:eastAsia="MS Mincho"/>
        </w:rPr>
        <w:t>This</w:t>
      </w:r>
      <w:r w:rsidR="000A12DB">
        <w:rPr>
          <w:rFonts w:eastAsia="MS Mincho"/>
        </w:rPr>
        <w:t>, in his view,</w:t>
      </w:r>
      <w:r w:rsidR="00E23256" w:rsidRPr="00E23256">
        <w:rPr>
          <w:rFonts w:eastAsia="MS Mincho"/>
        </w:rPr>
        <w:t xml:space="preserve"> has led to the lack of sustainable </w:t>
      </w:r>
      <w:r w:rsidR="00E129B0">
        <w:rPr>
          <w:rFonts w:eastAsia="MS Mincho"/>
        </w:rPr>
        <w:t xml:space="preserve">policies and </w:t>
      </w:r>
      <w:r w:rsidR="00E23256" w:rsidRPr="00E23256">
        <w:rPr>
          <w:rFonts w:eastAsia="MS Mincho"/>
        </w:rPr>
        <w:t xml:space="preserve">measures to promote the emotional and social well-being of children, to protect them from all forms of violence, </w:t>
      </w:r>
      <w:r w:rsidR="0000489D">
        <w:rPr>
          <w:rFonts w:eastAsia="MS Mincho"/>
        </w:rPr>
        <w:t xml:space="preserve">including sexual violence, </w:t>
      </w:r>
      <w:r w:rsidR="00E23256" w:rsidRPr="00E23256">
        <w:rPr>
          <w:rFonts w:eastAsia="MS Mincho"/>
        </w:rPr>
        <w:t>and to enhance the ability of parents and teachers to raise and educate children using non-violent methods.</w:t>
      </w:r>
      <w:r w:rsidR="001B35C0">
        <w:rPr>
          <w:rFonts w:eastAsia="MS Mincho"/>
        </w:rPr>
        <w:t xml:space="preserve"> </w:t>
      </w:r>
    </w:p>
    <w:p w:rsidR="00720CC3" w:rsidRDefault="000A12DB" w:rsidP="00934A11">
      <w:pPr>
        <w:pStyle w:val="SingleTxtG"/>
        <w:numPr>
          <w:ilvl w:val="0"/>
          <w:numId w:val="52"/>
        </w:numPr>
        <w:ind w:left="1134" w:firstLine="0"/>
        <w:rPr>
          <w:rFonts w:eastAsia="MS Mincho"/>
        </w:rPr>
      </w:pPr>
      <w:r w:rsidRPr="00934A11">
        <w:t>The Special Rapporteur</w:t>
      </w:r>
      <w:r w:rsidR="00E23256" w:rsidRPr="00934A11">
        <w:t xml:space="preserve"> identified prevailing attitudes supporting punitive measures </w:t>
      </w:r>
      <w:r w:rsidR="002074F2">
        <w:t>for</w:t>
      </w:r>
      <w:r w:rsidR="002074F2" w:rsidRPr="00934A11">
        <w:t xml:space="preserve"> </w:t>
      </w:r>
      <w:r w:rsidR="00E23256" w:rsidRPr="00934A11">
        <w:t>children and the use of violence as a remedy</w:t>
      </w:r>
      <w:r w:rsidR="00873369" w:rsidRPr="00934A11">
        <w:t>, both in public and private settings</w:t>
      </w:r>
      <w:r w:rsidR="00E23256" w:rsidRPr="00934A11">
        <w:t>.</w:t>
      </w:r>
      <w:r w:rsidR="00453985" w:rsidRPr="00934A11">
        <w:t xml:space="preserve"> </w:t>
      </w:r>
      <w:r w:rsidR="00E23256" w:rsidRPr="00934A11">
        <w:t>This is</w:t>
      </w:r>
      <w:r w:rsidR="00E23256" w:rsidRPr="00E23256">
        <w:rPr>
          <w:rFonts w:eastAsia="MS Mincho"/>
        </w:rPr>
        <w:t xml:space="preserve"> reinforced by national and local authorities, for example through the use of corporal punishment in schools</w:t>
      </w:r>
      <w:r w:rsidR="0000489D">
        <w:rPr>
          <w:rFonts w:eastAsia="MS Mincho"/>
        </w:rPr>
        <w:t xml:space="preserve">, </w:t>
      </w:r>
      <w:r w:rsidR="00237A16">
        <w:rPr>
          <w:rFonts w:eastAsia="MS Mincho"/>
        </w:rPr>
        <w:t>often against LGBT</w:t>
      </w:r>
      <w:r w:rsidR="008E7D11">
        <w:rPr>
          <w:rFonts w:eastAsia="MS Mincho"/>
        </w:rPr>
        <w:t xml:space="preserve"> adolescents</w:t>
      </w:r>
      <w:r w:rsidR="00237A16">
        <w:rPr>
          <w:rFonts w:eastAsia="MS Mincho"/>
        </w:rPr>
        <w:t xml:space="preserve">, </w:t>
      </w:r>
      <w:r w:rsidR="0000489D">
        <w:rPr>
          <w:rFonts w:eastAsia="MS Mincho"/>
        </w:rPr>
        <w:t>which goes against the universal prohibition of torture and ill-treatment</w:t>
      </w:r>
      <w:r w:rsidR="00E23256" w:rsidRPr="00E23256">
        <w:rPr>
          <w:rFonts w:eastAsia="MS Mincho"/>
        </w:rPr>
        <w:t>.</w:t>
      </w:r>
      <w:r w:rsidR="00453985">
        <w:rPr>
          <w:rFonts w:eastAsia="MS Mincho"/>
        </w:rPr>
        <w:t xml:space="preserve"> </w:t>
      </w:r>
      <w:r w:rsidR="0000489D">
        <w:rPr>
          <w:rFonts w:eastAsia="MS Mincho"/>
        </w:rPr>
        <w:t>He</w:t>
      </w:r>
      <w:r w:rsidR="00E23256" w:rsidRPr="00E23256">
        <w:rPr>
          <w:rFonts w:eastAsia="MS Mincho"/>
        </w:rPr>
        <w:t xml:space="preserve"> see</w:t>
      </w:r>
      <w:r w:rsidR="0000489D">
        <w:rPr>
          <w:rFonts w:eastAsia="MS Mincho"/>
        </w:rPr>
        <w:t>s</w:t>
      </w:r>
      <w:r w:rsidR="00E23256" w:rsidRPr="00E23256">
        <w:rPr>
          <w:rFonts w:eastAsia="MS Mincho"/>
        </w:rPr>
        <w:t xml:space="preserve"> this as a serious systemic issue with a detrimental impact on societ</w:t>
      </w:r>
      <w:r w:rsidR="00CC0CE4">
        <w:rPr>
          <w:rFonts w:eastAsia="MS Mincho"/>
        </w:rPr>
        <w:t>y’s</w:t>
      </w:r>
      <w:r w:rsidR="00E23256" w:rsidRPr="00E23256">
        <w:rPr>
          <w:rFonts w:eastAsia="MS Mincho"/>
        </w:rPr>
        <w:t xml:space="preserve"> physical and mental health and well-being, ranging from child-rearing practices to public decision-making when addressing social problems.</w:t>
      </w:r>
    </w:p>
    <w:p w:rsidR="00E23256" w:rsidRPr="00775198" w:rsidRDefault="00720CC3" w:rsidP="00934A11">
      <w:pPr>
        <w:pStyle w:val="SingleTxtG"/>
        <w:numPr>
          <w:ilvl w:val="0"/>
          <w:numId w:val="52"/>
        </w:numPr>
        <w:ind w:left="1134" w:firstLine="0"/>
        <w:rPr>
          <w:rFonts w:eastAsia="MS Mincho"/>
        </w:rPr>
      </w:pPr>
      <w:r>
        <w:rPr>
          <w:rFonts w:eastAsia="MS Mincho"/>
        </w:rPr>
        <w:t>The Special Rapporteur raised the issue of bullying in schools and its detrimental impact on the right to health of children, including mental health.</w:t>
      </w:r>
      <w:r w:rsidR="00453985">
        <w:rPr>
          <w:rFonts w:eastAsia="MS Mincho"/>
        </w:rPr>
        <w:t xml:space="preserve"> </w:t>
      </w:r>
      <w:r>
        <w:rPr>
          <w:rFonts w:eastAsia="MS Mincho"/>
        </w:rPr>
        <w:t>He was encouraged by the reaction of the authorities</w:t>
      </w:r>
      <w:r w:rsidR="00CC0CE4">
        <w:rPr>
          <w:rFonts w:eastAsia="MS Mincho"/>
        </w:rPr>
        <w:t>,</w:t>
      </w:r>
      <w:r>
        <w:rPr>
          <w:rFonts w:eastAsia="MS Mincho"/>
        </w:rPr>
        <w:t xml:space="preserve"> acknowledging the problem and underlining their commitme</w:t>
      </w:r>
      <w:r w:rsidR="00AD217D">
        <w:rPr>
          <w:rFonts w:eastAsia="MS Mincho"/>
        </w:rPr>
        <w:t>nt to address its root causes.</w:t>
      </w:r>
      <w:r w:rsidR="00453985">
        <w:rPr>
          <w:rFonts w:eastAsia="MS Mincho"/>
        </w:rPr>
        <w:t xml:space="preserve"> </w:t>
      </w:r>
      <w:r>
        <w:rPr>
          <w:rFonts w:eastAsia="MS Mincho"/>
        </w:rPr>
        <w:t>Howev</w:t>
      </w:r>
      <w:r w:rsidR="00474078">
        <w:rPr>
          <w:rFonts w:eastAsia="MS Mincho"/>
        </w:rPr>
        <w:t>er, he regrets the absence of</w:t>
      </w:r>
      <w:r w:rsidR="00474078" w:rsidRPr="00474078">
        <w:rPr>
          <w:rFonts w:eastAsia="MS Mincho"/>
        </w:rPr>
        <w:t xml:space="preserve"> </w:t>
      </w:r>
      <w:r w:rsidR="00E23256" w:rsidRPr="00775198">
        <w:rPr>
          <w:rFonts w:eastAsia="MS Mincho"/>
        </w:rPr>
        <w:t xml:space="preserve">modern whole-school approaches </w:t>
      </w:r>
      <w:r w:rsidR="00CC0CE4">
        <w:rPr>
          <w:rFonts w:eastAsia="MS Mincho"/>
        </w:rPr>
        <w:t>that</w:t>
      </w:r>
      <w:r w:rsidR="00CC0CE4" w:rsidRPr="00775198">
        <w:rPr>
          <w:rFonts w:eastAsia="MS Mincho"/>
        </w:rPr>
        <w:t xml:space="preserve"> </w:t>
      </w:r>
      <w:r w:rsidR="00AD217D" w:rsidRPr="00775198">
        <w:rPr>
          <w:rFonts w:eastAsia="MS Mincho"/>
        </w:rPr>
        <w:t xml:space="preserve">advocate, </w:t>
      </w:r>
      <w:r w:rsidR="00CC0CE4">
        <w:rPr>
          <w:rFonts w:eastAsia="MS Mincho"/>
        </w:rPr>
        <w:t>by</w:t>
      </w:r>
      <w:r w:rsidR="00CC0CE4" w:rsidRPr="00775198">
        <w:rPr>
          <w:rFonts w:eastAsia="MS Mincho"/>
        </w:rPr>
        <w:t xml:space="preserve"> </w:t>
      </w:r>
      <w:r w:rsidR="00E23256" w:rsidRPr="00775198">
        <w:rPr>
          <w:rFonts w:eastAsia="MS Mincho"/>
        </w:rPr>
        <w:t>educating school communities</w:t>
      </w:r>
      <w:r w:rsidR="00AD217D" w:rsidRPr="00775198">
        <w:rPr>
          <w:rFonts w:eastAsia="MS Mincho"/>
        </w:rPr>
        <w:t>,</w:t>
      </w:r>
      <w:r w:rsidR="00E23256" w:rsidRPr="00775198">
        <w:rPr>
          <w:rFonts w:eastAsia="MS Mincho"/>
        </w:rPr>
        <w:t xml:space="preserve"> </w:t>
      </w:r>
      <w:r w:rsidR="00AD217D" w:rsidRPr="00775198">
        <w:rPr>
          <w:rFonts w:eastAsia="MS Mincho"/>
        </w:rPr>
        <w:t xml:space="preserve">zero tolerance </w:t>
      </w:r>
      <w:r w:rsidR="00CC0CE4">
        <w:rPr>
          <w:rFonts w:eastAsia="MS Mincho"/>
        </w:rPr>
        <w:t>of</w:t>
      </w:r>
      <w:r w:rsidR="00CC0CE4" w:rsidRPr="00775198">
        <w:rPr>
          <w:rFonts w:eastAsia="MS Mincho"/>
        </w:rPr>
        <w:t xml:space="preserve"> </w:t>
      </w:r>
      <w:r w:rsidR="00E23256" w:rsidRPr="00775198">
        <w:rPr>
          <w:rFonts w:eastAsia="MS Mincho"/>
        </w:rPr>
        <w:t>any form of violence.</w:t>
      </w:r>
      <w:r w:rsidR="00453985">
        <w:rPr>
          <w:rFonts w:eastAsia="MS Mincho"/>
        </w:rPr>
        <w:t xml:space="preserve"> </w:t>
      </w:r>
      <w:r w:rsidR="00E23256" w:rsidRPr="00775198">
        <w:rPr>
          <w:rFonts w:eastAsia="MS Mincho"/>
        </w:rPr>
        <w:t xml:space="preserve">Instead, </w:t>
      </w:r>
      <w:r w:rsidR="00474078" w:rsidRPr="00775198">
        <w:rPr>
          <w:rFonts w:eastAsia="MS Mincho"/>
        </w:rPr>
        <w:t xml:space="preserve">he </w:t>
      </w:r>
      <w:r w:rsidR="00775198" w:rsidRPr="00775198">
        <w:rPr>
          <w:rFonts w:eastAsia="MS Mincho"/>
        </w:rPr>
        <w:t>had access to</w:t>
      </w:r>
      <w:r w:rsidR="00E23256" w:rsidRPr="00775198">
        <w:rPr>
          <w:rFonts w:eastAsia="MS Mincho"/>
        </w:rPr>
        <w:t xml:space="preserve"> </w:t>
      </w:r>
      <w:r w:rsidR="000151D4" w:rsidRPr="00775198">
        <w:rPr>
          <w:rFonts w:eastAsia="MS Mincho"/>
        </w:rPr>
        <w:t>information</w:t>
      </w:r>
      <w:r w:rsidR="00775198" w:rsidRPr="00775198">
        <w:rPr>
          <w:rFonts w:eastAsia="MS Mincho"/>
        </w:rPr>
        <w:t xml:space="preserve"> </w:t>
      </w:r>
      <w:r w:rsidR="00474078" w:rsidRPr="00775198">
        <w:rPr>
          <w:rFonts w:eastAsia="MS Mincho"/>
        </w:rPr>
        <w:t xml:space="preserve">indicating that the approach </w:t>
      </w:r>
      <w:r w:rsidR="00775198" w:rsidRPr="00775198">
        <w:rPr>
          <w:rFonts w:eastAsia="MS Mincho"/>
        </w:rPr>
        <w:t>is</w:t>
      </w:r>
      <w:r w:rsidR="00474078" w:rsidRPr="00775198">
        <w:rPr>
          <w:rFonts w:eastAsia="MS Mincho"/>
        </w:rPr>
        <w:t>, once again, of a punitive nature</w:t>
      </w:r>
      <w:r w:rsidR="00CC0CE4">
        <w:rPr>
          <w:rFonts w:eastAsia="MS Mincho"/>
        </w:rPr>
        <w:t>,</w:t>
      </w:r>
      <w:r w:rsidR="00474078" w:rsidRPr="00775198">
        <w:rPr>
          <w:rFonts w:eastAsia="MS Mincho"/>
        </w:rPr>
        <w:t xml:space="preserve"> </w:t>
      </w:r>
      <w:r w:rsidR="00775198" w:rsidRPr="00775198">
        <w:rPr>
          <w:rFonts w:eastAsia="MS Mincho"/>
        </w:rPr>
        <w:t xml:space="preserve">offering schools the option </w:t>
      </w:r>
      <w:r w:rsidR="00CC0CE4">
        <w:rPr>
          <w:rFonts w:eastAsia="MS Mincho"/>
        </w:rPr>
        <w:t>of</w:t>
      </w:r>
      <w:r w:rsidR="00CC0CE4" w:rsidRPr="00775198">
        <w:rPr>
          <w:rFonts w:eastAsia="MS Mincho"/>
        </w:rPr>
        <w:t xml:space="preserve"> </w:t>
      </w:r>
      <w:r w:rsidR="00775198" w:rsidRPr="00775198">
        <w:rPr>
          <w:rFonts w:eastAsia="MS Mincho"/>
        </w:rPr>
        <w:t>invit</w:t>
      </w:r>
      <w:r w:rsidR="00CC0CE4">
        <w:rPr>
          <w:rFonts w:eastAsia="MS Mincho"/>
        </w:rPr>
        <w:t>ing</w:t>
      </w:r>
      <w:r w:rsidR="00775198" w:rsidRPr="00775198">
        <w:rPr>
          <w:rFonts w:eastAsia="MS Mincho"/>
        </w:rPr>
        <w:t xml:space="preserve"> the police to station auxiliary personnel to tackle the issue.</w:t>
      </w:r>
      <w:r w:rsidR="00775198" w:rsidRPr="00680816">
        <w:rPr>
          <w:rStyle w:val="FootnoteReference"/>
          <w:rFonts w:eastAsia="MS Mincho"/>
        </w:rPr>
        <w:footnoteReference w:id="37"/>
      </w:r>
      <w:r w:rsidR="00453985">
        <w:rPr>
          <w:rFonts w:eastAsia="MS Mincho"/>
        </w:rPr>
        <w:t xml:space="preserve"> </w:t>
      </w:r>
      <w:r w:rsidR="00775198" w:rsidRPr="00775198">
        <w:rPr>
          <w:rFonts w:eastAsia="MS Mincho"/>
        </w:rPr>
        <w:t xml:space="preserve">The Special Rapporteur </w:t>
      </w:r>
      <w:r w:rsidR="00775198">
        <w:rPr>
          <w:rFonts w:eastAsia="MS Mincho"/>
        </w:rPr>
        <w:t>urges the authorities to reconsider</w:t>
      </w:r>
      <w:r w:rsidR="00775198" w:rsidRPr="00775198">
        <w:rPr>
          <w:rFonts w:eastAsia="MS Mincho"/>
        </w:rPr>
        <w:t xml:space="preserve"> this </w:t>
      </w:r>
      <w:r w:rsidR="00775198">
        <w:rPr>
          <w:rFonts w:eastAsia="MS Mincho"/>
        </w:rPr>
        <w:t>initiative</w:t>
      </w:r>
      <w:r w:rsidR="00CC0CE4">
        <w:rPr>
          <w:rFonts w:eastAsia="MS Mincho"/>
        </w:rPr>
        <w:t>,</w:t>
      </w:r>
      <w:r w:rsidR="00775198" w:rsidRPr="00775198">
        <w:rPr>
          <w:rFonts w:eastAsia="MS Mincho"/>
        </w:rPr>
        <w:t xml:space="preserve"> </w:t>
      </w:r>
      <w:r w:rsidR="00627B60">
        <w:rPr>
          <w:rFonts w:eastAsia="MS Mincho"/>
        </w:rPr>
        <w:t xml:space="preserve">as it </w:t>
      </w:r>
      <w:r w:rsidR="00E457A4">
        <w:rPr>
          <w:rFonts w:eastAsia="MS Mincho"/>
        </w:rPr>
        <w:t xml:space="preserve">will </w:t>
      </w:r>
      <w:r w:rsidR="005F7C58">
        <w:rPr>
          <w:rFonts w:eastAsia="MS Mincho"/>
        </w:rPr>
        <w:t>undermine the role of school</w:t>
      </w:r>
      <w:r w:rsidR="004A5BF1">
        <w:rPr>
          <w:rFonts w:eastAsia="MS Mincho"/>
        </w:rPr>
        <w:t>s</w:t>
      </w:r>
      <w:r w:rsidR="005F7C58">
        <w:rPr>
          <w:rFonts w:eastAsia="MS Mincho"/>
        </w:rPr>
        <w:t xml:space="preserve"> as educational institution</w:t>
      </w:r>
      <w:r w:rsidR="004A5BF1">
        <w:rPr>
          <w:rFonts w:eastAsia="MS Mincho"/>
        </w:rPr>
        <w:t>s</w:t>
      </w:r>
      <w:r w:rsidR="005F7C58">
        <w:rPr>
          <w:rFonts w:eastAsia="MS Mincho"/>
        </w:rPr>
        <w:t xml:space="preserve"> and will </w:t>
      </w:r>
      <w:r w:rsidR="00E457A4">
        <w:rPr>
          <w:rFonts w:eastAsia="MS Mincho"/>
        </w:rPr>
        <w:t xml:space="preserve">contribute to </w:t>
      </w:r>
      <w:r w:rsidR="00E457A4" w:rsidRPr="00E457A4">
        <w:rPr>
          <w:rFonts w:eastAsia="MS Mincho"/>
        </w:rPr>
        <w:t>perpetuat</w:t>
      </w:r>
      <w:r w:rsidR="00CC0CE4">
        <w:rPr>
          <w:rFonts w:eastAsia="MS Mincho"/>
        </w:rPr>
        <w:t>ing</w:t>
      </w:r>
      <w:r w:rsidR="00775198" w:rsidRPr="00E457A4">
        <w:rPr>
          <w:rFonts w:eastAsia="MS Mincho"/>
        </w:rPr>
        <w:t xml:space="preserve"> punitive approaches </w:t>
      </w:r>
      <w:r w:rsidR="00523475">
        <w:rPr>
          <w:rFonts w:eastAsia="MS Mincho"/>
        </w:rPr>
        <w:t>that</w:t>
      </w:r>
      <w:r w:rsidR="00523475" w:rsidRPr="00E457A4">
        <w:rPr>
          <w:rFonts w:eastAsia="MS Mincho"/>
        </w:rPr>
        <w:t xml:space="preserve"> </w:t>
      </w:r>
      <w:r w:rsidR="00390016" w:rsidRPr="00E457A4">
        <w:rPr>
          <w:rFonts w:eastAsia="MS Mincho"/>
        </w:rPr>
        <w:t>do not</w:t>
      </w:r>
      <w:r w:rsidR="001B35C0">
        <w:rPr>
          <w:rFonts w:eastAsia="MS Mincho"/>
        </w:rPr>
        <w:t xml:space="preserve"> </w:t>
      </w:r>
      <w:r w:rsidR="00390016" w:rsidRPr="00E457A4">
        <w:rPr>
          <w:rFonts w:eastAsia="MS Mincho"/>
        </w:rPr>
        <w:t>foster the emotional and social well-being of children in society.</w:t>
      </w:r>
    </w:p>
    <w:p w:rsidR="00E23256" w:rsidRPr="00453985" w:rsidRDefault="00453985" w:rsidP="000031A1">
      <w:pPr>
        <w:pStyle w:val="H1G"/>
      </w:pPr>
      <w:r>
        <w:tab/>
        <w:t>G.</w:t>
      </w:r>
      <w:r>
        <w:tab/>
      </w:r>
      <w:r w:rsidR="005A04E3" w:rsidRPr="00453985">
        <w:t>Persons</w:t>
      </w:r>
      <w:r w:rsidR="00FD1A69">
        <w:t xml:space="preserve"> </w:t>
      </w:r>
      <w:r w:rsidR="000151D4" w:rsidRPr="00453985">
        <w:t xml:space="preserve">with </w:t>
      </w:r>
      <w:r w:rsidR="005A04E3" w:rsidRPr="00453985">
        <w:t xml:space="preserve">developmental </w:t>
      </w:r>
      <w:r w:rsidR="00B46405">
        <w:t xml:space="preserve">and psychosocial </w:t>
      </w:r>
      <w:r w:rsidR="000151D4" w:rsidRPr="00453985">
        <w:t>disabilities</w:t>
      </w:r>
    </w:p>
    <w:p w:rsidR="0047231E" w:rsidRPr="00E23256" w:rsidRDefault="005A04E3" w:rsidP="00934A11">
      <w:pPr>
        <w:pStyle w:val="SingleTxtG"/>
        <w:numPr>
          <w:ilvl w:val="0"/>
          <w:numId w:val="52"/>
        </w:numPr>
        <w:ind w:left="1134" w:firstLine="0"/>
        <w:rPr>
          <w:rFonts w:eastAsia="MS Mincho"/>
        </w:rPr>
      </w:pPr>
      <w:r>
        <w:rPr>
          <w:rFonts w:eastAsia="MS Mincho"/>
        </w:rPr>
        <w:t>During the visit, the Special Rapporteur learned about</w:t>
      </w:r>
      <w:r w:rsidR="00E23256" w:rsidRPr="00E23256">
        <w:rPr>
          <w:rFonts w:eastAsia="MS Mincho"/>
        </w:rPr>
        <w:t xml:space="preserve"> important positive initiatives implemented regarding community</w:t>
      </w:r>
      <w:r w:rsidR="00CC0CE4">
        <w:rPr>
          <w:rFonts w:eastAsia="MS Mincho"/>
        </w:rPr>
        <w:t>-</w:t>
      </w:r>
      <w:r w:rsidR="00E23256" w:rsidRPr="00E23256">
        <w:rPr>
          <w:rFonts w:eastAsia="MS Mincho"/>
        </w:rPr>
        <w:t xml:space="preserve">based </w:t>
      </w:r>
      <w:r>
        <w:rPr>
          <w:rFonts w:eastAsia="MS Mincho"/>
        </w:rPr>
        <w:t xml:space="preserve">services </w:t>
      </w:r>
      <w:r w:rsidR="00C24CE4">
        <w:rPr>
          <w:rFonts w:eastAsia="MS Mincho"/>
        </w:rPr>
        <w:t>for</w:t>
      </w:r>
      <w:r w:rsidR="00E23256" w:rsidRPr="00E23256">
        <w:rPr>
          <w:rFonts w:eastAsia="MS Mincho"/>
        </w:rPr>
        <w:t xml:space="preserve"> persons with </w:t>
      </w:r>
      <w:r w:rsidR="00B46405">
        <w:rPr>
          <w:rFonts w:eastAsia="MS Mincho"/>
        </w:rPr>
        <w:t>psychosocial</w:t>
      </w:r>
      <w:r w:rsidR="001B35C0">
        <w:rPr>
          <w:rFonts w:eastAsia="MS Mincho"/>
        </w:rPr>
        <w:t xml:space="preserve"> </w:t>
      </w:r>
      <w:r w:rsidR="00E23256" w:rsidRPr="00E23256">
        <w:rPr>
          <w:rFonts w:eastAsia="MS Mincho"/>
        </w:rPr>
        <w:t xml:space="preserve">disabilities and the integration of psychiatric inpatient units in general </w:t>
      </w:r>
      <w:r>
        <w:rPr>
          <w:rFonts w:eastAsia="MS Mincho"/>
        </w:rPr>
        <w:t xml:space="preserve">public </w:t>
      </w:r>
      <w:r w:rsidR="00E23256" w:rsidRPr="00E23256">
        <w:rPr>
          <w:rFonts w:eastAsia="MS Mincho"/>
        </w:rPr>
        <w:t xml:space="preserve">hospitals. </w:t>
      </w:r>
      <w:r>
        <w:rPr>
          <w:rFonts w:eastAsia="MS Mincho"/>
        </w:rPr>
        <w:t>He visited a mental health community centre in Putra</w:t>
      </w:r>
      <w:r w:rsidR="00F516BD">
        <w:rPr>
          <w:rFonts w:eastAsia="MS Mincho"/>
        </w:rPr>
        <w:t>j</w:t>
      </w:r>
      <w:r>
        <w:rPr>
          <w:rFonts w:eastAsia="MS Mincho"/>
        </w:rPr>
        <w:t>a</w:t>
      </w:r>
      <w:r w:rsidR="00F516BD">
        <w:rPr>
          <w:rFonts w:eastAsia="MS Mincho"/>
        </w:rPr>
        <w:t>y</w:t>
      </w:r>
      <w:r>
        <w:rPr>
          <w:rFonts w:eastAsia="MS Mincho"/>
        </w:rPr>
        <w:t>a and was impressed by the approach and the level of the health professionals</w:t>
      </w:r>
      <w:r w:rsidR="002C2E66">
        <w:rPr>
          <w:rFonts w:eastAsia="MS Mincho"/>
        </w:rPr>
        <w:t xml:space="preserve"> with whom</w:t>
      </w:r>
      <w:r>
        <w:rPr>
          <w:rFonts w:eastAsia="MS Mincho"/>
        </w:rPr>
        <w:t xml:space="preserve"> he met.</w:t>
      </w:r>
    </w:p>
    <w:p w:rsidR="00DC2495" w:rsidRDefault="00E23256" w:rsidP="00934A11">
      <w:pPr>
        <w:pStyle w:val="SingleTxtG"/>
        <w:numPr>
          <w:ilvl w:val="0"/>
          <w:numId w:val="52"/>
        </w:numPr>
        <w:ind w:left="1134" w:firstLine="0"/>
        <w:rPr>
          <w:rFonts w:eastAsia="MS Mincho"/>
        </w:rPr>
      </w:pPr>
      <w:r w:rsidRPr="00E23256">
        <w:rPr>
          <w:rFonts w:eastAsia="MS Mincho"/>
        </w:rPr>
        <w:lastRenderedPageBreak/>
        <w:t xml:space="preserve">However, </w:t>
      </w:r>
      <w:r w:rsidR="00C24CE4">
        <w:rPr>
          <w:rFonts w:eastAsia="MS Mincho"/>
        </w:rPr>
        <w:t>there is still a</w:t>
      </w:r>
      <w:r w:rsidRPr="00E23256">
        <w:rPr>
          <w:rFonts w:eastAsia="MS Mincho"/>
        </w:rPr>
        <w:t xml:space="preserve"> long way to </w:t>
      </w:r>
      <w:r w:rsidR="00AD79C3">
        <w:rPr>
          <w:rFonts w:eastAsia="MS Mincho"/>
        </w:rPr>
        <w:t xml:space="preserve">go </w:t>
      </w:r>
      <w:r w:rsidRPr="00E23256">
        <w:rPr>
          <w:rFonts w:eastAsia="MS Mincho"/>
        </w:rPr>
        <w:t xml:space="preserve">in order to achieve the full realization of rights of children and adults with developmental and </w:t>
      </w:r>
      <w:r w:rsidR="00B46405">
        <w:rPr>
          <w:rFonts w:eastAsia="MS Mincho"/>
        </w:rPr>
        <w:t xml:space="preserve">psychosocial </w:t>
      </w:r>
      <w:r w:rsidRPr="00E23256">
        <w:rPr>
          <w:rFonts w:eastAsia="MS Mincho"/>
        </w:rPr>
        <w:t>disabilities</w:t>
      </w:r>
      <w:r w:rsidR="00C24CE4">
        <w:rPr>
          <w:rFonts w:eastAsia="MS Mincho"/>
        </w:rPr>
        <w:t xml:space="preserve"> in the country</w:t>
      </w:r>
      <w:r w:rsidRPr="00E23256">
        <w:rPr>
          <w:rFonts w:eastAsia="MS Mincho"/>
        </w:rPr>
        <w:t>.</w:t>
      </w:r>
      <w:r w:rsidR="00453985">
        <w:rPr>
          <w:rFonts w:eastAsia="MS Mincho"/>
        </w:rPr>
        <w:t xml:space="preserve"> </w:t>
      </w:r>
      <w:r w:rsidR="00DC2495" w:rsidRPr="00E23256">
        <w:rPr>
          <w:rFonts w:eastAsia="MS Mincho"/>
        </w:rPr>
        <w:t xml:space="preserve">Although Malaysia ratified the Convention on the Rights of Persons with Disabilities in 2010, and </w:t>
      </w:r>
      <w:r w:rsidR="002C2E66">
        <w:rPr>
          <w:rFonts w:eastAsia="MS Mincho"/>
        </w:rPr>
        <w:t>the</w:t>
      </w:r>
      <w:r w:rsidR="00DC2495" w:rsidRPr="00E23256">
        <w:rPr>
          <w:rFonts w:eastAsia="MS Mincho"/>
        </w:rPr>
        <w:t xml:space="preserve"> Mental Health Act</w:t>
      </w:r>
      <w:r w:rsidR="002C2E66">
        <w:rPr>
          <w:rFonts w:eastAsia="MS Mincho"/>
        </w:rPr>
        <w:t xml:space="preserve"> was adopted in</w:t>
      </w:r>
      <w:r w:rsidR="00DC2495" w:rsidRPr="00E23256">
        <w:rPr>
          <w:rFonts w:eastAsia="MS Mincho"/>
        </w:rPr>
        <w:t xml:space="preserve"> 2008, </w:t>
      </w:r>
      <w:r w:rsidR="00DC2495">
        <w:rPr>
          <w:rFonts w:eastAsia="MS Mincho"/>
        </w:rPr>
        <w:t xml:space="preserve">the Special Rapporteur was concerned </w:t>
      </w:r>
      <w:r w:rsidR="00DC2495" w:rsidRPr="00E23256">
        <w:rPr>
          <w:rFonts w:eastAsia="MS Mincho"/>
        </w:rPr>
        <w:t xml:space="preserve">that certain public policies and services are not in </w:t>
      </w:r>
      <w:r w:rsidR="002C2E66">
        <w:rPr>
          <w:rFonts w:eastAsia="MS Mincho"/>
        </w:rPr>
        <w:t>accordance</w:t>
      </w:r>
      <w:r w:rsidR="002C2E66" w:rsidRPr="00E23256">
        <w:rPr>
          <w:rFonts w:eastAsia="MS Mincho"/>
        </w:rPr>
        <w:t xml:space="preserve"> </w:t>
      </w:r>
      <w:r w:rsidR="00DC2495" w:rsidRPr="00E23256">
        <w:rPr>
          <w:rFonts w:eastAsia="MS Mincho"/>
        </w:rPr>
        <w:t xml:space="preserve">with </w:t>
      </w:r>
      <w:r w:rsidR="002C2E66">
        <w:rPr>
          <w:rFonts w:eastAsia="MS Mincho"/>
        </w:rPr>
        <w:t>the Convention’s</w:t>
      </w:r>
      <w:r w:rsidR="002C2E66" w:rsidRPr="00E23256">
        <w:rPr>
          <w:rFonts w:eastAsia="MS Mincho"/>
        </w:rPr>
        <w:t xml:space="preserve"> </w:t>
      </w:r>
      <w:r w:rsidR="00DC2495" w:rsidRPr="00E23256">
        <w:rPr>
          <w:rFonts w:eastAsia="MS Mincho"/>
        </w:rPr>
        <w:t>standards.</w:t>
      </w:r>
      <w:r w:rsidR="00DC2495">
        <w:rPr>
          <w:rFonts w:eastAsia="MS Mincho"/>
        </w:rPr>
        <w:t xml:space="preserve"> This is connected to the reservations made to the </w:t>
      </w:r>
      <w:r w:rsidR="002C2E66">
        <w:rPr>
          <w:rFonts w:eastAsia="MS Mincho"/>
        </w:rPr>
        <w:t>Convention</w:t>
      </w:r>
      <w:r w:rsidR="00AD79C3">
        <w:rPr>
          <w:rFonts w:eastAsia="MS Mincho"/>
        </w:rPr>
        <w:t>,</w:t>
      </w:r>
      <w:r w:rsidR="00DC2495">
        <w:rPr>
          <w:rFonts w:eastAsia="MS Mincho"/>
        </w:rPr>
        <w:t xml:space="preserve"> which limit the application of the core principles of non-discrimination and equality.</w:t>
      </w:r>
      <w:r w:rsidR="00453985">
        <w:rPr>
          <w:rFonts w:eastAsia="MS Mincho"/>
        </w:rPr>
        <w:t xml:space="preserve"> </w:t>
      </w:r>
    </w:p>
    <w:p w:rsidR="00E23256" w:rsidRPr="00E23256" w:rsidRDefault="002C2E66" w:rsidP="00934A11">
      <w:pPr>
        <w:pStyle w:val="SingleTxtG"/>
        <w:numPr>
          <w:ilvl w:val="0"/>
          <w:numId w:val="52"/>
        </w:numPr>
        <w:ind w:left="1134" w:firstLine="0"/>
        <w:rPr>
          <w:rFonts w:eastAsia="MS Mincho"/>
        </w:rPr>
      </w:pPr>
      <w:r>
        <w:rPr>
          <w:rFonts w:eastAsia="MS Mincho"/>
        </w:rPr>
        <w:t>The i</w:t>
      </w:r>
      <w:r w:rsidR="00E23256" w:rsidRPr="00E23256">
        <w:rPr>
          <w:rFonts w:eastAsia="MS Mincho"/>
        </w:rPr>
        <w:t xml:space="preserve">nfrastructure of </w:t>
      </w:r>
      <w:r w:rsidR="008E7D11">
        <w:rPr>
          <w:rFonts w:eastAsia="MS Mincho"/>
        </w:rPr>
        <w:t>user-</w:t>
      </w:r>
      <w:r w:rsidR="00E23256" w:rsidRPr="00E23256">
        <w:rPr>
          <w:rFonts w:eastAsia="MS Mincho"/>
        </w:rPr>
        <w:t>friendly</w:t>
      </w:r>
      <w:r>
        <w:rPr>
          <w:rFonts w:eastAsia="MS Mincho"/>
        </w:rPr>
        <w:t>,</w:t>
      </w:r>
      <w:r w:rsidR="00E23256" w:rsidRPr="00E23256">
        <w:rPr>
          <w:rFonts w:eastAsia="MS Mincho"/>
        </w:rPr>
        <w:t xml:space="preserve"> community</w:t>
      </w:r>
      <w:r>
        <w:rPr>
          <w:rFonts w:eastAsia="MS Mincho"/>
        </w:rPr>
        <w:t>-</w:t>
      </w:r>
      <w:r w:rsidR="00E23256" w:rsidRPr="00E23256">
        <w:rPr>
          <w:rFonts w:eastAsia="MS Mincho"/>
        </w:rPr>
        <w:t xml:space="preserve">based services for these groups is not </w:t>
      </w:r>
      <w:r w:rsidR="005A04E3">
        <w:rPr>
          <w:rFonts w:eastAsia="MS Mincho"/>
        </w:rPr>
        <w:t xml:space="preserve">yet </w:t>
      </w:r>
      <w:r w:rsidR="00E23256" w:rsidRPr="00E23256">
        <w:rPr>
          <w:rFonts w:eastAsia="MS Mincho"/>
        </w:rPr>
        <w:t xml:space="preserve">well developed, which can lead to systemic violations of their rights, such as right to enjoy living in community and other rights. There are certain initiatives of inclusive education of children with disabilities in mainstream schools but they need further </w:t>
      </w:r>
      <w:r w:rsidR="005A04E3">
        <w:rPr>
          <w:rFonts w:eastAsia="MS Mincho"/>
        </w:rPr>
        <w:t xml:space="preserve">support and </w:t>
      </w:r>
      <w:r w:rsidR="00E23256" w:rsidRPr="00E23256">
        <w:rPr>
          <w:rFonts w:eastAsia="MS Mincho"/>
        </w:rPr>
        <w:t>development.</w:t>
      </w:r>
      <w:r w:rsidR="00DC2495">
        <w:rPr>
          <w:rFonts w:eastAsia="MS Mincho"/>
        </w:rPr>
        <w:t xml:space="preserve"> </w:t>
      </w:r>
      <w:r w:rsidR="00C24CE4">
        <w:rPr>
          <w:rFonts w:eastAsia="MS Mincho"/>
        </w:rPr>
        <w:t>T</w:t>
      </w:r>
      <w:r w:rsidR="0047231E">
        <w:rPr>
          <w:rFonts w:eastAsia="MS Mincho"/>
        </w:rPr>
        <w:t>he Special Rapporteur was concerned about the</w:t>
      </w:r>
      <w:r w:rsidR="00E23256" w:rsidRPr="00E23256">
        <w:rPr>
          <w:rFonts w:eastAsia="MS Mincho"/>
        </w:rPr>
        <w:t xml:space="preserve"> high </w:t>
      </w:r>
      <w:r w:rsidR="0047231E">
        <w:rPr>
          <w:rFonts w:eastAsia="MS Mincho"/>
        </w:rPr>
        <w:t xml:space="preserve">prevalence of </w:t>
      </w:r>
      <w:r w:rsidR="00E23256" w:rsidRPr="00E23256">
        <w:rPr>
          <w:rFonts w:eastAsia="MS Mincho"/>
        </w:rPr>
        <w:t>stigmati</w:t>
      </w:r>
      <w:r>
        <w:rPr>
          <w:rFonts w:eastAsia="MS Mincho"/>
        </w:rPr>
        <w:t>z</w:t>
      </w:r>
      <w:r w:rsidR="00E23256" w:rsidRPr="00E23256">
        <w:rPr>
          <w:rFonts w:eastAsia="MS Mincho"/>
        </w:rPr>
        <w:t xml:space="preserve">ation and discrimination of persons living with </w:t>
      </w:r>
      <w:r w:rsidR="00B46405">
        <w:rPr>
          <w:rFonts w:eastAsia="MS Mincho"/>
        </w:rPr>
        <w:t xml:space="preserve">psychosocial </w:t>
      </w:r>
      <w:r w:rsidR="0047231E">
        <w:rPr>
          <w:rFonts w:eastAsia="MS Mincho"/>
        </w:rPr>
        <w:t>disabilities</w:t>
      </w:r>
      <w:r w:rsidR="000151D4">
        <w:rPr>
          <w:rFonts w:eastAsia="MS Mincho"/>
        </w:rPr>
        <w:t>, which makes it difficult to</w:t>
      </w:r>
      <w:r w:rsidR="00E23256" w:rsidRPr="00E23256">
        <w:rPr>
          <w:rFonts w:eastAsia="MS Mincho"/>
        </w:rPr>
        <w:t xml:space="preserve"> provide </w:t>
      </w:r>
      <w:r>
        <w:rPr>
          <w:rFonts w:eastAsia="MS Mincho"/>
        </w:rPr>
        <w:t xml:space="preserve">the </w:t>
      </w:r>
      <w:r w:rsidR="00E23256" w:rsidRPr="00E23256">
        <w:rPr>
          <w:rFonts w:eastAsia="MS Mincho"/>
        </w:rPr>
        <w:t xml:space="preserve">full spectrum of </w:t>
      </w:r>
      <w:r w:rsidR="0047231E">
        <w:rPr>
          <w:rFonts w:eastAsia="MS Mincho"/>
        </w:rPr>
        <w:t xml:space="preserve">effective and inclusive </w:t>
      </w:r>
      <w:r w:rsidR="00E23256" w:rsidRPr="00E23256">
        <w:rPr>
          <w:rFonts w:eastAsia="MS Mincho"/>
        </w:rPr>
        <w:t>community</w:t>
      </w:r>
      <w:r>
        <w:rPr>
          <w:rFonts w:eastAsia="MS Mincho"/>
        </w:rPr>
        <w:t>-</w:t>
      </w:r>
      <w:r w:rsidR="00E23256" w:rsidRPr="00E23256">
        <w:rPr>
          <w:rFonts w:eastAsia="MS Mincho"/>
        </w:rPr>
        <w:t>based services</w:t>
      </w:r>
      <w:r w:rsidR="005A04E3">
        <w:rPr>
          <w:rFonts w:eastAsia="MS Mincho"/>
        </w:rPr>
        <w:t>, including health</w:t>
      </w:r>
      <w:r>
        <w:rPr>
          <w:rFonts w:eastAsia="MS Mincho"/>
        </w:rPr>
        <w:t>-</w:t>
      </w:r>
      <w:r w:rsidR="005A04E3">
        <w:rPr>
          <w:rFonts w:eastAsia="MS Mincho"/>
        </w:rPr>
        <w:t>care services</w:t>
      </w:r>
      <w:r w:rsidR="00E23256" w:rsidRPr="00E23256">
        <w:rPr>
          <w:rFonts w:eastAsia="MS Mincho"/>
        </w:rPr>
        <w:t>.</w:t>
      </w:r>
      <w:r w:rsidR="00453985">
        <w:rPr>
          <w:rFonts w:eastAsia="MS Mincho"/>
        </w:rPr>
        <w:t xml:space="preserve"> </w:t>
      </w:r>
    </w:p>
    <w:p w:rsidR="00545386" w:rsidRPr="00310C20" w:rsidRDefault="00797996" w:rsidP="00667789">
      <w:pPr>
        <w:pStyle w:val="HChG"/>
      </w:pPr>
      <w:r>
        <w:tab/>
        <w:t>V</w:t>
      </w:r>
      <w:r w:rsidR="00667789" w:rsidRPr="00310C20">
        <w:t>.</w:t>
      </w:r>
      <w:r w:rsidR="00667789" w:rsidRPr="00310C20">
        <w:tab/>
      </w:r>
      <w:r w:rsidR="00545386" w:rsidRPr="00310C20">
        <w:t>Conclusion and recommendations</w:t>
      </w:r>
    </w:p>
    <w:p w:rsidR="002A17B1" w:rsidRPr="005A413C" w:rsidRDefault="009F06F8" w:rsidP="00934A11">
      <w:pPr>
        <w:pStyle w:val="SingleTxtG"/>
        <w:numPr>
          <w:ilvl w:val="0"/>
          <w:numId w:val="52"/>
        </w:numPr>
        <w:ind w:left="1134" w:firstLine="0"/>
        <w:rPr>
          <w:b/>
        </w:rPr>
      </w:pPr>
      <w:r w:rsidRPr="005A413C">
        <w:rPr>
          <w:b/>
        </w:rPr>
        <w:t>The Special Rapporteur notes with appreciation the progress made in Malaysia since independence, in particular, the significant reduction of poverty and the Government’s commitmen</w:t>
      </w:r>
      <w:r w:rsidR="00AD79C3">
        <w:rPr>
          <w:b/>
        </w:rPr>
        <w:t>t to improving the health of the population</w:t>
      </w:r>
      <w:r w:rsidRPr="005A413C">
        <w:rPr>
          <w:b/>
        </w:rPr>
        <w:t xml:space="preserve">. </w:t>
      </w:r>
      <w:r w:rsidR="002A17B1" w:rsidRPr="005A413C">
        <w:rPr>
          <w:b/>
        </w:rPr>
        <w:t>The Government has recognized that the further successful development of</w:t>
      </w:r>
      <w:r w:rsidR="00E129B0">
        <w:rPr>
          <w:b/>
        </w:rPr>
        <w:t xml:space="preserve"> the country depends not just on</w:t>
      </w:r>
      <w:r w:rsidR="002A17B1" w:rsidRPr="005A413C">
        <w:rPr>
          <w:b/>
        </w:rPr>
        <w:t xml:space="preserve"> investing in economic growth but </w:t>
      </w:r>
      <w:r w:rsidR="0023004B">
        <w:rPr>
          <w:b/>
        </w:rPr>
        <w:t xml:space="preserve">also </w:t>
      </w:r>
      <w:r w:rsidR="002A17B1" w:rsidRPr="005A413C">
        <w:rPr>
          <w:b/>
        </w:rPr>
        <w:t>on</w:t>
      </w:r>
      <w:r w:rsidR="0023004B">
        <w:rPr>
          <w:b/>
        </w:rPr>
        <w:t xml:space="preserve"> the</w:t>
      </w:r>
      <w:r w:rsidR="002A17B1" w:rsidRPr="005A413C">
        <w:rPr>
          <w:b/>
        </w:rPr>
        <w:t xml:space="preserve"> social well-being of the population.</w:t>
      </w:r>
      <w:r w:rsidR="00453985">
        <w:rPr>
          <w:b/>
        </w:rPr>
        <w:t xml:space="preserve"> </w:t>
      </w:r>
      <w:r w:rsidR="0023004B">
        <w:rPr>
          <w:b/>
        </w:rPr>
        <w:t>I</w:t>
      </w:r>
      <w:r w:rsidR="002A17B1" w:rsidRPr="005A413C">
        <w:rPr>
          <w:b/>
        </w:rPr>
        <w:t xml:space="preserve">t has taken steps </w:t>
      </w:r>
      <w:r w:rsidR="001A1BDD">
        <w:rPr>
          <w:b/>
        </w:rPr>
        <w:t>to improve the well-being of the population</w:t>
      </w:r>
      <w:r w:rsidR="00AD5387" w:rsidRPr="005A413C">
        <w:rPr>
          <w:b/>
        </w:rPr>
        <w:t xml:space="preserve">, some of which could </w:t>
      </w:r>
      <w:r w:rsidR="00237A16" w:rsidRPr="005A413C">
        <w:rPr>
          <w:b/>
        </w:rPr>
        <w:t>serve as</w:t>
      </w:r>
      <w:r w:rsidR="00AD5387" w:rsidRPr="005A413C">
        <w:rPr>
          <w:b/>
        </w:rPr>
        <w:t xml:space="preserve"> an inspiration </w:t>
      </w:r>
      <w:r w:rsidR="00237A16" w:rsidRPr="005A413C">
        <w:rPr>
          <w:b/>
        </w:rPr>
        <w:t>to</w:t>
      </w:r>
      <w:r w:rsidR="00AD5387" w:rsidRPr="005A413C">
        <w:rPr>
          <w:b/>
        </w:rPr>
        <w:t xml:space="preserve"> other countries</w:t>
      </w:r>
      <w:r w:rsidR="002A17B1" w:rsidRPr="005A413C">
        <w:rPr>
          <w:b/>
        </w:rPr>
        <w:t>.</w:t>
      </w:r>
      <w:r w:rsidR="00453985">
        <w:rPr>
          <w:b/>
        </w:rPr>
        <w:t xml:space="preserve"> </w:t>
      </w:r>
    </w:p>
    <w:p w:rsidR="009F06F8" w:rsidRPr="005A413C" w:rsidRDefault="009F06F8" w:rsidP="00934A11">
      <w:pPr>
        <w:pStyle w:val="SingleTxtG"/>
        <w:numPr>
          <w:ilvl w:val="0"/>
          <w:numId w:val="52"/>
        </w:numPr>
        <w:ind w:left="1134" w:firstLine="0"/>
        <w:rPr>
          <w:b/>
        </w:rPr>
      </w:pPr>
      <w:r w:rsidRPr="005A413C">
        <w:rPr>
          <w:b/>
        </w:rPr>
        <w:t>However, during his visit, the Special Rapporteur observed deeply entrenched discriminatory attitudes towards groups in vulnerable si</w:t>
      </w:r>
      <w:r w:rsidR="00C24CE4">
        <w:rPr>
          <w:b/>
        </w:rPr>
        <w:t xml:space="preserve">tuations, mostly based on </w:t>
      </w:r>
      <w:r w:rsidRPr="005A413C">
        <w:rPr>
          <w:b/>
        </w:rPr>
        <w:t xml:space="preserve">certain </w:t>
      </w:r>
      <w:r w:rsidR="00E129B0">
        <w:rPr>
          <w:b/>
        </w:rPr>
        <w:t xml:space="preserve">restrictive </w:t>
      </w:r>
      <w:r w:rsidRPr="005A413C">
        <w:rPr>
          <w:b/>
        </w:rPr>
        <w:t xml:space="preserve">interpretations of culture or religion </w:t>
      </w:r>
      <w:r w:rsidR="00F42E8F">
        <w:rPr>
          <w:b/>
        </w:rPr>
        <w:t>that</w:t>
      </w:r>
      <w:r w:rsidRPr="005A413C">
        <w:rPr>
          <w:b/>
        </w:rPr>
        <w:t xml:space="preserve"> discriminate and restrict the rights of these groups</w:t>
      </w:r>
      <w:r w:rsidR="00F42E8F">
        <w:rPr>
          <w:b/>
        </w:rPr>
        <w:t>, including the right to health.</w:t>
      </w:r>
      <w:r w:rsidR="001B35C0">
        <w:rPr>
          <w:b/>
        </w:rPr>
        <w:t xml:space="preserve"> </w:t>
      </w:r>
      <w:r w:rsidR="00F42E8F">
        <w:rPr>
          <w:b/>
        </w:rPr>
        <w:t>These arguments go</w:t>
      </w:r>
      <w:r w:rsidR="00CF230F">
        <w:rPr>
          <w:b/>
        </w:rPr>
        <w:t xml:space="preserve"> </w:t>
      </w:r>
      <w:r w:rsidR="00F42E8F" w:rsidRPr="005A413C">
        <w:rPr>
          <w:b/>
        </w:rPr>
        <w:t>against international human rights principles</w:t>
      </w:r>
      <w:r w:rsidR="00F42E8F">
        <w:rPr>
          <w:b/>
        </w:rPr>
        <w:t xml:space="preserve"> and standards, and</w:t>
      </w:r>
      <w:r w:rsidRPr="005A413C">
        <w:rPr>
          <w:b/>
        </w:rPr>
        <w:t xml:space="preserve"> when initiated, supported or tolerated by </w:t>
      </w:r>
      <w:r w:rsidR="00CF230F">
        <w:rPr>
          <w:b/>
        </w:rPr>
        <w:t xml:space="preserve">public </w:t>
      </w:r>
      <w:r w:rsidRPr="005A413C">
        <w:rPr>
          <w:b/>
        </w:rPr>
        <w:t xml:space="preserve">authorities, </w:t>
      </w:r>
      <w:r w:rsidR="00F42E8F">
        <w:rPr>
          <w:b/>
        </w:rPr>
        <w:t xml:space="preserve">they </w:t>
      </w:r>
      <w:r w:rsidRPr="005A413C">
        <w:rPr>
          <w:b/>
        </w:rPr>
        <w:t>threaten the development of a healthy and inclusive society.</w:t>
      </w:r>
    </w:p>
    <w:p w:rsidR="002A17B1" w:rsidRPr="005A413C" w:rsidRDefault="00237A16" w:rsidP="00934A11">
      <w:pPr>
        <w:pStyle w:val="SingleTxtG"/>
        <w:numPr>
          <w:ilvl w:val="0"/>
          <w:numId w:val="52"/>
        </w:numPr>
        <w:ind w:left="1134" w:firstLine="0"/>
        <w:rPr>
          <w:b/>
        </w:rPr>
      </w:pPr>
      <w:r w:rsidRPr="005A413C">
        <w:rPr>
          <w:b/>
        </w:rPr>
        <w:t xml:space="preserve">Malaysia needs to move away from a </w:t>
      </w:r>
      <w:r w:rsidR="002A17B1" w:rsidRPr="005A413C">
        <w:rPr>
          <w:b/>
        </w:rPr>
        <w:t>selective approach</w:t>
      </w:r>
      <w:r w:rsidR="00CF230F">
        <w:rPr>
          <w:b/>
        </w:rPr>
        <w:t xml:space="preserve"> to</w:t>
      </w:r>
      <w:r w:rsidR="00CF230F" w:rsidRPr="00CF230F">
        <w:rPr>
          <w:b/>
        </w:rPr>
        <w:t xml:space="preserve"> </w:t>
      </w:r>
      <w:r w:rsidR="00CF230F" w:rsidRPr="005A413C">
        <w:rPr>
          <w:b/>
        </w:rPr>
        <w:t>human rights</w:t>
      </w:r>
      <w:r w:rsidR="002A17B1" w:rsidRPr="005A413C">
        <w:rPr>
          <w:b/>
        </w:rPr>
        <w:t>.</w:t>
      </w:r>
      <w:r w:rsidR="00453985">
        <w:rPr>
          <w:b/>
        </w:rPr>
        <w:t xml:space="preserve"> </w:t>
      </w:r>
      <w:r w:rsidR="009F06F8" w:rsidRPr="005A413C">
        <w:rPr>
          <w:b/>
        </w:rPr>
        <w:t xml:space="preserve">The rights of all people living in Malaysia need to be protected, and more efforts are needed to combat the discrimination of the more disadvantaged groups </w:t>
      </w:r>
      <w:r w:rsidR="00F42E8F">
        <w:rPr>
          <w:b/>
        </w:rPr>
        <w:t xml:space="preserve">and </w:t>
      </w:r>
      <w:r w:rsidR="009F06F8" w:rsidRPr="005A413C">
        <w:rPr>
          <w:b/>
        </w:rPr>
        <w:t xml:space="preserve">to achieve their full inclusion in society. </w:t>
      </w:r>
    </w:p>
    <w:p w:rsidR="00545386" w:rsidRPr="005A413C" w:rsidRDefault="009F06F8" w:rsidP="00934A11">
      <w:pPr>
        <w:pStyle w:val="SingleTxtG"/>
        <w:numPr>
          <w:ilvl w:val="0"/>
          <w:numId w:val="52"/>
        </w:numPr>
        <w:ind w:left="1134" w:firstLine="0"/>
        <w:rPr>
          <w:b/>
        </w:rPr>
      </w:pPr>
      <w:r w:rsidRPr="005A413C">
        <w:rPr>
          <w:b/>
        </w:rPr>
        <w:t>T</w:t>
      </w:r>
      <w:r w:rsidR="00545386" w:rsidRPr="005A413C">
        <w:rPr>
          <w:b/>
        </w:rPr>
        <w:t xml:space="preserve">he Special Rapporteur </w:t>
      </w:r>
      <w:r w:rsidR="00A237B1" w:rsidRPr="005A413C">
        <w:rPr>
          <w:b/>
        </w:rPr>
        <w:t xml:space="preserve">recommends that </w:t>
      </w:r>
      <w:r w:rsidR="00AD5387" w:rsidRPr="005A413C">
        <w:rPr>
          <w:b/>
        </w:rPr>
        <w:t>the Government</w:t>
      </w:r>
      <w:r w:rsidR="00545386" w:rsidRPr="005A413C">
        <w:rPr>
          <w:b/>
        </w:rPr>
        <w:t xml:space="preserve">: </w:t>
      </w:r>
    </w:p>
    <w:p w:rsidR="00A377C0" w:rsidRPr="00934A11" w:rsidRDefault="00A05053" w:rsidP="00934A11">
      <w:pPr>
        <w:pStyle w:val="Bullet1G"/>
        <w:numPr>
          <w:ilvl w:val="0"/>
          <w:numId w:val="53"/>
        </w:numPr>
        <w:ind w:firstLine="624"/>
        <w:rPr>
          <w:b/>
          <w:bCs/>
        </w:rPr>
      </w:pPr>
      <w:r w:rsidRPr="00934A11">
        <w:rPr>
          <w:b/>
          <w:bCs/>
        </w:rPr>
        <w:t>R</w:t>
      </w:r>
      <w:r w:rsidR="005A413C" w:rsidRPr="00934A11">
        <w:rPr>
          <w:b/>
          <w:bCs/>
        </w:rPr>
        <w:t>atif</w:t>
      </w:r>
      <w:r w:rsidRPr="00934A11">
        <w:rPr>
          <w:b/>
          <w:bCs/>
        </w:rPr>
        <w:t xml:space="preserve">y </w:t>
      </w:r>
      <w:r w:rsidR="005A413C" w:rsidRPr="00934A11">
        <w:rPr>
          <w:b/>
          <w:bCs/>
        </w:rPr>
        <w:t>all core universal human rights treaties and the optional protocols</w:t>
      </w:r>
      <w:r w:rsidR="00F535BB">
        <w:rPr>
          <w:b/>
          <w:bCs/>
        </w:rPr>
        <w:t xml:space="preserve"> thereto</w:t>
      </w:r>
      <w:r w:rsidR="005A413C" w:rsidRPr="00934A11">
        <w:rPr>
          <w:b/>
          <w:bCs/>
        </w:rPr>
        <w:t>, remove all reservations to the treaties ratified and ensure timely repo</w:t>
      </w:r>
      <w:r w:rsidR="00A377C0" w:rsidRPr="00934A11">
        <w:rPr>
          <w:b/>
          <w:bCs/>
        </w:rPr>
        <w:t>rting to the monitoring bodies;</w:t>
      </w:r>
      <w:r w:rsidR="00AD79C3" w:rsidRPr="00934A11">
        <w:rPr>
          <w:b/>
          <w:bCs/>
        </w:rPr>
        <w:t xml:space="preserve"> and </w:t>
      </w:r>
      <w:r w:rsidR="00A377C0" w:rsidRPr="00934A11">
        <w:rPr>
          <w:b/>
          <w:bCs/>
        </w:rPr>
        <w:t xml:space="preserve">extend an standing invitation to the </w:t>
      </w:r>
      <w:r w:rsidR="00F535BB">
        <w:rPr>
          <w:b/>
          <w:bCs/>
        </w:rPr>
        <w:t>s</w:t>
      </w:r>
      <w:r w:rsidR="00A377C0" w:rsidRPr="00934A11">
        <w:rPr>
          <w:b/>
          <w:bCs/>
        </w:rPr>
        <w:t xml:space="preserve">pecial </w:t>
      </w:r>
      <w:r w:rsidR="00F535BB">
        <w:rPr>
          <w:b/>
          <w:bCs/>
        </w:rPr>
        <w:t>p</w:t>
      </w:r>
      <w:r w:rsidR="00A377C0" w:rsidRPr="00934A11">
        <w:rPr>
          <w:b/>
          <w:bCs/>
        </w:rPr>
        <w:t>rocedures of the Human Rights Council;</w:t>
      </w:r>
    </w:p>
    <w:p w:rsidR="00AD79C3" w:rsidRPr="00934A11" w:rsidRDefault="00AD79C3" w:rsidP="00934A11">
      <w:pPr>
        <w:pStyle w:val="Bullet1G"/>
        <w:numPr>
          <w:ilvl w:val="0"/>
          <w:numId w:val="53"/>
        </w:numPr>
        <w:ind w:firstLine="624"/>
        <w:rPr>
          <w:b/>
          <w:bCs/>
        </w:rPr>
      </w:pPr>
      <w:r w:rsidRPr="00934A11">
        <w:rPr>
          <w:b/>
          <w:bCs/>
        </w:rPr>
        <w:t xml:space="preserve">Ratify the 1951 Convention </w:t>
      </w:r>
      <w:r w:rsidR="00F535BB">
        <w:rPr>
          <w:b/>
          <w:bCs/>
        </w:rPr>
        <w:t>relating to</w:t>
      </w:r>
      <w:r w:rsidR="00F535BB" w:rsidRPr="00934A11">
        <w:rPr>
          <w:b/>
          <w:bCs/>
        </w:rPr>
        <w:t xml:space="preserve"> </w:t>
      </w:r>
      <w:r w:rsidRPr="00934A11">
        <w:rPr>
          <w:b/>
          <w:bCs/>
        </w:rPr>
        <w:t>the Status of Refugees and its 1967 Protocol in order to ensure adequate protection</w:t>
      </w:r>
      <w:r w:rsidR="00F535BB">
        <w:rPr>
          <w:b/>
          <w:bCs/>
        </w:rPr>
        <w:t xml:space="preserve"> of</w:t>
      </w:r>
      <w:r w:rsidRPr="00934A11">
        <w:rPr>
          <w:b/>
          <w:bCs/>
        </w:rPr>
        <w:t xml:space="preserve"> refugees and asylum</w:t>
      </w:r>
      <w:r w:rsidR="00F535BB">
        <w:rPr>
          <w:b/>
          <w:bCs/>
        </w:rPr>
        <w:t xml:space="preserve"> </w:t>
      </w:r>
      <w:r w:rsidRPr="00934A11">
        <w:rPr>
          <w:b/>
          <w:bCs/>
        </w:rPr>
        <w:t>seekers;</w:t>
      </w:r>
    </w:p>
    <w:p w:rsidR="00545386" w:rsidRPr="00934A11" w:rsidRDefault="00F535BB" w:rsidP="00934A11">
      <w:pPr>
        <w:pStyle w:val="Bullet1G"/>
        <w:numPr>
          <w:ilvl w:val="0"/>
          <w:numId w:val="53"/>
        </w:numPr>
        <w:ind w:firstLine="624"/>
        <w:rPr>
          <w:b/>
          <w:bCs/>
          <w:i/>
        </w:rPr>
      </w:pPr>
      <w:r>
        <w:rPr>
          <w:b/>
          <w:bCs/>
        </w:rPr>
        <w:t>P</w:t>
      </w:r>
      <w:r w:rsidR="000028FA" w:rsidRPr="00934A11">
        <w:rPr>
          <w:b/>
          <w:bCs/>
        </w:rPr>
        <w:t>reserve the strengths of the health</w:t>
      </w:r>
      <w:r>
        <w:rPr>
          <w:b/>
          <w:bCs/>
        </w:rPr>
        <w:t>-</w:t>
      </w:r>
      <w:r w:rsidR="000028FA" w:rsidRPr="00934A11">
        <w:rPr>
          <w:b/>
          <w:bCs/>
        </w:rPr>
        <w:t xml:space="preserve">care system and </w:t>
      </w:r>
      <w:r w:rsidR="00EE6212" w:rsidRPr="00934A11">
        <w:rPr>
          <w:b/>
          <w:bCs/>
        </w:rPr>
        <w:t>ensure adequate, equitable and sustainable financing for health</w:t>
      </w:r>
      <w:r w:rsidR="001B35C0">
        <w:rPr>
          <w:b/>
          <w:bCs/>
        </w:rPr>
        <w:t xml:space="preserve">, </w:t>
      </w:r>
      <w:r w:rsidR="00EE6212" w:rsidRPr="00934A11">
        <w:rPr>
          <w:b/>
          <w:bCs/>
        </w:rPr>
        <w:t xml:space="preserve">increase </w:t>
      </w:r>
      <w:r w:rsidR="00545386" w:rsidRPr="00934A11">
        <w:rPr>
          <w:b/>
          <w:bCs/>
        </w:rPr>
        <w:t>national budget allocation</w:t>
      </w:r>
      <w:r w:rsidR="00D4505C" w:rsidRPr="00934A11">
        <w:rPr>
          <w:b/>
          <w:bCs/>
        </w:rPr>
        <w:t>s</w:t>
      </w:r>
      <w:r w:rsidR="00545386" w:rsidRPr="00934A11">
        <w:rPr>
          <w:b/>
          <w:bCs/>
        </w:rPr>
        <w:t xml:space="preserve"> for health </w:t>
      </w:r>
      <w:r w:rsidR="00CF230F" w:rsidRPr="00934A11">
        <w:rPr>
          <w:b/>
          <w:bCs/>
        </w:rPr>
        <w:t>and reduc</w:t>
      </w:r>
      <w:r w:rsidR="00EE6212" w:rsidRPr="00934A11">
        <w:rPr>
          <w:b/>
          <w:bCs/>
        </w:rPr>
        <w:t>e</w:t>
      </w:r>
      <w:r w:rsidR="00CF230F" w:rsidRPr="00934A11">
        <w:rPr>
          <w:b/>
          <w:bCs/>
        </w:rPr>
        <w:t xml:space="preserve"> out-of-pocket expenditure</w:t>
      </w:r>
      <w:r w:rsidR="00D4505C" w:rsidRPr="00934A11">
        <w:rPr>
          <w:b/>
          <w:bCs/>
        </w:rPr>
        <w:t>;</w:t>
      </w:r>
      <w:r w:rsidR="00A05053" w:rsidRPr="00934A11">
        <w:rPr>
          <w:b/>
          <w:bCs/>
        </w:rPr>
        <w:t xml:space="preserve"> </w:t>
      </w:r>
    </w:p>
    <w:p w:rsidR="00545386" w:rsidRPr="00934A11" w:rsidRDefault="00AF5AE0" w:rsidP="00934A11">
      <w:pPr>
        <w:pStyle w:val="Bullet1G"/>
        <w:numPr>
          <w:ilvl w:val="0"/>
          <w:numId w:val="53"/>
        </w:numPr>
        <w:ind w:firstLine="624"/>
        <w:rPr>
          <w:b/>
          <w:bCs/>
        </w:rPr>
      </w:pPr>
      <w:r w:rsidRPr="00934A11">
        <w:rPr>
          <w:b/>
          <w:bCs/>
        </w:rPr>
        <w:lastRenderedPageBreak/>
        <w:t>E</w:t>
      </w:r>
      <w:r w:rsidR="00545386" w:rsidRPr="00934A11">
        <w:rPr>
          <w:b/>
          <w:bCs/>
        </w:rPr>
        <w:t>nsure that</w:t>
      </w:r>
      <w:r w:rsidR="00F55035" w:rsidRPr="00934A11">
        <w:rPr>
          <w:b/>
          <w:bCs/>
        </w:rPr>
        <w:t xml:space="preserve"> </w:t>
      </w:r>
      <w:r w:rsidRPr="00934A11">
        <w:rPr>
          <w:b/>
          <w:bCs/>
        </w:rPr>
        <w:t>the health system</w:t>
      </w:r>
      <w:r w:rsidR="001B35C0">
        <w:rPr>
          <w:b/>
          <w:bCs/>
        </w:rPr>
        <w:t xml:space="preserve"> </w:t>
      </w:r>
      <w:r w:rsidR="00F55035" w:rsidRPr="00934A11">
        <w:rPr>
          <w:b/>
          <w:bCs/>
        </w:rPr>
        <w:t xml:space="preserve">is </w:t>
      </w:r>
      <w:r w:rsidR="00545386" w:rsidRPr="00934A11">
        <w:rPr>
          <w:b/>
          <w:bCs/>
        </w:rPr>
        <w:t xml:space="preserve">funded progressively through universal contributions, based on individuals’ and families’ ability to pay, </w:t>
      </w:r>
      <w:r w:rsidR="00CF230F" w:rsidRPr="00934A11">
        <w:rPr>
          <w:b/>
          <w:bCs/>
        </w:rPr>
        <w:t xml:space="preserve">and </w:t>
      </w:r>
      <w:r w:rsidR="00505360" w:rsidRPr="00934A11">
        <w:rPr>
          <w:b/>
          <w:bCs/>
        </w:rPr>
        <w:t xml:space="preserve">that it </w:t>
      </w:r>
      <w:r w:rsidR="00F535BB">
        <w:rPr>
          <w:b/>
          <w:bCs/>
        </w:rPr>
        <w:t>provides</w:t>
      </w:r>
      <w:r w:rsidR="001B35C0">
        <w:rPr>
          <w:b/>
          <w:bCs/>
        </w:rPr>
        <w:t xml:space="preserve"> </w:t>
      </w:r>
      <w:r w:rsidR="008D2BAB" w:rsidRPr="00934A11">
        <w:rPr>
          <w:b/>
          <w:bCs/>
        </w:rPr>
        <w:t xml:space="preserve">exemptions for </w:t>
      </w:r>
      <w:r w:rsidRPr="00934A11">
        <w:rPr>
          <w:b/>
          <w:bCs/>
        </w:rPr>
        <w:t xml:space="preserve">the </w:t>
      </w:r>
      <w:r w:rsidR="008D2BAB" w:rsidRPr="00934A11">
        <w:rPr>
          <w:b/>
          <w:bCs/>
        </w:rPr>
        <w:t>poor</w:t>
      </w:r>
      <w:r w:rsidR="00A05053" w:rsidRPr="00934A11">
        <w:rPr>
          <w:b/>
          <w:bCs/>
        </w:rPr>
        <w:t>;</w:t>
      </w:r>
    </w:p>
    <w:p w:rsidR="00A05053" w:rsidRPr="00934A11" w:rsidRDefault="00A05053" w:rsidP="00934A11">
      <w:pPr>
        <w:pStyle w:val="Bullet1G"/>
        <w:numPr>
          <w:ilvl w:val="0"/>
          <w:numId w:val="53"/>
        </w:numPr>
        <w:ind w:firstLine="624"/>
        <w:rPr>
          <w:b/>
          <w:bCs/>
        </w:rPr>
      </w:pPr>
      <w:r w:rsidRPr="00934A11">
        <w:rPr>
          <w:b/>
          <w:bCs/>
        </w:rPr>
        <w:t>Ensure that barriers to access sexual and reproductive rights of girls and women in Malaysia are removed, including by providing</w:t>
      </w:r>
      <w:r w:rsidR="00AF5AE0" w:rsidRPr="00934A11">
        <w:rPr>
          <w:b/>
          <w:bCs/>
        </w:rPr>
        <w:t>,</w:t>
      </w:r>
      <w:r w:rsidRPr="00934A11">
        <w:rPr>
          <w:b/>
          <w:bCs/>
        </w:rPr>
        <w:t xml:space="preserve"> </w:t>
      </w:r>
      <w:r w:rsidR="00AF5AE0" w:rsidRPr="00934A11">
        <w:rPr>
          <w:b/>
          <w:bCs/>
        </w:rPr>
        <w:t xml:space="preserve">regardless of age and marital status, </w:t>
      </w:r>
      <w:r w:rsidRPr="00934A11">
        <w:rPr>
          <w:b/>
          <w:bCs/>
        </w:rPr>
        <w:t xml:space="preserve">sexual and reproductive health services and comprehensive </w:t>
      </w:r>
      <w:r w:rsidR="001A1BDD">
        <w:rPr>
          <w:b/>
          <w:bCs/>
        </w:rPr>
        <w:t>adequate</w:t>
      </w:r>
      <w:r w:rsidR="00530230">
        <w:rPr>
          <w:b/>
          <w:bCs/>
        </w:rPr>
        <w:t xml:space="preserve"> </w:t>
      </w:r>
      <w:r w:rsidRPr="00934A11">
        <w:rPr>
          <w:b/>
          <w:bCs/>
        </w:rPr>
        <w:t xml:space="preserve">sexuality education and information; </w:t>
      </w:r>
    </w:p>
    <w:p w:rsidR="00A05053" w:rsidRPr="00934A11" w:rsidRDefault="00A05053" w:rsidP="00934A11">
      <w:pPr>
        <w:pStyle w:val="Bullet1G"/>
        <w:numPr>
          <w:ilvl w:val="0"/>
          <w:numId w:val="53"/>
        </w:numPr>
        <w:ind w:firstLine="624"/>
        <w:rPr>
          <w:b/>
          <w:bCs/>
        </w:rPr>
      </w:pPr>
      <w:r w:rsidRPr="00934A11">
        <w:rPr>
          <w:b/>
          <w:bCs/>
        </w:rPr>
        <w:t xml:space="preserve">Adopt the </w:t>
      </w:r>
      <w:r w:rsidR="00F535BB">
        <w:rPr>
          <w:b/>
          <w:bCs/>
        </w:rPr>
        <w:t>i</w:t>
      </w:r>
      <w:r w:rsidRPr="00934A11">
        <w:rPr>
          <w:b/>
          <w:bCs/>
        </w:rPr>
        <w:t xml:space="preserve">nter-agency </w:t>
      </w:r>
      <w:r w:rsidR="00F535BB">
        <w:rPr>
          <w:b/>
          <w:bCs/>
        </w:rPr>
        <w:t>“</w:t>
      </w:r>
      <w:r w:rsidRPr="00934A11">
        <w:rPr>
          <w:b/>
          <w:bCs/>
        </w:rPr>
        <w:t>working together</w:t>
      </w:r>
      <w:r w:rsidR="00F535BB">
        <w:rPr>
          <w:b/>
          <w:bCs/>
        </w:rPr>
        <w:t>”</w:t>
      </w:r>
      <w:r w:rsidRPr="00934A11">
        <w:rPr>
          <w:b/>
          <w:bCs/>
        </w:rPr>
        <w:t xml:space="preserve"> document to handle domestic violence cases”, establish the Committee that would implement such guidelines and make sure that civil society actors are </w:t>
      </w:r>
      <w:r w:rsidR="00F535BB">
        <w:rPr>
          <w:b/>
          <w:bCs/>
        </w:rPr>
        <w:t>well</w:t>
      </w:r>
      <w:r w:rsidR="00F535BB" w:rsidRPr="00934A11">
        <w:rPr>
          <w:b/>
          <w:bCs/>
        </w:rPr>
        <w:t xml:space="preserve"> </w:t>
      </w:r>
      <w:r w:rsidRPr="00934A11">
        <w:rPr>
          <w:b/>
          <w:bCs/>
        </w:rPr>
        <w:t>involved;</w:t>
      </w:r>
    </w:p>
    <w:p w:rsidR="00A05053" w:rsidRPr="00934A11" w:rsidRDefault="00A05053" w:rsidP="00934A11">
      <w:pPr>
        <w:pStyle w:val="Bullet1G"/>
        <w:numPr>
          <w:ilvl w:val="0"/>
          <w:numId w:val="53"/>
        </w:numPr>
        <w:ind w:firstLine="624"/>
        <w:rPr>
          <w:b/>
          <w:bCs/>
        </w:rPr>
      </w:pPr>
      <w:r w:rsidRPr="00934A11">
        <w:rPr>
          <w:b/>
          <w:bCs/>
        </w:rPr>
        <w:t xml:space="preserve">Adopt a law </w:t>
      </w:r>
      <w:r w:rsidR="00F55160">
        <w:rPr>
          <w:b/>
          <w:bCs/>
        </w:rPr>
        <w:t>to</w:t>
      </w:r>
      <w:r w:rsidRPr="00934A11">
        <w:rPr>
          <w:b/>
          <w:bCs/>
        </w:rPr>
        <w:t xml:space="preserve"> prevent and eradicat</w:t>
      </w:r>
      <w:r w:rsidR="00F55160">
        <w:rPr>
          <w:b/>
          <w:bCs/>
        </w:rPr>
        <w:t>e</w:t>
      </w:r>
      <w:r w:rsidRPr="00934A11">
        <w:rPr>
          <w:b/>
          <w:bCs/>
        </w:rPr>
        <w:t xml:space="preserve"> sexual harassment that effectively protects all men and women from this type of violence;</w:t>
      </w:r>
    </w:p>
    <w:p w:rsidR="00A05053" w:rsidRPr="00934A11" w:rsidRDefault="00A05053" w:rsidP="00934A11">
      <w:pPr>
        <w:pStyle w:val="Bullet1G"/>
        <w:numPr>
          <w:ilvl w:val="0"/>
          <w:numId w:val="53"/>
        </w:numPr>
        <w:ind w:firstLine="624"/>
        <w:rPr>
          <w:b/>
          <w:bCs/>
        </w:rPr>
      </w:pPr>
      <w:r w:rsidRPr="00934A11">
        <w:rPr>
          <w:b/>
          <w:bCs/>
        </w:rPr>
        <w:t xml:space="preserve">Ensure that the legal age for marriage is set at 18 years of age, as established in international human rights standards, and </w:t>
      </w:r>
      <w:r w:rsidR="00CF230F" w:rsidRPr="00934A11">
        <w:rPr>
          <w:b/>
          <w:bCs/>
        </w:rPr>
        <w:t xml:space="preserve">do </w:t>
      </w:r>
      <w:r w:rsidRPr="00934A11">
        <w:rPr>
          <w:b/>
          <w:bCs/>
        </w:rPr>
        <w:t>its utmost to eradicate and prevent child marriage and the negative effects it has on the health and well-</w:t>
      </w:r>
      <w:r w:rsidR="0015729E" w:rsidRPr="00934A11">
        <w:rPr>
          <w:b/>
          <w:bCs/>
        </w:rPr>
        <w:t xml:space="preserve">being </w:t>
      </w:r>
      <w:r w:rsidRPr="00934A11">
        <w:rPr>
          <w:b/>
          <w:bCs/>
        </w:rPr>
        <w:t>of girls;</w:t>
      </w:r>
      <w:r w:rsidR="00453985" w:rsidRPr="00934A11">
        <w:rPr>
          <w:b/>
          <w:bCs/>
        </w:rPr>
        <w:t xml:space="preserve"> </w:t>
      </w:r>
    </w:p>
    <w:p w:rsidR="00CE6134" w:rsidRPr="00934A11" w:rsidRDefault="00CE6134" w:rsidP="00934A11">
      <w:pPr>
        <w:pStyle w:val="Bullet1G"/>
        <w:numPr>
          <w:ilvl w:val="0"/>
          <w:numId w:val="53"/>
        </w:numPr>
        <w:ind w:firstLine="624"/>
        <w:rPr>
          <w:b/>
          <w:bCs/>
        </w:rPr>
      </w:pPr>
      <w:r w:rsidRPr="00934A11">
        <w:rPr>
          <w:b/>
          <w:bCs/>
        </w:rPr>
        <w:t>Harmonize national legislation</w:t>
      </w:r>
      <w:r w:rsidR="00F55160">
        <w:rPr>
          <w:b/>
          <w:bCs/>
        </w:rPr>
        <w:t xml:space="preserve"> and</w:t>
      </w:r>
      <w:r w:rsidRPr="00934A11">
        <w:rPr>
          <w:b/>
          <w:bCs/>
        </w:rPr>
        <w:t xml:space="preserve"> customary and religious laws with international human rights standards, and the introduce a legal prohibition of harmful practices, including female genital mutilation or </w:t>
      </w:r>
      <w:r w:rsidR="00AF5AE0" w:rsidRPr="00934A11">
        <w:rPr>
          <w:b/>
          <w:bCs/>
        </w:rPr>
        <w:t xml:space="preserve">female </w:t>
      </w:r>
      <w:r w:rsidRPr="00934A11">
        <w:rPr>
          <w:b/>
          <w:bCs/>
        </w:rPr>
        <w:t>circumcision, supported by initiatives to prevent and address those practices</w:t>
      </w:r>
      <w:r w:rsidR="00F55160">
        <w:rPr>
          <w:b/>
          <w:bCs/>
        </w:rPr>
        <w:t>;</w:t>
      </w:r>
    </w:p>
    <w:p w:rsidR="0015729E" w:rsidRPr="00934A11" w:rsidRDefault="0015729E" w:rsidP="00934A11">
      <w:pPr>
        <w:pStyle w:val="Bullet1G"/>
        <w:numPr>
          <w:ilvl w:val="0"/>
          <w:numId w:val="53"/>
        </w:numPr>
        <w:ind w:firstLine="624"/>
        <w:rPr>
          <w:b/>
          <w:bCs/>
        </w:rPr>
      </w:pPr>
      <w:r w:rsidRPr="00934A11">
        <w:rPr>
          <w:b/>
          <w:bCs/>
        </w:rPr>
        <w:t xml:space="preserve">Take the necessary measures so that indigenous communities enjoy their right to health by ensuring </w:t>
      </w:r>
      <w:r w:rsidR="00AF5AE0" w:rsidRPr="00934A11">
        <w:rPr>
          <w:b/>
          <w:bCs/>
        </w:rPr>
        <w:t xml:space="preserve">access to information and </w:t>
      </w:r>
      <w:r w:rsidRPr="00934A11">
        <w:rPr>
          <w:b/>
          <w:bCs/>
        </w:rPr>
        <w:t>that health services are available, accessible, affordable, adequate and of good quality;</w:t>
      </w:r>
    </w:p>
    <w:p w:rsidR="0015729E" w:rsidRPr="00934A11" w:rsidRDefault="0015729E" w:rsidP="00934A11">
      <w:pPr>
        <w:pStyle w:val="Bullet1G"/>
        <w:numPr>
          <w:ilvl w:val="0"/>
          <w:numId w:val="53"/>
        </w:numPr>
        <w:ind w:firstLine="624"/>
        <w:rPr>
          <w:b/>
          <w:bCs/>
        </w:rPr>
      </w:pPr>
      <w:r w:rsidRPr="00934A11">
        <w:rPr>
          <w:b/>
          <w:bCs/>
        </w:rPr>
        <w:t>Involve indigenous communities in the health decisions that affect them by consulting them in advance on relevant policies and providing health-related information in a cultural</w:t>
      </w:r>
      <w:r w:rsidR="00A43D23">
        <w:rPr>
          <w:b/>
          <w:bCs/>
        </w:rPr>
        <w:t>ly</w:t>
      </w:r>
      <w:r w:rsidRPr="00934A11">
        <w:rPr>
          <w:b/>
          <w:bCs/>
        </w:rPr>
        <w:t xml:space="preserve"> sensitive manner;</w:t>
      </w:r>
    </w:p>
    <w:p w:rsidR="00A377C0" w:rsidRPr="00934A11" w:rsidRDefault="00505360" w:rsidP="00934A11">
      <w:pPr>
        <w:pStyle w:val="Bullet1G"/>
        <w:numPr>
          <w:ilvl w:val="0"/>
          <w:numId w:val="53"/>
        </w:numPr>
        <w:ind w:firstLine="624"/>
        <w:rPr>
          <w:b/>
          <w:bCs/>
        </w:rPr>
      </w:pPr>
      <w:r w:rsidRPr="00934A11">
        <w:rPr>
          <w:b/>
          <w:bCs/>
        </w:rPr>
        <w:t>Eliminate discriminatory provisions from the foreign workers</w:t>
      </w:r>
      <w:r w:rsidR="00A43D23">
        <w:rPr>
          <w:b/>
          <w:bCs/>
        </w:rPr>
        <w:t>’</w:t>
      </w:r>
      <w:r w:rsidRPr="00934A11">
        <w:rPr>
          <w:b/>
          <w:bCs/>
        </w:rPr>
        <w:t xml:space="preserve"> health</w:t>
      </w:r>
      <w:r w:rsidR="00A43D23">
        <w:rPr>
          <w:b/>
          <w:bCs/>
        </w:rPr>
        <w:t>-</w:t>
      </w:r>
      <w:r w:rsidRPr="00934A11">
        <w:rPr>
          <w:b/>
          <w:bCs/>
        </w:rPr>
        <w:t>screening policy and legal framework</w:t>
      </w:r>
      <w:r w:rsidR="008D098E" w:rsidRPr="00934A11">
        <w:rPr>
          <w:b/>
          <w:bCs/>
        </w:rPr>
        <w:t>, including</w:t>
      </w:r>
      <w:r w:rsidRPr="00934A11">
        <w:rPr>
          <w:b/>
          <w:bCs/>
        </w:rPr>
        <w:t xml:space="preserve"> by r</w:t>
      </w:r>
      <w:r w:rsidR="00A377C0" w:rsidRPr="00934A11">
        <w:rPr>
          <w:b/>
          <w:bCs/>
        </w:rPr>
        <w:t>emov</w:t>
      </w:r>
      <w:r w:rsidRPr="00934A11">
        <w:rPr>
          <w:b/>
          <w:bCs/>
        </w:rPr>
        <w:t>ing</w:t>
      </w:r>
      <w:r w:rsidR="00A377C0" w:rsidRPr="00934A11">
        <w:rPr>
          <w:b/>
          <w:bCs/>
        </w:rPr>
        <w:t xml:space="preserve"> the </w:t>
      </w:r>
      <w:r w:rsidR="00A43D23">
        <w:rPr>
          <w:b/>
          <w:bCs/>
        </w:rPr>
        <w:t>mandatory</w:t>
      </w:r>
      <w:r w:rsidR="00A377C0" w:rsidRPr="00934A11">
        <w:rPr>
          <w:b/>
          <w:bCs/>
        </w:rPr>
        <w:t xml:space="preserve"> test </w:t>
      </w:r>
      <w:r w:rsidR="00A43D23">
        <w:rPr>
          <w:b/>
          <w:bCs/>
        </w:rPr>
        <w:t xml:space="preserve">of </w:t>
      </w:r>
      <w:r w:rsidR="00A377C0" w:rsidRPr="00934A11">
        <w:rPr>
          <w:b/>
          <w:bCs/>
        </w:rPr>
        <w:t xml:space="preserve">migrants for HIV/AIDS and </w:t>
      </w:r>
      <w:r w:rsidR="008D098E" w:rsidRPr="00934A11">
        <w:rPr>
          <w:b/>
          <w:bCs/>
        </w:rPr>
        <w:t>the provision</w:t>
      </w:r>
      <w:r w:rsidRPr="00934A11">
        <w:rPr>
          <w:b/>
          <w:bCs/>
        </w:rPr>
        <w:t xml:space="preserve"> </w:t>
      </w:r>
      <w:r w:rsidR="00A377C0" w:rsidRPr="00934A11">
        <w:rPr>
          <w:b/>
          <w:bCs/>
        </w:rPr>
        <w:t>exclud</w:t>
      </w:r>
      <w:r w:rsidR="008D098E" w:rsidRPr="00934A11">
        <w:rPr>
          <w:b/>
          <w:bCs/>
        </w:rPr>
        <w:t>ing</w:t>
      </w:r>
      <w:r w:rsidR="00A377C0" w:rsidRPr="00934A11">
        <w:rPr>
          <w:b/>
          <w:bCs/>
        </w:rPr>
        <w:t xml:space="preserve"> pregnant women</w:t>
      </w:r>
      <w:r w:rsidR="001B35C0">
        <w:rPr>
          <w:b/>
          <w:bCs/>
        </w:rPr>
        <w:t>;</w:t>
      </w:r>
    </w:p>
    <w:p w:rsidR="00A377C0" w:rsidRPr="00934A11" w:rsidRDefault="00AD79C3" w:rsidP="00934A11">
      <w:pPr>
        <w:pStyle w:val="Bullet1G"/>
        <w:numPr>
          <w:ilvl w:val="0"/>
          <w:numId w:val="53"/>
        </w:numPr>
        <w:ind w:firstLine="624"/>
        <w:rPr>
          <w:b/>
          <w:bCs/>
        </w:rPr>
      </w:pPr>
      <w:r w:rsidRPr="00934A11">
        <w:rPr>
          <w:b/>
          <w:bCs/>
        </w:rPr>
        <w:t>Ens</w:t>
      </w:r>
      <w:r w:rsidR="00A377C0" w:rsidRPr="00934A11">
        <w:rPr>
          <w:b/>
          <w:bCs/>
        </w:rPr>
        <w:t>ure that non-nationals, in particular undocumented migrants, refuge</w:t>
      </w:r>
      <w:r w:rsidR="00CF230F" w:rsidRPr="00934A11">
        <w:rPr>
          <w:b/>
          <w:bCs/>
        </w:rPr>
        <w:t>e</w:t>
      </w:r>
      <w:r w:rsidR="00A377C0" w:rsidRPr="00934A11">
        <w:rPr>
          <w:b/>
          <w:bCs/>
        </w:rPr>
        <w:t>s and asylum</w:t>
      </w:r>
      <w:r w:rsidR="00A43D23">
        <w:rPr>
          <w:b/>
          <w:bCs/>
        </w:rPr>
        <w:t xml:space="preserve"> </w:t>
      </w:r>
      <w:r w:rsidR="00A377C0" w:rsidRPr="00934A11">
        <w:rPr>
          <w:b/>
          <w:bCs/>
        </w:rPr>
        <w:t xml:space="preserve">seekers, can afford to access public health care, and consider </w:t>
      </w:r>
      <w:r w:rsidR="00A43D23">
        <w:rPr>
          <w:b/>
          <w:bCs/>
        </w:rPr>
        <w:t>exempting</w:t>
      </w:r>
      <w:r w:rsidR="00A43D23" w:rsidRPr="00934A11">
        <w:rPr>
          <w:b/>
          <w:bCs/>
        </w:rPr>
        <w:t xml:space="preserve"> </w:t>
      </w:r>
      <w:r w:rsidR="00A377C0" w:rsidRPr="00934A11">
        <w:rPr>
          <w:b/>
          <w:bCs/>
        </w:rPr>
        <w:t>them from the increase in fees;</w:t>
      </w:r>
    </w:p>
    <w:p w:rsidR="00A377C0" w:rsidRPr="00934A11" w:rsidRDefault="00CF230F" w:rsidP="00934A11">
      <w:pPr>
        <w:pStyle w:val="Bullet1G"/>
        <w:numPr>
          <w:ilvl w:val="0"/>
          <w:numId w:val="53"/>
        </w:numPr>
        <w:ind w:firstLine="624"/>
        <w:rPr>
          <w:b/>
          <w:bCs/>
        </w:rPr>
      </w:pPr>
      <w:r w:rsidRPr="00934A11">
        <w:rPr>
          <w:b/>
          <w:bCs/>
        </w:rPr>
        <w:t>End</w:t>
      </w:r>
      <w:r w:rsidR="00A377C0" w:rsidRPr="00934A11">
        <w:rPr>
          <w:b/>
          <w:bCs/>
        </w:rPr>
        <w:t xml:space="preserve"> the practice of establishing </w:t>
      </w:r>
      <w:r w:rsidRPr="00934A11">
        <w:rPr>
          <w:b/>
          <w:bCs/>
        </w:rPr>
        <w:t>im</w:t>
      </w:r>
      <w:r w:rsidR="00A377C0" w:rsidRPr="00934A11">
        <w:rPr>
          <w:b/>
          <w:bCs/>
        </w:rPr>
        <w:t>migration counters in public hospitals, and of arresting undocumented migrant and asylum-seek</w:t>
      </w:r>
      <w:r w:rsidR="00A43D23">
        <w:rPr>
          <w:b/>
          <w:bCs/>
        </w:rPr>
        <w:t>ing women</w:t>
      </w:r>
      <w:r w:rsidR="00A377C0" w:rsidRPr="00934A11">
        <w:rPr>
          <w:b/>
          <w:bCs/>
        </w:rPr>
        <w:t xml:space="preserve"> who have just given birth</w:t>
      </w:r>
      <w:r w:rsidRPr="00934A11">
        <w:rPr>
          <w:b/>
          <w:bCs/>
        </w:rPr>
        <w:t xml:space="preserve"> in these hospitals</w:t>
      </w:r>
      <w:r w:rsidR="00A377C0" w:rsidRPr="00934A11">
        <w:rPr>
          <w:b/>
          <w:bCs/>
        </w:rPr>
        <w:t>;</w:t>
      </w:r>
    </w:p>
    <w:p w:rsidR="0026491C" w:rsidRPr="00934A11" w:rsidRDefault="00CF230F" w:rsidP="00934A11">
      <w:pPr>
        <w:pStyle w:val="Bullet1G"/>
        <w:numPr>
          <w:ilvl w:val="0"/>
          <w:numId w:val="53"/>
        </w:numPr>
        <w:ind w:firstLine="624"/>
        <w:rPr>
          <w:b/>
          <w:bCs/>
        </w:rPr>
      </w:pPr>
      <w:r w:rsidRPr="00934A11">
        <w:rPr>
          <w:b/>
          <w:bCs/>
        </w:rPr>
        <w:t>Ensure</w:t>
      </w:r>
      <w:r w:rsidR="00A377C0" w:rsidRPr="00934A11">
        <w:rPr>
          <w:b/>
          <w:bCs/>
        </w:rPr>
        <w:t xml:space="preserve"> that the conditions of immigration detention centres are up to international standards, and </w:t>
      </w:r>
      <w:r w:rsidR="00FA7160" w:rsidRPr="00934A11">
        <w:rPr>
          <w:b/>
          <w:bCs/>
        </w:rPr>
        <w:t xml:space="preserve">ensure that they </w:t>
      </w:r>
      <w:r w:rsidR="00A377C0" w:rsidRPr="00934A11">
        <w:rPr>
          <w:b/>
          <w:bCs/>
        </w:rPr>
        <w:t>are regularly monitored by the relevant authorities and institutions, including the Ministry of Health</w:t>
      </w:r>
      <w:r w:rsidRPr="00934A11">
        <w:rPr>
          <w:b/>
          <w:bCs/>
        </w:rPr>
        <w:t>,</w:t>
      </w:r>
      <w:r w:rsidR="00A377C0" w:rsidRPr="00934A11">
        <w:rPr>
          <w:b/>
          <w:bCs/>
        </w:rPr>
        <w:t xml:space="preserve"> Suhakam, the </w:t>
      </w:r>
      <w:r w:rsidR="00A43D23">
        <w:rPr>
          <w:b/>
          <w:bCs/>
        </w:rPr>
        <w:t>International Committee of the Red Cross</w:t>
      </w:r>
      <w:r w:rsidRPr="00934A11">
        <w:rPr>
          <w:b/>
          <w:bCs/>
        </w:rPr>
        <w:t>,</w:t>
      </w:r>
      <w:r w:rsidR="00A377C0" w:rsidRPr="00934A11">
        <w:rPr>
          <w:b/>
          <w:bCs/>
        </w:rPr>
        <w:t xml:space="preserve"> and UNHCR</w:t>
      </w:r>
      <w:r w:rsidR="0026491C" w:rsidRPr="00934A11">
        <w:rPr>
          <w:b/>
          <w:bCs/>
        </w:rPr>
        <w:t>;</w:t>
      </w:r>
    </w:p>
    <w:p w:rsidR="00A377C0" w:rsidRPr="00934A11" w:rsidRDefault="00FA7160" w:rsidP="00934A11">
      <w:pPr>
        <w:pStyle w:val="Bullet1G"/>
        <w:numPr>
          <w:ilvl w:val="0"/>
          <w:numId w:val="53"/>
        </w:numPr>
        <w:ind w:firstLine="624"/>
        <w:rPr>
          <w:b/>
          <w:bCs/>
        </w:rPr>
      </w:pPr>
      <w:r w:rsidRPr="00934A11">
        <w:rPr>
          <w:b/>
          <w:bCs/>
        </w:rPr>
        <w:t>Make sure that children are not detained in immigration detention centres, and find suitable alternatives to their detention</w:t>
      </w:r>
      <w:r w:rsidR="00A43D23">
        <w:rPr>
          <w:b/>
          <w:bCs/>
        </w:rPr>
        <w:t xml:space="preserve"> that</w:t>
      </w:r>
      <w:r w:rsidRPr="00934A11">
        <w:rPr>
          <w:b/>
          <w:bCs/>
        </w:rPr>
        <w:t xml:space="preserve"> preserv</w:t>
      </w:r>
      <w:r w:rsidR="00A43D23">
        <w:rPr>
          <w:b/>
          <w:bCs/>
        </w:rPr>
        <w:t>e</w:t>
      </w:r>
      <w:r w:rsidRPr="00934A11">
        <w:rPr>
          <w:b/>
          <w:bCs/>
        </w:rPr>
        <w:t xml:space="preserve"> the family unit and providing </w:t>
      </w:r>
      <w:r w:rsidR="00A43D23">
        <w:rPr>
          <w:b/>
          <w:bCs/>
        </w:rPr>
        <w:t>such children</w:t>
      </w:r>
      <w:r w:rsidR="00A43D23" w:rsidRPr="00934A11">
        <w:rPr>
          <w:b/>
          <w:bCs/>
        </w:rPr>
        <w:t xml:space="preserve"> </w:t>
      </w:r>
      <w:r w:rsidRPr="00934A11">
        <w:rPr>
          <w:b/>
          <w:bCs/>
        </w:rPr>
        <w:t>with the necessary environment and services;</w:t>
      </w:r>
    </w:p>
    <w:p w:rsidR="00E129B0" w:rsidRPr="00934A11" w:rsidRDefault="00FA7160" w:rsidP="00934A11">
      <w:pPr>
        <w:pStyle w:val="Bullet1G"/>
        <w:numPr>
          <w:ilvl w:val="0"/>
          <w:numId w:val="53"/>
        </w:numPr>
        <w:ind w:firstLine="624"/>
        <w:rPr>
          <w:b/>
          <w:bCs/>
        </w:rPr>
      </w:pPr>
      <w:r w:rsidRPr="00934A11">
        <w:rPr>
          <w:b/>
          <w:bCs/>
        </w:rPr>
        <w:t xml:space="preserve">Decriminalize sodomy and remove </w:t>
      </w:r>
      <w:r w:rsidR="00E129B0" w:rsidRPr="00934A11">
        <w:rPr>
          <w:b/>
          <w:bCs/>
        </w:rPr>
        <w:t>any</w:t>
      </w:r>
      <w:r w:rsidRPr="00934A11">
        <w:rPr>
          <w:b/>
          <w:bCs/>
        </w:rPr>
        <w:t xml:space="preserve"> legal provisions that criminalize same</w:t>
      </w:r>
      <w:r w:rsidR="00A43D23">
        <w:rPr>
          <w:b/>
          <w:bCs/>
        </w:rPr>
        <w:t>-</w:t>
      </w:r>
      <w:r w:rsidRPr="00934A11">
        <w:rPr>
          <w:b/>
          <w:bCs/>
        </w:rPr>
        <w:t>sex conduct and different forms of gender identity and expression</w:t>
      </w:r>
      <w:r w:rsidR="00A43D23">
        <w:rPr>
          <w:b/>
          <w:bCs/>
        </w:rPr>
        <w:t xml:space="preserve"> so</w:t>
      </w:r>
      <w:r w:rsidRPr="00934A11">
        <w:rPr>
          <w:b/>
          <w:bCs/>
        </w:rPr>
        <w:t xml:space="preserve"> as to guarantee that the existing legal framework is in </w:t>
      </w:r>
      <w:r w:rsidR="00A43D23">
        <w:rPr>
          <w:b/>
          <w:bCs/>
        </w:rPr>
        <w:t>accordance</w:t>
      </w:r>
      <w:r w:rsidR="00A43D23" w:rsidRPr="00934A11">
        <w:rPr>
          <w:b/>
          <w:bCs/>
        </w:rPr>
        <w:t xml:space="preserve"> </w:t>
      </w:r>
      <w:r w:rsidRPr="00934A11">
        <w:rPr>
          <w:b/>
          <w:bCs/>
        </w:rPr>
        <w:t>with the Federal Constitution and international human rights law</w:t>
      </w:r>
      <w:r w:rsidR="00E129B0" w:rsidRPr="00934A11">
        <w:rPr>
          <w:b/>
          <w:bCs/>
        </w:rPr>
        <w:t xml:space="preserve">, </w:t>
      </w:r>
    </w:p>
    <w:p w:rsidR="00FA7160" w:rsidRPr="00934A11" w:rsidRDefault="00E129B0" w:rsidP="00934A11">
      <w:pPr>
        <w:pStyle w:val="Bullet1G"/>
        <w:numPr>
          <w:ilvl w:val="0"/>
          <w:numId w:val="53"/>
        </w:numPr>
        <w:ind w:firstLine="624"/>
        <w:rPr>
          <w:b/>
          <w:bCs/>
        </w:rPr>
      </w:pPr>
      <w:r w:rsidRPr="00934A11">
        <w:rPr>
          <w:b/>
          <w:bCs/>
        </w:rPr>
        <w:lastRenderedPageBreak/>
        <w:t>Legally recogni</w:t>
      </w:r>
      <w:r w:rsidR="00A43D23">
        <w:rPr>
          <w:b/>
          <w:bCs/>
        </w:rPr>
        <w:t>z</w:t>
      </w:r>
      <w:r w:rsidRPr="00934A11">
        <w:rPr>
          <w:b/>
          <w:bCs/>
        </w:rPr>
        <w:t>e the gender identity of transgender people and prohibit any discrimination on the basis of gender identity in all areas</w:t>
      </w:r>
      <w:r w:rsidR="000E3F53" w:rsidRPr="00934A11">
        <w:rPr>
          <w:b/>
          <w:bCs/>
        </w:rPr>
        <w:t>,</w:t>
      </w:r>
      <w:r w:rsidRPr="00934A11">
        <w:rPr>
          <w:b/>
          <w:bCs/>
        </w:rPr>
        <w:t xml:space="preserve"> including health, education, employment and access to public services;</w:t>
      </w:r>
      <w:r w:rsidR="00FA7160" w:rsidRPr="00934A11">
        <w:rPr>
          <w:b/>
          <w:bCs/>
        </w:rPr>
        <w:t xml:space="preserve"> </w:t>
      </w:r>
    </w:p>
    <w:p w:rsidR="007F0EC6" w:rsidRPr="00934A11" w:rsidRDefault="00FA7160" w:rsidP="00934A11">
      <w:pPr>
        <w:pStyle w:val="Bullet1G"/>
        <w:numPr>
          <w:ilvl w:val="0"/>
          <w:numId w:val="53"/>
        </w:numPr>
        <w:ind w:firstLine="624"/>
        <w:rPr>
          <w:b/>
          <w:bCs/>
        </w:rPr>
      </w:pPr>
      <w:r w:rsidRPr="00934A11">
        <w:rPr>
          <w:b/>
          <w:bCs/>
        </w:rPr>
        <w:t>Put an end to State-led programme</w:t>
      </w:r>
      <w:r w:rsidR="00E129B0" w:rsidRPr="00934A11">
        <w:rPr>
          <w:b/>
          <w:bCs/>
        </w:rPr>
        <w:t>s</w:t>
      </w:r>
      <w:r w:rsidRPr="00934A11">
        <w:rPr>
          <w:b/>
          <w:bCs/>
        </w:rPr>
        <w:t xml:space="preserve"> </w:t>
      </w:r>
      <w:r w:rsidR="000E3F53" w:rsidRPr="00934A11">
        <w:rPr>
          <w:b/>
          <w:bCs/>
        </w:rPr>
        <w:t>that</w:t>
      </w:r>
      <w:r w:rsidRPr="00934A11">
        <w:rPr>
          <w:b/>
          <w:bCs/>
        </w:rPr>
        <w:t xml:space="preserve"> expose and punish LGBT children, and e</w:t>
      </w:r>
      <w:r w:rsidR="007F0EC6" w:rsidRPr="00934A11">
        <w:rPr>
          <w:b/>
          <w:bCs/>
        </w:rPr>
        <w:t xml:space="preserve">nsure that </w:t>
      </w:r>
      <w:r w:rsidR="000435B3" w:rsidRPr="00934A11">
        <w:rPr>
          <w:b/>
          <w:bCs/>
        </w:rPr>
        <w:t>they</w:t>
      </w:r>
      <w:r w:rsidR="007F0EC6" w:rsidRPr="00934A11">
        <w:rPr>
          <w:b/>
          <w:bCs/>
        </w:rPr>
        <w:t xml:space="preserve"> enjoy safe and enabling space</w:t>
      </w:r>
      <w:r w:rsidR="00E129B0" w:rsidRPr="00934A11">
        <w:rPr>
          <w:b/>
          <w:bCs/>
        </w:rPr>
        <w:t>s</w:t>
      </w:r>
      <w:r w:rsidR="007F0EC6" w:rsidRPr="00934A11">
        <w:rPr>
          <w:b/>
          <w:bCs/>
        </w:rPr>
        <w:t xml:space="preserve"> in schools, and other </w:t>
      </w:r>
      <w:r w:rsidRPr="00934A11">
        <w:rPr>
          <w:b/>
          <w:bCs/>
        </w:rPr>
        <w:t>public and private institutions;</w:t>
      </w:r>
    </w:p>
    <w:p w:rsidR="00FA7160" w:rsidRPr="00934A11" w:rsidRDefault="00CF230F" w:rsidP="00934A11">
      <w:pPr>
        <w:pStyle w:val="Bullet1G"/>
        <w:numPr>
          <w:ilvl w:val="0"/>
          <w:numId w:val="53"/>
        </w:numPr>
        <w:ind w:firstLine="624"/>
        <w:rPr>
          <w:b/>
          <w:bCs/>
        </w:rPr>
      </w:pPr>
      <w:r w:rsidRPr="00934A11">
        <w:rPr>
          <w:b/>
          <w:bCs/>
        </w:rPr>
        <w:t>A</w:t>
      </w:r>
      <w:r w:rsidR="00C06D6A" w:rsidRPr="00934A11">
        <w:rPr>
          <w:b/>
          <w:bCs/>
        </w:rPr>
        <w:t xml:space="preserve">ddress new trends </w:t>
      </w:r>
      <w:r w:rsidRPr="00934A11">
        <w:rPr>
          <w:b/>
          <w:bCs/>
        </w:rPr>
        <w:t>of the HIV/AIDS epidemic with non-discriminatory policies</w:t>
      </w:r>
      <w:r w:rsidR="00C06D6A" w:rsidRPr="00934A11">
        <w:rPr>
          <w:b/>
          <w:bCs/>
        </w:rPr>
        <w:t xml:space="preserve"> and comprehensive educational and information campaigns</w:t>
      </w:r>
      <w:r w:rsidRPr="00934A11">
        <w:rPr>
          <w:b/>
          <w:bCs/>
        </w:rPr>
        <w:t>;</w:t>
      </w:r>
    </w:p>
    <w:p w:rsidR="00C06D6A" w:rsidRPr="00934A11" w:rsidRDefault="00C06D6A" w:rsidP="00934A11">
      <w:pPr>
        <w:pStyle w:val="Bullet1G"/>
        <w:numPr>
          <w:ilvl w:val="0"/>
          <w:numId w:val="53"/>
        </w:numPr>
        <w:ind w:firstLine="624"/>
        <w:rPr>
          <w:b/>
          <w:bCs/>
        </w:rPr>
      </w:pPr>
      <w:r w:rsidRPr="00934A11">
        <w:rPr>
          <w:b/>
          <w:bCs/>
        </w:rPr>
        <w:t>Amend the Drug Dependants Act to remove compulsory drug treatment and HIV testing, and make sure that voluntary, medically</w:t>
      </w:r>
      <w:r w:rsidR="00A43D23">
        <w:rPr>
          <w:b/>
          <w:bCs/>
        </w:rPr>
        <w:t xml:space="preserve"> </w:t>
      </w:r>
      <w:r w:rsidRPr="00934A11">
        <w:rPr>
          <w:b/>
          <w:bCs/>
        </w:rPr>
        <w:t>assisted and evidence</w:t>
      </w:r>
      <w:r w:rsidR="00A43D23">
        <w:rPr>
          <w:b/>
          <w:bCs/>
        </w:rPr>
        <w:t>-</w:t>
      </w:r>
      <w:r w:rsidRPr="00934A11">
        <w:rPr>
          <w:b/>
          <w:bCs/>
        </w:rPr>
        <w:t>based approaches are used;</w:t>
      </w:r>
    </w:p>
    <w:p w:rsidR="00C06D6A" w:rsidRPr="00934A11" w:rsidRDefault="004904DB" w:rsidP="00934A11">
      <w:pPr>
        <w:pStyle w:val="Bullet1G"/>
        <w:numPr>
          <w:ilvl w:val="0"/>
          <w:numId w:val="53"/>
        </w:numPr>
        <w:ind w:firstLine="624"/>
        <w:rPr>
          <w:b/>
          <w:bCs/>
        </w:rPr>
      </w:pPr>
      <w:r w:rsidRPr="00934A11">
        <w:rPr>
          <w:b/>
          <w:bCs/>
        </w:rPr>
        <w:t xml:space="preserve">Ban corporal punishment in public and private settings, and change the focus of child policies </w:t>
      </w:r>
      <w:r w:rsidR="00CF230F" w:rsidRPr="00934A11">
        <w:rPr>
          <w:b/>
          <w:bCs/>
        </w:rPr>
        <w:t>to move</w:t>
      </w:r>
      <w:r w:rsidRPr="00934A11">
        <w:rPr>
          <w:b/>
          <w:bCs/>
        </w:rPr>
        <w:t xml:space="preserve"> away from p</w:t>
      </w:r>
      <w:r w:rsidR="00CF230F" w:rsidRPr="00934A11">
        <w:rPr>
          <w:b/>
          <w:bCs/>
        </w:rPr>
        <w:t>unitive approaches to promote</w:t>
      </w:r>
      <w:r w:rsidRPr="00934A11">
        <w:rPr>
          <w:b/>
          <w:bCs/>
        </w:rPr>
        <w:t xml:space="preserve"> the well-being and autonomy of children;</w:t>
      </w:r>
    </w:p>
    <w:p w:rsidR="008E7D11" w:rsidRPr="0074115C" w:rsidRDefault="008E7D11" w:rsidP="00934A11">
      <w:pPr>
        <w:pStyle w:val="Bullet1G"/>
        <w:numPr>
          <w:ilvl w:val="0"/>
          <w:numId w:val="53"/>
        </w:numPr>
        <w:ind w:firstLine="624"/>
        <w:rPr>
          <w:b/>
          <w:bCs/>
        </w:rPr>
      </w:pPr>
      <w:r w:rsidRPr="00934A11">
        <w:rPr>
          <w:b/>
          <w:bCs/>
        </w:rPr>
        <w:t xml:space="preserve">Continue developing </w:t>
      </w:r>
      <w:r w:rsidR="005F7C58" w:rsidRPr="00934A11">
        <w:rPr>
          <w:b/>
          <w:bCs/>
        </w:rPr>
        <w:t>a</w:t>
      </w:r>
      <w:r w:rsidR="00FD1A69" w:rsidRPr="00934A11">
        <w:rPr>
          <w:b/>
          <w:bCs/>
        </w:rPr>
        <w:t xml:space="preserve"> system of </w:t>
      </w:r>
      <w:r w:rsidR="00544B0F" w:rsidRPr="00934A11">
        <w:rPr>
          <w:b/>
          <w:bCs/>
        </w:rPr>
        <w:t xml:space="preserve">user-friendly </w:t>
      </w:r>
      <w:r w:rsidRPr="00934A11">
        <w:rPr>
          <w:b/>
          <w:bCs/>
        </w:rPr>
        <w:t>community-based services for children and adult</w:t>
      </w:r>
      <w:r w:rsidR="005F7C58" w:rsidRPr="00934A11">
        <w:rPr>
          <w:b/>
          <w:bCs/>
        </w:rPr>
        <w:t>s</w:t>
      </w:r>
      <w:r w:rsidRPr="00934A11">
        <w:rPr>
          <w:b/>
          <w:bCs/>
        </w:rPr>
        <w:t xml:space="preserve"> with developmental and</w:t>
      </w:r>
      <w:r w:rsidR="00071F32" w:rsidRPr="00934A11">
        <w:rPr>
          <w:b/>
          <w:bCs/>
        </w:rPr>
        <w:t xml:space="preserve"> </w:t>
      </w:r>
      <w:r w:rsidR="005F7C58" w:rsidRPr="00934A11">
        <w:rPr>
          <w:b/>
          <w:bCs/>
        </w:rPr>
        <w:t>psychosocial</w:t>
      </w:r>
      <w:r w:rsidRPr="00934A11">
        <w:rPr>
          <w:b/>
          <w:bCs/>
        </w:rPr>
        <w:t xml:space="preserve"> disabilities, and ensure that </w:t>
      </w:r>
      <w:r w:rsidR="000E3F53" w:rsidRPr="00934A11">
        <w:rPr>
          <w:b/>
          <w:bCs/>
        </w:rPr>
        <w:t xml:space="preserve">the </w:t>
      </w:r>
      <w:r w:rsidRPr="00934A11">
        <w:rPr>
          <w:b/>
          <w:bCs/>
        </w:rPr>
        <w:t xml:space="preserve">rights of these persons are respected, promoted </w:t>
      </w:r>
      <w:r w:rsidR="00544B0F" w:rsidRPr="00934A11">
        <w:rPr>
          <w:b/>
          <w:bCs/>
        </w:rPr>
        <w:t xml:space="preserve">and </w:t>
      </w:r>
      <w:r w:rsidRPr="00934A11">
        <w:rPr>
          <w:b/>
          <w:bCs/>
        </w:rPr>
        <w:t xml:space="preserve">protected in </w:t>
      </w:r>
      <w:r w:rsidR="00A43D23">
        <w:rPr>
          <w:b/>
          <w:bCs/>
        </w:rPr>
        <w:t>accordance</w:t>
      </w:r>
      <w:r w:rsidR="00A43D23" w:rsidRPr="00934A11">
        <w:rPr>
          <w:b/>
          <w:bCs/>
        </w:rPr>
        <w:t xml:space="preserve"> </w:t>
      </w:r>
      <w:r w:rsidR="005F7C58" w:rsidRPr="00934A11">
        <w:rPr>
          <w:b/>
          <w:bCs/>
        </w:rPr>
        <w:t>with</w:t>
      </w:r>
      <w:r w:rsidRPr="00934A11">
        <w:rPr>
          <w:b/>
          <w:bCs/>
        </w:rPr>
        <w:t xml:space="preserve"> the standards set by the </w:t>
      </w:r>
      <w:r w:rsidR="00A43D23">
        <w:rPr>
          <w:b/>
          <w:bCs/>
        </w:rPr>
        <w:t>Convention on the Rights of Persons with Disabilities</w:t>
      </w:r>
      <w:r w:rsidR="005F7C58" w:rsidRPr="00934A11">
        <w:rPr>
          <w:b/>
          <w:bCs/>
        </w:rPr>
        <w:t>.</w:t>
      </w:r>
    </w:p>
    <w:p w:rsidR="00545386" w:rsidRPr="00934A11" w:rsidRDefault="00AC335D" w:rsidP="00AC335D">
      <w:pPr>
        <w:pStyle w:val="SingleTxtG"/>
        <w:spacing w:before="240" w:after="0"/>
        <w:jc w:val="center"/>
        <w:rPr>
          <w:bCs/>
          <w:u w:val="single"/>
        </w:rPr>
      </w:pPr>
      <w:r w:rsidRPr="00934A11">
        <w:rPr>
          <w:bCs/>
          <w:u w:val="single"/>
        </w:rPr>
        <w:tab/>
      </w:r>
      <w:r w:rsidRPr="00934A11">
        <w:rPr>
          <w:bCs/>
          <w:u w:val="single"/>
        </w:rPr>
        <w:tab/>
      </w:r>
      <w:r w:rsidRPr="00934A11">
        <w:rPr>
          <w:bCs/>
          <w:u w:val="single"/>
        </w:rPr>
        <w:tab/>
      </w:r>
    </w:p>
    <w:sectPr w:rsidR="00545386" w:rsidRPr="00934A11" w:rsidSect="005441E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AF" w:rsidRDefault="00AA5FAF"/>
  </w:endnote>
  <w:endnote w:type="continuationSeparator" w:id="0">
    <w:p w:rsidR="00AA5FAF" w:rsidRDefault="00AA5FAF"/>
  </w:endnote>
  <w:endnote w:type="continuationNotice" w:id="1">
    <w:p w:rsidR="00AA5FAF" w:rsidRDefault="00AA5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1E" w:rsidRPr="009D108A" w:rsidRDefault="0027611E" w:rsidP="009D108A">
    <w:pPr>
      <w:pStyle w:val="Footer"/>
      <w:tabs>
        <w:tab w:val="right" w:pos="9638"/>
      </w:tabs>
    </w:pPr>
    <w:r>
      <w:fldChar w:fldCharType="begin"/>
    </w:r>
    <w:r>
      <w:instrText xml:space="preserve"> PAGE  \* MERGEFORMAT </w:instrText>
    </w:r>
    <w:r>
      <w:fldChar w:fldCharType="separate"/>
    </w:r>
    <w:r w:rsidR="00526D30" w:rsidRPr="00526D30">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1E" w:rsidRPr="009D108A" w:rsidRDefault="0027611E" w:rsidP="009D108A">
    <w:pPr>
      <w:pStyle w:val="Footer"/>
      <w:tabs>
        <w:tab w:val="right" w:pos="9638"/>
      </w:tabs>
      <w:rPr>
        <w:b/>
        <w:sz w:val="18"/>
      </w:rPr>
    </w:pPr>
    <w:r>
      <w:tab/>
    </w:r>
    <w:r>
      <w:fldChar w:fldCharType="begin"/>
    </w:r>
    <w:r>
      <w:instrText xml:space="preserve"> PAGE  \* MERGEFORMAT </w:instrText>
    </w:r>
    <w:r>
      <w:fldChar w:fldCharType="separate"/>
    </w:r>
    <w:r w:rsidR="00526D30" w:rsidRPr="00526D30">
      <w:rPr>
        <w:b/>
        <w:noProof/>
        <w:sz w:val="18"/>
      </w:rPr>
      <w:t>21</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1E" w:rsidRPr="009D108A" w:rsidRDefault="00B21BC1" w:rsidP="00542574">
    <w:r>
      <w:rPr>
        <w:noProof/>
        <w:lang w:eastAsia="zh-CN"/>
      </w:rPr>
      <w:drawing>
        <wp:anchor distT="0" distB="0" distL="114300" distR="114300" simplePos="0" relativeHeight="251657728" behindDoc="0" locked="1" layoutInCell="1" allowOverlap="1">
          <wp:simplePos x="0" y="0"/>
          <wp:positionH relativeFrom="column">
            <wp:posOffset>4322445</wp:posOffset>
          </wp:positionH>
          <wp:positionV relativeFrom="paragraph">
            <wp:posOffset>230505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11E">
      <w:t>GE.15-</w:t>
    </w:r>
    <w:r w:rsidR="00DD5F1F">
      <w:t>08706</w:t>
    </w:r>
    <w:r>
      <w:t xml:space="preserve">  (E)</w:t>
    </w:r>
    <w:r>
      <w:br/>
    </w:r>
    <w:r w:rsidRPr="00B21BC1">
      <w:rPr>
        <w:rFonts w:ascii="C39T30Lfz" w:hAnsi="C39T30Lfz"/>
        <w:sz w:val="56"/>
      </w:rPr>
      <w:t></w:t>
    </w:r>
    <w:r w:rsidRPr="00B21BC1">
      <w:rPr>
        <w:rFonts w:ascii="C39T30Lfz" w:hAnsi="C39T30Lfz"/>
        <w:sz w:val="56"/>
      </w:rPr>
      <w:t></w:t>
    </w:r>
    <w:r w:rsidRPr="00B21BC1">
      <w:rPr>
        <w:rFonts w:ascii="C39T30Lfz" w:hAnsi="C39T30Lfz"/>
        <w:sz w:val="56"/>
      </w:rPr>
      <w:t></w:t>
    </w:r>
    <w:r w:rsidRPr="00B21BC1">
      <w:rPr>
        <w:rFonts w:ascii="C39T30Lfz" w:hAnsi="C39T30Lfz"/>
        <w:sz w:val="56"/>
      </w:rPr>
      <w:t></w:t>
    </w:r>
    <w:r w:rsidRPr="00B21BC1">
      <w:rPr>
        <w:rFonts w:ascii="C39T30Lfz" w:hAnsi="C39T30Lfz"/>
        <w:sz w:val="56"/>
      </w:rPr>
      <w:t></w:t>
    </w:r>
    <w:r w:rsidRPr="00B21BC1">
      <w:rPr>
        <w:rFonts w:ascii="C39T30Lfz" w:hAnsi="C39T30Lfz"/>
        <w:sz w:val="56"/>
      </w:rPr>
      <w:t></w:t>
    </w:r>
    <w:r w:rsidRPr="00B21BC1">
      <w:rPr>
        <w:rFonts w:ascii="C39T30Lfz" w:hAnsi="C39T30Lfz"/>
        <w:sz w:val="56"/>
      </w:rPr>
      <w:t></w:t>
    </w:r>
    <w:r w:rsidRPr="00B21BC1">
      <w:rPr>
        <w:rFonts w:ascii="C39T30Lfz" w:hAnsi="C39T30Lfz"/>
        <w:sz w:val="56"/>
      </w:rPr>
      <w:t></w:t>
    </w:r>
    <w:r w:rsidRPr="00B21BC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AF" w:rsidRPr="000B175B" w:rsidRDefault="00AA5FAF" w:rsidP="000B175B">
      <w:pPr>
        <w:tabs>
          <w:tab w:val="right" w:pos="2155"/>
        </w:tabs>
        <w:spacing w:after="80"/>
        <w:ind w:left="680"/>
        <w:rPr>
          <w:u w:val="single"/>
        </w:rPr>
      </w:pPr>
      <w:r>
        <w:rPr>
          <w:u w:val="single"/>
        </w:rPr>
        <w:tab/>
      </w:r>
    </w:p>
  </w:footnote>
  <w:footnote w:type="continuationSeparator" w:id="0">
    <w:p w:rsidR="00AA5FAF" w:rsidRPr="00FC68B7" w:rsidRDefault="00AA5FAF" w:rsidP="00FC68B7">
      <w:pPr>
        <w:tabs>
          <w:tab w:val="left" w:pos="2155"/>
        </w:tabs>
        <w:spacing w:after="80"/>
        <w:ind w:left="680"/>
        <w:rPr>
          <w:u w:val="single"/>
        </w:rPr>
      </w:pPr>
      <w:r>
        <w:rPr>
          <w:u w:val="single"/>
        </w:rPr>
        <w:tab/>
      </w:r>
    </w:p>
  </w:footnote>
  <w:footnote w:type="continuationNotice" w:id="1">
    <w:p w:rsidR="00AA5FAF" w:rsidRDefault="00AA5FAF"/>
  </w:footnote>
  <w:footnote w:id="2">
    <w:p w:rsidR="0067771F" w:rsidRPr="00025686" w:rsidRDefault="0067771F" w:rsidP="0067771F">
      <w:pPr>
        <w:pStyle w:val="FootnoteText"/>
      </w:pPr>
      <w:r w:rsidRPr="00934A11">
        <w:rPr>
          <w:rStyle w:val="FootnoteReference"/>
          <w:sz w:val="20"/>
        </w:rPr>
        <w:tab/>
      </w:r>
      <w:r w:rsidRPr="00B21BC1">
        <w:rPr>
          <w:rStyle w:val="FootnoteReference"/>
          <w:sz w:val="20"/>
          <w:vertAlign w:val="baseline"/>
        </w:rPr>
        <w:t>*</w:t>
      </w:r>
      <w:r>
        <w:rPr>
          <w:rStyle w:val="FootnoteReference"/>
          <w:sz w:val="20"/>
          <w:vertAlign w:val="baseline"/>
        </w:rPr>
        <w:tab/>
      </w:r>
      <w:r w:rsidRPr="00815428">
        <w:rPr>
          <w:szCs w:val="18"/>
        </w:rPr>
        <w:t>The summary of the present report is being issued in all official languages. The report itself, contained in the annex to the summary, is being issued in the language of submission only.</w:t>
      </w:r>
    </w:p>
  </w:footnote>
  <w:footnote w:id="3">
    <w:p w:rsidR="0027611E" w:rsidRPr="00971F43" w:rsidRDefault="0027611E">
      <w:pPr>
        <w:pStyle w:val="FootnoteText"/>
      </w:pPr>
      <w:r>
        <w:tab/>
      </w:r>
      <w:r w:rsidRPr="00680816">
        <w:rPr>
          <w:rStyle w:val="FootnoteReference"/>
        </w:rPr>
        <w:footnoteRef/>
      </w:r>
      <w:r>
        <w:tab/>
        <w:t xml:space="preserve">World Bank data, available from </w:t>
      </w:r>
      <w:hyperlink r:id="rId1" w:history="1">
        <w:r w:rsidRPr="008F2EB8">
          <w:rPr>
            <w:rStyle w:val="Hyperlink"/>
          </w:rPr>
          <w:t>http://data.worldbank.org/country/malaysia</w:t>
        </w:r>
      </w:hyperlink>
      <w:r>
        <w:t>.</w:t>
      </w:r>
    </w:p>
  </w:footnote>
  <w:footnote w:id="4">
    <w:p w:rsidR="0027611E" w:rsidRPr="00695F03" w:rsidRDefault="0027611E">
      <w:pPr>
        <w:pStyle w:val="FootnoteText"/>
      </w:pPr>
      <w:r>
        <w:tab/>
      </w:r>
      <w:r w:rsidRPr="00680816">
        <w:rPr>
          <w:rStyle w:val="FootnoteReference"/>
        </w:rPr>
        <w:footnoteRef/>
      </w:r>
      <w:r>
        <w:tab/>
      </w:r>
      <w:r w:rsidRPr="00A45B8A">
        <w:t xml:space="preserve">Data </w:t>
      </w:r>
      <w:r>
        <w:t>from</w:t>
      </w:r>
      <w:r w:rsidRPr="00A45B8A">
        <w:t xml:space="preserve"> </w:t>
      </w:r>
      <w:r>
        <w:t>the Economic Planning Unit of the Prime Minister’s Department.</w:t>
      </w:r>
    </w:p>
  </w:footnote>
  <w:footnote w:id="5">
    <w:p w:rsidR="0027611E" w:rsidRPr="007C60F3" w:rsidRDefault="0027611E">
      <w:pPr>
        <w:pStyle w:val="FootnoteText"/>
      </w:pPr>
      <w:r>
        <w:tab/>
      </w:r>
      <w:r w:rsidRPr="00680816">
        <w:rPr>
          <w:rStyle w:val="FootnoteReference"/>
        </w:rPr>
        <w:footnoteRef/>
      </w:r>
      <w:r>
        <w:tab/>
        <w:t>Data from the Macroeconomics Section</w:t>
      </w:r>
      <w:r w:rsidRPr="007C60F3">
        <w:t xml:space="preserve"> </w:t>
      </w:r>
      <w:r>
        <w:t xml:space="preserve">of the </w:t>
      </w:r>
      <w:r w:rsidRPr="007C60F3">
        <w:t>Economic Planning Unit</w:t>
      </w:r>
      <w:r>
        <w:t>.</w:t>
      </w:r>
    </w:p>
  </w:footnote>
  <w:footnote w:id="6">
    <w:p w:rsidR="0027611E" w:rsidRPr="00FE0BC1" w:rsidRDefault="0027611E">
      <w:pPr>
        <w:pStyle w:val="FootnoteText"/>
      </w:pPr>
      <w:r>
        <w:tab/>
      </w:r>
      <w:r w:rsidRPr="00680816">
        <w:rPr>
          <w:rStyle w:val="FootnoteReference"/>
        </w:rPr>
        <w:footnoteRef/>
      </w:r>
      <w:r>
        <w:tab/>
        <w:t xml:space="preserve">The World Bank, Global Poverty Working Group, </w:t>
      </w:r>
      <w:r w:rsidRPr="000031A1">
        <w:rPr>
          <w:lang w:val="en"/>
        </w:rPr>
        <w:t>Rural poverty headcount ratio at national poverty lines (</w:t>
      </w:r>
      <w:r>
        <w:rPr>
          <w:lang w:val="en"/>
        </w:rPr>
        <w:t>percentage</w:t>
      </w:r>
      <w:r w:rsidRPr="000031A1">
        <w:rPr>
          <w:lang w:val="en"/>
        </w:rPr>
        <w:t xml:space="preserve"> of rural population)</w:t>
      </w:r>
      <w:r>
        <w:rPr>
          <w:lang w:val="en"/>
        </w:rPr>
        <w:t xml:space="preserve">. Available from </w:t>
      </w:r>
      <w:r w:rsidRPr="000C2E22">
        <w:rPr>
          <w:lang w:val="en"/>
        </w:rPr>
        <w:t>http://data.worldbank.org/indicator/SI.POV.RUHC</w:t>
      </w:r>
      <w:r>
        <w:rPr>
          <w:lang w:val="en"/>
        </w:rPr>
        <w:t>.</w:t>
      </w:r>
    </w:p>
  </w:footnote>
  <w:footnote w:id="7">
    <w:p w:rsidR="0027611E" w:rsidRPr="002B50EF" w:rsidRDefault="0027611E" w:rsidP="0010247A">
      <w:pPr>
        <w:pStyle w:val="FootnoteText"/>
        <w:jc w:val="both"/>
      </w:pPr>
      <w:r>
        <w:tab/>
      </w:r>
      <w:r w:rsidRPr="00680816">
        <w:rPr>
          <w:rStyle w:val="FootnoteReference"/>
        </w:rPr>
        <w:footnoteRef/>
      </w:r>
      <w:r>
        <w:tab/>
      </w:r>
      <w:r w:rsidRPr="002B50EF">
        <w:t xml:space="preserve">Ministry of Health Malaysia, </w:t>
      </w:r>
      <w:r>
        <w:t>“</w:t>
      </w:r>
      <w:r w:rsidRPr="002B50EF">
        <w:t>Strategic Plan (2006</w:t>
      </w:r>
      <w:r>
        <w:t>–</w:t>
      </w:r>
      <w:r w:rsidRPr="002B50EF">
        <w:t>2010)</w:t>
      </w:r>
      <w:r>
        <w:t>”</w:t>
      </w:r>
      <w:r w:rsidRPr="002B50EF">
        <w:t>, April 2008, p.</w:t>
      </w:r>
      <w:r>
        <w:t> </w:t>
      </w:r>
      <w:r w:rsidRPr="002B50EF">
        <w:t>4.</w:t>
      </w:r>
      <w:r>
        <w:t xml:space="preserve"> </w:t>
      </w:r>
    </w:p>
  </w:footnote>
  <w:footnote w:id="8">
    <w:p w:rsidR="0027611E" w:rsidRPr="00317C6E" w:rsidRDefault="0027611E" w:rsidP="000031A1">
      <w:pPr>
        <w:pStyle w:val="FootnoteText"/>
      </w:pPr>
      <w:r>
        <w:rPr>
          <w:i/>
        </w:rPr>
        <w:tab/>
      </w:r>
      <w:r w:rsidRPr="00680816">
        <w:rPr>
          <w:rStyle w:val="FootnoteReference"/>
        </w:rPr>
        <w:footnoteRef/>
      </w:r>
      <w:r w:rsidRPr="00317C6E">
        <w:tab/>
      </w:r>
      <w:r>
        <w:t>Safurah Jaafar and others, “</w:t>
      </w:r>
      <w:r w:rsidRPr="002B50EF">
        <w:t>Malaysia Health System Review</w:t>
      </w:r>
      <w:r>
        <w:t>”</w:t>
      </w:r>
      <w:r w:rsidRPr="002B50EF">
        <w:t xml:space="preserve">, </w:t>
      </w:r>
      <w:r w:rsidRPr="002B50EF">
        <w:rPr>
          <w:i/>
        </w:rPr>
        <w:t>Health Systems in Transition</w:t>
      </w:r>
      <w:r w:rsidRPr="002B50EF">
        <w:t xml:space="preserve">, </w:t>
      </w:r>
      <w:r>
        <w:t>v</w:t>
      </w:r>
      <w:r w:rsidRPr="002B50EF">
        <w:t>ol.</w:t>
      </w:r>
      <w:r>
        <w:t> </w:t>
      </w:r>
      <w:r w:rsidRPr="002B50EF">
        <w:t>3</w:t>
      </w:r>
      <w:r>
        <w:t>,</w:t>
      </w:r>
      <w:r w:rsidRPr="002B50EF">
        <w:t xml:space="preserve"> No.</w:t>
      </w:r>
      <w:r>
        <w:t> </w:t>
      </w:r>
      <w:r w:rsidRPr="002B50EF">
        <w:t xml:space="preserve">1 </w:t>
      </w:r>
      <w:r>
        <w:t>(</w:t>
      </w:r>
      <w:r w:rsidRPr="002B50EF">
        <w:t>2013, Asia Pacific Observatory on He</w:t>
      </w:r>
      <w:r>
        <w:t>alth Systems and Policies).</w:t>
      </w:r>
    </w:p>
  </w:footnote>
  <w:footnote w:id="9">
    <w:p w:rsidR="0027611E" w:rsidRPr="007E655D" w:rsidRDefault="0027611E">
      <w:pPr>
        <w:pStyle w:val="FootnoteText"/>
      </w:pPr>
      <w:r>
        <w:tab/>
      </w:r>
      <w:r w:rsidRPr="00680816">
        <w:rPr>
          <w:rStyle w:val="FootnoteReference"/>
        </w:rPr>
        <w:footnoteRef/>
      </w:r>
      <w:r>
        <w:tab/>
        <w:t>Data provided b</w:t>
      </w:r>
      <w:r w:rsidRPr="007E655D">
        <w:t>y Ministry of Health during the visit</w:t>
      </w:r>
      <w:r>
        <w:t>.</w:t>
      </w:r>
    </w:p>
  </w:footnote>
  <w:footnote w:id="10">
    <w:p w:rsidR="0027611E" w:rsidRPr="0091270E" w:rsidRDefault="0027611E" w:rsidP="00797996">
      <w:pPr>
        <w:pStyle w:val="FootnoteText"/>
      </w:pPr>
      <w:r>
        <w:tab/>
      </w:r>
      <w:r w:rsidRPr="00680816">
        <w:rPr>
          <w:rStyle w:val="FootnoteReference"/>
        </w:rPr>
        <w:footnoteRef/>
      </w:r>
      <w:r>
        <w:tab/>
      </w:r>
      <w:r>
        <w:rPr>
          <w:lang w:eastAsia="en-GB"/>
        </w:rPr>
        <w:t xml:space="preserve">World Bank, health expenditure, total (% of GDP). </w:t>
      </w:r>
    </w:p>
  </w:footnote>
  <w:footnote w:id="11">
    <w:p w:rsidR="0027611E" w:rsidRPr="00F65F38" w:rsidRDefault="0027611E" w:rsidP="00797996">
      <w:pPr>
        <w:pStyle w:val="FootnoteText"/>
      </w:pPr>
      <w:r>
        <w:tab/>
      </w:r>
      <w:r w:rsidRPr="00680816">
        <w:rPr>
          <w:rStyle w:val="FootnoteReference"/>
        </w:rPr>
        <w:footnoteRef/>
      </w:r>
      <w:r>
        <w:tab/>
        <w:t>Malaysia National Health Accounts, “Health Expenditure Report, 1997–2013”.</w:t>
      </w:r>
    </w:p>
  </w:footnote>
  <w:footnote w:id="12">
    <w:p w:rsidR="0027611E" w:rsidRPr="009C6732" w:rsidRDefault="0027611E">
      <w:pPr>
        <w:pStyle w:val="FootnoteText"/>
      </w:pPr>
      <w:r>
        <w:tab/>
      </w:r>
      <w:r w:rsidRPr="00680816">
        <w:rPr>
          <w:rStyle w:val="FootnoteReference"/>
        </w:rPr>
        <w:footnoteRef/>
      </w:r>
      <w:r>
        <w:tab/>
        <w:t>Malaysia, Ministry of Health, Household Expenditure Surve</w:t>
      </w:r>
      <w:r w:rsidRPr="009C6732">
        <w:t>y (2004), cited in</w:t>
      </w:r>
      <w:r>
        <w:t xml:space="preserve"> “</w:t>
      </w:r>
      <w:r w:rsidRPr="00340E7B">
        <w:t xml:space="preserve">Country </w:t>
      </w:r>
      <w:r>
        <w:t>Health Plan, 10th Malaysia Plan (</w:t>
      </w:r>
      <w:r w:rsidRPr="00340E7B">
        <w:t>2011</w:t>
      </w:r>
      <w:r>
        <w:t>–</w:t>
      </w:r>
      <w:r w:rsidRPr="00340E7B">
        <w:t>2015</w:t>
      </w:r>
      <w:r>
        <w:t xml:space="preserve">)”, </w:t>
      </w:r>
      <w:r w:rsidRPr="009C6732">
        <w:t>p.</w:t>
      </w:r>
      <w:r>
        <w:t> 25.</w:t>
      </w:r>
    </w:p>
  </w:footnote>
  <w:footnote w:id="13">
    <w:p w:rsidR="0027611E" w:rsidRPr="00AA4731" w:rsidRDefault="0027611E" w:rsidP="00797996">
      <w:pPr>
        <w:pStyle w:val="FootnoteText"/>
      </w:pPr>
      <w:r>
        <w:tab/>
      </w:r>
      <w:r w:rsidRPr="00680816">
        <w:rPr>
          <w:rStyle w:val="FootnoteReference"/>
        </w:rPr>
        <w:footnoteRef/>
      </w:r>
      <w:r>
        <w:tab/>
        <w:t>Suhakam “Report on human rights and access to equitable healthcare” (2011), p. xi.</w:t>
      </w:r>
    </w:p>
  </w:footnote>
  <w:footnote w:id="14">
    <w:p w:rsidR="0027611E" w:rsidRPr="006F6ACF" w:rsidRDefault="0027611E" w:rsidP="00797996">
      <w:pPr>
        <w:pStyle w:val="FootnoteText"/>
      </w:pPr>
      <w:r>
        <w:rPr>
          <w:rStyle w:val="FootnoteReference"/>
        </w:rPr>
        <w:tab/>
      </w:r>
      <w:r w:rsidRPr="00680816">
        <w:rPr>
          <w:rStyle w:val="FootnoteReference"/>
        </w:rPr>
        <w:footnoteRef/>
      </w:r>
      <w:r>
        <w:rPr>
          <w:rStyle w:val="FootnoteReference"/>
        </w:rPr>
        <w:tab/>
      </w:r>
      <w:r>
        <w:t>World Health Organization (</w:t>
      </w:r>
      <w:r w:rsidRPr="002B50EF">
        <w:t>WHO</w:t>
      </w:r>
      <w:r>
        <w:t>)</w:t>
      </w:r>
      <w:r w:rsidRPr="002B50EF">
        <w:t xml:space="preserve"> Western Pacific Region, </w:t>
      </w:r>
      <w:r w:rsidRPr="002B50EF">
        <w:rPr>
          <w:i/>
        </w:rPr>
        <w:t>Sexual and Reproductive Health of Adolescents and Youths in Malaysia</w:t>
      </w:r>
      <w:r w:rsidRPr="00934A11">
        <w:rPr>
          <w:i/>
        </w:rPr>
        <w:t>: A review of literature and projects</w:t>
      </w:r>
      <w:r w:rsidRPr="002B50EF">
        <w:t xml:space="preserve"> (2005), p.</w:t>
      </w:r>
      <w:r>
        <w:t> </w:t>
      </w:r>
      <w:r w:rsidRPr="002B50EF">
        <w:t>51.</w:t>
      </w:r>
    </w:p>
  </w:footnote>
  <w:footnote w:id="15">
    <w:p w:rsidR="0027611E" w:rsidRPr="006F6ACF" w:rsidRDefault="0027611E">
      <w:pPr>
        <w:pStyle w:val="FootnoteText"/>
      </w:pPr>
      <w:r w:rsidRPr="00934A11">
        <w:rPr>
          <w:lang w:val="en-US"/>
        </w:rPr>
        <w:tab/>
      </w:r>
      <w:r w:rsidRPr="00680816">
        <w:rPr>
          <w:rStyle w:val="FootnoteReference"/>
        </w:rPr>
        <w:footnoteRef/>
      </w:r>
      <w:r w:rsidRPr="006F6ACF">
        <w:tab/>
      </w:r>
      <w:r>
        <w:t xml:space="preserve">See WHO, </w:t>
      </w:r>
      <w:r w:rsidRPr="006F6ACF">
        <w:t>“Safe abortion: technical and policy guidance for health systems”</w:t>
      </w:r>
      <w:r>
        <w:t>, 2nd ed. (2012).</w:t>
      </w:r>
    </w:p>
  </w:footnote>
  <w:footnote w:id="16">
    <w:p w:rsidR="0027611E" w:rsidRPr="006507FA" w:rsidRDefault="0027611E" w:rsidP="007A5027">
      <w:pPr>
        <w:pStyle w:val="FootnoteText"/>
      </w:pPr>
      <w:r>
        <w:tab/>
      </w:r>
      <w:r w:rsidRPr="00680816">
        <w:rPr>
          <w:rStyle w:val="FootnoteReference"/>
        </w:rPr>
        <w:footnoteRef/>
      </w:r>
      <w:r>
        <w:tab/>
        <w:t xml:space="preserve">See </w:t>
      </w:r>
      <w:r w:rsidRPr="00934A11">
        <w:rPr>
          <w:bCs/>
        </w:rPr>
        <w:t>joint general recommendation No. 31 of the Committee on the Elimination of Discrimination against Women and general comment No. 18 of the Committee on the Rights of the Child on harmful practices</w:t>
      </w:r>
      <w:r w:rsidRPr="00934A11">
        <w:rPr>
          <w:b/>
          <w:bCs/>
        </w:rPr>
        <w:t xml:space="preserve"> </w:t>
      </w:r>
      <w:r>
        <w:t xml:space="preserve">(2014), </w:t>
      </w:r>
      <w:r w:rsidRPr="00FF3073">
        <w:t>paras.</w:t>
      </w:r>
      <w:r>
        <w:t> 19–23.</w:t>
      </w:r>
    </w:p>
  </w:footnote>
  <w:footnote w:id="17">
    <w:p w:rsidR="0027611E" w:rsidRPr="00B064CA" w:rsidRDefault="0027611E">
      <w:pPr>
        <w:pStyle w:val="FootnoteText"/>
      </w:pPr>
      <w:r>
        <w:tab/>
      </w:r>
      <w:r w:rsidRPr="00680816">
        <w:rPr>
          <w:rStyle w:val="FootnoteReference"/>
        </w:rPr>
        <w:footnoteRef/>
      </w:r>
      <w:r>
        <w:tab/>
        <w:t>Department of Economic and Social Affairs</w:t>
      </w:r>
      <w:r w:rsidRPr="00B064CA">
        <w:t>, Worl</w:t>
      </w:r>
      <w:r>
        <w:t>d</w:t>
      </w:r>
      <w:r w:rsidRPr="00B064CA">
        <w:t xml:space="preserve"> Marriage Data 2012</w:t>
      </w:r>
      <w:r>
        <w:t>.</w:t>
      </w:r>
    </w:p>
  </w:footnote>
  <w:footnote w:id="18">
    <w:p w:rsidR="0027611E" w:rsidRPr="0017595D" w:rsidRDefault="0027611E">
      <w:pPr>
        <w:pStyle w:val="FootnoteText"/>
      </w:pPr>
      <w:r>
        <w:tab/>
      </w:r>
      <w:r w:rsidRPr="00680816">
        <w:rPr>
          <w:rStyle w:val="FootnoteReference"/>
        </w:rPr>
        <w:footnoteRef/>
      </w:r>
      <w:r>
        <w:tab/>
        <w:t>See WHO, “Eliminating Female Genital Mutilation. An Interagency Statement” (2008).</w:t>
      </w:r>
    </w:p>
  </w:footnote>
  <w:footnote w:id="19">
    <w:p w:rsidR="0027611E" w:rsidRPr="0070155F" w:rsidRDefault="0027611E">
      <w:pPr>
        <w:pStyle w:val="FootnoteText"/>
      </w:pPr>
      <w:r>
        <w:tab/>
      </w:r>
      <w:r w:rsidRPr="00680816">
        <w:rPr>
          <w:rStyle w:val="FootnoteReference"/>
        </w:rPr>
        <w:footnoteRef/>
      </w:r>
      <w:r>
        <w:tab/>
        <w:t>WHO, “Global Strategy to stop health-care providers from performing female genital mutilation” (2010).</w:t>
      </w:r>
    </w:p>
  </w:footnote>
  <w:footnote w:id="20">
    <w:p w:rsidR="0027611E" w:rsidRPr="00FF3073" w:rsidRDefault="0027611E" w:rsidP="00497794">
      <w:pPr>
        <w:pStyle w:val="FootnoteText"/>
      </w:pPr>
      <w:r>
        <w:tab/>
      </w:r>
      <w:r w:rsidRPr="00680816">
        <w:rPr>
          <w:rStyle w:val="FootnoteReference"/>
        </w:rPr>
        <w:footnoteRef/>
      </w:r>
      <w:r>
        <w:tab/>
        <w:t xml:space="preserve">See WHO, “Eliminating Female Genital Mutilation” and “Global strategy to stop health-care providers”. See also </w:t>
      </w:r>
      <w:r w:rsidRPr="00934A11">
        <w:rPr>
          <w:bCs/>
        </w:rPr>
        <w:t>joint general recommendation No. 31 of the Committee on the Elimination of Discrimination against Women and general comment No. 18 of the Committee on the Rights of the Child</w:t>
      </w:r>
      <w:r>
        <w:t xml:space="preserve">, </w:t>
      </w:r>
      <w:r w:rsidRPr="00FF3073">
        <w:t>paras.</w:t>
      </w:r>
      <w:r>
        <w:t> </w:t>
      </w:r>
      <w:r w:rsidRPr="00FF3073">
        <w:t>14 and</w:t>
      </w:r>
      <w:r>
        <w:t> </w:t>
      </w:r>
      <w:r w:rsidRPr="00FF3073">
        <w:t>15</w:t>
      </w:r>
      <w:r>
        <w:t>.</w:t>
      </w:r>
    </w:p>
  </w:footnote>
  <w:footnote w:id="21">
    <w:p w:rsidR="0027611E" w:rsidRPr="001B3319" w:rsidRDefault="0027611E">
      <w:pPr>
        <w:pStyle w:val="FootnoteText"/>
      </w:pPr>
      <w:r>
        <w:tab/>
      </w:r>
      <w:r w:rsidRPr="00680816">
        <w:rPr>
          <w:rStyle w:val="FootnoteReference"/>
        </w:rPr>
        <w:footnoteRef/>
      </w:r>
      <w:r>
        <w:tab/>
        <w:t>Data from the De</w:t>
      </w:r>
      <w:r w:rsidRPr="001B3319">
        <w:t>p</w:t>
      </w:r>
      <w:r>
        <w:t>a</w:t>
      </w:r>
      <w:r w:rsidRPr="001B3319">
        <w:t xml:space="preserve">rtment of Orang Asli Development </w:t>
      </w:r>
      <w:r>
        <w:t>of the Ministry of Rural and Regional Development.</w:t>
      </w:r>
    </w:p>
  </w:footnote>
  <w:footnote w:id="22">
    <w:p w:rsidR="0027611E" w:rsidRPr="001719E1" w:rsidRDefault="0027611E" w:rsidP="00C930F1">
      <w:pPr>
        <w:pStyle w:val="FootnoteText"/>
      </w:pPr>
      <w:r>
        <w:tab/>
      </w:r>
      <w:r w:rsidRPr="00680816">
        <w:rPr>
          <w:rStyle w:val="FootnoteReference"/>
        </w:rPr>
        <w:footnoteRef/>
      </w:r>
      <w:r>
        <w:tab/>
        <w:t xml:space="preserve">See </w:t>
      </w:r>
      <w:r w:rsidRPr="001719E1">
        <w:t>Suha</w:t>
      </w:r>
      <w:r>
        <w:t>k</w:t>
      </w:r>
      <w:r w:rsidRPr="001719E1">
        <w:t>am</w:t>
      </w:r>
      <w:r>
        <w:t>,</w:t>
      </w:r>
      <w:r w:rsidRPr="001719E1">
        <w:t xml:space="preserve"> National Enquiry into Land Rights of Indigenous Peoples, 2013, para.</w:t>
      </w:r>
      <w:r>
        <w:t> 2.12.</w:t>
      </w:r>
    </w:p>
  </w:footnote>
  <w:footnote w:id="23">
    <w:p w:rsidR="0027611E" w:rsidRPr="00F1515C" w:rsidRDefault="0027611E">
      <w:pPr>
        <w:pStyle w:val="FootnoteText"/>
      </w:pPr>
      <w:r>
        <w:tab/>
      </w:r>
      <w:r w:rsidRPr="00680816">
        <w:rPr>
          <w:rStyle w:val="FootnoteReference"/>
        </w:rPr>
        <w:footnoteRef/>
      </w:r>
      <w:r>
        <w:tab/>
      </w:r>
      <w:r w:rsidRPr="001307EA">
        <w:t>See Suhakam, National Enquiry into Land Rights of Indigenous Peoples, para. 6.34.</w:t>
      </w:r>
    </w:p>
  </w:footnote>
  <w:footnote w:id="24">
    <w:p w:rsidR="0027611E" w:rsidRPr="002B50EF" w:rsidRDefault="0027611E" w:rsidP="00552A8D">
      <w:pPr>
        <w:pStyle w:val="FootnoteText"/>
        <w:spacing w:line="240" w:lineRule="auto"/>
        <w:jc w:val="both"/>
      </w:pPr>
      <w:r>
        <w:tab/>
      </w:r>
      <w:r w:rsidRPr="00680816">
        <w:rPr>
          <w:rStyle w:val="FootnoteReference"/>
        </w:rPr>
        <w:footnoteRef/>
      </w:r>
      <w:r>
        <w:tab/>
        <w:t xml:space="preserve">See </w:t>
      </w:r>
      <w:r w:rsidRPr="002B50EF">
        <w:t>UNAIDS/WHO Policy Statement on HIV Testing, June</w:t>
      </w:r>
      <w:r>
        <w:t xml:space="preserve"> 2004.</w:t>
      </w:r>
    </w:p>
  </w:footnote>
  <w:footnote w:id="25">
    <w:p w:rsidR="0027611E" w:rsidRPr="002B50EF" w:rsidRDefault="0027611E" w:rsidP="000A361D">
      <w:pPr>
        <w:pStyle w:val="FootnoteText"/>
        <w:spacing w:line="240" w:lineRule="auto"/>
        <w:jc w:val="both"/>
      </w:pPr>
      <w:r>
        <w:tab/>
      </w:r>
      <w:r w:rsidRPr="00680816">
        <w:rPr>
          <w:rStyle w:val="FootnoteReference"/>
        </w:rPr>
        <w:footnoteRef/>
      </w:r>
      <w:r>
        <w:tab/>
        <w:t>See i</w:t>
      </w:r>
      <w:r w:rsidRPr="002B50EF">
        <w:t>bid</w:t>
      </w:r>
      <w:r>
        <w:t>.</w:t>
      </w:r>
      <w:r w:rsidRPr="002B50EF">
        <w:t>, p.</w:t>
      </w:r>
      <w:r>
        <w:t> </w:t>
      </w:r>
      <w:r w:rsidRPr="002B50EF">
        <w:t>2</w:t>
      </w:r>
      <w:r>
        <w:t>.</w:t>
      </w:r>
    </w:p>
  </w:footnote>
  <w:footnote w:id="26">
    <w:p w:rsidR="0027611E" w:rsidRPr="002B50EF" w:rsidRDefault="0027611E" w:rsidP="00B77438">
      <w:pPr>
        <w:pStyle w:val="FootnoteText"/>
        <w:spacing w:line="240" w:lineRule="auto"/>
        <w:jc w:val="both"/>
      </w:pPr>
      <w:r>
        <w:tab/>
      </w:r>
      <w:r w:rsidRPr="00680816">
        <w:rPr>
          <w:rStyle w:val="FootnoteReference"/>
        </w:rPr>
        <w:footnoteRef/>
      </w:r>
      <w:r>
        <w:tab/>
        <w:t>U</w:t>
      </w:r>
      <w:r w:rsidRPr="002B50EF">
        <w:t>NHC</w:t>
      </w:r>
      <w:r>
        <w:t>R Malaysia, Figures at a Glance.</w:t>
      </w:r>
    </w:p>
  </w:footnote>
  <w:footnote w:id="27">
    <w:p w:rsidR="0027611E" w:rsidRPr="00157540" w:rsidRDefault="0027611E">
      <w:pPr>
        <w:pStyle w:val="FootnoteText"/>
      </w:pPr>
      <w:r>
        <w:tab/>
      </w:r>
      <w:r w:rsidRPr="00680816">
        <w:rPr>
          <w:rStyle w:val="FootnoteReference"/>
        </w:rPr>
        <w:footnoteRef/>
      </w:r>
      <w:r>
        <w:tab/>
        <w:t>Article </w:t>
      </w:r>
      <w:r w:rsidRPr="00157540">
        <w:t xml:space="preserve">22 of </w:t>
      </w:r>
      <w:r>
        <w:t xml:space="preserve">the Convention on the Rights of the Child and general comment No. 6 (2005) on treatment of unaccompanied and separated children outside their country of origin; </w:t>
      </w:r>
      <w:r w:rsidRPr="00157540">
        <w:t xml:space="preserve">and </w:t>
      </w:r>
      <w:r>
        <w:t>general recommendation No. 32 (2014)</w:t>
      </w:r>
      <w:r w:rsidRPr="00350BCF">
        <w:t xml:space="preserve"> </w:t>
      </w:r>
      <w:r>
        <w:t>on the gender-related dimensions of refugee status, asylum, nationality and statelessness of women of the Committee on the Elimination of Discrimination against Women.</w:t>
      </w:r>
    </w:p>
  </w:footnote>
  <w:footnote w:id="28">
    <w:p w:rsidR="0027611E" w:rsidRPr="00276407" w:rsidRDefault="0027611E" w:rsidP="00A535AB">
      <w:pPr>
        <w:pStyle w:val="FootnoteText"/>
      </w:pPr>
      <w:r>
        <w:tab/>
      </w:r>
      <w:r w:rsidRPr="00680816">
        <w:rPr>
          <w:rStyle w:val="FootnoteReference"/>
        </w:rPr>
        <w:footnoteRef/>
      </w:r>
      <w:r>
        <w:tab/>
      </w:r>
      <w:r w:rsidRPr="00276407">
        <w:t xml:space="preserve">Immigration Act </w:t>
      </w:r>
      <w:r>
        <w:t>No. </w:t>
      </w:r>
      <w:r w:rsidRPr="00276407">
        <w:t xml:space="preserve">155, </w:t>
      </w:r>
      <w:r>
        <w:t>section </w:t>
      </w:r>
      <w:r w:rsidRPr="00276407">
        <w:t>6(3)</w:t>
      </w:r>
      <w:r>
        <w:t>.</w:t>
      </w:r>
    </w:p>
  </w:footnote>
  <w:footnote w:id="29">
    <w:p w:rsidR="0027611E" w:rsidRPr="005E5300" w:rsidRDefault="0027611E">
      <w:pPr>
        <w:pStyle w:val="FootnoteText"/>
      </w:pPr>
      <w:r w:rsidRPr="00276407">
        <w:tab/>
      </w:r>
      <w:r w:rsidRPr="00680816">
        <w:rPr>
          <w:rStyle w:val="FootnoteReference"/>
        </w:rPr>
        <w:footnoteRef/>
      </w:r>
      <w:r>
        <w:tab/>
        <w:t xml:space="preserve">See also Suhakam, </w:t>
      </w:r>
      <w:r w:rsidRPr="002B50EF">
        <w:t>Roundtable on Alternatives to Immigration Detention, November 2013</w:t>
      </w:r>
      <w:r>
        <w:t>,</w:t>
      </w:r>
      <w:r w:rsidRPr="002B50EF">
        <w:t xml:space="preserve"> </w:t>
      </w:r>
      <w:r>
        <w:t>p. 6.</w:t>
      </w:r>
    </w:p>
  </w:footnote>
  <w:footnote w:id="30">
    <w:p w:rsidR="0027611E" w:rsidRPr="00025686" w:rsidRDefault="0027611E" w:rsidP="00934A11">
      <w:pPr>
        <w:pStyle w:val="FootnoteText"/>
      </w:pPr>
      <w:r w:rsidRPr="00934A11">
        <w:rPr>
          <w:lang w:val="en-US"/>
        </w:rPr>
        <w:tab/>
      </w:r>
      <w:r w:rsidRPr="00680816">
        <w:rPr>
          <w:rStyle w:val="FootnoteReference"/>
        </w:rPr>
        <w:footnoteRef/>
      </w:r>
      <w:r w:rsidRPr="00934A11">
        <w:rPr>
          <w:lang w:val="en-US"/>
        </w:rPr>
        <w:tab/>
        <w:t xml:space="preserve">General </w:t>
      </w:r>
      <w:r w:rsidR="004B23BE" w:rsidRPr="00934A11">
        <w:rPr>
          <w:lang w:val="en-US"/>
        </w:rPr>
        <w:t xml:space="preserve">comment </w:t>
      </w:r>
      <w:r w:rsidRPr="00934A11">
        <w:rPr>
          <w:lang w:val="en-US"/>
        </w:rPr>
        <w:t>No. 14</w:t>
      </w:r>
      <w:r w:rsidR="00C66639" w:rsidRPr="00934A11">
        <w:rPr>
          <w:lang w:val="en-US"/>
        </w:rPr>
        <w:t xml:space="preserve"> of </w:t>
      </w:r>
      <w:r w:rsidR="004B23BE" w:rsidRPr="00934A11">
        <w:rPr>
          <w:lang w:val="en-US"/>
        </w:rPr>
        <w:t>the Committee on Economic, Social and Cultural Rights</w:t>
      </w:r>
      <w:r w:rsidRPr="00934A11">
        <w:rPr>
          <w:lang w:val="en-US"/>
        </w:rPr>
        <w:t>, paras. </w:t>
      </w:r>
      <w:r w:rsidR="00B96C01" w:rsidRPr="00934A11">
        <w:rPr>
          <w:lang w:val="en-US"/>
        </w:rPr>
        <w:t xml:space="preserve">35, </w:t>
      </w:r>
      <w:r w:rsidRPr="00934A11">
        <w:t>36 and 43(a).</w:t>
      </w:r>
    </w:p>
  </w:footnote>
  <w:footnote w:id="31">
    <w:p w:rsidR="0027611E" w:rsidRPr="0042711F" w:rsidRDefault="0027611E">
      <w:pPr>
        <w:pStyle w:val="FootnoteText"/>
      </w:pPr>
      <w:r>
        <w:tab/>
      </w:r>
      <w:r w:rsidRPr="00680816">
        <w:rPr>
          <w:rStyle w:val="FootnoteReference"/>
        </w:rPr>
        <w:footnoteRef/>
      </w:r>
      <w:r>
        <w:tab/>
        <w:t>Malaysia, Court of Appeal, Ci</w:t>
      </w:r>
      <w:r w:rsidRPr="0042711F">
        <w:t xml:space="preserve">vil Appeal </w:t>
      </w:r>
      <w:r>
        <w:t>No. N-01-498-11/2012.</w:t>
      </w:r>
    </w:p>
  </w:footnote>
  <w:footnote w:id="32">
    <w:p w:rsidR="0027611E" w:rsidRPr="00785F07" w:rsidRDefault="0027611E">
      <w:pPr>
        <w:pStyle w:val="FootnoteText"/>
      </w:pPr>
      <w:r>
        <w:tab/>
      </w:r>
      <w:r w:rsidRPr="00680816">
        <w:rPr>
          <w:rStyle w:val="FootnoteReference"/>
        </w:rPr>
        <w:footnoteRef/>
      </w:r>
      <w:r>
        <w:tab/>
        <w:t>See Malaysia, Ministry of Health, “Global AIDS Response Progress Report: Malaysia” (2014).</w:t>
      </w:r>
    </w:p>
  </w:footnote>
  <w:footnote w:id="33">
    <w:p w:rsidR="0027611E" w:rsidRPr="00963D87" w:rsidRDefault="0027611E">
      <w:pPr>
        <w:pStyle w:val="FootnoteText"/>
      </w:pPr>
      <w:r>
        <w:tab/>
      </w:r>
      <w:r w:rsidRPr="00680816">
        <w:rPr>
          <w:rStyle w:val="FootnoteReference"/>
        </w:rPr>
        <w:footnoteRef/>
      </w:r>
      <w:r>
        <w:tab/>
        <w:t>International AIDS Society, “</w:t>
      </w:r>
      <w:r w:rsidRPr="00AA6DF0">
        <w:t>HIV and AIDS in Malaysia</w:t>
      </w:r>
      <w:r w:rsidRPr="00D526D8">
        <w:t xml:space="preserve">: </w:t>
      </w:r>
      <w:r w:rsidRPr="00934A11">
        <w:t>Fact sheet</w:t>
      </w:r>
      <w:r>
        <w:t>”,</w:t>
      </w:r>
      <w:r w:rsidRPr="00A863CE">
        <w:rPr>
          <w:i/>
        </w:rPr>
        <w:t xml:space="preserve"> </w:t>
      </w:r>
      <w:r>
        <w:t>seventh</w:t>
      </w:r>
      <w:r w:rsidRPr="00934A11">
        <w:t xml:space="preserve"> IAS Conference on HIV pathogenesis, treatment and prevention</w:t>
      </w:r>
      <w:r w:rsidRPr="00D526D8">
        <w:t xml:space="preserve">, </w:t>
      </w:r>
      <w:r>
        <w:t>30 June–3 July 2013, Kuala Lumpur.</w:t>
      </w:r>
    </w:p>
  </w:footnote>
  <w:footnote w:id="34">
    <w:p w:rsidR="0027611E" w:rsidRPr="00BC10FA" w:rsidRDefault="0027611E" w:rsidP="00C930F1">
      <w:pPr>
        <w:pStyle w:val="FootnoteText"/>
      </w:pPr>
      <w:r>
        <w:tab/>
      </w:r>
      <w:r w:rsidRPr="00680816">
        <w:rPr>
          <w:rStyle w:val="FootnoteReference"/>
        </w:rPr>
        <w:footnoteRef/>
      </w:r>
      <w:r>
        <w:tab/>
      </w:r>
      <w:r w:rsidRPr="00BC10FA">
        <w:t>Dangerous Drugs Act, sects</w:t>
      </w:r>
      <w:r>
        <w:t>.</w:t>
      </w:r>
      <w:r w:rsidRPr="00BC10FA">
        <w:t xml:space="preserve"> 39(a) and (b)</w:t>
      </w:r>
      <w:r>
        <w:t>.</w:t>
      </w:r>
    </w:p>
  </w:footnote>
  <w:footnote w:id="35">
    <w:p w:rsidR="0027611E" w:rsidRPr="00453985" w:rsidRDefault="0027611E" w:rsidP="000031A1">
      <w:pPr>
        <w:pStyle w:val="FootnoteText"/>
      </w:pPr>
      <w:r w:rsidRPr="00453985">
        <w:tab/>
      </w:r>
      <w:r w:rsidRPr="00680816">
        <w:rPr>
          <w:rStyle w:val="FootnoteReference"/>
        </w:rPr>
        <w:footnoteRef/>
      </w:r>
      <w:r w:rsidRPr="00453985">
        <w:tab/>
        <w:t>WHO: “Assessment of compulsory treatment of people who use drugs in Cambodia, China, Malaysia and Vietnam” (</w:t>
      </w:r>
      <w:r>
        <w:t>2009), pp. 19, 26 and 28.</w:t>
      </w:r>
    </w:p>
  </w:footnote>
  <w:footnote w:id="36">
    <w:p w:rsidR="0027611E" w:rsidRPr="00453985" w:rsidRDefault="0027611E" w:rsidP="000031A1">
      <w:pPr>
        <w:pStyle w:val="FootnoteText"/>
      </w:pPr>
      <w:r w:rsidRPr="00453985">
        <w:tab/>
      </w:r>
      <w:r w:rsidRPr="00680816">
        <w:rPr>
          <w:rStyle w:val="FootnoteReference"/>
        </w:rPr>
        <w:footnoteRef/>
      </w:r>
      <w:r w:rsidRPr="00453985">
        <w:rPr>
          <w:vertAlign w:val="superscript"/>
        </w:rPr>
        <w:tab/>
      </w:r>
      <w:r w:rsidRPr="00453985">
        <w:t>Mala</w:t>
      </w:r>
      <w:r>
        <w:t>ysia Mental Health Association,</w:t>
      </w:r>
      <w:r w:rsidRPr="00453985">
        <w:t xml:space="preserve"> “Substance abuse</w:t>
      </w:r>
      <w:r>
        <w:t xml:space="preserve"> —</w:t>
      </w:r>
      <w:r w:rsidRPr="00453985">
        <w:t xml:space="preserve"> emerging trends (2013)”</w:t>
      </w:r>
      <w:r>
        <w:t>.</w:t>
      </w:r>
    </w:p>
  </w:footnote>
  <w:footnote w:id="37">
    <w:p w:rsidR="0027611E" w:rsidRPr="00775198" w:rsidRDefault="0027611E" w:rsidP="00C930F1">
      <w:pPr>
        <w:pStyle w:val="FootnoteText"/>
        <w:jc w:val="both"/>
      </w:pPr>
      <w:r>
        <w:tab/>
      </w:r>
      <w:r w:rsidRPr="00680816">
        <w:rPr>
          <w:rStyle w:val="FootnoteReference"/>
        </w:rPr>
        <w:footnoteRef/>
      </w:r>
      <w:r>
        <w:tab/>
        <w:t>Johor Baru, “</w:t>
      </w:r>
      <w:r w:rsidRPr="00775198">
        <w:t>Police will help schools handle bullies</w:t>
      </w:r>
      <w:r>
        <w:t xml:space="preserve"> at schools”</w:t>
      </w:r>
      <w:r w:rsidRPr="00775198">
        <w:t xml:space="preserve">, </w:t>
      </w:r>
      <w:r w:rsidRPr="00934A11">
        <w:rPr>
          <w:i/>
        </w:rPr>
        <w:t>The Sun Daily</w:t>
      </w:r>
      <w:r>
        <w:t>, 26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1E" w:rsidRPr="009D108A" w:rsidRDefault="0027611E">
    <w:pPr>
      <w:pStyle w:val="Header"/>
    </w:pPr>
    <w:r>
      <w:t>A/HRC/29/33/Add.1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1E" w:rsidRPr="009D108A" w:rsidRDefault="0027611E" w:rsidP="009D108A">
    <w:pPr>
      <w:pStyle w:val="Header"/>
      <w:jc w:val="right"/>
    </w:pPr>
    <w:r>
      <w:t>A/HRC/29/33/Add.1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546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96756"/>
    <w:multiLevelType w:val="hybridMultilevel"/>
    <w:tmpl w:val="ACBC5DA0"/>
    <w:lvl w:ilvl="0" w:tplc="C436DDCE">
      <w:start w:val="1"/>
      <w:numFmt w:val="upperLetter"/>
      <w:lvlText w:val="%1."/>
      <w:lvlJc w:val="left"/>
      <w:pPr>
        <w:ind w:left="1440" w:hanging="360"/>
      </w:pPr>
      <w:rPr>
        <w:rFonts w:ascii="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2707F"/>
    <w:multiLevelType w:val="hybridMultilevel"/>
    <w:tmpl w:val="6A20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8B44ED"/>
    <w:multiLevelType w:val="hybridMultilevel"/>
    <w:tmpl w:val="36EA3F90"/>
    <w:lvl w:ilvl="0" w:tplc="EE2A70C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6F76449"/>
    <w:multiLevelType w:val="hybridMultilevel"/>
    <w:tmpl w:val="AFDE7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A7A30"/>
    <w:multiLevelType w:val="hybridMultilevel"/>
    <w:tmpl w:val="84E6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62345A"/>
    <w:multiLevelType w:val="hybridMultilevel"/>
    <w:tmpl w:val="1382C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D7412"/>
    <w:multiLevelType w:val="hybridMultilevel"/>
    <w:tmpl w:val="570E39C2"/>
    <w:lvl w:ilvl="0" w:tplc="84A67A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2D52E99"/>
    <w:multiLevelType w:val="hybridMultilevel"/>
    <w:tmpl w:val="363CE830"/>
    <w:lvl w:ilvl="0" w:tplc="4C5A6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FE21B9"/>
    <w:multiLevelType w:val="hybridMultilevel"/>
    <w:tmpl w:val="8F703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52777"/>
    <w:multiLevelType w:val="multilevel"/>
    <w:tmpl w:val="82CE9FD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0F5990"/>
    <w:multiLevelType w:val="hybridMultilevel"/>
    <w:tmpl w:val="1262AC64"/>
    <w:lvl w:ilvl="0" w:tplc="51129288">
      <w:start w:val="1"/>
      <w:numFmt w:val="lowerRoman"/>
      <w:lvlText w:val="%1."/>
      <w:lvlJc w:val="left"/>
      <w:pPr>
        <w:ind w:left="2320" w:hanging="72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104FCF"/>
    <w:multiLevelType w:val="hybridMultilevel"/>
    <w:tmpl w:val="B890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271FAD"/>
    <w:multiLevelType w:val="hybridMultilevel"/>
    <w:tmpl w:val="CC5C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610D4"/>
    <w:multiLevelType w:val="hybridMultilevel"/>
    <w:tmpl w:val="6596C54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78B3D07"/>
    <w:multiLevelType w:val="hybridMultilevel"/>
    <w:tmpl w:val="5A9A1CCE"/>
    <w:lvl w:ilvl="0" w:tplc="98F0DE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FA0674"/>
    <w:multiLevelType w:val="hybridMultilevel"/>
    <w:tmpl w:val="B8646520"/>
    <w:lvl w:ilvl="0" w:tplc="5BBA49B2">
      <w:start w:val="1"/>
      <w:numFmt w:val="lowerLetter"/>
      <w:lvlText w:val="%1."/>
      <w:lvlJc w:val="left"/>
      <w:pPr>
        <w:ind w:left="2320" w:hanging="360"/>
      </w:pPr>
      <w:rPr>
        <w:rFonts w:hint="default"/>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21">
    <w:nsid w:val="2E727A52"/>
    <w:multiLevelType w:val="hybridMultilevel"/>
    <w:tmpl w:val="6DC8F7BA"/>
    <w:lvl w:ilvl="0" w:tplc="A8EAB684">
      <w:start w:val="1"/>
      <w:numFmt w:val="lowerRoman"/>
      <w:lvlText w:val="%1."/>
      <w:lvlJc w:val="left"/>
      <w:pPr>
        <w:ind w:left="2320" w:hanging="72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2">
    <w:nsid w:val="2EBE6EFA"/>
    <w:multiLevelType w:val="multilevel"/>
    <w:tmpl w:val="A3B4D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565D05"/>
    <w:multiLevelType w:val="hybridMultilevel"/>
    <w:tmpl w:val="564E7242"/>
    <w:lvl w:ilvl="0" w:tplc="242648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1D0D1D"/>
    <w:multiLevelType w:val="hybridMultilevel"/>
    <w:tmpl w:val="009E02EA"/>
    <w:lvl w:ilvl="0" w:tplc="48123734">
      <w:start w:val="1"/>
      <w:numFmt w:val="upperLetter"/>
      <w:lvlText w:val="%1."/>
      <w:lvlJc w:val="left"/>
      <w:pPr>
        <w:ind w:left="1140" w:hanging="525"/>
      </w:pPr>
      <w:rPr>
        <w:rFonts w:hint="default"/>
      </w:rPr>
    </w:lvl>
    <w:lvl w:ilvl="1" w:tplc="08090019">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6">
    <w:nsid w:val="394C4C51"/>
    <w:multiLevelType w:val="hybridMultilevel"/>
    <w:tmpl w:val="E53493EA"/>
    <w:lvl w:ilvl="0" w:tplc="CF3CEF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AB26DA5"/>
    <w:multiLevelType w:val="hybridMultilevel"/>
    <w:tmpl w:val="29C27146"/>
    <w:lvl w:ilvl="0" w:tplc="14B007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319BC"/>
    <w:multiLevelType w:val="hybridMultilevel"/>
    <w:tmpl w:val="F5B25D0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3CBB19BE"/>
    <w:multiLevelType w:val="hybridMultilevel"/>
    <w:tmpl w:val="FE20CB98"/>
    <w:lvl w:ilvl="0" w:tplc="5CC2E7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97819"/>
    <w:multiLevelType w:val="hybridMultilevel"/>
    <w:tmpl w:val="8A8EFD20"/>
    <w:lvl w:ilvl="0" w:tplc="8A08F04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E7BA7"/>
    <w:multiLevelType w:val="hybridMultilevel"/>
    <w:tmpl w:val="B1DA9B84"/>
    <w:lvl w:ilvl="0" w:tplc="8A08F0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08179C"/>
    <w:multiLevelType w:val="hybridMultilevel"/>
    <w:tmpl w:val="C04C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8F3A67"/>
    <w:multiLevelType w:val="hybridMultilevel"/>
    <w:tmpl w:val="F31C0DD2"/>
    <w:lvl w:ilvl="0" w:tplc="94421F58">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4">
    <w:nsid w:val="4BF8205C"/>
    <w:multiLevelType w:val="hybridMultilevel"/>
    <w:tmpl w:val="08169D16"/>
    <w:lvl w:ilvl="0" w:tplc="EAF44F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513AB8"/>
    <w:multiLevelType w:val="hybridMultilevel"/>
    <w:tmpl w:val="AE78CED4"/>
    <w:lvl w:ilvl="0" w:tplc="316AFE98">
      <w:numFmt w:val="bullet"/>
      <w:lvlText w:val="-"/>
      <w:lvlJc w:val="left"/>
      <w:pPr>
        <w:ind w:left="1637"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nsid w:val="51A16605"/>
    <w:multiLevelType w:val="hybridMultilevel"/>
    <w:tmpl w:val="EEBE9642"/>
    <w:lvl w:ilvl="0" w:tplc="9E4C30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2B81F3E"/>
    <w:multiLevelType w:val="hybridMultilevel"/>
    <w:tmpl w:val="8E9EDBB4"/>
    <w:lvl w:ilvl="0" w:tplc="04EC2B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5C6606B"/>
    <w:multiLevelType w:val="hybridMultilevel"/>
    <w:tmpl w:val="CA304F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CA6FDA"/>
    <w:multiLevelType w:val="multilevel"/>
    <w:tmpl w:val="8A8EFD2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7325D58"/>
    <w:multiLevelType w:val="hybridMultilevel"/>
    <w:tmpl w:val="82CE9FD8"/>
    <w:lvl w:ilvl="0" w:tplc="8A08F0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041B02"/>
    <w:multiLevelType w:val="hybridMultilevel"/>
    <w:tmpl w:val="FC30668A"/>
    <w:lvl w:ilvl="0" w:tplc="E9120840">
      <w:start w:val="1"/>
      <w:numFmt w:val="lowerRoman"/>
      <w:lvlText w:val="%1."/>
      <w:lvlJc w:val="left"/>
      <w:pPr>
        <w:ind w:left="2160" w:hanging="720"/>
      </w:pPr>
      <w:rPr>
        <w:rFonts w:ascii="Calibri" w:hAnsi="Calibr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0A43FC4"/>
    <w:multiLevelType w:val="hybridMultilevel"/>
    <w:tmpl w:val="36A82384"/>
    <w:lvl w:ilvl="0" w:tplc="94D2EB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7E636D8"/>
    <w:multiLevelType w:val="hybridMultilevel"/>
    <w:tmpl w:val="0D746DE4"/>
    <w:lvl w:ilvl="0" w:tplc="CAB4FF1A">
      <w:start w:val="1"/>
      <w:numFmt w:val="upperLetter"/>
      <w:lvlText w:val="%1."/>
      <w:lvlJc w:val="left"/>
      <w:pPr>
        <w:ind w:left="1600" w:hanging="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2E078B"/>
    <w:multiLevelType w:val="hybridMultilevel"/>
    <w:tmpl w:val="CD523F18"/>
    <w:lvl w:ilvl="0" w:tplc="DFBA9C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6F8519B4"/>
    <w:multiLevelType w:val="hybridMultilevel"/>
    <w:tmpl w:val="694AA01A"/>
    <w:lvl w:ilvl="0" w:tplc="889066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FF97B0B"/>
    <w:multiLevelType w:val="hybridMultilevel"/>
    <w:tmpl w:val="4104975E"/>
    <w:lvl w:ilvl="0" w:tplc="678A9F32">
      <w:start w:val="1"/>
      <w:numFmt w:val="lowerLetter"/>
      <w:lvlText w:val="(%1)"/>
      <w:lvlJc w:val="left"/>
      <w:pPr>
        <w:tabs>
          <w:tab w:val="num" w:pos="1077"/>
        </w:tabs>
        <w:ind w:left="1077" w:hanging="170"/>
      </w:pPr>
      <w:rPr>
        <w:rFonts w:hint="default"/>
        <w:i w:val="0"/>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49">
    <w:nsid w:val="747F7944"/>
    <w:multiLevelType w:val="hybridMultilevel"/>
    <w:tmpl w:val="FDDA2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3639AF"/>
    <w:multiLevelType w:val="hybridMultilevel"/>
    <w:tmpl w:val="4858DDC0"/>
    <w:lvl w:ilvl="0" w:tplc="48BCDF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E5B4F43"/>
    <w:multiLevelType w:val="hybridMultilevel"/>
    <w:tmpl w:val="82CE9FD8"/>
    <w:lvl w:ilvl="0" w:tplc="8A08F0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BD6B11"/>
    <w:multiLevelType w:val="multilevel"/>
    <w:tmpl w:val="8EEC87B8"/>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num w:numId="1">
    <w:abstractNumId w:val="23"/>
  </w:num>
  <w:num w:numId="2">
    <w:abstractNumId w:val="15"/>
  </w:num>
  <w:num w:numId="3">
    <w:abstractNumId w:val="46"/>
  </w:num>
  <w:num w:numId="4">
    <w:abstractNumId w:val="8"/>
  </w:num>
  <w:num w:numId="5">
    <w:abstractNumId w:val="1"/>
  </w:num>
  <w:num w:numId="6">
    <w:abstractNumId w:val="4"/>
  </w:num>
  <w:num w:numId="7">
    <w:abstractNumId w:val="44"/>
  </w:num>
  <w:num w:numId="8">
    <w:abstractNumId w:val="7"/>
  </w:num>
  <w:num w:numId="9">
    <w:abstractNumId w:val="27"/>
  </w:num>
  <w:num w:numId="10">
    <w:abstractNumId w:val="11"/>
  </w:num>
  <w:num w:numId="11">
    <w:abstractNumId w:val="50"/>
  </w:num>
  <w:num w:numId="12">
    <w:abstractNumId w:val="10"/>
  </w:num>
  <w:num w:numId="13">
    <w:abstractNumId w:val="24"/>
  </w:num>
  <w:num w:numId="14">
    <w:abstractNumId w:val="45"/>
  </w:num>
  <w:num w:numId="15">
    <w:abstractNumId w:val="42"/>
  </w:num>
  <w:num w:numId="16">
    <w:abstractNumId w:val="26"/>
  </w:num>
  <w:num w:numId="17">
    <w:abstractNumId w:val="37"/>
  </w:num>
  <w:num w:numId="18">
    <w:abstractNumId w:val="47"/>
  </w:num>
  <w:num w:numId="19">
    <w:abstractNumId w:val="43"/>
  </w:num>
  <w:num w:numId="20">
    <w:abstractNumId w:val="33"/>
  </w:num>
  <w:num w:numId="21">
    <w:abstractNumId w:val="21"/>
  </w:num>
  <w:num w:numId="22">
    <w:abstractNumId w:val="14"/>
  </w:num>
  <w:num w:numId="23">
    <w:abstractNumId w:val="20"/>
  </w:num>
  <w:num w:numId="24">
    <w:abstractNumId w:val="2"/>
  </w:num>
  <w:num w:numId="25">
    <w:abstractNumId w:val="41"/>
  </w:num>
  <w:num w:numId="26">
    <w:abstractNumId w:val="31"/>
  </w:num>
  <w:num w:numId="27">
    <w:abstractNumId w:val="34"/>
  </w:num>
  <w:num w:numId="28">
    <w:abstractNumId w:val="12"/>
  </w:num>
  <w:num w:numId="29">
    <w:abstractNumId w:val="3"/>
  </w:num>
  <w:num w:numId="30">
    <w:abstractNumId w:val="16"/>
  </w:num>
  <w:num w:numId="31">
    <w:abstractNumId w:val="38"/>
  </w:num>
  <w:num w:numId="32">
    <w:abstractNumId w:val="19"/>
  </w:num>
  <w:num w:numId="33">
    <w:abstractNumId w:val="22"/>
  </w:num>
  <w:num w:numId="34">
    <w:abstractNumId w:val="36"/>
  </w:num>
  <w:num w:numId="35">
    <w:abstractNumId w:val="49"/>
  </w:num>
  <w:num w:numId="36">
    <w:abstractNumId w:val="17"/>
  </w:num>
  <w:num w:numId="37">
    <w:abstractNumId w:val="29"/>
  </w:num>
  <w:num w:numId="38">
    <w:abstractNumId w:val="9"/>
  </w:num>
  <w:num w:numId="39">
    <w:abstractNumId w:val="40"/>
  </w:num>
  <w:num w:numId="40">
    <w:abstractNumId w:val="51"/>
  </w:num>
  <w:num w:numId="41">
    <w:abstractNumId w:val="13"/>
  </w:num>
  <w:num w:numId="42">
    <w:abstractNumId w:val="30"/>
  </w:num>
  <w:num w:numId="43">
    <w:abstractNumId w:val="39"/>
  </w:num>
  <w:num w:numId="44">
    <w:abstractNumId w:val="52"/>
  </w:num>
  <w:num w:numId="45">
    <w:abstractNumId w:val="6"/>
  </w:num>
  <w:num w:numId="46">
    <w:abstractNumId w:val="0"/>
  </w:num>
  <w:num w:numId="47">
    <w:abstractNumId w:val="18"/>
  </w:num>
  <w:num w:numId="48">
    <w:abstractNumId w:val="25"/>
  </w:num>
  <w:num w:numId="49">
    <w:abstractNumId w:val="32"/>
  </w:num>
  <w:num w:numId="50">
    <w:abstractNumId w:val="35"/>
  </w:num>
  <w:num w:numId="51">
    <w:abstractNumId w:val="28"/>
  </w:num>
  <w:num w:numId="52">
    <w:abstractNumId w:val="5"/>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A"/>
    <w:rsid w:val="000012B4"/>
    <w:rsid w:val="000028FA"/>
    <w:rsid w:val="000031A1"/>
    <w:rsid w:val="0000489D"/>
    <w:rsid w:val="00004B37"/>
    <w:rsid w:val="00004C59"/>
    <w:rsid w:val="00005553"/>
    <w:rsid w:val="0000555F"/>
    <w:rsid w:val="00005E06"/>
    <w:rsid w:val="00007F7F"/>
    <w:rsid w:val="000151D4"/>
    <w:rsid w:val="00015A03"/>
    <w:rsid w:val="00017862"/>
    <w:rsid w:val="000219F6"/>
    <w:rsid w:val="00022DB5"/>
    <w:rsid w:val="00025686"/>
    <w:rsid w:val="00031B7C"/>
    <w:rsid w:val="00031EDF"/>
    <w:rsid w:val="00034188"/>
    <w:rsid w:val="00034907"/>
    <w:rsid w:val="00034F4F"/>
    <w:rsid w:val="000362B3"/>
    <w:rsid w:val="000403D1"/>
    <w:rsid w:val="000405C7"/>
    <w:rsid w:val="000413FF"/>
    <w:rsid w:val="00041B66"/>
    <w:rsid w:val="000421E3"/>
    <w:rsid w:val="000431CF"/>
    <w:rsid w:val="000435B3"/>
    <w:rsid w:val="000449AA"/>
    <w:rsid w:val="00050075"/>
    <w:rsid w:val="00050F6B"/>
    <w:rsid w:val="00051B74"/>
    <w:rsid w:val="0005299D"/>
    <w:rsid w:val="00053273"/>
    <w:rsid w:val="0005421C"/>
    <w:rsid w:val="00054CDB"/>
    <w:rsid w:val="00056084"/>
    <w:rsid w:val="000642B0"/>
    <w:rsid w:val="000657F3"/>
    <w:rsid w:val="00065A1D"/>
    <w:rsid w:val="00066D90"/>
    <w:rsid w:val="00071F32"/>
    <w:rsid w:val="00072C8C"/>
    <w:rsid w:val="00073E70"/>
    <w:rsid w:val="00074687"/>
    <w:rsid w:val="00077DCD"/>
    <w:rsid w:val="00077EB1"/>
    <w:rsid w:val="00080CE4"/>
    <w:rsid w:val="00080DC6"/>
    <w:rsid w:val="00082855"/>
    <w:rsid w:val="00082D07"/>
    <w:rsid w:val="00083193"/>
    <w:rsid w:val="00083F36"/>
    <w:rsid w:val="000876EB"/>
    <w:rsid w:val="00090058"/>
    <w:rsid w:val="00091419"/>
    <w:rsid w:val="000931C0"/>
    <w:rsid w:val="0009551C"/>
    <w:rsid w:val="000973CE"/>
    <w:rsid w:val="000A12DB"/>
    <w:rsid w:val="000A35BF"/>
    <w:rsid w:val="000A361D"/>
    <w:rsid w:val="000A63C3"/>
    <w:rsid w:val="000B155E"/>
    <w:rsid w:val="000B175B"/>
    <w:rsid w:val="000B3A0F"/>
    <w:rsid w:val="000B4A3B"/>
    <w:rsid w:val="000B6FC4"/>
    <w:rsid w:val="000B7509"/>
    <w:rsid w:val="000C0FC4"/>
    <w:rsid w:val="000C2E22"/>
    <w:rsid w:val="000C4905"/>
    <w:rsid w:val="000C4F2E"/>
    <w:rsid w:val="000D1851"/>
    <w:rsid w:val="000D3379"/>
    <w:rsid w:val="000D37D3"/>
    <w:rsid w:val="000D47B1"/>
    <w:rsid w:val="000D6B37"/>
    <w:rsid w:val="000E0415"/>
    <w:rsid w:val="000E28C9"/>
    <w:rsid w:val="000E2F61"/>
    <w:rsid w:val="000E2FA3"/>
    <w:rsid w:val="000E3F53"/>
    <w:rsid w:val="000E4008"/>
    <w:rsid w:val="000E48BA"/>
    <w:rsid w:val="000E5C73"/>
    <w:rsid w:val="000E6DAF"/>
    <w:rsid w:val="000E7BE2"/>
    <w:rsid w:val="000F336E"/>
    <w:rsid w:val="000F348D"/>
    <w:rsid w:val="000F4F0F"/>
    <w:rsid w:val="000F584F"/>
    <w:rsid w:val="00101F0F"/>
    <w:rsid w:val="0010247A"/>
    <w:rsid w:val="001058A3"/>
    <w:rsid w:val="00110EAD"/>
    <w:rsid w:val="001118AB"/>
    <w:rsid w:val="0011346F"/>
    <w:rsid w:val="00115922"/>
    <w:rsid w:val="0011645C"/>
    <w:rsid w:val="001232D5"/>
    <w:rsid w:val="00123E61"/>
    <w:rsid w:val="00126AD7"/>
    <w:rsid w:val="001307EA"/>
    <w:rsid w:val="00131BC9"/>
    <w:rsid w:val="0013431F"/>
    <w:rsid w:val="00134335"/>
    <w:rsid w:val="00134636"/>
    <w:rsid w:val="00134739"/>
    <w:rsid w:val="0013558A"/>
    <w:rsid w:val="001360E7"/>
    <w:rsid w:val="001379F0"/>
    <w:rsid w:val="00137BA6"/>
    <w:rsid w:val="001411CA"/>
    <w:rsid w:val="0014496D"/>
    <w:rsid w:val="00145E2C"/>
    <w:rsid w:val="001467EA"/>
    <w:rsid w:val="00146D32"/>
    <w:rsid w:val="00147ECB"/>
    <w:rsid w:val="001509BA"/>
    <w:rsid w:val="00151E43"/>
    <w:rsid w:val="00153824"/>
    <w:rsid w:val="0015729E"/>
    <w:rsid w:val="00157540"/>
    <w:rsid w:val="001633B0"/>
    <w:rsid w:val="00163633"/>
    <w:rsid w:val="00163DF7"/>
    <w:rsid w:val="00164615"/>
    <w:rsid w:val="00165192"/>
    <w:rsid w:val="001719E1"/>
    <w:rsid w:val="00173FFF"/>
    <w:rsid w:val="0017595D"/>
    <w:rsid w:val="00180FBD"/>
    <w:rsid w:val="001832F8"/>
    <w:rsid w:val="00195939"/>
    <w:rsid w:val="00195C01"/>
    <w:rsid w:val="001A00DF"/>
    <w:rsid w:val="001A07E9"/>
    <w:rsid w:val="001A1685"/>
    <w:rsid w:val="001A1BDD"/>
    <w:rsid w:val="001B2B46"/>
    <w:rsid w:val="001B313D"/>
    <w:rsid w:val="001B3319"/>
    <w:rsid w:val="001B35C0"/>
    <w:rsid w:val="001B4B04"/>
    <w:rsid w:val="001B5E73"/>
    <w:rsid w:val="001C06E5"/>
    <w:rsid w:val="001C2BE8"/>
    <w:rsid w:val="001C5CC9"/>
    <w:rsid w:val="001C6663"/>
    <w:rsid w:val="001C7895"/>
    <w:rsid w:val="001D02C8"/>
    <w:rsid w:val="001D26DF"/>
    <w:rsid w:val="001D2E6B"/>
    <w:rsid w:val="001D3E5B"/>
    <w:rsid w:val="001E1A82"/>
    <w:rsid w:val="001E2790"/>
    <w:rsid w:val="001E3266"/>
    <w:rsid w:val="001E7048"/>
    <w:rsid w:val="001F25E3"/>
    <w:rsid w:val="001F2C03"/>
    <w:rsid w:val="001F2C1B"/>
    <w:rsid w:val="001F562F"/>
    <w:rsid w:val="001F5B68"/>
    <w:rsid w:val="001F71F2"/>
    <w:rsid w:val="00200628"/>
    <w:rsid w:val="002023C5"/>
    <w:rsid w:val="0020291E"/>
    <w:rsid w:val="00202934"/>
    <w:rsid w:val="00203C17"/>
    <w:rsid w:val="002074F2"/>
    <w:rsid w:val="00211E0B"/>
    <w:rsid w:val="00211E72"/>
    <w:rsid w:val="00214047"/>
    <w:rsid w:val="0022130F"/>
    <w:rsid w:val="00222EDB"/>
    <w:rsid w:val="002233B2"/>
    <w:rsid w:val="0022408B"/>
    <w:rsid w:val="00224A94"/>
    <w:rsid w:val="00225F31"/>
    <w:rsid w:val="0023004B"/>
    <w:rsid w:val="00236AAD"/>
    <w:rsid w:val="00236FCA"/>
    <w:rsid w:val="00237785"/>
    <w:rsid w:val="00237A16"/>
    <w:rsid w:val="002410DD"/>
    <w:rsid w:val="00241466"/>
    <w:rsid w:val="00242289"/>
    <w:rsid w:val="0024239E"/>
    <w:rsid w:val="00246B0E"/>
    <w:rsid w:val="00246C42"/>
    <w:rsid w:val="00247E9B"/>
    <w:rsid w:val="00251276"/>
    <w:rsid w:val="00253471"/>
    <w:rsid w:val="00253D58"/>
    <w:rsid w:val="00254A6A"/>
    <w:rsid w:val="00261414"/>
    <w:rsid w:val="00261558"/>
    <w:rsid w:val="002619C1"/>
    <w:rsid w:val="0026491C"/>
    <w:rsid w:val="00265552"/>
    <w:rsid w:val="002664A3"/>
    <w:rsid w:val="00266900"/>
    <w:rsid w:val="002705E4"/>
    <w:rsid w:val="002728D5"/>
    <w:rsid w:val="00272E4F"/>
    <w:rsid w:val="002758A3"/>
    <w:rsid w:val="0027611E"/>
    <w:rsid w:val="00276407"/>
    <w:rsid w:val="0027725F"/>
    <w:rsid w:val="0027758E"/>
    <w:rsid w:val="00282964"/>
    <w:rsid w:val="0028538C"/>
    <w:rsid w:val="00287BF6"/>
    <w:rsid w:val="00287CE8"/>
    <w:rsid w:val="002905BF"/>
    <w:rsid w:val="00292D32"/>
    <w:rsid w:val="00293EDC"/>
    <w:rsid w:val="00295B95"/>
    <w:rsid w:val="00297D4F"/>
    <w:rsid w:val="002A0DDC"/>
    <w:rsid w:val="002A17B1"/>
    <w:rsid w:val="002A30D3"/>
    <w:rsid w:val="002A34C3"/>
    <w:rsid w:val="002A3F84"/>
    <w:rsid w:val="002A5FC0"/>
    <w:rsid w:val="002A6051"/>
    <w:rsid w:val="002A6312"/>
    <w:rsid w:val="002B1209"/>
    <w:rsid w:val="002B284C"/>
    <w:rsid w:val="002B5233"/>
    <w:rsid w:val="002B5915"/>
    <w:rsid w:val="002B79C9"/>
    <w:rsid w:val="002B7B18"/>
    <w:rsid w:val="002C0202"/>
    <w:rsid w:val="002C21F0"/>
    <w:rsid w:val="002C2E66"/>
    <w:rsid w:val="002D17EA"/>
    <w:rsid w:val="002D2CE4"/>
    <w:rsid w:val="002D5D78"/>
    <w:rsid w:val="002D7720"/>
    <w:rsid w:val="002E1917"/>
    <w:rsid w:val="002E2526"/>
    <w:rsid w:val="002E279A"/>
    <w:rsid w:val="002E45C8"/>
    <w:rsid w:val="002E46E2"/>
    <w:rsid w:val="002E58D0"/>
    <w:rsid w:val="002F06CE"/>
    <w:rsid w:val="002F113C"/>
    <w:rsid w:val="002F184F"/>
    <w:rsid w:val="002F28A9"/>
    <w:rsid w:val="002F2C2C"/>
    <w:rsid w:val="002F64AA"/>
    <w:rsid w:val="002F65EF"/>
    <w:rsid w:val="002F6F4D"/>
    <w:rsid w:val="003037F1"/>
    <w:rsid w:val="003107FA"/>
    <w:rsid w:val="00310C20"/>
    <w:rsid w:val="00311C46"/>
    <w:rsid w:val="0031215E"/>
    <w:rsid w:val="003143BA"/>
    <w:rsid w:val="00315BB3"/>
    <w:rsid w:val="00315FF5"/>
    <w:rsid w:val="00316C5A"/>
    <w:rsid w:val="00317977"/>
    <w:rsid w:val="00317C6E"/>
    <w:rsid w:val="00320240"/>
    <w:rsid w:val="00320615"/>
    <w:rsid w:val="003229D8"/>
    <w:rsid w:val="003246E5"/>
    <w:rsid w:val="00327AEE"/>
    <w:rsid w:val="003314D1"/>
    <w:rsid w:val="00335A2F"/>
    <w:rsid w:val="00340376"/>
    <w:rsid w:val="00340E7B"/>
    <w:rsid w:val="00341937"/>
    <w:rsid w:val="00343C24"/>
    <w:rsid w:val="00344063"/>
    <w:rsid w:val="00347D71"/>
    <w:rsid w:val="00350BCF"/>
    <w:rsid w:val="003519F1"/>
    <w:rsid w:val="00353AA5"/>
    <w:rsid w:val="00354A23"/>
    <w:rsid w:val="003551EB"/>
    <w:rsid w:val="00355B34"/>
    <w:rsid w:val="00357946"/>
    <w:rsid w:val="00361389"/>
    <w:rsid w:val="0036571D"/>
    <w:rsid w:val="003678E3"/>
    <w:rsid w:val="00370A1F"/>
    <w:rsid w:val="00376222"/>
    <w:rsid w:val="00382473"/>
    <w:rsid w:val="00384020"/>
    <w:rsid w:val="00384864"/>
    <w:rsid w:val="003861A3"/>
    <w:rsid w:val="00386AA6"/>
    <w:rsid w:val="00387058"/>
    <w:rsid w:val="003876F5"/>
    <w:rsid w:val="00390016"/>
    <w:rsid w:val="00390201"/>
    <w:rsid w:val="00391A78"/>
    <w:rsid w:val="0039277A"/>
    <w:rsid w:val="003938A0"/>
    <w:rsid w:val="0039510F"/>
    <w:rsid w:val="0039536C"/>
    <w:rsid w:val="00396876"/>
    <w:rsid w:val="003972E0"/>
    <w:rsid w:val="003975ED"/>
    <w:rsid w:val="003A18CC"/>
    <w:rsid w:val="003A4121"/>
    <w:rsid w:val="003A76E4"/>
    <w:rsid w:val="003A7AEE"/>
    <w:rsid w:val="003B052F"/>
    <w:rsid w:val="003B0ED9"/>
    <w:rsid w:val="003B4D79"/>
    <w:rsid w:val="003C0F53"/>
    <w:rsid w:val="003C2CC4"/>
    <w:rsid w:val="003C38C0"/>
    <w:rsid w:val="003D416E"/>
    <w:rsid w:val="003D42A3"/>
    <w:rsid w:val="003D4B23"/>
    <w:rsid w:val="003D6710"/>
    <w:rsid w:val="003E0575"/>
    <w:rsid w:val="003E615E"/>
    <w:rsid w:val="003E64D5"/>
    <w:rsid w:val="003E769E"/>
    <w:rsid w:val="003F22C7"/>
    <w:rsid w:val="003F69CD"/>
    <w:rsid w:val="00401950"/>
    <w:rsid w:val="00403195"/>
    <w:rsid w:val="004032C4"/>
    <w:rsid w:val="004051A8"/>
    <w:rsid w:val="00407390"/>
    <w:rsid w:val="0041093C"/>
    <w:rsid w:val="00410DE8"/>
    <w:rsid w:val="004116D2"/>
    <w:rsid w:val="0041390C"/>
    <w:rsid w:val="004151AE"/>
    <w:rsid w:val="00415D38"/>
    <w:rsid w:val="0042111D"/>
    <w:rsid w:val="00421617"/>
    <w:rsid w:val="00421BE7"/>
    <w:rsid w:val="00422C49"/>
    <w:rsid w:val="00424C80"/>
    <w:rsid w:val="0042613E"/>
    <w:rsid w:val="0042711F"/>
    <w:rsid w:val="00430481"/>
    <w:rsid w:val="004325CB"/>
    <w:rsid w:val="00434AAC"/>
    <w:rsid w:val="00435386"/>
    <w:rsid w:val="00436B5B"/>
    <w:rsid w:val="00436F59"/>
    <w:rsid w:val="0044043C"/>
    <w:rsid w:val="00440F96"/>
    <w:rsid w:val="0044172D"/>
    <w:rsid w:val="00442565"/>
    <w:rsid w:val="0044503A"/>
    <w:rsid w:val="00445639"/>
    <w:rsid w:val="00446678"/>
    <w:rsid w:val="00446DE4"/>
    <w:rsid w:val="00446F5E"/>
    <w:rsid w:val="00447761"/>
    <w:rsid w:val="00451EC3"/>
    <w:rsid w:val="00453985"/>
    <w:rsid w:val="00453B5D"/>
    <w:rsid w:val="00457F12"/>
    <w:rsid w:val="00463464"/>
    <w:rsid w:val="00466852"/>
    <w:rsid w:val="00466B7B"/>
    <w:rsid w:val="00470D5C"/>
    <w:rsid w:val="00471AD8"/>
    <w:rsid w:val="00471DB5"/>
    <w:rsid w:val="0047208A"/>
    <w:rsid w:val="004721B1"/>
    <w:rsid w:val="0047231E"/>
    <w:rsid w:val="00474078"/>
    <w:rsid w:val="004746A5"/>
    <w:rsid w:val="00475D82"/>
    <w:rsid w:val="00476E95"/>
    <w:rsid w:val="00476EDC"/>
    <w:rsid w:val="00477177"/>
    <w:rsid w:val="0047788C"/>
    <w:rsid w:val="004823A2"/>
    <w:rsid w:val="0048240D"/>
    <w:rsid w:val="00483605"/>
    <w:rsid w:val="004859EC"/>
    <w:rsid w:val="004904DB"/>
    <w:rsid w:val="00491D17"/>
    <w:rsid w:val="00496A15"/>
    <w:rsid w:val="00497794"/>
    <w:rsid w:val="004A48CF"/>
    <w:rsid w:val="004A4F21"/>
    <w:rsid w:val="004A50B5"/>
    <w:rsid w:val="004A5BF1"/>
    <w:rsid w:val="004A6B31"/>
    <w:rsid w:val="004A7050"/>
    <w:rsid w:val="004B2141"/>
    <w:rsid w:val="004B23BE"/>
    <w:rsid w:val="004B3C0A"/>
    <w:rsid w:val="004B6827"/>
    <w:rsid w:val="004B6A1C"/>
    <w:rsid w:val="004B75D2"/>
    <w:rsid w:val="004C1FF8"/>
    <w:rsid w:val="004C5B7F"/>
    <w:rsid w:val="004C7574"/>
    <w:rsid w:val="004D1140"/>
    <w:rsid w:val="004D1C19"/>
    <w:rsid w:val="004D74B6"/>
    <w:rsid w:val="004E0BAC"/>
    <w:rsid w:val="004E2F4C"/>
    <w:rsid w:val="004E4A7E"/>
    <w:rsid w:val="004E7D3D"/>
    <w:rsid w:val="004F2307"/>
    <w:rsid w:val="004F3796"/>
    <w:rsid w:val="004F55ED"/>
    <w:rsid w:val="004F66E4"/>
    <w:rsid w:val="004F6BD7"/>
    <w:rsid w:val="00504207"/>
    <w:rsid w:val="00504A39"/>
    <w:rsid w:val="00505360"/>
    <w:rsid w:val="005061AC"/>
    <w:rsid w:val="0051093F"/>
    <w:rsid w:val="0051166D"/>
    <w:rsid w:val="00515CE3"/>
    <w:rsid w:val="00516944"/>
    <w:rsid w:val="00516AFD"/>
    <w:rsid w:val="0052176C"/>
    <w:rsid w:val="00523475"/>
    <w:rsid w:val="005261E5"/>
    <w:rsid w:val="00526D30"/>
    <w:rsid w:val="00530230"/>
    <w:rsid w:val="00530449"/>
    <w:rsid w:val="00530562"/>
    <w:rsid w:val="0053429A"/>
    <w:rsid w:val="00536A82"/>
    <w:rsid w:val="0054130F"/>
    <w:rsid w:val="0054142F"/>
    <w:rsid w:val="00541C0D"/>
    <w:rsid w:val="005420F2"/>
    <w:rsid w:val="00542574"/>
    <w:rsid w:val="005436AB"/>
    <w:rsid w:val="00543ADC"/>
    <w:rsid w:val="005441E1"/>
    <w:rsid w:val="0054450A"/>
    <w:rsid w:val="00544B0F"/>
    <w:rsid w:val="00545386"/>
    <w:rsid w:val="005460A3"/>
    <w:rsid w:val="00546DBF"/>
    <w:rsid w:val="00546F8D"/>
    <w:rsid w:val="00551CFB"/>
    <w:rsid w:val="005524DD"/>
    <w:rsid w:val="00552A8D"/>
    <w:rsid w:val="00552B88"/>
    <w:rsid w:val="0055355B"/>
    <w:rsid w:val="00553D76"/>
    <w:rsid w:val="005552B5"/>
    <w:rsid w:val="0055621C"/>
    <w:rsid w:val="0056117B"/>
    <w:rsid w:val="00561A06"/>
    <w:rsid w:val="005672A2"/>
    <w:rsid w:val="00567ACB"/>
    <w:rsid w:val="00571365"/>
    <w:rsid w:val="0057171A"/>
    <w:rsid w:val="005731CE"/>
    <w:rsid w:val="00573F8C"/>
    <w:rsid w:val="00574B22"/>
    <w:rsid w:val="00575963"/>
    <w:rsid w:val="00577CBE"/>
    <w:rsid w:val="00577D27"/>
    <w:rsid w:val="00580267"/>
    <w:rsid w:val="00580827"/>
    <w:rsid w:val="00586AA9"/>
    <w:rsid w:val="00593F47"/>
    <w:rsid w:val="005947F2"/>
    <w:rsid w:val="005964B6"/>
    <w:rsid w:val="00597FA6"/>
    <w:rsid w:val="005A04E3"/>
    <w:rsid w:val="005A413C"/>
    <w:rsid w:val="005A4FA4"/>
    <w:rsid w:val="005B0D9F"/>
    <w:rsid w:val="005B0F84"/>
    <w:rsid w:val="005B23BB"/>
    <w:rsid w:val="005B2F92"/>
    <w:rsid w:val="005B3DB3"/>
    <w:rsid w:val="005B4589"/>
    <w:rsid w:val="005B480C"/>
    <w:rsid w:val="005B52CA"/>
    <w:rsid w:val="005B6E48"/>
    <w:rsid w:val="005C015C"/>
    <w:rsid w:val="005C6B9F"/>
    <w:rsid w:val="005C7211"/>
    <w:rsid w:val="005D4BF7"/>
    <w:rsid w:val="005D4EE6"/>
    <w:rsid w:val="005D5EE8"/>
    <w:rsid w:val="005D7E97"/>
    <w:rsid w:val="005D7F1C"/>
    <w:rsid w:val="005E01C1"/>
    <w:rsid w:val="005E042A"/>
    <w:rsid w:val="005E0851"/>
    <w:rsid w:val="005E1565"/>
    <w:rsid w:val="005E1712"/>
    <w:rsid w:val="005E464D"/>
    <w:rsid w:val="005E4EF2"/>
    <w:rsid w:val="005E5300"/>
    <w:rsid w:val="005E6515"/>
    <w:rsid w:val="005F2F06"/>
    <w:rsid w:val="005F36AB"/>
    <w:rsid w:val="005F5C5E"/>
    <w:rsid w:val="005F6C31"/>
    <w:rsid w:val="005F7C58"/>
    <w:rsid w:val="00600BE7"/>
    <w:rsid w:val="00603E04"/>
    <w:rsid w:val="00605C9A"/>
    <w:rsid w:val="00605FF1"/>
    <w:rsid w:val="00611FC4"/>
    <w:rsid w:val="00613721"/>
    <w:rsid w:val="00613B45"/>
    <w:rsid w:val="00613E0E"/>
    <w:rsid w:val="00613E79"/>
    <w:rsid w:val="00614384"/>
    <w:rsid w:val="00614BF3"/>
    <w:rsid w:val="00615BC4"/>
    <w:rsid w:val="00616894"/>
    <w:rsid w:val="006176FB"/>
    <w:rsid w:val="00620746"/>
    <w:rsid w:val="006207F2"/>
    <w:rsid w:val="0062084D"/>
    <w:rsid w:val="00623353"/>
    <w:rsid w:val="00624079"/>
    <w:rsid w:val="00624786"/>
    <w:rsid w:val="00624BA8"/>
    <w:rsid w:val="0062637E"/>
    <w:rsid w:val="00627B60"/>
    <w:rsid w:val="006308A3"/>
    <w:rsid w:val="00630A76"/>
    <w:rsid w:val="00632A55"/>
    <w:rsid w:val="00636378"/>
    <w:rsid w:val="00640B26"/>
    <w:rsid w:val="00641D94"/>
    <w:rsid w:val="00643112"/>
    <w:rsid w:val="006441F9"/>
    <w:rsid w:val="00645931"/>
    <w:rsid w:val="00647DF5"/>
    <w:rsid w:val="00650433"/>
    <w:rsid w:val="006507FA"/>
    <w:rsid w:val="00651E4F"/>
    <w:rsid w:val="006525D4"/>
    <w:rsid w:val="00652B7D"/>
    <w:rsid w:val="00655789"/>
    <w:rsid w:val="006557AA"/>
    <w:rsid w:val="00655CB9"/>
    <w:rsid w:val="006562A3"/>
    <w:rsid w:val="00656AB3"/>
    <w:rsid w:val="006614F3"/>
    <w:rsid w:val="0066383B"/>
    <w:rsid w:val="00665C9D"/>
    <w:rsid w:val="00666486"/>
    <w:rsid w:val="00667582"/>
    <w:rsid w:val="00667789"/>
    <w:rsid w:val="0067017B"/>
    <w:rsid w:val="00670741"/>
    <w:rsid w:val="006710B2"/>
    <w:rsid w:val="00672B6C"/>
    <w:rsid w:val="00676321"/>
    <w:rsid w:val="0067638F"/>
    <w:rsid w:val="0067771F"/>
    <w:rsid w:val="00677C27"/>
    <w:rsid w:val="00680816"/>
    <w:rsid w:val="0068239B"/>
    <w:rsid w:val="00685CEA"/>
    <w:rsid w:val="00692278"/>
    <w:rsid w:val="00694118"/>
    <w:rsid w:val="0069596B"/>
    <w:rsid w:val="00695F03"/>
    <w:rsid w:val="006969B3"/>
    <w:rsid w:val="00696BD6"/>
    <w:rsid w:val="006979EE"/>
    <w:rsid w:val="006A01B9"/>
    <w:rsid w:val="006A39B6"/>
    <w:rsid w:val="006A55E2"/>
    <w:rsid w:val="006A5FF6"/>
    <w:rsid w:val="006A6B9D"/>
    <w:rsid w:val="006A7392"/>
    <w:rsid w:val="006B2FAB"/>
    <w:rsid w:val="006B3189"/>
    <w:rsid w:val="006B7D65"/>
    <w:rsid w:val="006C3255"/>
    <w:rsid w:val="006C6E6D"/>
    <w:rsid w:val="006D32D2"/>
    <w:rsid w:val="006D3C03"/>
    <w:rsid w:val="006D6DA6"/>
    <w:rsid w:val="006D793C"/>
    <w:rsid w:val="006E31F0"/>
    <w:rsid w:val="006E564B"/>
    <w:rsid w:val="006E5C91"/>
    <w:rsid w:val="006E68A7"/>
    <w:rsid w:val="006F13F0"/>
    <w:rsid w:val="006F30B9"/>
    <w:rsid w:val="006F5035"/>
    <w:rsid w:val="006F6ACF"/>
    <w:rsid w:val="006F77AE"/>
    <w:rsid w:val="0070155F"/>
    <w:rsid w:val="007023B2"/>
    <w:rsid w:val="0070331D"/>
    <w:rsid w:val="007065EB"/>
    <w:rsid w:val="00706F92"/>
    <w:rsid w:val="00710D0C"/>
    <w:rsid w:val="007114B6"/>
    <w:rsid w:val="00711D98"/>
    <w:rsid w:val="00713E79"/>
    <w:rsid w:val="00720183"/>
    <w:rsid w:val="00720CC3"/>
    <w:rsid w:val="0072632A"/>
    <w:rsid w:val="007273ED"/>
    <w:rsid w:val="00727E56"/>
    <w:rsid w:val="007303C7"/>
    <w:rsid w:val="007326E0"/>
    <w:rsid w:val="00733251"/>
    <w:rsid w:val="007365C5"/>
    <w:rsid w:val="00737369"/>
    <w:rsid w:val="00740DEB"/>
    <w:rsid w:val="0074115C"/>
    <w:rsid w:val="0074200B"/>
    <w:rsid w:val="0074240F"/>
    <w:rsid w:val="00752C68"/>
    <w:rsid w:val="00754660"/>
    <w:rsid w:val="00754FA8"/>
    <w:rsid w:val="0076098C"/>
    <w:rsid w:val="007632DC"/>
    <w:rsid w:val="00772635"/>
    <w:rsid w:val="00775198"/>
    <w:rsid w:val="0077795C"/>
    <w:rsid w:val="0078092C"/>
    <w:rsid w:val="00785F07"/>
    <w:rsid w:val="007867BF"/>
    <w:rsid w:val="0078732A"/>
    <w:rsid w:val="00787E9E"/>
    <w:rsid w:val="00792A7A"/>
    <w:rsid w:val="007940AA"/>
    <w:rsid w:val="007950CE"/>
    <w:rsid w:val="00795681"/>
    <w:rsid w:val="00795C73"/>
    <w:rsid w:val="00797996"/>
    <w:rsid w:val="007A119B"/>
    <w:rsid w:val="007A20A0"/>
    <w:rsid w:val="007A29BC"/>
    <w:rsid w:val="007A389D"/>
    <w:rsid w:val="007A39C1"/>
    <w:rsid w:val="007A4D96"/>
    <w:rsid w:val="007A5027"/>
    <w:rsid w:val="007A6296"/>
    <w:rsid w:val="007B3869"/>
    <w:rsid w:val="007B4593"/>
    <w:rsid w:val="007B6BA5"/>
    <w:rsid w:val="007C0F59"/>
    <w:rsid w:val="007C1747"/>
    <w:rsid w:val="007C1B62"/>
    <w:rsid w:val="007C3390"/>
    <w:rsid w:val="007C4F4B"/>
    <w:rsid w:val="007C58FF"/>
    <w:rsid w:val="007C60F3"/>
    <w:rsid w:val="007C6587"/>
    <w:rsid w:val="007D2CDC"/>
    <w:rsid w:val="007D5327"/>
    <w:rsid w:val="007D5A77"/>
    <w:rsid w:val="007D745E"/>
    <w:rsid w:val="007E0197"/>
    <w:rsid w:val="007E4FBF"/>
    <w:rsid w:val="007E5B1E"/>
    <w:rsid w:val="007E655D"/>
    <w:rsid w:val="007F0EC6"/>
    <w:rsid w:val="007F2598"/>
    <w:rsid w:val="007F6611"/>
    <w:rsid w:val="008035B4"/>
    <w:rsid w:val="00806B97"/>
    <w:rsid w:val="00810746"/>
    <w:rsid w:val="00810D9D"/>
    <w:rsid w:val="00811648"/>
    <w:rsid w:val="008129B3"/>
    <w:rsid w:val="00815428"/>
    <w:rsid w:val="008155C3"/>
    <w:rsid w:val="0081679A"/>
    <w:rsid w:val="00817249"/>
    <w:rsid w:val="008175D2"/>
    <w:rsid w:val="008175E9"/>
    <w:rsid w:val="00817BBC"/>
    <w:rsid w:val="008210AE"/>
    <w:rsid w:val="008218E6"/>
    <w:rsid w:val="0082243E"/>
    <w:rsid w:val="008242D7"/>
    <w:rsid w:val="008273FC"/>
    <w:rsid w:val="00833CAD"/>
    <w:rsid w:val="00841B56"/>
    <w:rsid w:val="00843D17"/>
    <w:rsid w:val="00844338"/>
    <w:rsid w:val="008519B3"/>
    <w:rsid w:val="008526AB"/>
    <w:rsid w:val="00852D6F"/>
    <w:rsid w:val="008533E2"/>
    <w:rsid w:val="008547D3"/>
    <w:rsid w:val="00855DAE"/>
    <w:rsid w:val="00856756"/>
    <w:rsid w:val="00856CD2"/>
    <w:rsid w:val="008602B7"/>
    <w:rsid w:val="008602F7"/>
    <w:rsid w:val="00861ACF"/>
    <w:rsid w:val="00861BC6"/>
    <w:rsid w:val="0086316A"/>
    <w:rsid w:val="00865400"/>
    <w:rsid w:val="00871FD5"/>
    <w:rsid w:val="00872B78"/>
    <w:rsid w:val="00873369"/>
    <w:rsid w:val="00874924"/>
    <w:rsid w:val="00875912"/>
    <w:rsid w:val="008831B9"/>
    <w:rsid w:val="00885DEC"/>
    <w:rsid w:val="008926F4"/>
    <w:rsid w:val="008979B1"/>
    <w:rsid w:val="008A188B"/>
    <w:rsid w:val="008A19A9"/>
    <w:rsid w:val="008A4122"/>
    <w:rsid w:val="008A52A9"/>
    <w:rsid w:val="008A5781"/>
    <w:rsid w:val="008A5BCE"/>
    <w:rsid w:val="008A6216"/>
    <w:rsid w:val="008A6819"/>
    <w:rsid w:val="008A69DA"/>
    <w:rsid w:val="008A6B25"/>
    <w:rsid w:val="008A6C4F"/>
    <w:rsid w:val="008B2B29"/>
    <w:rsid w:val="008B2B39"/>
    <w:rsid w:val="008B5E71"/>
    <w:rsid w:val="008B6DFC"/>
    <w:rsid w:val="008C0AD6"/>
    <w:rsid w:val="008C1E4D"/>
    <w:rsid w:val="008C2F95"/>
    <w:rsid w:val="008C60A4"/>
    <w:rsid w:val="008C7321"/>
    <w:rsid w:val="008D098E"/>
    <w:rsid w:val="008D2BAB"/>
    <w:rsid w:val="008D439D"/>
    <w:rsid w:val="008D50EA"/>
    <w:rsid w:val="008D6A49"/>
    <w:rsid w:val="008E0E46"/>
    <w:rsid w:val="008E2A45"/>
    <w:rsid w:val="008E3166"/>
    <w:rsid w:val="008E4A73"/>
    <w:rsid w:val="008E6648"/>
    <w:rsid w:val="008E7D11"/>
    <w:rsid w:val="008F0C02"/>
    <w:rsid w:val="008F2C64"/>
    <w:rsid w:val="008F3C83"/>
    <w:rsid w:val="008F4060"/>
    <w:rsid w:val="0090452C"/>
    <w:rsid w:val="00905ACC"/>
    <w:rsid w:val="00906230"/>
    <w:rsid w:val="00907C3F"/>
    <w:rsid w:val="00907C83"/>
    <w:rsid w:val="009112B7"/>
    <w:rsid w:val="0091270E"/>
    <w:rsid w:val="00912F1C"/>
    <w:rsid w:val="009146DD"/>
    <w:rsid w:val="00915151"/>
    <w:rsid w:val="009151CD"/>
    <w:rsid w:val="009164F0"/>
    <w:rsid w:val="0091678C"/>
    <w:rsid w:val="00916F51"/>
    <w:rsid w:val="00917462"/>
    <w:rsid w:val="0092237C"/>
    <w:rsid w:val="00923B10"/>
    <w:rsid w:val="00927317"/>
    <w:rsid w:val="009278D4"/>
    <w:rsid w:val="00927B03"/>
    <w:rsid w:val="009336EB"/>
    <w:rsid w:val="00934A11"/>
    <w:rsid w:val="00935356"/>
    <w:rsid w:val="0093707B"/>
    <w:rsid w:val="009370E9"/>
    <w:rsid w:val="009400EB"/>
    <w:rsid w:val="00940379"/>
    <w:rsid w:val="009427E3"/>
    <w:rsid w:val="00946499"/>
    <w:rsid w:val="00950BE3"/>
    <w:rsid w:val="00950FBB"/>
    <w:rsid w:val="009518EE"/>
    <w:rsid w:val="009523F9"/>
    <w:rsid w:val="009554B8"/>
    <w:rsid w:val="009557BF"/>
    <w:rsid w:val="00956D9B"/>
    <w:rsid w:val="009605EB"/>
    <w:rsid w:val="00960775"/>
    <w:rsid w:val="00962212"/>
    <w:rsid w:val="00962336"/>
    <w:rsid w:val="00962CDD"/>
    <w:rsid w:val="00963CBA"/>
    <w:rsid w:val="00963D87"/>
    <w:rsid w:val="00964AE3"/>
    <w:rsid w:val="009654B7"/>
    <w:rsid w:val="00971AFA"/>
    <w:rsid w:val="00971C69"/>
    <w:rsid w:val="00971CC9"/>
    <w:rsid w:val="00971F43"/>
    <w:rsid w:val="00972BE8"/>
    <w:rsid w:val="009736E1"/>
    <w:rsid w:val="0097498C"/>
    <w:rsid w:val="0097548B"/>
    <w:rsid w:val="00976CED"/>
    <w:rsid w:val="00980671"/>
    <w:rsid w:val="00980ABF"/>
    <w:rsid w:val="00982A32"/>
    <w:rsid w:val="00983636"/>
    <w:rsid w:val="00991261"/>
    <w:rsid w:val="0099401A"/>
    <w:rsid w:val="009959BD"/>
    <w:rsid w:val="009A0B83"/>
    <w:rsid w:val="009A17A6"/>
    <w:rsid w:val="009A386F"/>
    <w:rsid w:val="009A3B56"/>
    <w:rsid w:val="009A3B75"/>
    <w:rsid w:val="009A7C95"/>
    <w:rsid w:val="009B22F6"/>
    <w:rsid w:val="009B3800"/>
    <w:rsid w:val="009B608A"/>
    <w:rsid w:val="009C155D"/>
    <w:rsid w:val="009C22C4"/>
    <w:rsid w:val="009C2A51"/>
    <w:rsid w:val="009C63F8"/>
    <w:rsid w:val="009C6732"/>
    <w:rsid w:val="009C6DBE"/>
    <w:rsid w:val="009C7F81"/>
    <w:rsid w:val="009D108A"/>
    <w:rsid w:val="009D22AC"/>
    <w:rsid w:val="009D2F41"/>
    <w:rsid w:val="009D50DB"/>
    <w:rsid w:val="009E1C4E"/>
    <w:rsid w:val="009E380C"/>
    <w:rsid w:val="009E4804"/>
    <w:rsid w:val="009F06F8"/>
    <w:rsid w:val="009F2573"/>
    <w:rsid w:val="009F58CC"/>
    <w:rsid w:val="009F5E79"/>
    <w:rsid w:val="00A00379"/>
    <w:rsid w:val="00A00A62"/>
    <w:rsid w:val="00A01E90"/>
    <w:rsid w:val="00A02690"/>
    <w:rsid w:val="00A03CFF"/>
    <w:rsid w:val="00A05024"/>
    <w:rsid w:val="00A05053"/>
    <w:rsid w:val="00A05E0B"/>
    <w:rsid w:val="00A06789"/>
    <w:rsid w:val="00A07D3F"/>
    <w:rsid w:val="00A1427D"/>
    <w:rsid w:val="00A1750E"/>
    <w:rsid w:val="00A21FC4"/>
    <w:rsid w:val="00A237B1"/>
    <w:rsid w:val="00A23D9A"/>
    <w:rsid w:val="00A24821"/>
    <w:rsid w:val="00A255DF"/>
    <w:rsid w:val="00A31EEA"/>
    <w:rsid w:val="00A32647"/>
    <w:rsid w:val="00A32DE6"/>
    <w:rsid w:val="00A3337D"/>
    <w:rsid w:val="00A34929"/>
    <w:rsid w:val="00A377C0"/>
    <w:rsid w:val="00A40D1C"/>
    <w:rsid w:val="00A4144B"/>
    <w:rsid w:val="00A43D23"/>
    <w:rsid w:val="00A44A87"/>
    <w:rsid w:val="00A45B8A"/>
    <w:rsid w:val="00A4634F"/>
    <w:rsid w:val="00A50762"/>
    <w:rsid w:val="00A5076B"/>
    <w:rsid w:val="00A51CF3"/>
    <w:rsid w:val="00A535AB"/>
    <w:rsid w:val="00A549CA"/>
    <w:rsid w:val="00A61920"/>
    <w:rsid w:val="00A63C19"/>
    <w:rsid w:val="00A64FD1"/>
    <w:rsid w:val="00A6632A"/>
    <w:rsid w:val="00A66F8A"/>
    <w:rsid w:val="00A67608"/>
    <w:rsid w:val="00A70554"/>
    <w:rsid w:val="00A70BC3"/>
    <w:rsid w:val="00A70DA7"/>
    <w:rsid w:val="00A71A87"/>
    <w:rsid w:val="00A72F22"/>
    <w:rsid w:val="00A747A4"/>
    <w:rsid w:val="00A748A6"/>
    <w:rsid w:val="00A77F0C"/>
    <w:rsid w:val="00A83451"/>
    <w:rsid w:val="00A8576C"/>
    <w:rsid w:val="00A879A4"/>
    <w:rsid w:val="00A87E95"/>
    <w:rsid w:val="00A912C6"/>
    <w:rsid w:val="00A916B6"/>
    <w:rsid w:val="00A92E29"/>
    <w:rsid w:val="00A93ED9"/>
    <w:rsid w:val="00A9509B"/>
    <w:rsid w:val="00AA0D6A"/>
    <w:rsid w:val="00AA4731"/>
    <w:rsid w:val="00AA5FAF"/>
    <w:rsid w:val="00AB0A83"/>
    <w:rsid w:val="00AB1C98"/>
    <w:rsid w:val="00AB37F8"/>
    <w:rsid w:val="00AC04C0"/>
    <w:rsid w:val="00AC2B10"/>
    <w:rsid w:val="00AC335D"/>
    <w:rsid w:val="00AC5529"/>
    <w:rsid w:val="00AC6543"/>
    <w:rsid w:val="00AC6840"/>
    <w:rsid w:val="00AC68B6"/>
    <w:rsid w:val="00AC692E"/>
    <w:rsid w:val="00AC6FAD"/>
    <w:rsid w:val="00AD09E9"/>
    <w:rsid w:val="00AD150C"/>
    <w:rsid w:val="00AD1625"/>
    <w:rsid w:val="00AD217D"/>
    <w:rsid w:val="00AD5387"/>
    <w:rsid w:val="00AD6151"/>
    <w:rsid w:val="00AD68D9"/>
    <w:rsid w:val="00AD79C3"/>
    <w:rsid w:val="00AE0955"/>
    <w:rsid w:val="00AE662D"/>
    <w:rsid w:val="00AF0576"/>
    <w:rsid w:val="00AF118D"/>
    <w:rsid w:val="00AF1409"/>
    <w:rsid w:val="00AF3829"/>
    <w:rsid w:val="00AF4348"/>
    <w:rsid w:val="00AF4893"/>
    <w:rsid w:val="00AF5AE0"/>
    <w:rsid w:val="00B037F0"/>
    <w:rsid w:val="00B05A96"/>
    <w:rsid w:val="00B064CA"/>
    <w:rsid w:val="00B0723B"/>
    <w:rsid w:val="00B171F5"/>
    <w:rsid w:val="00B21BC1"/>
    <w:rsid w:val="00B22A41"/>
    <w:rsid w:val="00B2327D"/>
    <w:rsid w:val="00B2718F"/>
    <w:rsid w:val="00B30179"/>
    <w:rsid w:val="00B31DC9"/>
    <w:rsid w:val="00B3317B"/>
    <w:rsid w:val="00B333AA"/>
    <w:rsid w:val="00B334DC"/>
    <w:rsid w:val="00B35864"/>
    <w:rsid w:val="00B3631A"/>
    <w:rsid w:val="00B363E4"/>
    <w:rsid w:val="00B42025"/>
    <w:rsid w:val="00B42087"/>
    <w:rsid w:val="00B431D5"/>
    <w:rsid w:val="00B46405"/>
    <w:rsid w:val="00B5191F"/>
    <w:rsid w:val="00B51BF7"/>
    <w:rsid w:val="00B53013"/>
    <w:rsid w:val="00B530D5"/>
    <w:rsid w:val="00B552D0"/>
    <w:rsid w:val="00B64FFE"/>
    <w:rsid w:val="00B67F5E"/>
    <w:rsid w:val="00B71173"/>
    <w:rsid w:val="00B73E65"/>
    <w:rsid w:val="00B7544C"/>
    <w:rsid w:val="00B7594D"/>
    <w:rsid w:val="00B772F5"/>
    <w:rsid w:val="00B77438"/>
    <w:rsid w:val="00B81E12"/>
    <w:rsid w:val="00B82BCA"/>
    <w:rsid w:val="00B86DBE"/>
    <w:rsid w:val="00B87110"/>
    <w:rsid w:val="00B90329"/>
    <w:rsid w:val="00B96C01"/>
    <w:rsid w:val="00B9706C"/>
    <w:rsid w:val="00B97FA8"/>
    <w:rsid w:val="00BA0782"/>
    <w:rsid w:val="00BA08B8"/>
    <w:rsid w:val="00BA09BB"/>
    <w:rsid w:val="00BA1D47"/>
    <w:rsid w:val="00BA1F2F"/>
    <w:rsid w:val="00BA22F3"/>
    <w:rsid w:val="00BB187A"/>
    <w:rsid w:val="00BB321A"/>
    <w:rsid w:val="00BB52B4"/>
    <w:rsid w:val="00BB52E8"/>
    <w:rsid w:val="00BC10FA"/>
    <w:rsid w:val="00BC11AD"/>
    <w:rsid w:val="00BC1385"/>
    <w:rsid w:val="00BC1936"/>
    <w:rsid w:val="00BC1F83"/>
    <w:rsid w:val="00BC4F31"/>
    <w:rsid w:val="00BC74E9"/>
    <w:rsid w:val="00BD2557"/>
    <w:rsid w:val="00BD2558"/>
    <w:rsid w:val="00BD785B"/>
    <w:rsid w:val="00BD796F"/>
    <w:rsid w:val="00BE08B4"/>
    <w:rsid w:val="00BE618E"/>
    <w:rsid w:val="00BF30A2"/>
    <w:rsid w:val="00BF4A92"/>
    <w:rsid w:val="00BF4EBA"/>
    <w:rsid w:val="00BF659F"/>
    <w:rsid w:val="00C02A5C"/>
    <w:rsid w:val="00C0301B"/>
    <w:rsid w:val="00C033A7"/>
    <w:rsid w:val="00C033BF"/>
    <w:rsid w:val="00C03965"/>
    <w:rsid w:val="00C05422"/>
    <w:rsid w:val="00C06D6A"/>
    <w:rsid w:val="00C06F1C"/>
    <w:rsid w:val="00C11D4F"/>
    <w:rsid w:val="00C131EC"/>
    <w:rsid w:val="00C1355F"/>
    <w:rsid w:val="00C141DC"/>
    <w:rsid w:val="00C150DB"/>
    <w:rsid w:val="00C17472"/>
    <w:rsid w:val="00C233B3"/>
    <w:rsid w:val="00C24110"/>
    <w:rsid w:val="00C24693"/>
    <w:rsid w:val="00C24A8B"/>
    <w:rsid w:val="00C24CE4"/>
    <w:rsid w:val="00C35F0B"/>
    <w:rsid w:val="00C37161"/>
    <w:rsid w:val="00C37ECE"/>
    <w:rsid w:val="00C42BA6"/>
    <w:rsid w:val="00C4534B"/>
    <w:rsid w:val="00C463DD"/>
    <w:rsid w:val="00C51D34"/>
    <w:rsid w:val="00C542A7"/>
    <w:rsid w:val="00C55266"/>
    <w:rsid w:val="00C55EE1"/>
    <w:rsid w:val="00C57D18"/>
    <w:rsid w:val="00C62007"/>
    <w:rsid w:val="00C62769"/>
    <w:rsid w:val="00C64458"/>
    <w:rsid w:val="00C644E3"/>
    <w:rsid w:val="00C651DD"/>
    <w:rsid w:val="00C65382"/>
    <w:rsid w:val="00C6545F"/>
    <w:rsid w:val="00C66639"/>
    <w:rsid w:val="00C6663F"/>
    <w:rsid w:val="00C745C3"/>
    <w:rsid w:val="00C74A5E"/>
    <w:rsid w:val="00C74DB0"/>
    <w:rsid w:val="00C76BAD"/>
    <w:rsid w:val="00C77988"/>
    <w:rsid w:val="00C80337"/>
    <w:rsid w:val="00C80571"/>
    <w:rsid w:val="00C8084F"/>
    <w:rsid w:val="00C82D82"/>
    <w:rsid w:val="00C8671A"/>
    <w:rsid w:val="00C90B36"/>
    <w:rsid w:val="00C90C97"/>
    <w:rsid w:val="00C910DC"/>
    <w:rsid w:val="00C930F1"/>
    <w:rsid w:val="00C93422"/>
    <w:rsid w:val="00C9474A"/>
    <w:rsid w:val="00C95AD7"/>
    <w:rsid w:val="00C971D6"/>
    <w:rsid w:val="00C97747"/>
    <w:rsid w:val="00C9778E"/>
    <w:rsid w:val="00CA17D5"/>
    <w:rsid w:val="00CA2A58"/>
    <w:rsid w:val="00CA4E20"/>
    <w:rsid w:val="00CA6B67"/>
    <w:rsid w:val="00CB07C0"/>
    <w:rsid w:val="00CB08A9"/>
    <w:rsid w:val="00CB0D02"/>
    <w:rsid w:val="00CB184F"/>
    <w:rsid w:val="00CB2F42"/>
    <w:rsid w:val="00CB34F5"/>
    <w:rsid w:val="00CB40D6"/>
    <w:rsid w:val="00CB4278"/>
    <w:rsid w:val="00CC0B55"/>
    <w:rsid w:val="00CC0CE4"/>
    <w:rsid w:val="00CC2383"/>
    <w:rsid w:val="00CC62A1"/>
    <w:rsid w:val="00CC704D"/>
    <w:rsid w:val="00CC74BA"/>
    <w:rsid w:val="00CD0FE6"/>
    <w:rsid w:val="00CD2298"/>
    <w:rsid w:val="00CD5241"/>
    <w:rsid w:val="00CD697F"/>
    <w:rsid w:val="00CD6995"/>
    <w:rsid w:val="00CE1429"/>
    <w:rsid w:val="00CE43FD"/>
    <w:rsid w:val="00CE4A8F"/>
    <w:rsid w:val="00CE4DAD"/>
    <w:rsid w:val="00CE6134"/>
    <w:rsid w:val="00CE7D15"/>
    <w:rsid w:val="00CE7E00"/>
    <w:rsid w:val="00CF0214"/>
    <w:rsid w:val="00CF230F"/>
    <w:rsid w:val="00CF5115"/>
    <w:rsid w:val="00CF586F"/>
    <w:rsid w:val="00CF6D42"/>
    <w:rsid w:val="00CF7337"/>
    <w:rsid w:val="00CF79DA"/>
    <w:rsid w:val="00CF7D43"/>
    <w:rsid w:val="00D017B5"/>
    <w:rsid w:val="00D05987"/>
    <w:rsid w:val="00D05E22"/>
    <w:rsid w:val="00D11129"/>
    <w:rsid w:val="00D14843"/>
    <w:rsid w:val="00D14AE7"/>
    <w:rsid w:val="00D15179"/>
    <w:rsid w:val="00D16E9B"/>
    <w:rsid w:val="00D2031B"/>
    <w:rsid w:val="00D21E18"/>
    <w:rsid w:val="00D22332"/>
    <w:rsid w:val="00D224BF"/>
    <w:rsid w:val="00D226FD"/>
    <w:rsid w:val="00D24C66"/>
    <w:rsid w:val="00D24F15"/>
    <w:rsid w:val="00D25FE2"/>
    <w:rsid w:val="00D269FA"/>
    <w:rsid w:val="00D30B4F"/>
    <w:rsid w:val="00D31876"/>
    <w:rsid w:val="00D32130"/>
    <w:rsid w:val="00D3707E"/>
    <w:rsid w:val="00D3733E"/>
    <w:rsid w:val="00D422EB"/>
    <w:rsid w:val="00D43252"/>
    <w:rsid w:val="00D440B1"/>
    <w:rsid w:val="00D4505C"/>
    <w:rsid w:val="00D4664F"/>
    <w:rsid w:val="00D50726"/>
    <w:rsid w:val="00D50727"/>
    <w:rsid w:val="00D50E25"/>
    <w:rsid w:val="00D51193"/>
    <w:rsid w:val="00D514B4"/>
    <w:rsid w:val="00D526D8"/>
    <w:rsid w:val="00D53582"/>
    <w:rsid w:val="00D550F9"/>
    <w:rsid w:val="00D56648"/>
    <w:rsid w:val="00D56C15"/>
    <w:rsid w:val="00D572B0"/>
    <w:rsid w:val="00D61A44"/>
    <w:rsid w:val="00D62E90"/>
    <w:rsid w:val="00D6475A"/>
    <w:rsid w:val="00D667CA"/>
    <w:rsid w:val="00D67CC3"/>
    <w:rsid w:val="00D70839"/>
    <w:rsid w:val="00D72532"/>
    <w:rsid w:val="00D74B15"/>
    <w:rsid w:val="00D76BE5"/>
    <w:rsid w:val="00D831EF"/>
    <w:rsid w:val="00D87171"/>
    <w:rsid w:val="00D914DA"/>
    <w:rsid w:val="00D932F5"/>
    <w:rsid w:val="00D978C6"/>
    <w:rsid w:val="00D9797D"/>
    <w:rsid w:val="00D97F00"/>
    <w:rsid w:val="00DA13AE"/>
    <w:rsid w:val="00DA396B"/>
    <w:rsid w:val="00DA4DFE"/>
    <w:rsid w:val="00DA54FD"/>
    <w:rsid w:val="00DA67AD"/>
    <w:rsid w:val="00DA6FBC"/>
    <w:rsid w:val="00DA72A9"/>
    <w:rsid w:val="00DB0572"/>
    <w:rsid w:val="00DB0822"/>
    <w:rsid w:val="00DB18CE"/>
    <w:rsid w:val="00DB3532"/>
    <w:rsid w:val="00DB4865"/>
    <w:rsid w:val="00DB5252"/>
    <w:rsid w:val="00DC0F6C"/>
    <w:rsid w:val="00DC12C5"/>
    <w:rsid w:val="00DC2495"/>
    <w:rsid w:val="00DC2E00"/>
    <w:rsid w:val="00DC44F5"/>
    <w:rsid w:val="00DC5489"/>
    <w:rsid w:val="00DC5E4C"/>
    <w:rsid w:val="00DD0945"/>
    <w:rsid w:val="00DD2468"/>
    <w:rsid w:val="00DD48FA"/>
    <w:rsid w:val="00DD5F1F"/>
    <w:rsid w:val="00DD5FD1"/>
    <w:rsid w:val="00DE141A"/>
    <w:rsid w:val="00DE1922"/>
    <w:rsid w:val="00DE3EC0"/>
    <w:rsid w:val="00DE49A2"/>
    <w:rsid w:val="00DE72C3"/>
    <w:rsid w:val="00DF1743"/>
    <w:rsid w:val="00DF21D6"/>
    <w:rsid w:val="00DF59E8"/>
    <w:rsid w:val="00DF5F0C"/>
    <w:rsid w:val="00E01CB8"/>
    <w:rsid w:val="00E026D6"/>
    <w:rsid w:val="00E0540F"/>
    <w:rsid w:val="00E05B00"/>
    <w:rsid w:val="00E10090"/>
    <w:rsid w:val="00E11593"/>
    <w:rsid w:val="00E129B0"/>
    <w:rsid w:val="00E12B6B"/>
    <w:rsid w:val="00E130AB"/>
    <w:rsid w:val="00E13E49"/>
    <w:rsid w:val="00E17A1E"/>
    <w:rsid w:val="00E20F62"/>
    <w:rsid w:val="00E22D4B"/>
    <w:rsid w:val="00E23256"/>
    <w:rsid w:val="00E2598B"/>
    <w:rsid w:val="00E26FC5"/>
    <w:rsid w:val="00E301F4"/>
    <w:rsid w:val="00E306D6"/>
    <w:rsid w:val="00E3178A"/>
    <w:rsid w:val="00E31BE6"/>
    <w:rsid w:val="00E33F32"/>
    <w:rsid w:val="00E370F7"/>
    <w:rsid w:val="00E432F9"/>
    <w:rsid w:val="00E438D9"/>
    <w:rsid w:val="00E4510B"/>
    <w:rsid w:val="00E457A4"/>
    <w:rsid w:val="00E465F5"/>
    <w:rsid w:val="00E50736"/>
    <w:rsid w:val="00E51545"/>
    <w:rsid w:val="00E558A9"/>
    <w:rsid w:val="00E563BE"/>
    <w:rsid w:val="00E5644E"/>
    <w:rsid w:val="00E5662F"/>
    <w:rsid w:val="00E57124"/>
    <w:rsid w:val="00E57F83"/>
    <w:rsid w:val="00E64BB6"/>
    <w:rsid w:val="00E659F1"/>
    <w:rsid w:val="00E65ED9"/>
    <w:rsid w:val="00E66DCA"/>
    <w:rsid w:val="00E67A9E"/>
    <w:rsid w:val="00E7107D"/>
    <w:rsid w:val="00E7260F"/>
    <w:rsid w:val="00E72774"/>
    <w:rsid w:val="00E73095"/>
    <w:rsid w:val="00E733DF"/>
    <w:rsid w:val="00E806EE"/>
    <w:rsid w:val="00E84C37"/>
    <w:rsid w:val="00E87F02"/>
    <w:rsid w:val="00E9189B"/>
    <w:rsid w:val="00E91BDB"/>
    <w:rsid w:val="00E92161"/>
    <w:rsid w:val="00E96630"/>
    <w:rsid w:val="00E966AA"/>
    <w:rsid w:val="00E97971"/>
    <w:rsid w:val="00EA72BB"/>
    <w:rsid w:val="00EB0D9C"/>
    <w:rsid w:val="00EB0FB9"/>
    <w:rsid w:val="00EB1FA6"/>
    <w:rsid w:val="00EB2E1D"/>
    <w:rsid w:val="00EB3E6F"/>
    <w:rsid w:val="00EB42D3"/>
    <w:rsid w:val="00EC48C7"/>
    <w:rsid w:val="00EC7568"/>
    <w:rsid w:val="00EC758F"/>
    <w:rsid w:val="00EC7D75"/>
    <w:rsid w:val="00ED0CA9"/>
    <w:rsid w:val="00ED135A"/>
    <w:rsid w:val="00ED34D1"/>
    <w:rsid w:val="00ED45B0"/>
    <w:rsid w:val="00ED7725"/>
    <w:rsid w:val="00ED7A2A"/>
    <w:rsid w:val="00EE0E17"/>
    <w:rsid w:val="00EE1218"/>
    <w:rsid w:val="00EE22DD"/>
    <w:rsid w:val="00EE5CC3"/>
    <w:rsid w:val="00EE6212"/>
    <w:rsid w:val="00EF1D7F"/>
    <w:rsid w:val="00EF5BDB"/>
    <w:rsid w:val="00EF634E"/>
    <w:rsid w:val="00F03716"/>
    <w:rsid w:val="00F069C1"/>
    <w:rsid w:val="00F0796B"/>
    <w:rsid w:val="00F07FD9"/>
    <w:rsid w:val="00F10D24"/>
    <w:rsid w:val="00F1515C"/>
    <w:rsid w:val="00F163DA"/>
    <w:rsid w:val="00F20973"/>
    <w:rsid w:val="00F23933"/>
    <w:rsid w:val="00F23993"/>
    <w:rsid w:val="00F23E56"/>
    <w:rsid w:val="00F24119"/>
    <w:rsid w:val="00F2734B"/>
    <w:rsid w:val="00F2765F"/>
    <w:rsid w:val="00F278BA"/>
    <w:rsid w:val="00F30268"/>
    <w:rsid w:val="00F31046"/>
    <w:rsid w:val="00F3108F"/>
    <w:rsid w:val="00F31132"/>
    <w:rsid w:val="00F36515"/>
    <w:rsid w:val="00F403E5"/>
    <w:rsid w:val="00F40E75"/>
    <w:rsid w:val="00F42CD9"/>
    <w:rsid w:val="00F42E8F"/>
    <w:rsid w:val="00F46917"/>
    <w:rsid w:val="00F47E05"/>
    <w:rsid w:val="00F50728"/>
    <w:rsid w:val="00F516BD"/>
    <w:rsid w:val="00F52936"/>
    <w:rsid w:val="00F535BB"/>
    <w:rsid w:val="00F53692"/>
    <w:rsid w:val="00F53853"/>
    <w:rsid w:val="00F55035"/>
    <w:rsid w:val="00F55160"/>
    <w:rsid w:val="00F563F6"/>
    <w:rsid w:val="00F61405"/>
    <w:rsid w:val="00F64A1E"/>
    <w:rsid w:val="00F65F38"/>
    <w:rsid w:val="00F66E26"/>
    <w:rsid w:val="00F673C9"/>
    <w:rsid w:val="00F6770C"/>
    <w:rsid w:val="00F677CB"/>
    <w:rsid w:val="00F709C7"/>
    <w:rsid w:val="00F75817"/>
    <w:rsid w:val="00F76B9C"/>
    <w:rsid w:val="00F80449"/>
    <w:rsid w:val="00F80E83"/>
    <w:rsid w:val="00F8112F"/>
    <w:rsid w:val="00F8416E"/>
    <w:rsid w:val="00FA16C8"/>
    <w:rsid w:val="00FA7160"/>
    <w:rsid w:val="00FA7DE3"/>
    <w:rsid w:val="00FA7DF3"/>
    <w:rsid w:val="00FB1D1C"/>
    <w:rsid w:val="00FB419E"/>
    <w:rsid w:val="00FC39E6"/>
    <w:rsid w:val="00FC3C6B"/>
    <w:rsid w:val="00FC3E3E"/>
    <w:rsid w:val="00FC68B7"/>
    <w:rsid w:val="00FC6D9D"/>
    <w:rsid w:val="00FC6EE6"/>
    <w:rsid w:val="00FC6EF5"/>
    <w:rsid w:val="00FD059C"/>
    <w:rsid w:val="00FD180D"/>
    <w:rsid w:val="00FD1A69"/>
    <w:rsid w:val="00FD7C12"/>
    <w:rsid w:val="00FE055C"/>
    <w:rsid w:val="00FE0BC1"/>
    <w:rsid w:val="00FE2596"/>
    <w:rsid w:val="00FE3328"/>
    <w:rsid w:val="00FE3A34"/>
    <w:rsid w:val="00FE4173"/>
    <w:rsid w:val="00FE624C"/>
    <w:rsid w:val="00FF15EA"/>
    <w:rsid w:val="00FF3073"/>
    <w:rsid w:val="00FF3464"/>
    <w:rsid w:val="00FF4D1D"/>
    <w:rsid w:val="00FF55D4"/>
    <w:rsid w:val="00FF75F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80816"/>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8081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rsid w:val="00545386"/>
    <w:rPr>
      <w:sz w:val="18"/>
      <w:szCs w:val="18"/>
    </w:rPr>
  </w:style>
  <w:style w:type="paragraph" w:styleId="CommentText">
    <w:name w:val="annotation text"/>
    <w:basedOn w:val="Normal"/>
    <w:link w:val="CommentTextChar"/>
    <w:uiPriority w:val="99"/>
    <w:unhideWhenUsed/>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rsid w:val="00545386"/>
    <w:rPr>
      <w:b/>
      <w:bCs/>
      <w:sz w:val="20"/>
      <w:szCs w:val="20"/>
    </w:rPr>
  </w:style>
  <w:style w:type="character" w:customStyle="1" w:styleId="CommentSubjectChar">
    <w:name w:val="Comment Subject Char"/>
    <w:link w:val="CommentSubject"/>
    <w:uiPriority w:val="99"/>
    <w:rsid w:val="00545386"/>
    <w:rPr>
      <w:rFonts w:ascii="Cambria" w:eastAsia="MS Mincho" w:hAnsi="Cambria"/>
      <w:b/>
      <w:bCs/>
      <w:sz w:val="24"/>
      <w:szCs w:val="24"/>
      <w:lang w:val="en-US" w:eastAsia="ja-JP"/>
    </w:rPr>
  </w:style>
  <w:style w:type="character" w:customStyle="1" w:styleId="FootnoteTextChar">
    <w:name w:val="Footnote Text Char"/>
    <w:aliases w:val="5_G Char"/>
    <w:link w:val="FootnoteText"/>
    <w:rsid w:val="00545386"/>
    <w:rPr>
      <w:rFonts w:eastAsia="SimSun"/>
      <w:sz w:val="18"/>
      <w:lang w:val="en-GB"/>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rsid w:val="00545386"/>
    <w:rPr>
      <w:b/>
      <w:sz w:val="18"/>
      <w:lang w:eastAsia="en-US"/>
    </w:rPr>
  </w:style>
  <w:style w:type="character" w:customStyle="1" w:styleId="FooterChar">
    <w:name w:val="Footer Char"/>
    <w:aliases w:val="3_G Char"/>
    <w:link w:val="Footer"/>
    <w:uiPriority w:val="99"/>
    <w:rsid w:val="00545386"/>
    <w:rPr>
      <w:sz w:val="16"/>
      <w:lang w:eastAsia="en-US"/>
    </w:rPr>
  </w:style>
  <w:style w:type="paragraph" w:styleId="Revision">
    <w:name w:val="Revision"/>
    <w:hidden/>
    <w:uiPriority w:val="71"/>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80816"/>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8081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rsid w:val="00545386"/>
    <w:rPr>
      <w:sz w:val="18"/>
      <w:szCs w:val="18"/>
    </w:rPr>
  </w:style>
  <w:style w:type="paragraph" w:styleId="CommentText">
    <w:name w:val="annotation text"/>
    <w:basedOn w:val="Normal"/>
    <w:link w:val="CommentTextChar"/>
    <w:uiPriority w:val="99"/>
    <w:unhideWhenUsed/>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rsid w:val="00545386"/>
    <w:rPr>
      <w:b/>
      <w:bCs/>
      <w:sz w:val="20"/>
      <w:szCs w:val="20"/>
    </w:rPr>
  </w:style>
  <w:style w:type="character" w:customStyle="1" w:styleId="CommentSubjectChar">
    <w:name w:val="Comment Subject Char"/>
    <w:link w:val="CommentSubject"/>
    <w:uiPriority w:val="99"/>
    <w:rsid w:val="00545386"/>
    <w:rPr>
      <w:rFonts w:ascii="Cambria" w:eastAsia="MS Mincho" w:hAnsi="Cambria"/>
      <w:b/>
      <w:bCs/>
      <w:sz w:val="24"/>
      <w:szCs w:val="24"/>
      <w:lang w:val="en-US" w:eastAsia="ja-JP"/>
    </w:rPr>
  </w:style>
  <w:style w:type="character" w:customStyle="1" w:styleId="FootnoteTextChar">
    <w:name w:val="Footnote Text Char"/>
    <w:aliases w:val="5_G Char"/>
    <w:link w:val="FootnoteText"/>
    <w:rsid w:val="00545386"/>
    <w:rPr>
      <w:rFonts w:eastAsia="SimSun"/>
      <w:sz w:val="18"/>
      <w:lang w:val="en-GB"/>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rsid w:val="00545386"/>
    <w:rPr>
      <w:b/>
      <w:sz w:val="18"/>
      <w:lang w:eastAsia="en-US"/>
    </w:rPr>
  </w:style>
  <w:style w:type="character" w:customStyle="1" w:styleId="FooterChar">
    <w:name w:val="Footer Char"/>
    <w:aliases w:val="3_G Char"/>
    <w:link w:val="Footer"/>
    <w:uiPriority w:val="99"/>
    <w:rsid w:val="00545386"/>
    <w:rPr>
      <w:sz w:val="16"/>
      <w:lang w:eastAsia="en-US"/>
    </w:rPr>
  </w:style>
  <w:style w:type="paragraph" w:styleId="Revision">
    <w:name w:val="Revision"/>
    <w:hidden/>
    <w:uiPriority w:val="71"/>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7521">
      <w:bodyDiv w:val="1"/>
      <w:marLeft w:val="0"/>
      <w:marRight w:val="0"/>
      <w:marTop w:val="0"/>
      <w:marBottom w:val="0"/>
      <w:divBdr>
        <w:top w:val="none" w:sz="0" w:space="0" w:color="auto"/>
        <w:left w:val="none" w:sz="0" w:space="0" w:color="auto"/>
        <w:bottom w:val="none" w:sz="0" w:space="0" w:color="auto"/>
        <w:right w:val="none" w:sz="0" w:space="0" w:color="auto"/>
      </w:divBdr>
    </w:div>
    <w:div w:id="979504206">
      <w:bodyDiv w:val="1"/>
      <w:marLeft w:val="0"/>
      <w:marRight w:val="0"/>
      <w:marTop w:val="0"/>
      <w:marBottom w:val="0"/>
      <w:divBdr>
        <w:top w:val="none" w:sz="0" w:space="0" w:color="auto"/>
        <w:left w:val="none" w:sz="0" w:space="0" w:color="auto"/>
        <w:bottom w:val="none" w:sz="0" w:space="0" w:color="auto"/>
        <w:right w:val="none" w:sz="0" w:space="0" w:color="auto"/>
      </w:divBdr>
      <w:divsChild>
        <w:div w:id="909576584">
          <w:marLeft w:val="0"/>
          <w:marRight w:val="0"/>
          <w:marTop w:val="0"/>
          <w:marBottom w:val="0"/>
          <w:divBdr>
            <w:top w:val="none" w:sz="0" w:space="0" w:color="auto"/>
            <w:left w:val="none" w:sz="0" w:space="0" w:color="auto"/>
            <w:bottom w:val="none" w:sz="0" w:space="0" w:color="auto"/>
            <w:right w:val="none" w:sz="0" w:space="0" w:color="auto"/>
          </w:divBdr>
          <w:divsChild>
            <w:div w:id="72051488">
              <w:marLeft w:val="300"/>
              <w:marRight w:val="150"/>
              <w:marTop w:val="0"/>
              <w:marBottom w:val="0"/>
              <w:divBdr>
                <w:top w:val="none" w:sz="0" w:space="0" w:color="auto"/>
                <w:left w:val="none" w:sz="0" w:space="0" w:color="auto"/>
                <w:bottom w:val="none" w:sz="0" w:space="0" w:color="auto"/>
                <w:right w:val="none" w:sz="0" w:space="0" w:color="auto"/>
              </w:divBdr>
              <w:divsChild>
                <w:div w:id="955603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51087867">
      <w:bodyDiv w:val="1"/>
      <w:marLeft w:val="0"/>
      <w:marRight w:val="0"/>
      <w:marTop w:val="0"/>
      <w:marBottom w:val="0"/>
      <w:divBdr>
        <w:top w:val="none" w:sz="0" w:space="0" w:color="auto"/>
        <w:left w:val="none" w:sz="0" w:space="0" w:color="auto"/>
        <w:bottom w:val="none" w:sz="0" w:space="0" w:color="auto"/>
        <w:right w:val="none" w:sz="0" w:space="0" w:color="auto"/>
      </w:divBdr>
    </w:div>
    <w:div w:id="1323122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country/malay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1EEF-873D-45CC-95C9-6CF92247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22</Pages>
  <Words>10175</Words>
  <Characters>58004</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68043</CharactersWithSpaces>
  <SharedDoc>false</SharedDoc>
  <HLinks>
    <vt:vector size="6" baseType="variant">
      <vt:variant>
        <vt:i4>2556000</vt:i4>
      </vt:variant>
      <vt:variant>
        <vt:i4>0</vt:i4>
      </vt:variant>
      <vt:variant>
        <vt:i4>0</vt:i4>
      </vt:variant>
      <vt:variant>
        <vt:i4>5</vt:i4>
      </vt:variant>
      <vt:variant>
        <vt:lpwstr>http://data.worldbank.org/country/malaysia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Giardini</dc:creator>
  <cp:keywords/>
  <cp:lastModifiedBy>Pdfeng</cp:lastModifiedBy>
  <cp:revision>3</cp:revision>
  <cp:lastPrinted>2015-05-04T09:05:00Z</cp:lastPrinted>
  <dcterms:created xsi:type="dcterms:W3CDTF">2015-05-04T09:05:00Z</dcterms:created>
  <dcterms:modified xsi:type="dcterms:W3CDTF">2015-05-04T09:06:00Z</dcterms:modified>
</cp:coreProperties>
</file>