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315D83" w:rsidRDefault="00446DE4" w:rsidP="00E806EE">
            <w:pPr>
              <w:tabs>
                <w:tab w:val="right" w:pos="850"/>
                <w:tab w:val="left" w:pos="1134"/>
                <w:tab w:val="right" w:leader="dot" w:pos="8504"/>
              </w:tabs>
              <w:spacing w:before="360" w:after="240"/>
              <w:rPr>
                <w:rStyle w:val="Emphasis"/>
              </w:rPr>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394E5E" w:rsidP="00394E5E">
            <w:pPr>
              <w:jc w:val="right"/>
            </w:pPr>
            <w:r w:rsidRPr="00394E5E">
              <w:rPr>
                <w:sz w:val="40"/>
              </w:rPr>
              <w:t>A</w:t>
            </w:r>
            <w:r w:rsidR="00F743C5">
              <w:t>/HRC/29/38/Add.1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693021" w:rsidP="00956D9B">
            <w:pPr>
              <w:spacing w:before="120"/>
              <w:jc w:val="center"/>
            </w:pPr>
            <w:r>
              <w:rPr>
                <w:noProof/>
                <w:lang w:eastAsia="zh-CN"/>
              </w:rPr>
              <w:drawing>
                <wp:inline distT="0" distB="0" distL="0" distR="0">
                  <wp:extent cx="71247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394E5E" w:rsidP="00394E5E">
            <w:pPr>
              <w:spacing w:before="240" w:line="240" w:lineRule="exact"/>
            </w:pPr>
            <w:r>
              <w:t>Distr.: General</w:t>
            </w:r>
          </w:p>
          <w:p w:rsidR="00394E5E" w:rsidRDefault="00F743C5" w:rsidP="00394E5E">
            <w:pPr>
              <w:spacing w:line="240" w:lineRule="exact"/>
            </w:pPr>
            <w:r>
              <w:t>1</w:t>
            </w:r>
            <w:r w:rsidR="00D22C48">
              <w:t>5</w:t>
            </w:r>
            <w:r>
              <w:t xml:space="preserve"> June</w:t>
            </w:r>
            <w:r w:rsidR="00394E5E">
              <w:t xml:space="preserve"> 2015</w:t>
            </w:r>
          </w:p>
          <w:p w:rsidR="00394E5E" w:rsidRDefault="00394E5E" w:rsidP="00394E5E">
            <w:pPr>
              <w:spacing w:line="240" w:lineRule="exact"/>
            </w:pPr>
          </w:p>
          <w:p w:rsidR="00394E5E" w:rsidRDefault="00394E5E" w:rsidP="00394E5E">
            <w:pPr>
              <w:spacing w:line="240" w:lineRule="exact"/>
            </w:pPr>
            <w:r>
              <w:t>Original: English</w:t>
            </w:r>
          </w:p>
        </w:tc>
      </w:tr>
    </w:tbl>
    <w:p w:rsidR="00394E5E" w:rsidRPr="00D4087C" w:rsidRDefault="00394E5E" w:rsidP="00394E5E">
      <w:pPr>
        <w:tabs>
          <w:tab w:val="right" w:pos="1134"/>
        </w:tabs>
        <w:spacing w:before="60"/>
        <w:ind w:left="567" w:hanging="567"/>
        <w:rPr>
          <w:b/>
          <w:sz w:val="24"/>
          <w:szCs w:val="24"/>
        </w:rPr>
      </w:pPr>
      <w:r w:rsidRPr="00D4087C">
        <w:rPr>
          <w:b/>
          <w:sz w:val="24"/>
          <w:szCs w:val="24"/>
        </w:rPr>
        <w:t>Human Rights Council</w:t>
      </w:r>
    </w:p>
    <w:p w:rsidR="00394E5E" w:rsidRPr="00D4087C" w:rsidRDefault="00394E5E" w:rsidP="00394E5E">
      <w:pPr>
        <w:tabs>
          <w:tab w:val="right" w:pos="1134"/>
        </w:tabs>
        <w:ind w:left="567" w:hanging="567"/>
        <w:rPr>
          <w:b/>
        </w:rPr>
      </w:pPr>
      <w:r w:rsidRPr="00D4087C">
        <w:rPr>
          <w:b/>
        </w:rPr>
        <w:t>Twenty-</w:t>
      </w:r>
      <w:r>
        <w:rPr>
          <w:b/>
        </w:rPr>
        <w:t xml:space="preserve">ninth </w:t>
      </w:r>
      <w:r w:rsidRPr="00D4087C">
        <w:rPr>
          <w:b/>
        </w:rPr>
        <w:t>session</w:t>
      </w:r>
    </w:p>
    <w:p w:rsidR="00394E5E" w:rsidRPr="00D4087C" w:rsidRDefault="00394E5E" w:rsidP="00394E5E">
      <w:pPr>
        <w:tabs>
          <w:tab w:val="right" w:pos="1134"/>
        </w:tabs>
        <w:ind w:left="567" w:hanging="567"/>
      </w:pPr>
      <w:r w:rsidRPr="00D4087C">
        <w:t>Agenda item 3</w:t>
      </w:r>
    </w:p>
    <w:p w:rsidR="00394E5E" w:rsidRPr="00D4087C" w:rsidRDefault="00394E5E" w:rsidP="00394E5E">
      <w:pPr>
        <w:tabs>
          <w:tab w:val="right" w:pos="1134"/>
        </w:tabs>
      </w:pPr>
      <w:r w:rsidRPr="00D4087C">
        <w:rPr>
          <w:b/>
          <w:bCs/>
        </w:rPr>
        <w:t xml:space="preserve">Promotion and protection of all human rights, civil, </w:t>
      </w:r>
      <w:r w:rsidRPr="00D4087C">
        <w:rPr>
          <w:b/>
          <w:bCs/>
        </w:rPr>
        <w:br/>
        <w:t>political, economic, social and cultural rights,</w:t>
      </w:r>
      <w:r w:rsidRPr="00D4087C">
        <w:rPr>
          <w:b/>
          <w:bCs/>
        </w:rPr>
        <w:br/>
        <w:t>including the right to development</w:t>
      </w:r>
    </w:p>
    <w:p w:rsidR="00394E5E" w:rsidRPr="00D4087C" w:rsidRDefault="00394E5E" w:rsidP="00743B3A">
      <w:pPr>
        <w:pStyle w:val="HChG"/>
        <w:spacing w:before="240" w:after="120"/>
        <w:ind w:right="992"/>
      </w:pPr>
      <w:r>
        <w:tab/>
      </w:r>
      <w:r>
        <w:tab/>
      </w:r>
      <w:r w:rsidRPr="00D4087C">
        <w:t>Report of the Special Rapporteur on</w:t>
      </w:r>
      <w:r w:rsidR="00743B3A">
        <w:t xml:space="preserve"> </w:t>
      </w:r>
      <w:r w:rsidRPr="00D4087C">
        <w:t xml:space="preserve">trafficking in persons, especially women and children, </w:t>
      </w:r>
      <w:r>
        <w:t xml:space="preserve">Maria </w:t>
      </w:r>
      <w:proofErr w:type="spellStart"/>
      <w:r>
        <w:t>Grazia</w:t>
      </w:r>
      <w:proofErr w:type="spellEnd"/>
      <w:r>
        <w:t xml:space="preserve"> </w:t>
      </w:r>
      <w:proofErr w:type="spellStart"/>
      <w:r>
        <w:t>Giammarinaro</w:t>
      </w:r>
      <w:proofErr w:type="spellEnd"/>
    </w:p>
    <w:p w:rsidR="00394E5E" w:rsidRPr="00D4087C" w:rsidRDefault="00394E5E" w:rsidP="00394E5E">
      <w:pPr>
        <w:pStyle w:val="H23G"/>
      </w:pPr>
      <w:r w:rsidRPr="00D4087C">
        <w:tab/>
      </w:r>
      <w:r w:rsidRPr="00D4087C">
        <w:tab/>
        <w:t>Addendum</w:t>
      </w:r>
    </w:p>
    <w:p w:rsidR="00394E5E" w:rsidRDefault="00394E5E" w:rsidP="004507B5">
      <w:pPr>
        <w:pStyle w:val="H1G"/>
        <w:spacing w:before="240" w:after="120"/>
        <w:rPr>
          <w:b w:val="0"/>
          <w:bCs/>
          <w:sz w:val="20"/>
        </w:rPr>
      </w:pPr>
      <w:r w:rsidRPr="00D4087C">
        <w:tab/>
      </w:r>
      <w:r w:rsidRPr="00D4087C">
        <w:tab/>
        <w:t xml:space="preserve">Mission to </w:t>
      </w:r>
      <w:r>
        <w:t>Malaysia</w:t>
      </w:r>
      <w:r w:rsidRPr="005B38A5">
        <w:rPr>
          <w:rStyle w:val="FootnoteReference"/>
          <w:b w:val="0"/>
          <w:bCs/>
          <w:sz w:val="20"/>
          <w:vertAlign w:val="baseline"/>
        </w:rPr>
        <w:footnoteReference w:customMarkFollows="1" w:id="2"/>
        <w:t>*</w:t>
      </w:r>
      <w:r w:rsidR="00F743C5">
        <w:rPr>
          <w:rStyle w:val="FootnoteReference"/>
          <w:sz w:val="20"/>
          <w:vertAlign w:val="baseline"/>
        </w:rPr>
        <w:t xml:space="preserve"> </w:t>
      </w:r>
      <w:r w:rsidR="004507B5" w:rsidRPr="005B38A5">
        <w:rPr>
          <w:rStyle w:val="FootnoteReference"/>
          <w:b w:val="0"/>
          <w:bCs/>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428"/>
      </w:tblGrid>
      <w:tr w:rsidR="00394E5E" w:rsidTr="000769EB">
        <w:trPr>
          <w:jc w:val="center"/>
        </w:trPr>
        <w:tc>
          <w:tcPr>
            <w:tcW w:w="9428" w:type="dxa"/>
            <w:tcBorders>
              <w:bottom w:val="nil"/>
            </w:tcBorders>
            <w:shd w:val="clear" w:color="auto" w:fill="auto"/>
          </w:tcPr>
          <w:p w:rsidR="00394E5E" w:rsidRPr="000769EB" w:rsidRDefault="00394E5E" w:rsidP="005B38A5">
            <w:pPr>
              <w:spacing w:before="120" w:after="120"/>
              <w:ind w:left="255"/>
              <w:rPr>
                <w:i/>
                <w:sz w:val="24"/>
              </w:rPr>
            </w:pPr>
            <w:r w:rsidRPr="000769EB">
              <w:rPr>
                <w:i/>
                <w:sz w:val="24"/>
              </w:rPr>
              <w:t>Summary</w:t>
            </w:r>
          </w:p>
        </w:tc>
      </w:tr>
      <w:tr w:rsidR="00394E5E" w:rsidTr="000769EB">
        <w:trPr>
          <w:jc w:val="center"/>
        </w:trPr>
        <w:tc>
          <w:tcPr>
            <w:tcW w:w="9428" w:type="dxa"/>
            <w:tcBorders>
              <w:top w:val="nil"/>
              <w:bottom w:val="nil"/>
            </w:tcBorders>
            <w:shd w:val="clear" w:color="auto" w:fill="auto"/>
          </w:tcPr>
          <w:p w:rsidR="00394E5E" w:rsidRDefault="00521F48" w:rsidP="00A16A99">
            <w:pPr>
              <w:pStyle w:val="SingleTxtG"/>
            </w:pPr>
            <w:r>
              <w:rPr>
                <w:noProof/>
                <w:lang w:eastAsia="zh-CN"/>
              </w:rPr>
              <w:drawing>
                <wp:anchor distT="0" distB="0" distL="114300" distR="114300" simplePos="0" relativeHeight="251658240" behindDoc="0" locked="0" layoutInCell="1" allowOverlap="0" wp14:anchorId="6A733C63" wp14:editId="61E09115">
                  <wp:simplePos x="0" y="0"/>
                  <wp:positionH relativeFrom="margin">
                    <wp:posOffset>5419090</wp:posOffset>
                  </wp:positionH>
                  <wp:positionV relativeFrom="margin">
                    <wp:posOffset>3829212</wp:posOffset>
                  </wp:positionV>
                  <wp:extent cx="637540" cy="637540"/>
                  <wp:effectExtent l="0" t="0" r="0" b="0"/>
                  <wp:wrapNone/>
                  <wp:docPr id="2" name="Picture 2" descr="http://undocs.org/m2/QRCode.ashx?DS=A/HRC/29/38/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8/Add.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5E">
              <w:tab/>
            </w:r>
            <w:r w:rsidR="00394E5E" w:rsidRPr="00246FFD">
              <w:t>The Special Rapporteur on</w:t>
            </w:r>
            <w:r w:rsidR="00743B3A">
              <w:t xml:space="preserve"> </w:t>
            </w:r>
            <w:r w:rsidR="00394E5E" w:rsidRPr="00246FFD">
              <w:t>trafficking in persons, especially women and children</w:t>
            </w:r>
            <w:r w:rsidR="00394E5E">
              <w:t>,</w:t>
            </w:r>
            <w:r w:rsidR="00394E5E" w:rsidRPr="00246FFD">
              <w:t xml:space="preserve"> visited </w:t>
            </w:r>
            <w:r w:rsidR="00394E5E">
              <w:t>Malaysia</w:t>
            </w:r>
            <w:r w:rsidR="00394E5E" w:rsidRPr="00246FFD">
              <w:t xml:space="preserve"> from </w:t>
            </w:r>
            <w:r w:rsidR="00394E5E">
              <w:t>23 to 28 February 2015</w:t>
            </w:r>
            <w:r w:rsidR="00394E5E" w:rsidRPr="00246FFD">
              <w:t xml:space="preserve">, at the invitation of the </w:t>
            </w:r>
            <w:r w:rsidR="00394E5E" w:rsidRPr="003C4A15">
              <w:t xml:space="preserve">Government. </w:t>
            </w:r>
            <w:r w:rsidR="00394E5E" w:rsidRPr="005E2A84">
              <w:t xml:space="preserve">In the present report, the Special Rapporteur highlights the country’s commitment to combating trafficking in persons, as evidenced by </w:t>
            </w:r>
            <w:r w:rsidR="00394E5E">
              <w:t>its</w:t>
            </w:r>
            <w:r w:rsidR="00394E5E" w:rsidRPr="005E2A84">
              <w:t xml:space="preserve"> legislative and policy framework, and its multidisciplinary approach in</w:t>
            </w:r>
            <w:r w:rsidR="00E35FEA">
              <w:t xml:space="preserve"> taking</w:t>
            </w:r>
            <w:r w:rsidR="00394E5E" w:rsidRPr="005E2A84">
              <w:t xml:space="preserve"> anti-trafficking measures</w:t>
            </w:r>
            <w:r w:rsidR="00E35FEA">
              <w:t>,</w:t>
            </w:r>
            <w:r w:rsidR="00394E5E" w:rsidRPr="005E2A84">
              <w:t xml:space="preserve"> which involves key Government agencies and some civil society organizations</w:t>
            </w:r>
            <w:r w:rsidR="008F2696">
              <w:t xml:space="preserve"> (CSOs)</w:t>
            </w:r>
            <w:r w:rsidR="00394E5E" w:rsidRPr="005E2A84">
              <w:t>. She nonetheless expresses concern about, inter alia, the focus on trafficking for the purpose of sexual exploitation to the neglect of</w:t>
            </w:r>
            <w:r w:rsidR="006207C2">
              <w:t xml:space="preserve"> </w:t>
            </w:r>
            <w:r w:rsidR="00394E5E" w:rsidRPr="005E2A84">
              <w:t>other forms of trafficking, particularly labour trafficking; and the r</w:t>
            </w:r>
            <w:r w:rsidR="00394E5E" w:rsidRPr="000769EB">
              <w:rPr>
                <w:rFonts w:eastAsia="Calibri"/>
              </w:rPr>
              <w:t>estrictive national immigration policy focused on rapid deportation of irregular migrants, which does not provide the opportunity for accurate identification</w:t>
            </w:r>
            <w:r w:rsidR="00894F5B">
              <w:rPr>
                <w:rFonts w:eastAsia="Calibri"/>
              </w:rPr>
              <w:t xml:space="preserve"> of</w:t>
            </w:r>
            <w:r w:rsidR="00394E5E" w:rsidRPr="000769EB">
              <w:rPr>
                <w:rFonts w:eastAsia="Calibri"/>
              </w:rPr>
              <w:t xml:space="preserve"> and provision of assistance to victims of trafficking. Other concerns include the placement of victims in shelters without freedom of movement</w:t>
            </w:r>
            <w:r w:rsidR="00394E5E">
              <w:t xml:space="preserve"> and the </w:t>
            </w:r>
            <w:r w:rsidR="00394E5E" w:rsidRPr="000769EB">
              <w:rPr>
                <w:rFonts w:eastAsia="Calibri"/>
              </w:rPr>
              <w:t xml:space="preserve">capacity gap of enforcement officials which is further exacerbated by reported prevalence of corruption of some officials. </w:t>
            </w:r>
            <w:r w:rsidR="00394E5E" w:rsidRPr="005E2A84">
              <w:t xml:space="preserve">On that basis, the Special Rapporteur makes a number of recommendations to the Government, including with regard to </w:t>
            </w:r>
            <w:r w:rsidR="00394E5E" w:rsidRPr="000769EB">
              <w:rPr>
                <w:rFonts w:eastAsia="Calibri"/>
              </w:rPr>
              <w:t>ratification of key international legal instruments, strengthening of national legislation and policies</w:t>
            </w:r>
            <w:r w:rsidR="00394E5E" w:rsidRPr="005E2A84">
              <w:t xml:space="preserve"> to combat trafficking, and increasing capacity-building activities for government officials. The Special Rapporteur also encourages the Government to address key gaps in the </w:t>
            </w:r>
            <w:r w:rsidR="00394E5E">
              <w:t>assistance</w:t>
            </w:r>
            <w:r w:rsidR="00894F5B">
              <w:t xml:space="preserve"> provided</w:t>
            </w:r>
            <w:r w:rsidR="00394E5E">
              <w:t xml:space="preserve"> to victims</w:t>
            </w:r>
            <w:r w:rsidR="00394E5E" w:rsidRPr="000769EB">
              <w:rPr>
                <w:rFonts w:eastAsia="Calibri"/>
                <w:bCs/>
              </w:rPr>
              <w:t xml:space="preserve"> of trafficking</w:t>
            </w:r>
            <w:r w:rsidR="00394E5E" w:rsidRPr="005E2A84">
              <w:t xml:space="preserve">, especially in terms of </w:t>
            </w:r>
            <w:r w:rsidR="00394E5E" w:rsidRPr="000769EB">
              <w:rPr>
                <w:rFonts w:eastAsia="Calibri"/>
                <w:bCs/>
              </w:rPr>
              <w:t>providing them</w:t>
            </w:r>
            <w:r w:rsidR="00894F5B">
              <w:rPr>
                <w:rFonts w:eastAsia="Calibri"/>
                <w:bCs/>
              </w:rPr>
              <w:t xml:space="preserve"> with</w:t>
            </w:r>
            <w:r w:rsidR="00394E5E" w:rsidRPr="000769EB">
              <w:rPr>
                <w:rFonts w:eastAsia="Calibri"/>
                <w:bCs/>
              </w:rPr>
              <w:t xml:space="preserve"> effective remedies,</w:t>
            </w:r>
            <w:r w:rsidR="00894F5B">
              <w:rPr>
                <w:rFonts w:eastAsia="Calibri"/>
                <w:bCs/>
              </w:rPr>
              <w:t xml:space="preserve"> and</w:t>
            </w:r>
            <w:r w:rsidR="00394E5E" w:rsidRPr="000769EB">
              <w:rPr>
                <w:rFonts w:eastAsia="Calibri"/>
                <w:bCs/>
              </w:rPr>
              <w:t xml:space="preserve"> </w:t>
            </w:r>
            <w:r w:rsidR="00394E5E" w:rsidRPr="005E2A84">
              <w:t xml:space="preserve">increasing the involvement of </w:t>
            </w:r>
            <w:r w:rsidR="008F2696">
              <w:t>CSOs</w:t>
            </w:r>
            <w:r w:rsidR="00E50D3F" w:rsidRPr="005E2A84">
              <w:t xml:space="preserve"> </w:t>
            </w:r>
            <w:r w:rsidR="00394E5E" w:rsidRPr="005E2A84">
              <w:t xml:space="preserve">in the provision of assistance to victims. She also </w:t>
            </w:r>
            <w:r w:rsidR="00394E5E" w:rsidRPr="005E2A84">
              <w:lastRenderedPageBreak/>
              <w:t xml:space="preserve">calls </w:t>
            </w:r>
            <w:r w:rsidR="00E50D3F">
              <w:t>on the Government to</w:t>
            </w:r>
            <w:r w:rsidR="00394E5E">
              <w:t xml:space="preserve"> improve</w:t>
            </w:r>
            <w:r w:rsidR="00394E5E" w:rsidRPr="005E2A84">
              <w:t xml:space="preserve"> </w:t>
            </w:r>
            <w:r w:rsidR="00E50D3F">
              <w:t xml:space="preserve">the </w:t>
            </w:r>
            <w:r w:rsidR="00394E5E" w:rsidRPr="005E2A84">
              <w:t>justice delivery system and strengthen its regional and international engagement in cooperating with countries of origin to address the root causes of trafficking and create more opportunities for safe migration.</w:t>
            </w:r>
          </w:p>
        </w:tc>
      </w:tr>
      <w:tr w:rsidR="00394E5E" w:rsidTr="000769EB">
        <w:trPr>
          <w:jc w:val="center"/>
        </w:trPr>
        <w:tc>
          <w:tcPr>
            <w:tcW w:w="9428" w:type="dxa"/>
            <w:tcBorders>
              <w:top w:val="nil"/>
            </w:tcBorders>
            <w:shd w:val="clear" w:color="auto" w:fill="auto"/>
          </w:tcPr>
          <w:p w:rsidR="00394E5E" w:rsidRDefault="00394E5E" w:rsidP="00394E5E"/>
        </w:tc>
      </w:tr>
    </w:tbl>
    <w:p w:rsidR="00B06F83" w:rsidRDefault="00394E5E" w:rsidP="00F743C5">
      <w:pPr>
        <w:pStyle w:val="HChG"/>
      </w:pPr>
      <w:r>
        <w:br w:type="page"/>
      </w:r>
      <w:r w:rsidR="00B06F83" w:rsidRPr="009B0915">
        <w:lastRenderedPageBreak/>
        <w:t>Annex</w:t>
      </w:r>
    </w:p>
    <w:p w:rsidR="00F743C5" w:rsidRPr="00693021" w:rsidRDefault="00F743C5" w:rsidP="00F743C5">
      <w:pPr>
        <w:pStyle w:val="H4G"/>
        <w:ind w:right="0"/>
        <w:jc w:val="right"/>
        <w:rPr>
          <w:iCs/>
        </w:rPr>
      </w:pPr>
      <w:r w:rsidRPr="00693021">
        <w:rPr>
          <w:iCs/>
        </w:rPr>
        <w:t>[English only]</w:t>
      </w:r>
    </w:p>
    <w:p w:rsidR="00B06F83" w:rsidRPr="009B0915" w:rsidRDefault="00B06F83" w:rsidP="00B06F83">
      <w:pPr>
        <w:pStyle w:val="HChG"/>
      </w:pPr>
      <w:r w:rsidRPr="009B0915">
        <w:tab/>
      </w:r>
      <w:r w:rsidRPr="009B0915">
        <w:tab/>
        <w:t>Report of the Special Rapporteur on trafficking in persons on her mission to Malaysia</w:t>
      </w:r>
    </w:p>
    <w:p w:rsidR="00CF586F" w:rsidRDefault="00B06F83" w:rsidP="00B06F83">
      <w:pPr>
        <w:spacing w:after="120"/>
        <w:rPr>
          <w:sz w:val="28"/>
        </w:rPr>
      </w:pPr>
      <w:r>
        <w:rPr>
          <w:sz w:val="28"/>
        </w:rPr>
        <w:t>Contents</w:t>
      </w:r>
    </w:p>
    <w:p w:rsidR="00B06F83" w:rsidRDefault="00B06F83" w:rsidP="00B06F83">
      <w:pPr>
        <w:tabs>
          <w:tab w:val="right" w:pos="8929"/>
          <w:tab w:val="right" w:pos="9638"/>
        </w:tabs>
        <w:spacing w:after="120"/>
        <w:ind w:left="283"/>
      </w:pPr>
      <w:r>
        <w:rPr>
          <w:i/>
          <w:sz w:val="18"/>
        </w:rPr>
        <w:tab/>
        <w:t>Paragraphs</w:t>
      </w:r>
      <w:r>
        <w:rPr>
          <w:i/>
          <w:sz w:val="18"/>
        </w:rPr>
        <w:tab/>
        <w:t>Page</w:t>
      </w:r>
    </w:p>
    <w:p w:rsidR="0067577B" w:rsidRDefault="00B06F83" w:rsidP="009A4F72">
      <w:pPr>
        <w:tabs>
          <w:tab w:val="right" w:pos="850"/>
          <w:tab w:val="left" w:pos="1134"/>
          <w:tab w:val="left" w:pos="1559"/>
          <w:tab w:val="left" w:pos="1984"/>
          <w:tab w:val="left" w:leader="dot" w:pos="7654"/>
          <w:tab w:val="right" w:pos="8929"/>
          <w:tab w:val="right" w:pos="9638"/>
        </w:tabs>
        <w:spacing w:after="120"/>
      </w:pPr>
      <w:r>
        <w:tab/>
        <w:t>I.</w:t>
      </w:r>
      <w:r>
        <w:tab/>
        <w:t>Introductio</w:t>
      </w:r>
      <w:r w:rsidR="0067577B">
        <w:t xml:space="preserve">n and </w:t>
      </w:r>
      <w:r w:rsidR="00E50D3F">
        <w:t>m</w:t>
      </w:r>
      <w:r w:rsidR="0067577B">
        <w:t>ethodology</w:t>
      </w:r>
      <w:r w:rsidR="0067577B">
        <w:tab/>
      </w:r>
      <w:r w:rsidR="0067577B">
        <w:tab/>
        <w:t>1–3</w:t>
      </w:r>
      <w:r w:rsidR="0067577B">
        <w:tab/>
        <w:t>4</w:t>
      </w:r>
    </w:p>
    <w:p w:rsidR="0067577B" w:rsidRDefault="0067577B" w:rsidP="00524109">
      <w:pPr>
        <w:tabs>
          <w:tab w:val="right" w:pos="850"/>
          <w:tab w:val="left" w:pos="1134"/>
          <w:tab w:val="left" w:pos="1559"/>
          <w:tab w:val="left" w:pos="1984"/>
          <w:tab w:val="left" w:leader="dot" w:pos="7654"/>
          <w:tab w:val="right" w:pos="8929"/>
          <w:tab w:val="right" w:pos="9638"/>
        </w:tabs>
        <w:spacing w:after="120"/>
      </w:pPr>
      <w:r>
        <w:tab/>
        <w:t>II.</w:t>
      </w:r>
      <w:r>
        <w:tab/>
        <w:t>Main findings</w:t>
      </w:r>
      <w:r>
        <w:tab/>
      </w:r>
      <w:r>
        <w:tab/>
        <w:t>4–87</w:t>
      </w:r>
      <w:r>
        <w:tab/>
        <w:t>4</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A.</w:t>
      </w:r>
      <w:r>
        <w:tab/>
        <w:t>Forms and manifestations of trafficking in persons</w:t>
      </w:r>
      <w:r>
        <w:tab/>
      </w:r>
      <w:r>
        <w:tab/>
        <w:t>4–21</w:t>
      </w:r>
      <w:r>
        <w:tab/>
        <w:t>4</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B.</w:t>
      </w:r>
      <w:r>
        <w:tab/>
        <w:t>Criminali</w:t>
      </w:r>
      <w:r w:rsidR="00E50D3F">
        <w:t>z</w:t>
      </w:r>
      <w:r>
        <w:t>ation of irregular migration and the impact on trafficked persons</w:t>
      </w:r>
      <w:r>
        <w:tab/>
      </w:r>
      <w:r>
        <w:tab/>
        <w:t>22–27</w:t>
      </w:r>
      <w:r>
        <w:tab/>
        <w:t>7</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C.</w:t>
      </w:r>
      <w:r>
        <w:tab/>
        <w:t>Legislative, policy and institutional framework</w:t>
      </w:r>
      <w:r>
        <w:tab/>
      </w:r>
      <w:r>
        <w:tab/>
        <w:t>28–48</w:t>
      </w:r>
      <w:r>
        <w:tab/>
      </w:r>
      <w:r w:rsidR="00315D83">
        <w:t>9</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D.</w:t>
      </w:r>
      <w:r>
        <w:tab/>
        <w:t>Identification of trafficked persons</w:t>
      </w:r>
      <w:r>
        <w:tab/>
      </w:r>
      <w:r>
        <w:tab/>
        <w:t>49–56</w:t>
      </w:r>
      <w:r>
        <w:tab/>
        <w:t>12</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E.</w:t>
      </w:r>
      <w:r>
        <w:tab/>
        <w:t>Protection</w:t>
      </w:r>
      <w:r>
        <w:tab/>
      </w:r>
      <w:r>
        <w:tab/>
        <w:t>57–65</w:t>
      </w:r>
      <w:r>
        <w:tab/>
        <w:t>1</w:t>
      </w:r>
      <w:r w:rsidR="00315D83">
        <w:t>4</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F.</w:t>
      </w:r>
      <w:r>
        <w:tab/>
        <w:t>Investigation, prosecution and punishment</w:t>
      </w:r>
      <w:r>
        <w:tab/>
      </w:r>
      <w:r>
        <w:tab/>
        <w:t>66–71</w:t>
      </w:r>
      <w:r>
        <w:tab/>
        <w:t>1</w:t>
      </w:r>
      <w:r w:rsidR="00315D83">
        <w:t>6</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G.</w:t>
      </w:r>
      <w:r>
        <w:tab/>
        <w:t>Redress</w:t>
      </w:r>
      <w:r>
        <w:tab/>
      </w:r>
      <w:r>
        <w:tab/>
        <w:t>72–75</w:t>
      </w:r>
      <w:r>
        <w:tab/>
        <w:t>1</w:t>
      </w:r>
      <w:r w:rsidR="00315D83">
        <w:t>7</w:t>
      </w:r>
    </w:p>
    <w:p w:rsidR="0067577B" w:rsidRDefault="0067577B" w:rsidP="00093BD6">
      <w:pPr>
        <w:tabs>
          <w:tab w:val="right" w:pos="850"/>
          <w:tab w:val="left" w:pos="1134"/>
          <w:tab w:val="left" w:pos="1559"/>
          <w:tab w:val="left" w:pos="1984"/>
          <w:tab w:val="left" w:leader="dot" w:pos="7654"/>
          <w:tab w:val="right" w:pos="8929"/>
          <w:tab w:val="right" w:pos="9638"/>
        </w:tabs>
        <w:spacing w:after="120"/>
      </w:pPr>
      <w:r>
        <w:tab/>
      </w:r>
      <w:r>
        <w:tab/>
        <w:t>H.</w:t>
      </w:r>
      <w:r>
        <w:tab/>
        <w:t>Repatriation and reintegration</w:t>
      </w:r>
      <w:r>
        <w:tab/>
      </w:r>
      <w:r>
        <w:tab/>
        <w:t>76–78</w:t>
      </w:r>
      <w:r>
        <w:tab/>
        <w:t>1</w:t>
      </w:r>
      <w:r w:rsidR="00927678">
        <w:t>7</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I.</w:t>
      </w:r>
      <w:r>
        <w:tab/>
        <w:t>Prevention</w:t>
      </w:r>
      <w:r>
        <w:tab/>
      </w:r>
      <w:r>
        <w:tab/>
        <w:t>79–84</w:t>
      </w:r>
      <w:r>
        <w:tab/>
        <w:t>18</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J.</w:t>
      </w:r>
      <w:r>
        <w:tab/>
        <w:t>Cooperation and partnership</w:t>
      </w:r>
      <w:r>
        <w:tab/>
      </w:r>
      <w:r>
        <w:tab/>
        <w:t>85–87</w:t>
      </w:r>
      <w:r>
        <w:tab/>
        <w:t>19</w:t>
      </w:r>
    </w:p>
    <w:p w:rsidR="0067577B" w:rsidRDefault="0067577B" w:rsidP="00093BD6">
      <w:pPr>
        <w:tabs>
          <w:tab w:val="right" w:pos="850"/>
          <w:tab w:val="left" w:pos="1134"/>
          <w:tab w:val="left" w:pos="1559"/>
          <w:tab w:val="left" w:pos="1984"/>
          <w:tab w:val="left" w:leader="dot" w:pos="7654"/>
          <w:tab w:val="right" w:pos="8929"/>
          <w:tab w:val="right" w:pos="9638"/>
        </w:tabs>
        <w:spacing w:after="120"/>
      </w:pPr>
      <w:r>
        <w:tab/>
        <w:t>III.</w:t>
      </w:r>
      <w:r>
        <w:tab/>
        <w:t>Conclusions and recommendations</w:t>
      </w:r>
      <w:r>
        <w:tab/>
      </w:r>
      <w:r>
        <w:tab/>
        <w:t>88–9</w:t>
      </w:r>
      <w:r w:rsidR="00320F8B">
        <w:t>6</w:t>
      </w:r>
      <w:r>
        <w:tab/>
        <w:t>20</w:t>
      </w:r>
    </w:p>
    <w:p w:rsidR="0067577B" w:rsidRDefault="0067577B" w:rsidP="00CF713B">
      <w:pPr>
        <w:tabs>
          <w:tab w:val="right" w:pos="850"/>
          <w:tab w:val="left" w:pos="1134"/>
          <w:tab w:val="left" w:pos="1559"/>
          <w:tab w:val="left" w:pos="1984"/>
          <w:tab w:val="left" w:leader="dot" w:pos="7654"/>
          <w:tab w:val="right" w:pos="8929"/>
          <w:tab w:val="right" w:pos="9638"/>
        </w:tabs>
        <w:spacing w:after="120"/>
      </w:pPr>
      <w:r>
        <w:tab/>
      </w:r>
      <w:r>
        <w:tab/>
        <w:t>A.</w:t>
      </w:r>
      <w:r>
        <w:tab/>
        <w:t>Conclusions</w:t>
      </w:r>
      <w:r>
        <w:tab/>
      </w:r>
      <w:r>
        <w:tab/>
        <w:t>88–90</w:t>
      </w:r>
      <w:r>
        <w:tab/>
        <w:t>20</w:t>
      </w:r>
    </w:p>
    <w:p w:rsidR="00B06F83" w:rsidRDefault="0067577B" w:rsidP="00093BD6">
      <w:pPr>
        <w:tabs>
          <w:tab w:val="right" w:pos="850"/>
          <w:tab w:val="left" w:pos="1134"/>
          <w:tab w:val="left" w:pos="1559"/>
          <w:tab w:val="left" w:pos="1984"/>
          <w:tab w:val="left" w:leader="dot" w:pos="7654"/>
          <w:tab w:val="right" w:pos="8929"/>
          <w:tab w:val="right" w:pos="9638"/>
        </w:tabs>
        <w:spacing w:after="120"/>
      </w:pPr>
      <w:r>
        <w:tab/>
      </w:r>
      <w:r>
        <w:tab/>
        <w:t>B.</w:t>
      </w:r>
      <w:r>
        <w:tab/>
        <w:t>Recommendations</w:t>
      </w:r>
      <w:r>
        <w:tab/>
      </w:r>
      <w:r>
        <w:tab/>
        <w:t>91–9</w:t>
      </w:r>
      <w:r w:rsidR="00320F8B">
        <w:t>6</w:t>
      </w:r>
      <w:r>
        <w:tab/>
        <w:t>2</w:t>
      </w:r>
      <w:r w:rsidR="00315D83">
        <w:t>1</w:t>
      </w:r>
    </w:p>
    <w:p w:rsidR="00B751D5" w:rsidRPr="00127AC5" w:rsidRDefault="00B06F83" w:rsidP="00127AC5">
      <w:pPr>
        <w:pStyle w:val="HChG"/>
      </w:pPr>
      <w:r>
        <w:br w:type="page"/>
      </w:r>
      <w:r w:rsidR="00127AC5">
        <w:lastRenderedPageBreak/>
        <w:tab/>
      </w:r>
      <w:r w:rsidR="00B751D5" w:rsidRPr="00127AC5">
        <w:t>I.</w:t>
      </w:r>
      <w:r w:rsidR="00B751D5" w:rsidRPr="00127AC5">
        <w:tab/>
        <w:t>Introduction and methodology</w:t>
      </w:r>
    </w:p>
    <w:p w:rsidR="00B751D5" w:rsidRPr="009369BF" w:rsidRDefault="0023396D" w:rsidP="0023396D">
      <w:pPr>
        <w:pStyle w:val="SingleTxtG"/>
      </w:pPr>
      <w:r w:rsidRPr="009369BF">
        <w:rPr>
          <w:iCs/>
        </w:rPr>
        <w:t>1.</w:t>
      </w:r>
      <w:r w:rsidRPr="009369BF">
        <w:rPr>
          <w:iCs/>
        </w:rPr>
        <w:tab/>
      </w:r>
      <w:r w:rsidR="00B751D5" w:rsidRPr="009369BF">
        <w:t xml:space="preserve">The Special Rapporteur on trafficking in persons, especially women and children, Maria </w:t>
      </w:r>
      <w:proofErr w:type="spellStart"/>
      <w:r w:rsidR="00B751D5" w:rsidRPr="009369BF">
        <w:t>Grazia</w:t>
      </w:r>
      <w:proofErr w:type="spellEnd"/>
      <w:r w:rsidR="00B751D5" w:rsidRPr="009369BF">
        <w:t xml:space="preserve"> </w:t>
      </w:r>
      <w:proofErr w:type="spellStart"/>
      <w:r w:rsidR="00B751D5" w:rsidRPr="009369BF">
        <w:t>Giammarinaro</w:t>
      </w:r>
      <w:proofErr w:type="spellEnd"/>
      <w:r w:rsidR="00B751D5" w:rsidRPr="009369BF">
        <w:t>, visited Malaysia from 23 to 28 February 2015, at the invitation of the Government. The objectives of the visit were to examine</w:t>
      </w:r>
      <w:r w:rsidR="00894F5B">
        <w:t xml:space="preserve"> the</w:t>
      </w:r>
      <w:r w:rsidR="00B751D5" w:rsidRPr="009369BF">
        <w:t xml:space="preserve"> prevalent forms of trafficking in persons in the country and to assess the effectiveness of measures taken by the Government to combat trafficking in persons and to protect the human rights of trafficked persons. </w:t>
      </w:r>
    </w:p>
    <w:p w:rsidR="00B751D5" w:rsidRPr="009369BF" w:rsidRDefault="0023396D" w:rsidP="0023396D">
      <w:pPr>
        <w:pStyle w:val="SingleTxtG"/>
      </w:pPr>
      <w:r w:rsidRPr="009369BF">
        <w:rPr>
          <w:iCs/>
        </w:rPr>
        <w:t>2.</w:t>
      </w:r>
      <w:r w:rsidRPr="009369BF">
        <w:rPr>
          <w:iCs/>
        </w:rPr>
        <w:tab/>
      </w:r>
      <w:r w:rsidR="00B751D5" w:rsidRPr="006A3CA4">
        <w:t xml:space="preserve">During her mission, the Special Rapporteur visited Kuala Lumpur, Melaka, </w:t>
      </w:r>
      <w:proofErr w:type="spellStart"/>
      <w:r w:rsidR="00B751D5" w:rsidRPr="006A3CA4">
        <w:t>Rembau</w:t>
      </w:r>
      <w:proofErr w:type="spellEnd"/>
      <w:r w:rsidR="00B751D5" w:rsidRPr="006A3CA4">
        <w:t xml:space="preserve"> and Kota </w:t>
      </w:r>
      <w:proofErr w:type="spellStart"/>
      <w:r w:rsidR="00B751D5" w:rsidRPr="006A3CA4">
        <w:t>Kinabalu</w:t>
      </w:r>
      <w:proofErr w:type="spellEnd"/>
      <w:r w:rsidR="00B751D5" w:rsidRPr="006A3CA4">
        <w:t xml:space="preserve"> in</w:t>
      </w:r>
      <w:r w:rsidR="00E50D3F">
        <w:t xml:space="preserve"> the State of</w:t>
      </w:r>
      <w:r w:rsidR="00B751D5" w:rsidRPr="006A3CA4">
        <w:t xml:space="preserve"> Sabah. She met high-level officials</w:t>
      </w:r>
      <w:r w:rsidR="00FF5AB7">
        <w:t>,</w:t>
      </w:r>
      <w:r w:rsidR="00B751D5" w:rsidRPr="006A3CA4">
        <w:t xml:space="preserve"> </w:t>
      </w:r>
      <w:r w:rsidR="00B751D5">
        <w:t xml:space="preserve">including the </w:t>
      </w:r>
      <w:r w:rsidR="00B751D5" w:rsidRPr="006A3CA4">
        <w:t>Minist</w:t>
      </w:r>
      <w:r w:rsidR="00B751D5">
        <w:t>er and Senior Deputy Secretary General (</w:t>
      </w:r>
      <w:r w:rsidR="00B743C1">
        <w:t>S</w:t>
      </w:r>
      <w:r w:rsidR="00B751D5">
        <w:t>ecurity)</w:t>
      </w:r>
      <w:r w:rsidR="00B751D5" w:rsidRPr="006A3CA4">
        <w:t xml:space="preserve"> of Home Affairs</w:t>
      </w:r>
      <w:r w:rsidR="00FF5AB7">
        <w:t>,</w:t>
      </w:r>
      <w:r w:rsidR="00B751D5" w:rsidRPr="006A3CA4">
        <w:t xml:space="preserve"> the </w:t>
      </w:r>
      <w:r w:rsidR="00B751D5">
        <w:t xml:space="preserve">Director General of </w:t>
      </w:r>
      <w:r w:rsidR="00743D45">
        <w:t xml:space="preserve">the </w:t>
      </w:r>
      <w:r w:rsidR="00B751D5" w:rsidRPr="006A3CA4">
        <w:t>Labour Department (Peninsular) of the Ministry of Human Resources</w:t>
      </w:r>
      <w:r w:rsidR="00FF5AB7">
        <w:t>,</w:t>
      </w:r>
      <w:r w:rsidR="00B751D5" w:rsidRPr="006A3CA4">
        <w:t xml:space="preserve"> the Minist</w:t>
      </w:r>
      <w:r w:rsidR="00B751D5">
        <w:t>er</w:t>
      </w:r>
      <w:r w:rsidR="00B751D5" w:rsidRPr="006A3CA4">
        <w:t xml:space="preserve"> of International Trade and Industry</w:t>
      </w:r>
      <w:r w:rsidR="00FF5AB7">
        <w:t>,</w:t>
      </w:r>
      <w:r w:rsidR="00B751D5" w:rsidRPr="006A3CA4">
        <w:t xml:space="preserve"> the Minist</w:t>
      </w:r>
      <w:r w:rsidR="00B751D5">
        <w:t>er</w:t>
      </w:r>
      <w:r w:rsidR="00B751D5" w:rsidRPr="006A3CA4">
        <w:t xml:space="preserve"> of Women</w:t>
      </w:r>
      <w:r w:rsidR="00B751D5">
        <w:t xml:space="preserve">, Family </w:t>
      </w:r>
      <w:r w:rsidR="00743D45">
        <w:t>and</w:t>
      </w:r>
      <w:r w:rsidR="00B751D5">
        <w:t xml:space="preserve"> Community Development</w:t>
      </w:r>
      <w:r w:rsidR="00FF5AB7">
        <w:t>,</w:t>
      </w:r>
      <w:r w:rsidR="00743D45">
        <w:t xml:space="preserve"> and</w:t>
      </w:r>
      <w:r w:rsidR="00B751D5">
        <w:t xml:space="preserve"> the</w:t>
      </w:r>
      <w:r w:rsidR="00B751D5" w:rsidRPr="006A3CA4">
        <w:t xml:space="preserve"> Deputy Secretary</w:t>
      </w:r>
      <w:r w:rsidR="00B751D5">
        <w:t xml:space="preserve"> General (Multilateral Affairs) of</w:t>
      </w:r>
      <w:r w:rsidR="00B751D5" w:rsidRPr="006A3CA4">
        <w:t xml:space="preserve"> the Ministry of Foreign Affairs. She also met with the Chief Registrar of the Federal Court, the Deputy Inspector General of Police of the </w:t>
      </w:r>
      <w:r w:rsidR="00B751D5">
        <w:t>Royal Malaysia Police</w:t>
      </w:r>
      <w:r w:rsidR="00B751D5" w:rsidRPr="006A3CA4">
        <w:t xml:space="preserve"> and the Secretary General of </w:t>
      </w:r>
      <w:r w:rsidR="00743D45">
        <w:t xml:space="preserve">the </w:t>
      </w:r>
      <w:r w:rsidR="00B751D5" w:rsidRPr="006A3CA4">
        <w:t>Ministry of Plantation Industries and Commodities.</w:t>
      </w:r>
      <w:r w:rsidR="00B751D5">
        <w:t xml:space="preserve"> She also exchanged</w:t>
      </w:r>
      <w:r w:rsidR="00743D45">
        <w:t xml:space="preserve"> views</w:t>
      </w:r>
      <w:r w:rsidR="00B751D5">
        <w:t xml:space="preserve"> with members of </w:t>
      </w:r>
      <w:r w:rsidR="00B751D5" w:rsidRPr="001A5CC1">
        <w:t>the Council for Anti-Trafficking in Persons and Anti-Smuggling of Migrants</w:t>
      </w:r>
      <w:r w:rsidR="00B751D5" w:rsidRPr="009369BF">
        <w:t>.</w:t>
      </w:r>
    </w:p>
    <w:p w:rsidR="00B751D5" w:rsidRPr="009369BF" w:rsidRDefault="0023396D" w:rsidP="0023396D">
      <w:pPr>
        <w:pStyle w:val="SingleTxtG"/>
      </w:pPr>
      <w:r w:rsidRPr="009369BF">
        <w:rPr>
          <w:iCs/>
        </w:rPr>
        <w:t>3.</w:t>
      </w:r>
      <w:r w:rsidRPr="009369BF">
        <w:rPr>
          <w:iCs/>
        </w:rPr>
        <w:tab/>
      </w:r>
      <w:r w:rsidR="00B751D5" w:rsidRPr="00804B17">
        <w:t>She interacted with various interlocutors</w:t>
      </w:r>
      <w:r w:rsidR="00BE668C">
        <w:t>,</w:t>
      </w:r>
      <w:r w:rsidR="00B751D5" w:rsidRPr="00804B17">
        <w:t xml:space="preserve"> including the representatives of relevant authorities at the State level, particularly the Sabah State Government in Kota </w:t>
      </w:r>
      <w:proofErr w:type="spellStart"/>
      <w:r w:rsidR="00B751D5" w:rsidRPr="00804B17">
        <w:t>Kinabalu</w:t>
      </w:r>
      <w:proofErr w:type="spellEnd"/>
      <w:r w:rsidR="00B751D5" w:rsidRPr="00804B17">
        <w:t xml:space="preserve">. The Special Rapporteur also met </w:t>
      </w:r>
      <w:r w:rsidR="00B751D5" w:rsidRPr="000B0D16">
        <w:t xml:space="preserve">representatives of </w:t>
      </w:r>
      <w:r w:rsidR="008F2696">
        <w:t>CSOs</w:t>
      </w:r>
      <w:r w:rsidR="00B751D5" w:rsidRPr="000B0D16">
        <w:t xml:space="preserve"> </w:t>
      </w:r>
      <w:r w:rsidR="00B751D5" w:rsidRPr="00804B17">
        <w:t xml:space="preserve">working in the field of trafficking in persons. </w:t>
      </w:r>
      <w:r w:rsidR="00B751D5">
        <w:t>S</w:t>
      </w:r>
      <w:r w:rsidR="00B751D5" w:rsidRPr="00804B17">
        <w:t>he visited an immigration detention centre (</w:t>
      </w:r>
      <w:proofErr w:type="spellStart"/>
      <w:r w:rsidR="00B751D5">
        <w:t>S</w:t>
      </w:r>
      <w:r w:rsidR="00B751D5" w:rsidRPr="00804B17">
        <w:t>emen</w:t>
      </w:r>
      <w:r w:rsidR="00B751D5">
        <w:t>y</w:t>
      </w:r>
      <w:r w:rsidR="00B751D5" w:rsidRPr="00804B17">
        <w:t>ih</w:t>
      </w:r>
      <w:proofErr w:type="spellEnd"/>
      <w:r w:rsidR="00B751D5" w:rsidRPr="00804B17">
        <w:t xml:space="preserve">), as well as </w:t>
      </w:r>
      <w:r w:rsidR="00BE668C">
        <w:t>three</w:t>
      </w:r>
      <w:r w:rsidR="00B751D5" w:rsidRPr="00804B17">
        <w:t xml:space="preserve"> government shelters </w:t>
      </w:r>
      <w:r w:rsidR="00B751D5" w:rsidRPr="000B0D16">
        <w:t>for women</w:t>
      </w:r>
      <w:r w:rsidR="00B751D5">
        <w:t xml:space="preserve"> (Sabah)</w:t>
      </w:r>
      <w:r w:rsidR="00B751D5" w:rsidRPr="000B0D16">
        <w:t>, children</w:t>
      </w:r>
      <w:r w:rsidR="00B751D5">
        <w:t xml:space="preserve"> (</w:t>
      </w:r>
      <w:proofErr w:type="spellStart"/>
      <w:r w:rsidR="00B751D5">
        <w:t>Rembau</w:t>
      </w:r>
      <w:proofErr w:type="spellEnd"/>
      <w:r w:rsidR="00B751D5">
        <w:t>)</w:t>
      </w:r>
      <w:r w:rsidR="00B751D5" w:rsidRPr="000B0D16">
        <w:t xml:space="preserve"> and men </w:t>
      </w:r>
      <w:r w:rsidR="00B751D5">
        <w:t xml:space="preserve">(Melaka) </w:t>
      </w:r>
      <w:r w:rsidR="00B751D5" w:rsidRPr="000B0D16">
        <w:t xml:space="preserve">victims of trafficking and </w:t>
      </w:r>
      <w:r w:rsidR="00B751D5">
        <w:t>interviewed some of them.</w:t>
      </w:r>
      <w:r w:rsidR="00B751D5" w:rsidRPr="000B0D16">
        <w:t xml:space="preserve"> She also met with representatives of the National Human Rights Commission and civil society. </w:t>
      </w:r>
      <w:r w:rsidR="00B751D5" w:rsidRPr="00804B17">
        <w:t>F</w:t>
      </w:r>
      <w:r w:rsidR="00B751D5" w:rsidRPr="000B0D16">
        <w:t>inally, she exchanged</w:t>
      </w:r>
      <w:r w:rsidR="00BE668C">
        <w:t xml:space="preserve"> views</w:t>
      </w:r>
      <w:r w:rsidR="00B751D5" w:rsidRPr="000B0D16">
        <w:t xml:space="preserve"> with </w:t>
      </w:r>
      <w:r w:rsidR="00B751D5" w:rsidRPr="00804B17">
        <w:t xml:space="preserve">representatives of the United Nations </w:t>
      </w:r>
      <w:r w:rsidR="00BE668C">
        <w:t>a</w:t>
      </w:r>
      <w:r w:rsidR="00B751D5" w:rsidRPr="00804B17">
        <w:t>gencies</w:t>
      </w:r>
      <w:r w:rsidR="00B751D5" w:rsidRPr="000B0D16">
        <w:t xml:space="preserve"> and programmes</w:t>
      </w:r>
      <w:r w:rsidR="00BE668C">
        <w:t xml:space="preserve"> in the country,</w:t>
      </w:r>
      <w:r w:rsidR="00B751D5" w:rsidRPr="000B0D16">
        <w:t xml:space="preserve"> as well as representatives of the diplomatic community. The Special Rapporteur expresses her gratitude to the Government for its invitation and cooperation and to the </w:t>
      </w:r>
      <w:r w:rsidR="008F2696">
        <w:t>CSO</w:t>
      </w:r>
      <w:r w:rsidR="00B751D5" w:rsidRPr="000B0D16">
        <w:t>s for their valuable inputs</w:t>
      </w:r>
    </w:p>
    <w:p w:rsidR="00B751D5" w:rsidRPr="009369BF" w:rsidRDefault="00B751D5" w:rsidP="00B751D5">
      <w:pPr>
        <w:pStyle w:val="HChG"/>
      </w:pPr>
      <w:r w:rsidRPr="009369BF">
        <w:tab/>
        <w:t>II.</w:t>
      </w:r>
      <w:r w:rsidRPr="009369BF">
        <w:tab/>
        <w:t>Main findings</w:t>
      </w:r>
      <w:r w:rsidRPr="009369BF">
        <w:tab/>
      </w:r>
    </w:p>
    <w:p w:rsidR="00B751D5" w:rsidRPr="009369BF" w:rsidRDefault="00B751D5" w:rsidP="00B751D5">
      <w:pPr>
        <w:pStyle w:val="H1G"/>
      </w:pPr>
      <w:r w:rsidRPr="009369BF">
        <w:tab/>
        <w:t>A.</w:t>
      </w:r>
      <w:r w:rsidRPr="009369BF">
        <w:tab/>
        <w:t>Forms and manifestations of trafficking in persons</w:t>
      </w:r>
    </w:p>
    <w:p w:rsidR="00B751D5" w:rsidRPr="009369BF" w:rsidRDefault="0023396D" w:rsidP="0023396D">
      <w:pPr>
        <w:pStyle w:val="SingleTxtG"/>
      </w:pPr>
      <w:r w:rsidRPr="009369BF">
        <w:rPr>
          <w:iCs/>
        </w:rPr>
        <w:t>4.</w:t>
      </w:r>
      <w:r w:rsidRPr="009369BF">
        <w:rPr>
          <w:iCs/>
        </w:rPr>
        <w:tab/>
      </w:r>
      <w:r w:rsidR="00B751D5" w:rsidRPr="009369BF">
        <w:t>In the context of Vision 2020</w:t>
      </w:r>
      <w:r w:rsidR="00BE668C">
        <w:t>,</w:t>
      </w:r>
      <w:r w:rsidR="00B751D5" w:rsidRPr="009369BF">
        <w:t xml:space="preserve"> a national program</w:t>
      </w:r>
      <w:r w:rsidR="00BE668C">
        <w:t>me</w:t>
      </w:r>
      <w:r w:rsidR="00B751D5" w:rsidRPr="009369BF">
        <w:t xml:space="preserve"> which aims to propel the country to becom</w:t>
      </w:r>
      <w:r w:rsidR="00BE668C">
        <w:t>ing</w:t>
      </w:r>
      <w:r w:rsidR="00B751D5" w:rsidRPr="009369BF">
        <w:t xml:space="preserve"> a developed nation by the year 2020, Malaysia has achieved remarkable economic growth over the last five decades, bolstered by low wages, oil revenues, foreign direct investment targeted at the manufacturing sector and high global demand for its commodities</w:t>
      </w:r>
      <w:r w:rsidR="00BE668C">
        <w:t>,</w:t>
      </w:r>
      <w:r w:rsidR="00B751D5" w:rsidRPr="009369BF">
        <w:t xml:space="preserve"> </w:t>
      </w:r>
      <w:r w:rsidR="00BE668C">
        <w:t>in particular</w:t>
      </w:r>
      <w:r w:rsidR="00BE668C" w:rsidRPr="009369BF">
        <w:t xml:space="preserve"> </w:t>
      </w:r>
      <w:r w:rsidR="00B751D5" w:rsidRPr="009369BF">
        <w:t>palm oil.</w:t>
      </w:r>
      <w:r w:rsidR="00B751D5" w:rsidRPr="00CF713B">
        <w:rPr>
          <w:rStyle w:val="FootnoteReference"/>
        </w:rPr>
        <w:footnoteReference w:id="4"/>
      </w:r>
      <w:r w:rsidR="00B751D5" w:rsidRPr="009369BF">
        <w:t xml:space="preserve"> </w:t>
      </w:r>
    </w:p>
    <w:p w:rsidR="00B751D5" w:rsidRPr="009369BF" w:rsidRDefault="0023396D" w:rsidP="0023396D">
      <w:pPr>
        <w:pStyle w:val="SingleTxtG"/>
      </w:pPr>
      <w:r w:rsidRPr="009369BF">
        <w:rPr>
          <w:iCs/>
        </w:rPr>
        <w:t>5.</w:t>
      </w:r>
      <w:r w:rsidRPr="009369BF">
        <w:rPr>
          <w:iCs/>
        </w:rPr>
        <w:tab/>
      </w:r>
      <w:r w:rsidR="00B751D5" w:rsidRPr="008B3B4F">
        <w:t xml:space="preserve">The Malaysian economy relies largely on foreign migrant workers. </w:t>
      </w:r>
      <w:r w:rsidR="00B751D5" w:rsidRPr="00B26FD9">
        <w:t>In an estimated labour force of 12.9 million</w:t>
      </w:r>
      <w:r w:rsidR="00B751D5">
        <w:t xml:space="preserve"> in 2012</w:t>
      </w:r>
      <w:r w:rsidR="00B751D5" w:rsidRPr="00B26FD9">
        <w:t>, 1.6 million documented and an estimated 1.3 million undocumented foreign workers contribute</w:t>
      </w:r>
      <w:r w:rsidR="00B751D5">
        <w:t>d</w:t>
      </w:r>
      <w:r w:rsidR="00B751D5" w:rsidRPr="00B26FD9">
        <w:t xml:space="preserve"> to its low-wage economic growth</w:t>
      </w:r>
      <w:r w:rsidR="00B751D5">
        <w:t xml:space="preserve"> strategy.</w:t>
      </w:r>
      <w:r w:rsidR="00B751D5" w:rsidRPr="00CF713B">
        <w:rPr>
          <w:rStyle w:val="FootnoteReference"/>
        </w:rPr>
        <w:footnoteReference w:id="5"/>
      </w:r>
      <w:r w:rsidR="00B751D5" w:rsidRPr="009369BF">
        <w:t xml:space="preserve"> The </w:t>
      </w:r>
      <w:r w:rsidR="00B751D5" w:rsidRPr="008D6EC0">
        <w:t>geographic location and extended co</w:t>
      </w:r>
      <w:r w:rsidR="00D76EE1">
        <w:t>a</w:t>
      </w:r>
      <w:r w:rsidR="00B751D5" w:rsidRPr="008D6EC0">
        <w:t>stline</w:t>
      </w:r>
      <w:r w:rsidR="00B751D5">
        <w:t xml:space="preserve"> of Malaysia</w:t>
      </w:r>
      <w:r w:rsidR="00B751D5" w:rsidRPr="008D6EC0">
        <w:t xml:space="preserve"> further draw a large influx of </w:t>
      </w:r>
      <w:r w:rsidR="00B751D5" w:rsidRPr="008D6EC0">
        <w:lastRenderedPageBreak/>
        <w:t>foreign migrant workers from the Asian region</w:t>
      </w:r>
      <w:r w:rsidR="00D76EE1">
        <w:t>,</w:t>
      </w:r>
      <w:r w:rsidR="00B751D5" w:rsidRPr="008D6EC0">
        <w:t xml:space="preserve"> notably from Bangladesh, Cambodia, Indonesia, India, </w:t>
      </w:r>
      <w:r w:rsidR="00D76EE1">
        <w:t>the Lao People’s Democratic Republic</w:t>
      </w:r>
      <w:r w:rsidR="00B751D5" w:rsidRPr="008D6EC0">
        <w:t>, Myanmar, Nepal</w:t>
      </w:r>
      <w:r w:rsidR="00D76EE1">
        <w:t>,</w:t>
      </w:r>
      <w:r w:rsidR="00B751D5" w:rsidRPr="008D6EC0">
        <w:t xml:space="preserve"> the Philippines, Thailand</w:t>
      </w:r>
      <w:r w:rsidR="00D76EE1">
        <w:t xml:space="preserve"> and</w:t>
      </w:r>
      <w:r w:rsidR="00B751D5" w:rsidRPr="008D6EC0">
        <w:t xml:space="preserve"> Viet Nam</w:t>
      </w:r>
      <w:r w:rsidR="00D76EE1">
        <w:t>,</w:t>
      </w:r>
      <w:r w:rsidR="00B751D5" w:rsidRPr="008D6EC0">
        <w:t xml:space="preserve"> </w:t>
      </w:r>
      <w:r w:rsidR="00B751D5">
        <w:t xml:space="preserve">who </w:t>
      </w:r>
      <w:r w:rsidR="00B751D5" w:rsidRPr="008D6EC0">
        <w:t xml:space="preserve">willingly embark on the </w:t>
      </w:r>
      <w:r w:rsidR="00B751D5" w:rsidRPr="008B3B4F">
        <w:t>journey to Malaysia</w:t>
      </w:r>
      <w:r w:rsidR="00B751D5" w:rsidRPr="008D6EC0">
        <w:t xml:space="preserve"> in search of better employment opportunities in</w:t>
      </w:r>
      <w:r w:rsidR="00B751D5" w:rsidRPr="008B3B4F">
        <w:t xml:space="preserve"> </w:t>
      </w:r>
      <w:r w:rsidR="0060627E">
        <w:t xml:space="preserve">the </w:t>
      </w:r>
      <w:r w:rsidR="00B751D5" w:rsidRPr="008B3B4F">
        <w:t xml:space="preserve">manufacturing, plantation, construction and agriculture sectors </w:t>
      </w:r>
      <w:r w:rsidR="0060627E">
        <w:t>and</w:t>
      </w:r>
      <w:r w:rsidR="00B751D5" w:rsidRPr="008D6EC0">
        <w:t xml:space="preserve"> domestic work.</w:t>
      </w:r>
      <w:r w:rsidR="00B751D5" w:rsidRPr="009369BF">
        <w:t xml:space="preserve"> </w:t>
      </w:r>
    </w:p>
    <w:p w:rsidR="00B751D5" w:rsidRPr="008D6EC0" w:rsidRDefault="0023396D" w:rsidP="0023396D">
      <w:pPr>
        <w:pStyle w:val="SingleTxtG"/>
      </w:pPr>
      <w:r w:rsidRPr="008D6EC0">
        <w:rPr>
          <w:iCs/>
        </w:rPr>
        <w:t>6.</w:t>
      </w:r>
      <w:r w:rsidRPr="008D6EC0">
        <w:rPr>
          <w:iCs/>
        </w:rPr>
        <w:tab/>
      </w:r>
      <w:r w:rsidR="00B751D5" w:rsidRPr="008F1DD3">
        <w:t>While not all cases of migration result in trafficking</w:t>
      </w:r>
      <w:r w:rsidR="00B751D5" w:rsidRPr="008D6EC0">
        <w:t>, there are cases of mixed migration</w:t>
      </w:r>
      <w:r w:rsidR="00B751D5">
        <w:t xml:space="preserve"> </w:t>
      </w:r>
      <w:r w:rsidR="00094DDA">
        <w:t xml:space="preserve">that </w:t>
      </w:r>
      <w:r w:rsidR="00B751D5">
        <w:t>include</w:t>
      </w:r>
      <w:r w:rsidR="00094DDA">
        <w:t>s</w:t>
      </w:r>
      <w:r w:rsidR="00B751D5">
        <w:t xml:space="preserve"> asylum seekers, refugees and migrants</w:t>
      </w:r>
      <w:r w:rsidR="00094DDA">
        <w:t>,</w:t>
      </w:r>
      <w:r w:rsidR="00B751D5">
        <w:t xml:space="preserve"> </w:t>
      </w:r>
      <w:r w:rsidR="00094DDA">
        <w:t>who</w:t>
      </w:r>
      <w:r w:rsidR="00094DDA" w:rsidRPr="008D6EC0">
        <w:t xml:space="preserve"> </w:t>
      </w:r>
      <w:r w:rsidR="00094DDA">
        <w:t xml:space="preserve">then </w:t>
      </w:r>
      <w:r w:rsidR="00B751D5" w:rsidRPr="008D6EC0">
        <w:t xml:space="preserve">end up </w:t>
      </w:r>
      <w:r w:rsidR="00094DDA">
        <w:t>being</w:t>
      </w:r>
      <w:r w:rsidR="00094DDA" w:rsidRPr="008D6EC0">
        <w:t xml:space="preserve"> </w:t>
      </w:r>
      <w:r w:rsidR="00B751D5" w:rsidRPr="008D6EC0">
        <w:t>traffick</w:t>
      </w:r>
      <w:r w:rsidR="00094DDA">
        <w:t>ed</w:t>
      </w:r>
      <w:r w:rsidR="00B751D5" w:rsidRPr="008D6EC0">
        <w:t>. Moreover, the prevalence of undocumented migrant workers increases their risk of becoming victims of trafficking.</w:t>
      </w:r>
    </w:p>
    <w:p w:rsidR="00B751D5" w:rsidRDefault="0023396D" w:rsidP="0023396D">
      <w:pPr>
        <w:pStyle w:val="SingleTxtG"/>
      </w:pPr>
      <w:r>
        <w:rPr>
          <w:iCs/>
        </w:rPr>
        <w:t>7.</w:t>
      </w:r>
      <w:r>
        <w:rPr>
          <w:iCs/>
        </w:rPr>
        <w:tab/>
      </w:r>
      <w:r w:rsidR="00B751D5" w:rsidRPr="008D6EC0">
        <w:t xml:space="preserve">Malaysia faces challenges as a destination and, to a lesser extent, a transit and source country for men, women, girls and boys subjected to trafficking in persons. As a destination country, it receives trafficked persons, mainly from </w:t>
      </w:r>
      <w:r w:rsidR="00B751D5" w:rsidRPr="009369BF">
        <w:t xml:space="preserve">East Africa, </w:t>
      </w:r>
      <w:r w:rsidR="001331FD">
        <w:t xml:space="preserve">the </w:t>
      </w:r>
      <w:r w:rsidR="00B751D5" w:rsidRPr="009369BF">
        <w:t>Middle East and South Asia</w:t>
      </w:r>
      <w:r w:rsidR="00B751D5" w:rsidRPr="008D6EC0">
        <w:t>. Trafficked persons may also transit through Malaysia to destination countries in the Middle East. Malay</w:t>
      </w:r>
      <w:r w:rsidR="00965BDD">
        <w:t>sians</w:t>
      </w:r>
      <w:r w:rsidR="00B751D5" w:rsidRPr="008D6EC0">
        <w:t xml:space="preserve"> are trafficked to countries such as China, France, Japan, Singapore, Thailand and the U</w:t>
      </w:r>
      <w:r w:rsidR="00B751D5">
        <w:t>nited Kingdom</w:t>
      </w:r>
      <w:r w:rsidR="0068536A">
        <w:t xml:space="preserve"> of Great Britain and Northern Ireland</w:t>
      </w:r>
      <w:r w:rsidR="00B751D5" w:rsidRPr="008D6EC0">
        <w:t xml:space="preserve">. </w:t>
      </w:r>
    </w:p>
    <w:p w:rsidR="00B751D5" w:rsidRPr="008D6EC0" w:rsidRDefault="0023396D" w:rsidP="0023396D">
      <w:pPr>
        <w:pStyle w:val="SingleTxtG"/>
      </w:pPr>
      <w:r w:rsidRPr="008D6EC0">
        <w:rPr>
          <w:iCs/>
        </w:rPr>
        <w:t>8.</w:t>
      </w:r>
      <w:r w:rsidRPr="008D6EC0">
        <w:rPr>
          <w:iCs/>
        </w:rPr>
        <w:tab/>
      </w:r>
      <w:r w:rsidR="00B751D5" w:rsidRPr="008D6EC0">
        <w:t>Th</w:t>
      </w:r>
      <w:r w:rsidR="0068536A">
        <w:t>e present</w:t>
      </w:r>
      <w:r w:rsidR="00B751D5" w:rsidRPr="008D6EC0">
        <w:t xml:space="preserve"> report focuses on </w:t>
      </w:r>
      <w:r w:rsidR="0068536A">
        <w:t xml:space="preserve">the </w:t>
      </w:r>
      <w:r w:rsidR="00B751D5" w:rsidRPr="008D6EC0">
        <w:t xml:space="preserve">prevalent forms of trafficking in Malaysia as a destination and transit country and assesses the effectiveness of its counter-trafficking responses within the country. The Special Rapporteur </w:t>
      </w:r>
      <w:r w:rsidR="00B751D5">
        <w:t>learn</w:t>
      </w:r>
      <w:r w:rsidR="0068536A">
        <w:t>ed</w:t>
      </w:r>
      <w:r w:rsidR="00B751D5">
        <w:t xml:space="preserve"> that</w:t>
      </w:r>
      <w:r w:rsidR="00B751D5" w:rsidRPr="008D6EC0">
        <w:t xml:space="preserve"> the forms of trafficking </w:t>
      </w:r>
      <w:r w:rsidR="0068536A">
        <w:t xml:space="preserve">listed below </w:t>
      </w:r>
      <w:r w:rsidR="00B751D5">
        <w:t>are</w:t>
      </w:r>
      <w:r w:rsidR="00B751D5" w:rsidRPr="008D6EC0">
        <w:t xml:space="preserve"> particularly widespread in the country. </w:t>
      </w:r>
    </w:p>
    <w:p w:rsidR="00B751D5" w:rsidRPr="009369BF" w:rsidRDefault="00B751D5" w:rsidP="00B751D5">
      <w:pPr>
        <w:pStyle w:val="H23G"/>
      </w:pPr>
      <w:r w:rsidRPr="009369BF">
        <w:tab/>
        <w:t>1.</w:t>
      </w:r>
      <w:r w:rsidRPr="009369BF">
        <w:tab/>
        <w:t>Trafficking for</w:t>
      </w:r>
      <w:r w:rsidR="00F87ED7">
        <w:t xml:space="preserve"> </w:t>
      </w:r>
      <w:r w:rsidRPr="009369BF">
        <w:t xml:space="preserve">labour exploitation </w:t>
      </w:r>
    </w:p>
    <w:p w:rsidR="00B751D5" w:rsidRPr="0042721A" w:rsidRDefault="0023396D" w:rsidP="0023396D">
      <w:pPr>
        <w:pStyle w:val="SingleTxtG"/>
      </w:pPr>
      <w:r w:rsidRPr="0042721A">
        <w:rPr>
          <w:iCs/>
        </w:rPr>
        <w:t>9.</w:t>
      </w:r>
      <w:r w:rsidRPr="0042721A">
        <w:rPr>
          <w:iCs/>
        </w:rPr>
        <w:tab/>
      </w:r>
      <w:r w:rsidR="00B751D5" w:rsidRPr="0042721A">
        <w:t xml:space="preserve">Typically, cases of labour trafficking in Malaysia involve </w:t>
      </w:r>
      <w:r w:rsidR="006644A5">
        <w:t>low</w:t>
      </w:r>
      <w:r w:rsidR="00B751D5" w:rsidRPr="0042721A">
        <w:t xml:space="preserve">- and </w:t>
      </w:r>
      <w:r w:rsidR="006644A5">
        <w:t>semi</w:t>
      </w:r>
      <w:r w:rsidR="001E63C0">
        <w:t>-</w:t>
      </w:r>
      <w:r w:rsidR="00B751D5" w:rsidRPr="0042721A">
        <w:t>skilled migrant workers from the Asia</w:t>
      </w:r>
      <w:r w:rsidR="007B47CF">
        <w:t xml:space="preserve"> and</w:t>
      </w:r>
      <w:r w:rsidR="00B751D5" w:rsidRPr="0042721A">
        <w:t xml:space="preserve"> Pacific region </w:t>
      </w:r>
      <w:r w:rsidR="007B47CF">
        <w:t xml:space="preserve">intended </w:t>
      </w:r>
      <w:r w:rsidR="00B751D5" w:rsidRPr="0042721A">
        <w:t>for arduous and unpleasant work in the agricultural, construction</w:t>
      </w:r>
      <w:r w:rsidR="007B47CF">
        <w:t xml:space="preserve"> and</w:t>
      </w:r>
      <w:r w:rsidR="00B751D5" w:rsidRPr="0042721A">
        <w:t xml:space="preserve"> manufacturing sectors and domestic work. There are also indications that fishermen mainly from Cambodia and Myanmar are trafficked for bonded labour </w:t>
      </w:r>
      <w:r w:rsidR="00B751D5">
        <w:t>to work</w:t>
      </w:r>
      <w:r w:rsidR="00B751D5" w:rsidRPr="0042721A">
        <w:t xml:space="preserve"> on Thai fishing boats in Malaysian waters. The Special Rapporteur was informed that those who escape </w:t>
      </w:r>
      <w:r w:rsidR="00B751D5">
        <w:t>from those boats</w:t>
      </w:r>
      <w:r w:rsidR="00B751D5" w:rsidRPr="0042721A">
        <w:t xml:space="preserve"> </w:t>
      </w:r>
      <w:r w:rsidR="007B47CF">
        <w:t>to the</w:t>
      </w:r>
      <w:r w:rsidR="007B47CF" w:rsidRPr="0042721A">
        <w:t xml:space="preserve"> </w:t>
      </w:r>
      <w:r w:rsidR="00B751D5" w:rsidRPr="0042721A">
        <w:t>Malaysian coast are often re-trafficked to palm oil plantations in Sarawak State.</w:t>
      </w:r>
    </w:p>
    <w:p w:rsidR="00B751D5" w:rsidRPr="0042721A" w:rsidRDefault="0023396D" w:rsidP="0023396D">
      <w:pPr>
        <w:pStyle w:val="SingleTxtG"/>
      </w:pPr>
      <w:r w:rsidRPr="0042721A">
        <w:rPr>
          <w:iCs/>
        </w:rPr>
        <w:t>10.</w:t>
      </w:r>
      <w:r w:rsidRPr="0042721A">
        <w:rPr>
          <w:iCs/>
        </w:rPr>
        <w:tab/>
      </w:r>
      <w:r w:rsidR="00B751D5" w:rsidRPr="0042721A">
        <w:t xml:space="preserve">Victims of labour trafficking are recruited </w:t>
      </w:r>
      <w:r w:rsidR="00B751D5">
        <w:t>through</w:t>
      </w:r>
      <w:r w:rsidR="00B751D5" w:rsidRPr="0042721A">
        <w:t xml:space="preserve"> fraud and deception about the type and conditions of employment by unscrupulous recruitment agents </w:t>
      </w:r>
      <w:r w:rsidR="007B47CF">
        <w:t xml:space="preserve">— </w:t>
      </w:r>
      <w:r w:rsidR="00B751D5" w:rsidRPr="0042721A">
        <w:t>in source countries and Malaysia</w:t>
      </w:r>
      <w:r w:rsidR="007B47CF">
        <w:t xml:space="preserve"> —</w:t>
      </w:r>
      <w:r w:rsidR="00B751D5" w:rsidRPr="0042721A">
        <w:t xml:space="preserve"> and employers</w:t>
      </w:r>
      <w:r w:rsidR="007B47CF">
        <w:t>;</w:t>
      </w:r>
      <w:r w:rsidR="00B751D5" w:rsidRPr="0042721A">
        <w:t xml:space="preserve"> most commonly </w:t>
      </w:r>
      <w:r w:rsidR="007B47CF">
        <w:t xml:space="preserve">victims are exploited </w:t>
      </w:r>
      <w:r w:rsidR="00B751D5" w:rsidRPr="0042721A">
        <w:t>through breaches of contracts, payment of excessive recruitment and immigration fees, reduction or non-payment of salary, excessive working hours and</w:t>
      </w:r>
      <w:r w:rsidR="001E73EE">
        <w:t xml:space="preserve"> a</w:t>
      </w:r>
      <w:r w:rsidR="00B751D5" w:rsidRPr="0042721A">
        <w:t xml:space="preserve"> lack of rest</w:t>
      </w:r>
      <w:r w:rsidR="00BA5E5F">
        <w:t xml:space="preserve"> days</w:t>
      </w:r>
      <w:r w:rsidR="00B751D5" w:rsidRPr="0042721A">
        <w:t xml:space="preserve">. Many find themselves in </w:t>
      </w:r>
      <w:r w:rsidR="009D16C0">
        <w:t xml:space="preserve">a </w:t>
      </w:r>
      <w:r w:rsidR="00B751D5" w:rsidRPr="0042721A">
        <w:t>situation akin to debt bondage</w:t>
      </w:r>
      <w:r w:rsidR="009D16C0">
        <w:t>,</w:t>
      </w:r>
      <w:r w:rsidR="00B751D5" w:rsidRPr="0042721A">
        <w:t xml:space="preserve"> </w:t>
      </w:r>
      <w:r w:rsidR="009D16C0">
        <w:t>trying to</w:t>
      </w:r>
      <w:r w:rsidR="009D16C0" w:rsidRPr="0042721A">
        <w:t xml:space="preserve"> </w:t>
      </w:r>
      <w:r w:rsidR="00B751D5" w:rsidRPr="0042721A">
        <w:t xml:space="preserve">repay exorbitant debts owed to traffickers (including recruitment agencies) </w:t>
      </w:r>
      <w:r w:rsidR="009D16C0">
        <w:t>from</w:t>
      </w:r>
      <w:r w:rsidR="009D16C0" w:rsidRPr="0042721A">
        <w:t xml:space="preserve"> their journey </w:t>
      </w:r>
      <w:r w:rsidR="00B751D5" w:rsidRPr="0042721A">
        <w:t xml:space="preserve">when promises of well-paying employment turn into exploitative situations. </w:t>
      </w:r>
    </w:p>
    <w:p w:rsidR="00B751D5" w:rsidRPr="0042721A" w:rsidRDefault="0023396D" w:rsidP="0023396D">
      <w:pPr>
        <w:pStyle w:val="SingleTxtG"/>
      </w:pPr>
      <w:r w:rsidRPr="0042721A">
        <w:rPr>
          <w:iCs/>
        </w:rPr>
        <w:t>11.</w:t>
      </w:r>
      <w:r w:rsidRPr="0042721A">
        <w:rPr>
          <w:iCs/>
        </w:rPr>
        <w:tab/>
      </w:r>
      <w:r w:rsidR="00B751D5" w:rsidRPr="0042721A">
        <w:t>Migrant workers are dependent on their employers for their work permit, which is necessary to legally remain in Malaysia. This leaves trafficked workers in a vulnerable position: if they report or escape their exploitative conditions, employers can simply revoke their work permit</w:t>
      </w:r>
      <w:r w:rsidR="009D16C0">
        <w:t>,</w:t>
      </w:r>
      <w:r w:rsidR="00B751D5" w:rsidRPr="0042721A">
        <w:t xml:space="preserve"> making them irregular migrants</w:t>
      </w:r>
      <w:r w:rsidR="009D16C0">
        <w:t xml:space="preserve"> who will</w:t>
      </w:r>
      <w:r w:rsidR="00B751D5" w:rsidRPr="0042721A">
        <w:t xml:space="preserve"> lose their livelihood and be expelled from the country. In some cases, foreign workers’ vulnerability to exploitation is heightened when employers neglect to obtain proper documentation for workers or employ workers in sectors other than </w:t>
      </w:r>
      <w:r w:rsidR="00B751D5">
        <w:t>those</w:t>
      </w:r>
      <w:r w:rsidR="00B751D5" w:rsidRPr="0042721A">
        <w:t xml:space="preserve"> for which they were granted an employment visa. Practices such as </w:t>
      </w:r>
      <w:r w:rsidR="009D16C0">
        <w:t xml:space="preserve">employers </w:t>
      </w:r>
      <w:r w:rsidR="00B751D5" w:rsidRPr="0042721A">
        <w:t>withholding passports are</w:t>
      </w:r>
      <w:r w:rsidR="00B751D5">
        <w:t xml:space="preserve"> reportedly</w:t>
      </w:r>
      <w:r w:rsidR="00B751D5" w:rsidRPr="0042721A">
        <w:t xml:space="preserve"> common and contribute to the trafficking situation.</w:t>
      </w:r>
    </w:p>
    <w:p w:rsidR="00B751D5" w:rsidRPr="008D6EC0" w:rsidRDefault="00B751D5" w:rsidP="00B751D5">
      <w:pPr>
        <w:pStyle w:val="H23G"/>
      </w:pPr>
      <w:r>
        <w:lastRenderedPageBreak/>
        <w:tab/>
      </w:r>
      <w:r w:rsidRPr="008D6EC0">
        <w:t>2.</w:t>
      </w:r>
      <w:r>
        <w:tab/>
      </w:r>
      <w:r w:rsidRPr="008D6EC0">
        <w:t>Trafficking for domestic servitude</w:t>
      </w:r>
    </w:p>
    <w:p w:rsidR="00B751D5" w:rsidRPr="009369BF" w:rsidRDefault="0023396D" w:rsidP="0023396D">
      <w:pPr>
        <w:pStyle w:val="SingleTxtG"/>
      </w:pPr>
      <w:r w:rsidRPr="009369BF">
        <w:rPr>
          <w:iCs/>
        </w:rPr>
        <w:t>12.</w:t>
      </w:r>
      <w:r w:rsidRPr="009369BF">
        <w:rPr>
          <w:iCs/>
        </w:rPr>
        <w:tab/>
      </w:r>
      <w:r w:rsidR="009D16C0">
        <w:t>O</w:t>
      </w:r>
      <w:r w:rsidR="00B751D5" w:rsidRPr="008D6EC0">
        <w:t>ver 300,000 migrant domestic workers</w:t>
      </w:r>
      <w:r w:rsidR="009D16C0">
        <w:t xml:space="preserve"> are</w:t>
      </w:r>
      <w:r w:rsidR="00B751D5" w:rsidRPr="008D6EC0">
        <w:t xml:space="preserve"> estimated</w:t>
      </w:r>
      <w:r w:rsidR="009D16C0">
        <w:t xml:space="preserve"> to be</w:t>
      </w:r>
      <w:r w:rsidR="00B751D5" w:rsidRPr="008D6EC0">
        <w:t xml:space="preserve"> in Malaysia,</w:t>
      </w:r>
      <w:r w:rsidR="00B751D5" w:rsidRPr="00CF713B">
        <w:rPr>
          <w:rStyle w:val="FootnoteReference"/>
        </w:rPr>
        <w:footnoteReference w:id="6"/>
      </w:r>
      <w:r w:rsidR="00B751D5" w:rsidRPr="008D6EC0">
        <w:t xml:space="preserve"> the majority of whom are women from </w:t>
      </w:r>
      <w:r w:rsidR="009D16C0">
        <w:t>Cambodia,</w:t>
      </w:r>
      <w:r w:rsidR="009D16C0" w:rsidRPr="008D6EC0">
        <w:t xml:space="preserve"> </w:t>
      </w:r>
      <w:r w:rsidR="00B751D5" w:rsidRPr="008D6EC0">
        <w:t>Indonesia</w:t>
      </w:r>
      <w:r w:rsidR="009D16C0">
        <w:t xml:space="preserve"> and</w:t>
      </w:r>
      <w:r w:rsidR="00B751D5" w:rsidRPr="008D6EC0">
        <w:t xml:space="preserve"> the Philippines. While all domestic workers are not victims of trafficking, a large number of th</w:t>
      </w:r>
      <w:r w:rsidR="00F12801">
        <w:t>o</w:t>
      </w:r>
      <w:r w:rsidR="00B751D5" w:rsidRPr="008D6EC0">
        <w:t xml:space="preserve">se women and girls are trafficked into domestic servitude by employment agencies in their home country </w:t>
      </w:r>
      <w:r w:rsidR="00F12801">
        <w:t>or</w:t>
      </w:r>
      <w:r w:rsidR="00F12801" w:rsidRPr="008D6EC0">
        <w:t xml:space="preserve"> </w:t>
      </w:r>
      <w:r w:rsidR="00B751D5" w:rsidRPr="008D6EC0">
        <w:t xml:space="preserve">Malaysia </w:t>
      </w:r>
      <w:r w:rsidR="00F12801">
        <w:t>or</w:t>
      </w:r>
      <w:r w:rsidR="00F12801" w:rsidRPr="008D6EC0">
        <w:t xml:space="preserve"> </w:t>
      </w:r>
      <w:r w:rsidR="00B751D5" w:rsidRPr="008D6EC0">
        <w:t>employers in Malaysia</w:t>
      </w:r>
      <w:r w:rsidR="00B751D5" w:rsidRPr="00591E4C">
        <w:t xml:space="preserve">, at times with the </w:t>
      </w:r>
      <w:r w:rsidR="00B751D5">
        <w:t xml:space="preserve">alleged </w:t>
      </w:r>
      <w:r w:rsidR="00B751D5" w:rsidRPr="00591E4C">
        <w:t xml:space="preserve">complicity of </w:t>
      </w:r>
      <w:r w:rsidR="00F12801">
        <w:t>S</w:t>
      </w:r>
      <w:r w:rsidR="00B751D5" w:rsidRPr="00591E4C">
        <w:t>tate officials.</w:t>
      </w:r>
      <w:r w:rsidR="00B751D5" w:rsidRPr="009369BF">
        <w:t xml:space="preserve"> </w:t>
      </w:r>
      <w:r w:rsidR="00B751D5" w:rsidRPr="005129F1">
        <w:t xml:space="preserve">Many fall victims to </w:t>
      </w:r>
      <w:r w:rsidR="00B751D5" w:rsidRPr="009369BF">
        <w:t>debt bondage when they assume an initial debt as part of the terms of employment.</w:t>
      </w:r>
      <w:r w:rsidR="00B751D5">
        <w:t xml:space="preserve"> </w:t>
      </w:r>
      <w:r w:rsidR="00B751D5" w:rsidRPr="00591E4C">
        <w:t xml:space="preserve">Widely reported abuses and exploitation that </w:t>
      </w:r>
      <w:r w:rsidR="00B751D5">
        <w:t xml:space="preserve">further </w:t>
      </w:r>
      <w:r w:rsidR="00B751D5" w:rsidRPr="00591E4C">
        <w:t xml:space="preserve">contribute to the trafficking situation include </w:t>
      </w:r>
      <w:r w:rsidR="00B751D5">
        <w:t>breaches of contract</w:t>
      </w:r>
      <w:r w:rsidR="00B751D5" w:rsidRPr="00591E4C">
        <w:t xml:space="preserve">, excessive recruitment fees, non-payment of salary, deductions from low wages, excessive working hours, </w:t>
      </w:r>
      <w:r w:rsidR="00F12801">
        <w:t xml:space="preserve">a </w:t>
      </w:r>
      <w:r w:rsidR="00B751D5" w:rsidRPr="00591E4C">
        <w:t xml:space="preserve">lack of rest days and </w:t>
      </w:r>
      <w:r w:rsidR="00F12801">
        <w:t xml:space="preserve">the </w:t>
      </w:r>
      <w:r w:rsidR="00B751D5" w:rsidRPr="00591E4C">
        <w:t>withholding of passports. Many domestic workers have also experienced unimaginable physical and mental abuse at the hand of their employers</w:t>
      </w:r>
      <w:r w:rsidR="00BA5E5F">
        <w:t>,</w:t>
      </w:r>
      <w:r w:rsidR="00B751D5" w:rsidRPr="00591E4C">
        <w:t xml:space="preserve"> from</w:t>
      </w:r>
      <w:r w:rsidR="00B751D5">
        <w:t xml:space="preserve"> being deprived of food</w:t>
      </w:r>
      <w:r w:rsidR="00B751D5" w:rsidRPr="00591E4C">
        <w:t xml:space="preserve"> to beatings with</w:t>
      </w:r>
      <w:r w:rsidR="00B751D5" w:rsidRPr="008D6EC0">
        <w:t xml:space="preserve"> electrical wires, scalding with hot water, harassment, psychological abuse and sexual assault.</w:t>
      </w:r>
      <w:r w:rsidR="00B751D5" w:rsidRPr="009369BF">
        <w:t xml:space="preserve"> </w:t>
      </w:r>
    </w:p>
    <w:p w:rsidR="00B751D5" w:rsidRDefault="0023396D" w:rsidP="0023396D">
      <w:pPr>
        <w:pStyle w:val="SingleTxtG"/>
      </w:pPr>
      <w:r>
        <w:rPr>
          <w:iCs/>
        </w:rPr>
        <w:t>13.</w:t>
      </w:r>
      <w:r>
        <w:rPr>
          <w:iCs/>
        </w:rPr>
        <w:tab/>
      </w:r>
      <w:r w:rsidR="00B751D5" w:rsidRPr="009369BF">
        <w:t>Owing to the hidden nature of their work</w:t>
      </w:r>
      <w:r w:rsidR="009E0C88">
        <w:t>, which is</w:t>
      </w:r>
      <w:r w:rsidR="00B751D5" w:rsidRPr="009369BF">
        <w:t xml:space="preserve"> </w:t>
      </w:r>
      <w:r w:rsidR="009E0C88">
        <w:t>carried out</w:t>
      </w:r>
      <w:r w:rsidR="009E0C88" w:rsidRPr="009369BF">
        <w:t xml:space="preserve"> </w:t>
      </w:r>
      <w:r w:rsidR="00B751D5" w:rsidRPr="009369BF">
        <w:t xml:space="preserve">in private homes, </w:t>
      </w:r>
      <w:r w:rsidR="009E0C88">
        <w:t xml:space="preserve">and to </w:t>
      </w:r>
      <w:r w:rsidR="00B751D5" w:rsidRPr="009369BF">
        <w:t xml:space="preserve">fear </w:t>
      </w:r>
      <w:r w:rsidR="00B751D5" w:rsidRPr="008D6EC0">
        <w:t>of arrest and eventual deportation</w:t>
      </w:r>
      <w:r w:rsidR="00B751D5" w:rsidRPr="009369BF">
        <w:t xml:space="preserve">, </w:t>
      </w:r>
      <w:r w:rsidR="009E0C88">
        <w:t>such workers</w:t>
      </w:r>
      <w:r w:rsidR="009E0C88" w:rsidRPr="009369BF">
        <w:t xml:space="preserve"> </w:t>
      </w:r>
      <w:r w:rsidR="00B751D5" w:rsidRPr="009369BF">
        <w:t>are unable to leave their employers and seek redress for human rights violations</w:t>
      </w:r>
      <w:r w:rsidR="00B751D5" w:rsidRPr="008D6EC0">
        <w:t xml:space="preserve">. </w:t>
      </w:r>
      <w:r w:rsidR="009E0C88">
        <w:t>In t</w:t>
      </w:r>
      <w:r w:rsidR="00B751D5" w:rsidRPr="008D6EC0">
        <w:t xml:space="preserve">he rare instances where complaints are lodged </w:t>
      </w:r>
      <w:r w:rsidR="009E0C88">
        <w:t>with the</w:t>
      </w:r>
      <w:r w:rsidR="009E0C88" w:rsidRPr="008D6EC0">
        <w:t xml:space="preserve"> </w:t>
      </w:r>
      <w:r w:rsidR="00B751D5" w:rsidRPr="008D6EC0">
        <w:t xml:space="preserve">police by the victims or </w:t>
      </w:r>
      <w:r w:rsidR="009E0C88">
        <w:t>non-governmental organizations (</w:t>
      </w:r>
      <w:r w:rsidR="00B751D5" w:rsidRPr="008D6EC0">
        <w:t>NGOs</w:t>
      </w:r>
      <w:r w:rsidR="009E0C88">
        <w:t>), those complaints</w:t>
      </w:r>
      <w:r w:rsidR="00B751D5" w:rsidRPr="008D6EC0">
        <w:t xml:space="preserve"> are not acted upon. Instead, it is not uncommon for the victims to be </w:t>
      </w:r>
      <w:r w:rsidR="00B751D5">
        <w:t>intimidated for</w:t>
      </w:r>
      <w:r w:rsidR="009E0C88">
        <w:t xml:space="preserve"> having</w:t>
      </w:r>
      <w:r w:rsidR="00B751D5">
        <w:t xml:space="preserve"> le</w:t>
      </w:r>
      <w:r w:rsidR="009E0C88">
        <w:t>ft</w:t>
      </w:r>
      <w:r w:rsidR="00B751D5">
        <w:t xml:space="preserve"> their employers and </w:t>
      </w:r>
      <w:r w:rsidR="009E0C88">
        <w:t xml:space="preserve">to </w:t>
      </w:r>
      <w:r w:rsidR="00B751D5">
        <w:t xml:space="preserve">be </w:t>
      </w:r>
      <w:r w:rsidR="00B751D5" w:rsidRPr="008D6EC0">
        <w:t xml:space="preserve">returned </w:t>
      </w:r>
      <w:r w:rsidR="00B751D5">
        <w:t xml:space="preserve">to </w:t>
      </w:r>
      <w:r w:rsidR="009E0C88">
        <w:t>those employers</w:t>
      </w:r>
      <w:r w:rsidR="009E0C88" w:rsidRPr="008D6EC0">
        <w:t xml:space="preserve"> </w:t>
      </w:r>
      <w:r w:rsidR="00B751D5" w:rsidRPr="008D6EC0">
        <w:t xml:space="preserve">or </w:t>
      </w:r>
      <w:r w:rsidR="009E0C88">
        <w:t xml:space="preserve">their </w:t>
      </w:r>
      <w:r w:rsidR="00B751D5" w:rsidRPr="008D6EC0">
        <w:t>employment agenc</w:t>
      </w:r>
      <w:r w:rsidR="009E0C88">
        <w:t>y</w:t>
      </w:r>
      <w:r w:rsidR="00B751D5" w:rsidRPr="008D6EC0">
        <w:t xml:space="preserve"> with threats</w:t>
      </w:r>
      <w:r w:rsidR="00BA5E5F">
        <w:t>,</w:t>
      </w:r>
      <w:r w:rsidR="00B751D5" w:rsidRPr="008D6EC0">
        <w:t xml:space="preserve"> rather than being offered protection</w:t>
      </w:r>
      <w:r w:rsidR="00B751D5">
        <w:t xml:space="preserve"> and alternative employment</w:t>
      </w:r>
      <w:r w:rsidR="00B751D5" w:rsidRPr="008D6EC0">
        <w:t>.</w:t>
      </w:r>
    </w:p>
    <w:p w:rsidR="00B751D5" w:rsidRPr="009369BF" w:rsidRDefault="0023396D" w:rsidP="0023396D">
      <w:pPr>
        <w:pStyle w:val="SingleTxtG"/>
      </w:pPr>
      <w:r w:rsidRPr="009369BF">
        <w:rPr>
          <w:iCs/>
        </w:rPr>
        <w:t>14.</w:t>
      </w:r>
      <w:r w:rsidRPr="009369BF">
        <w:rPr>
          <w:iCs/>
        </w:rPr>
        <w:tab/>
      </w:r>
      <w:r w:rsidR="00B751D5" w:rsidRPr="008D6EC0">
        <w:t>Moreover, underage victims</w:t>
      </w:r>
      <w:r w:rsidR="008F2696">
        <w:t>,</w:t>
      </w:r>
      <w:r w:rsidR="00B751D5" w:rsidRPr="008D6EC0">
        <w:t xml:space="preserve"> whose</w:t>
      </w:r>
      <w:r w:rsidR="008F2696">
        <w:t xml:space="preserve"> personal</w:t>
      </w:r>
      <w:r w:rsidR="00B751D5" w:rsidRPr="008D6EC0">
        <w:t xml:space="preserve"> information and age are incorrectly reflected in their passports/documents by recruitment agencies</w:t>
      </w:r>
      <w:r w:rsidR="008F2696">
        <w:t>,</w:t>
      </w:r>
      <w:r w:rsidR="00B751D5" w:rsidRPr="008D6EC0">
        <w:t xml:space="preserve"> face additional distress </w:t>
      </w:r>
      <w:r w:rsidR="008F2696">
        <w:t>in</w:t>
      </w:r>
      <w:r w:rsidR="008F2696" w:rsidRPr="008D6EC0">
        <w:t xml:space="preserve"> </w:t>
      </w:r>
      <w:r w:rsidR="00B751D5" w:rsidRPr="008D6EC0">
        <w:t>escap</w:t>
      </w:r>
      <w:r w:rsidR="008F2696">
        <w:t>ing</w:t>
      </w:r>
      <w:r w:rsidR="00B751D5" w:rsidRPr="008D6EC0">
        <w:t xml:space="preserve"> their abusive employers for fear of being caught and reprimanded for having falsified documents.</w:t>
      </w:r>
    </w:p>
    <w:p w:rsidR="00B751D5" w:rsidRPr="008D6EC0" w:rsidRDefault="00B751D5" w:rsidP="00B751D5">
      <w:pPr>
        <w:pStyle w:val="H23G"/>
      </w:pPr>
      <w:r>
        <w:tab/>
      </w:r>
      <w:r w:rsidRPr="008D6EC0">
        <w:t>3.</w:t>
      </w:r>
      <w:r>
        <w:tab/>
      </w:r>
      <w:r w:rsidRPr="008D6EC0">
        <w:t>Trafficking for sexual exploitation</w:t>
      </w:r>
    </w:p>
    <w:p w:rsidR="00B751D5" w:rsidRDefault="0023396D" w:rsidP="0023396D">
      <w:pPr>
        <w:pStyle w:val="SingleTxtG"/>
      </w:pPr>
      <w:r>
        <w:rPr>
          <w:iCs/>
        </w:rPr>
        <w:t>15.</w:t>
      </w:r>
      <w:r>
        <w:rPr>
          <w:iCs/>
        </w:rPr>
        <w:tab/>
      </w:r>
      <w:r w:rsidR="00B751D5" w:rsidRPr="009369BF">
        <w:t>Malaysia is a destination for</w:t>
      </w:r>
      <w:r w:rsidR="008F2696">
        <w:t xml:space="preserve"> the</w:t>
      </w:r>
      <w:r w:rsidR="00B751D5" w:rsidRPr="009369BF">
        <w:t xml:space="preserve"> trafficking of women, girls and boys into the sex industry. Factors contributing to trafficking in women and children for sexual exploitation include the demand for sexual services, the prevalence of tourism and the existence of a large migrant worker community. Young foreign women (including those from East Africa, </w:t>
      </w:r>
      <w:r w:rsidR="008F2696">
        <w:t xml:space="preserve">the </w:t>
      </w:r>
      <w:r w:rsidR="00B751D5" w:rsidRPr="009369BF">
        <w:t xml:space="preserve">Middle East, </w:t>
      </w:r>
      <w:r w:rsidR="008F2696">
        <w:t xml:space="preserve">the </w:t>
      </w:r>
      <w:r w:rsidR="00B751D5" w:rsidRPr="009369BF">
        <w:t>Russia</w:t>
      </w:r>
      <w:r w:rsidR="008F2696">
        <w:t xml:space="preserve">n </w:t>
      </w:r>
      <w:r w:rsidR="008F2696">
        <w:rPr>
          <w:lang w:val="en-US"/>
        </w:rPr>
        <w:t>Federation and</w:t>
      </w:r>
      <w:r w:rsidR="00B751D5" w:rsidRPr="009369BF">
        <w:t xml:space="preserve"> South Asia) are lured with </w:t>
      </w:r>
      <w:r w:rsidR="003E0D32">
        <w:t xml:space="preserve">false </w:t>
      </w:r>
      <w:r w:rsidR="00B751D5" w:rsidRPr="009369BF">
        <w:t>promises of legal work in Malaysia</w:t>
      </w:r>
      <w:r w:rsidR="008F2696">
        <w:t>,</w:t>
      </w:r>
      <w:r w:rsidR="00B751D5" w:rsidRPr="009369BF">
        <w:t xml:space="preserve"> such as domestic work, babysitting, waitressing and modelling, but are subsequently coerced into the commercial sex trade. </w:t>
      </w:r>
      <w:r w:rsidR="00B751D5" w:rsidRPr="008D6EC0">
        <w:t xml:space="preserve">Since 2014, CSOs have also noted an increase in the prevalence of trafficking in boys </w:t>
      </w:r>
      <w:r w:rsidR="008F2696">
        <w:t>for work</w:t>
      </w:r>
      <w:r w:rsidR="00A30078">
        <w:t xml:space="preserve"> </w:t>
      </w:r>
      <w:r w:rsidR="008F2696">
        <w:t>in</w:t>
      </w:r>
      <w:r w:rsidR="008F2696" w:rsidRPr="008D6EC0">
        <w:t xml:space="preserve"> </w:t>
      </w:r>
      <w:r w:rsidR="00B751D5" w:rsidRPr="008D6EC0">
        <w:t>the sex industry in Malaysia.</w:t>
      </w:r>
      <w:r w:rsidR="00B751D5">
        <w:t xml:space="preserve"> Trafficking of children for sexual exploitation is reportedly emerging within communities of irregular migrants.</w:t>
      </w:r>
      <w:r w:rsidR="00B751D5" w:rsidRPr="008D6EC0">
        <w:t xml:space="preserve"> </w:t>
      </w:r>
    </w:p>
    <w:p w:rsidR="00B751D5" w:rsidRPr="008D6EC0" w:rsidRDefault="0023396D" w:rsidP="0023396D">
      <w:pPr>
        <w:pStyle w:val="SingleTxtG"/>
      </w:pPr>
      <w:r w:rsidRPr="008D6EC0">
        <w:rPr>
          <w:iCs/>
        </w:rPr>
        <w:t>16.</w:t>
      </w:r>
      <w:r w:rsidRPr="008D6EC0">
        <w:rPr>
          <w:iCs/>
        </w:rPr>
        <w:tab/>
      </w:r>
      <w:r w:rsidR="00B751D5">
        <w:t>Additionally, t</w:t>
      </w:r>
      <w:r w:rsidR="00B751D5" w:rsidRPr="008D6EC0">
        <w:t xml:space="preserve">here is a growing trend of </w:t>
      </w:r>
      <w:r w:rsidR="00B751D5">
        <w:t>trafficking v</w:t>
      </w:r>
      <w:r w:rsidR="00B751D5" w:rsidRPr="008D6EC0">
        <w:t xml:space="preserve">ictims to employers/businesses to gratify the </w:t>
      </w:r>
      <w:r w:rsidR="00B751D5" w:rsidRPr="0042721A">
        <w:t>sexual needs of male migrant workers</w:t>
      </w:r>
      <w:r w:rsidR="00B751D5" w:rsidRPr="008D6EC0">
        <w:t xml:space="preserve">. </w:t>
      </w:r>
      <w:r w:rsidR="003E0D32">
        <w:t>Some e</w:t>
      </w:r>
      <w:r w:rsidR="00B751D5" w:rsidRPr="008D6EC0">
        <w:t>mployers are also known to reward the performance of employees by providing sexual incentives.</w:t>
      </w:r>
      <w:r w:rsidR="00B751D5" w:rsidRPr="009369BF">
        <w:t xml:space="preserve"> Moreover, there are indications of Vietnamese women and girls who enter into brokered marriages in Malaysia and are subsequently forced into sexual exploitation</w:t>
      </w:r>
      <w:r w:rsidR="00CF0AFC">
        <w:t xml:space="preserve"> to repay their </w:t>
      </w:r>
      <w:r w:rsidR="00F3058D">
        <w:t>“</w:t>
      </w:r>
      <w:r w:rsidR="00CF0AFC">
        <w:t>marriage</w:t>
      </w:r>
      <w:r w:rsidR="00F3058D">
        <w:t>”</w:t>
      </w:r>
      <w:r w:rsidR="00CF0AFC">
        <w:t xml:space="preserve"> debts</w:t>
      </w:r>
      <w:r w:rsidR="003A7931">
        <w:t>,</w:t>
      </w:r>
      <w:r w:rsidR="00CF0AFC">
        <w:t xml:space="preserve"> which range from </w:t>
      </w:r>
      <w:r w:rsidR="00CF0AFC" w:rsidRPr="003E0D32">
        <w:t>4,000</w:t>
      </w:r>
      <w:r w:rsidR="003A7931">
        <w:t xml:space="preserve"> to </w:t>
      </w:r>
      <w:r w:rsidR="00CF0AFC" w:rsidRPr="003E0D32">
        <w:t>6,000</w:t>
      </w:r>
      <w:r w:rsidR="00A30078">
        <w:t xml:space="preserve"> United States dollars</w:t>
      </w:r>
      <w:r w:rsidR="00B751D5" w:rsidRPr="009369BF">
        <w:t>.</w:t>
      </w:r>
      <w:r w:rsidR="003A7931">
        <w:t xml:space="preserve"> </w:t>
      </w:r>
      <w:r w:rsidR="00B751D5">
        <w:t>Trafficking of Malaysian girls and women for sexual exploitation to tourist destinations within the country ha</w:t>
      </w:r>
      <w:r w:rsidR="00BA5E5F">
        <w:t>s</w:t>
      </w:r>
      <w:r w:rsidR="00B751D5">
        <w:t xml:space="preserve"> also been noted.</w:t>
      </w:r>
    </w:p>
    <w:p w:rsidR="00B751D5" w:rsidRPr="008D6EC0" w:rsidRDefault="0023396D" w:rsidP="0023396D">
      <w:pPr>
        <w:pStyle w:val="SingleTxtG"/>
      </w:pPr>
      <w:r w:rsidRPr="008D6EC0">
        <w:rPr>
          <w:iCs/>
        </w:rPr>
        <w:lastRenderedPageBreak/>
        <w:t>17.</w:t>
      </w:r>
      <w:r w:rsidRPr="008D6EC0">
        <w:rPr>
          <w:iCs/>
        </w:rPr>
        <w:tab/>
      </w:r>
      <w:r w:rsidR="00B751D5" w:rsidRPr="009369BF">
        <w:t xml:space="preserve">As a transit country, victims from Indonesia primarily transit through Malaysia </w:t>
      </w:r>
      <w:proofErr w:type="spellStart"/>
      <w:r w:rsidR="00B751D5" w:rsidRPr="009369BF">
        <w:t>en</w:t>
      </w:r>
      <w:proofErr w:type="spellEnd"/>
      <w:r w:rsidR="00B751D5" w:rsidRPr="009369BF">
        <w:t xml:space="preserve"> route to Middle Eastern countries to circumvent anti-trafficking protection measures put in place by their government</w:t>
      </w:r>
      <w:r w:rsidR="00BA5E5F">
        <w:t>s</w:t>
      </w:r>
      <w:r w:rsidR="00B751D5" w:rsidRPr="009369BF">
        <w:t>.</w:t>
      </w:r>
    </w:p>
    <w:p w:rsidR="00B751D5" w:rsidRPr="009369BF" w:rsidRDefault="0023396D" w:rsidP="0023396D">
      <w:pPr>
        <w:pStyle w:val="SingleTxtG"/>
      </w:pPr>
      <w:r w:rsidRPr="009369BF">
        <w:rPr>
          <w:iCs/>
        </w:rPr>
        <w:t>18.</w:t>
      </w:r>
      <w:r w:rsidRPr="009369BF">
        <w:rPr>
          <w:iCs/>
        </w:rPr>
        <w:tab/>
      </w:r>
      <w:r w:rsidR="00B751D5" w:rsidRPr="008D6EC0">
        <w:t>Organized crime syndicates are allegedly responsible for some trafficking cases. They usually take advantage of the vulnerable and disadvantaged situations of the victim</w:t>
      </w:r>
      <w:r w:rsidR="00B751D5">
        <w:t>,</w:t>
      </w:r>
      <w:r w:rsidR="00B751D5" w:rsidRPr="008D6EC0">
        <w:t xml:space="preserve"> arrange for their travel to Malaysia</w:t>
      </w:r>
      <w:r w:rsidR="003A7931">
        <w:t xml:space="preserve"> and</w:t>
      </w:r>
      <w:r w:rsidR="00B751D5" w:rsidRPr="008D6EC0">
        <w:t xml:space="preserve"> process their travel documents and visas</w:t>
      </w:r>
      <w:r w:rsidR="003A7931">
        <w:t>,</w:t>
      </w:r>
      <w:r w:rsidR="00B751D5" w:rsidRPr="008D6EC0">
        <w:t xml:space="preserve"> including student visas. Once in Malaysia, the victims’ passports are confiscated and they are forced to provide sexual services to repay the debts incurred </w:t>
      </w:r>
      <w:r w:rsidR="00B751D5">
        <w:t>for their</w:t>
      </w:r>
      <w:r w:rsidR="00B751D5" w:rsidRPr="008D6EC0">
        <w:t xml:space="preserve"> travel. If they refuse, they are beaten up and threatened that if they run away </w:t>
      </w:r>
      <w:r w:rsidR="00B751D5" w:rsidRPr="0006404A">
        <w:t>or go to the police they would risk imprisonment before being deported for immigration offen</w:t>
      </w:r>
      <w:r w:rsidR="003A7931">
        <w:t>c</w:t>
      </w:r>
      <w:r w:rsidR="00B751D5" w:rsidRPr="0006404A">
        <w:t xml:space="preserve">es and/or </w:t>
      </w:r>
      <w:r w:rsidR="00B751D5">
        <w:t xml:space="preserve">soliciting prostitution. </w:t>
      </w:r>
      <w:r w:rsidR="00B751D5" w:rsidRPr="0006404A">
        <w:t xml:space="preserve">They </w:t>
      </w:r>
      <w:r w:rsidR="00B751D5" w:rsidRPr="008D6EC0">
        <w:t>are watched and accompanied at all times.</w:t>
      </w:r>
    </w:p>
    <w:p w:rsidR="00B751D5" w:rsidRDefault="00F41E35" w:rsidP="00CF713B">
      <w:pPr>
        <w:pStyle w:val="H23G"/>
      </w:pPr>
      <w:r>
        <w:tab/>
      </w:r>
      <w:r w:rsidR="00B751D5" w:rsidRPr="0006404A">
        <w:t>4.</w:t>
      </w:r>
      <w:r w:rsidR="00B751D5" w:rsidRPr="0006404A">
        <w:tab/>
        <w:t>Other forms of trafficking in persons</w:t>
      </w:r>
    </w:p>
    <w:p w:rsidR="00B751D5" w:rsidRDefault="0023396D" w:rsidP="0023396D">
      <w:pPr>
        <w:pStyle w:val="SingleTxtG"/>
      </w:pPr>
      <w:r>
        <w:rPr>
          <w:iCs/>
        </w:rPr>
        <w:t>19.</w:t>
      </w:r>
      <w:r>
        <w:rPr>
          <w:iCs/>
        </w:rPr>
        <w:tab/>
      </w:r>
      <w:r w:rsidR="00B751D5" w:rsidRPr="008D6EC0">
        <w:t>Refugees</w:t>
      </w:r>
      <w:r w:rsidR="00B751D5">
        <w:t xml:space="preserve"> and asylum seekers</w:t>
      </w:r>
      <w:r w:rsidR="00B751D5" w:rsidRPr="008D6EC0">
        <w:t xml:space="preserve"> in Malaysia lack </w:t>
      </w:r>
      <w:r w:rsidR="00B751D5">
        <w:t xml:space="preserve">recognition of their </w:t>
      </w:r>
      <w:r w:rsidR="00B751D5" w:rsidRPr="008D6EC0">
        <w:t xml:space="preserve">status or the ability to work </w:t>
      </w:r>
      <w:r w:rsidR="00B751D5">
        <w:t>legally in Malaysia</w:t>
      </w:r>
      <w:r w:rsidR="003A7931">
        <w:t>,</w:t>
      </w:r>
      <w:r w:rsidR="00B751D5">
        <w:t xml:space="preserve"> </w:t>
      </w:r>
      <w:r w:rsidR="003A7931">
        <w:t xml:space="preserve">which </w:t>
      </w:r>
      <w:r w:rsidR="00B751D5">
        <w:t xml:space="preserve">is not a signatory to the 1951 Convention </w:t>
      </w:r>
      <w:r w:rsidR="003A7931">
        <w:t xml:space="preserve">relating to </w:t>
      </w:r>
      <w:r w:rsidR="00B751D5">
        <w:t xml:space="preserve">the Status of </w:t>
      </w:r>
      <w:r w:rsidR="003A7931">
        <w:t>R</w:t>
      </w:r>
      <w:r w:rsidR="00B751D5">
        <w:t xml:space="preserve">efugees or </w:t>
      </w:r>
      <w:r w:rsidR="003A7931">
        <w:t xml:space="preserve">the </w:t>
      </w:r>
      <w:r w:rsidR="00B751D5">
        <w:t>1967 Protocol</w:t>
      </w:r>
      <w:r w:rsidR="003A7931">
        <w:t xml:space="preserve"> thereto</w:t>
      </w:r>
      <w:r w:rsidR="00B751D5">
        <w:t>.</w:t>
      </w:r>
      <w:r w:rsidR="00B751D5" w:rsidRPr="00CF713B">
        <w:rPr>
          <w:rStyle w:val="FootnoteReference"/>
        </w:rPr>
        <w:footnoteReference w:id="7"/>
      </w:r>
      <w:r w:rsidR="00B751D5">
        <w:t xml:space="preserve"> As a result,</w:t>
      </w:r>
      <w:r w:rsidR="00B751D5" w:rsidRPr="008D6EC0">
        <w:t xml:space="preserve"> </w:t>
      </w:r>
      <w:r w:rsidR="00B751D5">
        <w:t xml:space="preserve">this category of persons is subject to becoming </w:t>
      </w:r>
      <w:r w:rsidR="00B751D5" w:rsidRPr="008D6EC0">
        <w:t xml:space="preserve">vulnerable to trafficking. This is especially </w:t>
      </w:r>
      <w:r w:rsidR="003A7931" w:rsidRPr="008D6EC0">
        <w:t xml:space="preserve">true </w:t>
      </w:r>
      <w:r w:rsidR="00B751D5" w:rsidRPr="008D6EC0">
        <w:t xml:space="preserve">for </w:t>
      </w:r>
      <w:proofErr w:type="spellStart"/>
      <w:r w:rsidR="00B751D5" w:rsidRPr="008D6EC0">
        <w:t>Rohingya</w:t>
      </w:r>
      <w:proofErr w:type="spellEnd"/>
      <w:r w:rsidR="00B751D5" w:rsidRPr="008D6EC0">
        <w:t xml:space="preserve"> from Myanmar</w:t>
      </w:r>
      <w:r w:rsidR="003A7931">
        <w:t>,</w:t>
      </w:r>
      <w:r w:rsidR="00B751D5" w:rsidRPr="008D6EC0">
        <w:t xml:space="preserve"> who typically embark on maritime and overland journeys</w:t>
      </w:r>
      <w:r w:rsidR="00BA5E5F">
        <w:t>,</w:t>
      </w:r>
      <w:r w:rsidR="00B751D5" w:rsidRPr="008D6EC0">
        <w:t xml:space="preserve"> </w:t>
      </w:r>
      <w:r w:rsidR="00B751D5">
        <w:t>often via</w:t>
      </w:r>
      <w:r w:rsidR="00B751D5" w:rsidRPr="008D6EC0">
        <w:t xml:space="preserve"> Thailand</w:t>
      </w:r>
      <w:r w:rsidR="00BA5E5F">
        <w:t>,</w:t>
      </w:r>
      <w:r w:rsidR="00B751D5" w:rsidRPr="008D6EC0">
        <w:t xml:space="preserve"> </w:t>
      </w:r>
      <w:r w:rsidR="00B751D5">
        <w:t xml:space="preserve">to </w:t>
      </w:r>
      <w:r w:rsidR="003A7931">
        <w:t>reach</w:t>
      </w:r>
      <w:r w:rsidR="00B751D5" w:rsidRPr="008D6EC0">
        <w:t xml:space="preserve"> Malaysia. Initially smuggled across borders, </w:t>
      </w:r>
      <w:r w:rsidR="00B751D5">
        <w:t>some</w:t>
      </w:r>
      <w:r w:rsidR="00B751D5" w:rsidRPr="008D6EC0">
        <w:t xml:space="preserve"> are subsequently </w:t>
      </w:r>
      <w:r w:rsidR="00B751D5">
        <w:t>trafficked to</w:t>
      </w:r>
      <w:r w:rsidR="00B751D5" w:rsidRPr="008D6EC0">
        <w:t xml:space="preserve"> fishing boats and palm oil </w:t>
      </w:r>
      <w:r w:rsidR="00B751D5" w:rsidRPr="00FC78AA">
        <w:t xml:space="preserve">plantations for </w:t>
      </w:r>
      <w:r w:rsidR="00B751D5">
        <w:t>labour exploitation</w:t>
      </w:r>
      <w:r w:rsidR="003A7931">
        <w:t>,</w:t>
      </w:r>
      <w:r w:rsidR="00B751D5">
        <w:t xml:space="preserve"> ending up in </w:t>
      </w:r>
      <w:r w:rsidR="00B751D5" w:rsidRPr="00FC78AA">
        <w:t>bonded labour to repay their</w:t>
      </w:r>
      <w:r w:rsidR="00B751D5" w:rsidRPr="008D6EC0">
        <w:t xml:space="preserve"> debts</w:t>
      </w:r>
      <w:r w:rsidR="003A7931">
        <w:t xml:space="preserve"> from the transport</w:t>
      </w:r>
      <w:r w:rsidR="00B751D5" w:rsidRPr="008D6EC0">
        <w:t xml:space="preserve">. </w:t>
      </w:r>
      <w:r w:rsidR="00B751D5">
        <w:t>Others</w:t>
      </w:r>
      <w:r w:rsidR="00B751D5" w:rsidRPr="008D6EC0">
        <w:t xml:space="preserve"> are held captive and abused in Malaysia until ransom is paid by their relatives.</w:t>
      </w:r>
    </w:p>
    <w:p w:rsidR="00B751D5" w:rsidRDefault="0023396D" w:rsidP="0023396D">
      <w:pPr>
        <w:pStyle w:val="SingleTxtG"/>
      </w:pPr>
      <w:r>
        <w:rPr>
          <w:iCs/>
        </w:rPr>
        <w:t>20.</w:t>
      </w:r>
      <w:r>
        <w:rPr>
          <w:iCs/>
        </w:rPr>
        <w:tab/>
      </w:r>
      <w:r w:rsidR="00B751D5" w:rsidRPr="008D6EC0">
        <w:t>There are also indications of child trafficki</w:t>
      </w:r>
      <w:r w:rsidR="00B751D5" w:rsidRPr="00FC78AA">
        <w:t xml:space="preserve">ng for the purpose of forced begging </w:t>
      </w:r>
      <w:r w:rsidR="00B751D5" w:rsidRPr="008D6EC0">
        <w:t xml:space="preserve">among the refugee population, mostly </w:t>
      </w:r>
      <w:proofErr w:type="spellStart"/>
      <w:r w:rsidR="00B751D5" w:rsidRPr="008D6EC0">
        <w:t>Rohingya</w:t>
      </w:r>
      <w:proofErr w:type="spellEnd"/>
      <w:r w:rsidR="00B751D5" w:rsidRPr="008D6EC0">
        <w:t xml:space="preserve"> children. Most perpetrators in the cases </w:t>
      </w:r>
      <w:r w:rsidR="006644A5" w:rsidRPr="008D6EC0">
        <w:t xml:space="preserve">identified </w:t>
      </w:r>
      <w:r w:rsidR="00B751D5" w:rsidRPr="008D6EC0">
        <w:t>are alleged</w:t>
      </w:r>
      <w:r w:rsidR="00BA5E5F">
        <w:t>ly</w:t>
      </w:r>
      <w:r w:rsidR="00B751D5" w:rsidRPr="008D6EC0">
        <w:t xml:space="preserve"> family members or traffickers who pass off these children as their own. </w:t>
      </w:r>
    </w:p>
    <w:p w:rsidR="00B751D5" w:rsidRDefault="0023396D" w:rsidP="0023396D">
      <w:pPr>
        <w:pStyle w:val="SingleTxtG"/>
      </w:pPr>
      <w:r>
        <w:rPr>
          <w:iCs/>
        </w:rPr>
        <w:t>21.</w:t>
      </w:r>
      <w:r>
        <w:rPr>
          <w:iCs/>
        </w:rPr>
        <w:tab/>
      </w:r>
      <w:r w:rsidR="00B751D5" w:rsidRPr="00FE273A">
        <w:t xml:space="preserve">In addition, the Special Rapporteur was informed that a significant number of </w:t>
      </w:r>
      <w:r w:rsidR="00B751D5">
        <w:t xml:space="preserve">refugees, asylum seekers and </w:t>
      </w:r>
      <w:r w:rsidR="00B751D5" w:rsidRPr="00FE273A">
        <w:t xml:space="preserve">stateless </w:t>
      </w:r>
      <w:r w:rsidR="00B751D5">
        <w:t>persons</w:t>
      </w:r>
      <w:r w:rsidR="00B751D5" w:rsidRPr="00FE273A">
        <w:t xml:space="preserve">, </w:t>
      </w:r>
      <w:r w:rsidR="00B751D5" w:rsidRPr="001F09EE">
        <w:t xml:space="preserve">particularly those from the </w:t>
      </w:r>
      <w:r w:rsidR="006644A5">
        <w:t>F</w:t>
      </w:r>
      <w:r w:rsidR="00B751D5" w:rsidRPr="001F09EE">
        <w:t xml:space="preserve">ilipino and Indonesian communities in Sabah and </w:t>
      </w:r>
      <w:proofErr w:type="spellStart"/>
      <w:r w:rsidR="00B751D5" w:rsidRPr="001F09EE">
        <w:t>Rohingya</w:t>
      </w:r>
      <w:proofErr w:type="spellEnd"/>
      <w:r w:rsidR="00B751D5" w:rsidRPr="001F09EE">
        <w:t xml:space="preserve"> from Myanmar</w:t>
      </w:r>
      <w:r w:rsidR="006644A5">
        <w:t>,</w:t>
      </w:r>
      <w:r w:rsidR="00B751D5" w:rsidRPr="001F09EE">
        <w:t xml:space="preserve"> </w:t>
      </w:r>
      <w:r w:rsidR="00B751D5">
        <w:t>are increasingly</w:t>
      </w:r>
      <w:r w:rsidR="00B751D5" w:rsidRPr="001F09EE">
        <w:t xml:space="preserve"> becoming victims of trafficking. Their lack of </w:t>
      </w:r>
      <w:r w:rsidR="00B751D5">
        <w:t>formal recognition</w:t>
      </w:r>
      <w:r w:rsidR="00B751D5" w:rsidRPr="001F09EE">
        <w:t xml:space="preserve"> significantly restricts their </w:t>
      </w:r>
      <w:r w:rsidR="00B751D5" w:rsidRPr="00FE273A">
        <w:t>and their children</w:t>
      </w:r>
      <w:r w:rsidR="00B751D5">
        <w:t>’s</w:t>
      </w:r>
      <w:r w:rsidR="00B751D5" w:rsidRPr="001F09EE">
        <w:t xml:space="preserve"> ability to obtain education, employment opportunities</w:t>
      </w:r>
      <w:r w:rsidR="00B751D5" w:rsidRPr="00FE273A">
        <w:t>, health services</w:t>
      </w:r>
      <w:r w:rsidR="00B751D5">
        <w:t>,</w:t>
      </w:r>
      <w:r w:rsidR="00B751D5" w:rsidRPr="00FE273A">
        <w:t xml:space="preserve"> freedom of movement and access to justice. This in turn makes them easy prey </w:t>
      </w:r>
      <w:r w:rsidR="006644A5">
        <w:t>for</w:t>
      </w:r>
      <w:r w:rsidR="006644A5" w:rsidRPr="00FE273A">
        <w:t xml:space="preserve"> </w:t>
      </w:r>
      <w:r w:rsidR="00B751D5" w:rsidRPr="00FE273A">
        <w:t xml:space="preserve">unscrupulous </w:t>
      </w:r>
      <w:r w:rsidR="00B751D5" w:rsidRPr="00BB12CC">
        <w:t xml:space="preserve">traffickers and employers who exploit them </w:t>
      </w:r>
      <w:r w:rsidR="00B751D5">
        <w:t>with</w:t>
      </w:r>
      <w:r w:rsidR="00B751D5" w:rsidRPr="00BB12CC">
        <w:t xml:space="preserve"> impunity.</w:t>
      </w:r>
      <w:r w:rsidR="00B751D5" w:rsidRPr="009369BF">
        <w:t xml:space="preserve"> </w:t>
      </w:r>
      <w:r w:rsidR="00F93171" w:rsidRPr="00BB12CC">
        <w:t>Th</w:t>
      </w:r>
      <w:r w:rsidR="00F93171">
        <w:t>eir</w:t>
      </w:r>
      <w:r w:rsidR="00F93171" w:rsidRPr="00BB12CC">
        <w:t xml:space="preserve"> </w:t>
      </w:r>
      <w:r w:rsidR="00B751D5" w:rsidRPr="00BB12CC">
        <w:t xml:space="preserve">children are vulnerable to </w:t>
      </w:r>
      <w:r w:rsidR="00B751D5">
        <w:t xml:space="preserve">being trafficked for </w:t>
      </w:r>
      <w:r w:rsidR="00B751D5" w:rsidRPr="00BB12CC">
        <w:t xml:space="preserve">labour </w:t>
      </w:r>
      <w:r w:rsidR="00B751D5">
        <w:t>exploitation</w:t>
      </w:r>
      <w:r w:rsidR="00B751D5" w:rsidRPr="00BB12CC">
        <w:t xml:space="preserve">. There is also anecdotal information that undocumented older children are easily trafficked for </w:t>
      </w:r>
      <w:r w:rsidR="006644A5">
        <w:t>“</w:t>
      </w:r>
      <w:r w:rsidR="00B751D5" w:rsidRPr="00BB12CC">
        <w:t>drug-running</w:t>
      </w:r>
      <w:r w:rsidR="006644A5">
        <w:t>”</w:t>
      </w:r>
      <w:r w:rsidR="00B751D5" w:rsidRPr="00BB12CC">
        <w:t xml:space="preserve">. Finally, there are also reports of children being trafficked </w:t>
      </w:r>
      <w:r w:rsidR="00B751D5">
        <w:t xml:space="preserve">for adoption purposes </w:t>
      </w:r>
      <w:r w:rsidR="00B751D5" w:rsidRPr="00BB12CC">
        <w:t xml:space="preserve">from Singapore to childless families in Malaysia </w:t>
      </w:r>
      <w:r w:rsidR="006644A5">
        <w:t>(the</w:t>
      </w:r>
      <w:r w:rsidR="00B751D5" w:rsidRPr="00BB12CC">
        <w:t xml:space="preserve"> destination country</w:t>
      </w:r>
      <w:r w:rsidR="006644A5">
        <w:t>)</w:t>
      </w:r>
      <w:r w:rsidR="00B751D5" w:rsidRPr="00BB12CC">
        <w:t>.</w:t>
      </w:r>
    </w:p>
    <w:p w:rsidR="00B751D5" w:rsidRPr="008D6EC0" w:rsidRDefault="00B751D5" w:rsidP="00B751D5">
      <w:pPr>
        <w:pStyle w:val="H1G"/>
      </w:pPr>
      <w:r>
        <w:tab/>
        <w:t>B</w:t>
      </w:r>
      <w:r w:rsidRPr="008D6EC0">
        <w:t>.</w:t>
      </w:r>
      <w:r w:rsidRPr="008D6EC0">
        <w:tab/>
        <w:t>Criminali</w:t>
      </w:r>
      <w:r w:rsidR="006644A5">
        <w:t>z</w:t>
      </w:r>
      <w:r w:rsidRPr="008D6EC0">
        <w:t>ation of irregular migration and the impact on trafficked persons</w:t>
      </w:r>
    </w:p>
    <w:p w:rsidR="00B751D5" w:rsidRPr="008D6EC0" w:rsidRDefault="0023396D" w:rsidP="0023396D">
      <w:pPr>
        <w:pStyle w:val="SingleTxtG"/>
      </w:pPr>
      <w:r w:rsidRPr="008D6EC0">
        <w:rPr>
          <w:iCs/>
        </w:rPr>
        <w:t>22.</w:t>
      </w:r>
      <w:r w:rsidRPr="008D6EC0">
        <w:rPr>
          <w:iCs/>
        </w:rPr>
        <w:tab/>
      </w:r>
      <w:r w:rsidR="00B751D5" w:rsidRPr="00FE273A">
        <w:t>The S</w:t>
      </w:r>
      <w:r w:rsidR="00B751D5">
        <w:t>pecial Rapporteur</w:t>
      </w:r>
      <w:r w:rsidR="00B751D5" w:rsidRPr="00FE273A">
        <w:t xml:space="preserve"> recogni</w:t>
      </w:r>
      <w:r w:rsidR="006644A5">
        <w:t>z</w:t>
      </w:r>
      <w:r w:rsidR="00B751D5" w:rsidRPr="00FE273A">
        <w:t xml:space="preserve">es that the economy of Malaysia relies to a </w:t>
      </w:r>
      <w:r w:rsidR="00B751D5">
        <w:t>large</w:t>
      </w:r>
      <w:r w:rsidR="00B751D5" w:rsidRPr="00FE273A">
        <w:t xml:space="preserve"> extent on </w:t>
      </w:r>
      <w:r w:rsidR="006644A5">
        <w:t xml:space="preserve">the </w:t>
      </w:r>
      <w:r w:rsidR="00B751D5" w:rsidRPr="00FE273A">
        <w:t>low</w:t>
      </w:r>
      <w:r w:rsidR="006644A5">
        <w:t>-</w:t>
      </w:r>
      <w:r w:rsidR="00B751D5" w:rsidRPr="00FE273A">
        <w:t xml:space="preserve"> or semi-skilled labour of migrant workers, particularly in </w:t>
      </w:r>
      <w:r w:rsidR="007C1429" w:rsidRPr="007D2A70">
        <w:t xml:space="preserve">such </w:t>
      </w:r>
      <w:r w:rsidR="00B751D5" w:rsidRPr="00FE273A">
        <w:t xml:space="preserve">sectors </w:t>
      </w:r>
      <w:r w:rsidR="00B751D5" w:rsidRPr="007D2A70">
        <w:t>as construction, manufacturing</w:t>
      </w:r>
      <w:r w:rsidR="00B751D5">
        <w:t>, services, plantat</w:t>
      </w:r>
      <w:r w:rsidR="00B751D5" w:rsidRPr="009A0770">
        <w:t>ion, agriculture</w:t>
      </w:r>
      <w:r w:rsidR="007C1429">
        <w:t xml:space="preserve"> </w:t>
      </w:r>
      <w:r w:rsidR="007C1429">
        <w:rPr>
          <w:lang w:val="en-US"/>
        </w:rPr>
        <w:t>and</w:t>
      </w:r>
      <w:r w:rsidR="00B751D5" w:rsidRPr="009A0770">
        <w:t xml:space="preserve"> plantations</w:t>
      </w:r>
      <w:r w:rsidR="007C1429">
        <w:t>,</w:t>
      </w:r>
      <w:r w:rsidR="00B751D5" w:rsidRPr="009A0770">
        <w:t xml:space="preserve"> and domestic work. </w:t>
      </w:r>
      <w:r w:rsidR="00B751D5" w:rsidRPr="009369BF">
        <w:t xml:space="preserve">However, the Special Rapporteur observed that </w:t>
      </w:r>
      <w:r w:rsidR="007C1429">
        <w:t>the</w:t>
      </w:r>
      <w:r w:rsidR="007C1429" w:rsidRPr="009369BF">
        <w:t xml:space="preserve"> </w:t>
      </w:r>
      <w:r w:rsidR="00B751D5" w:rsidRPr="009369BF">
        <w:t>approach</w:t>
      </w:r>
      <w:r w:rsidR="007C1429">
        <w:t xml:space="preserve"> of Malaysia</w:t>
      </w:r>
      <w:r w:rsidR="00B751D5" w:rsidRPr="009369BF">
        <w:t xml:space="preserve"> to </w:t>
      </w:r>
      <w:r w:rsidR="00B751D5" w:rsidRPr="009369BF">
        <w:lastRenderedPageBreak/>
        <w:t>migration effectively relies on the criminali</w:t>
      </w:r>
      <w:r w:rsidR="007C1429">
        <w:t>z</w:t>
      </w:r>
      <w:r w:rsidR="00B751D5" w:rsidRPr="009369BF">
        <w:t xml:space="preserve">ation of irregular migrants. Where not carefully designed, such an approach increases </w:t>
      </w:r>
      <w:r w:rsidR="00C14A86">
        <w:t>the</w:t>
      </w:r>
      <w:r w:rsidR="00C14A86" w:rsidRPr="009369BF">
        <w:t xml:space="preserve"> </w:t>
      </w:r>
      <w:r w:rsidR="00B751D5" w:rsidRPr="009369BF">
        <w:t>vulnerability</w:t>
      </w:r>
      <w:r w:rsidR="00C14A86">
        <w:t xml:space="preserve"> of irregular migrants </w:t>
      </w:r>
      <w:r w:rsidR="00B751D5" w:rsidRPr="009369BF">
        <w:t>to becom</w:t>
      </w:r>
      <w:r w:rsidR="00C14A86">
        <w:t>ing</w:t>
      </w:r>
      <w:r w:rsidR="00B751D5" w:rsidRPr="009369BF">
        <w:t xml:space="preserve"> victims of trafficking</w:t>
      </w:r>
      <w:r w:rsidR="00C14A86">
        <w:t xml:space="preserve"> because they are criminalized</w:t>
      </w:r>
      <w:r w:rsidR="00B751D5" w:rsidRPr="009369BF">
        <w:t>. She cautions that migration project</w:t>
      </w:r>
      <w:r w:rsidR="00C14A86">
        <w:t>s</w:t>
      </w:r>
      <w:r w:rsidR="00B751D5" w:rsidRPr="009369BF">
        <w:t xml:space="preserve"> </w:t>
      </w:r>
      <w:r w:rsidR="00C14A86">
        <w:t>can</w:t>
      </w:r>
      <w:r w:rsidR="00C14A86" w:rsidRPr="009369BF">
        <w:t xml:space="preserve"> </w:t>
      </w:r>
      <w:r w:rsidR="00B751D5" w:rsidRPr="009369BF">
        <w:t xml:space="preserve">turn into trafficking when migrants are placed in exploitative situations during their journeys or at </w:t>
      </w:r>
      <w:r w:rsidR="00C14A86">
        <w:t xml:space="preserve">their </w:t>
      </w:r>
      <w:r w:rsidR="00B751D5" w:rsidRPr="009369BF">
        <w:t>destination, when their rights are drastically limited or completely denied. The categori</w:t>
      </w:r>
      <w:r w:rsidR="00C14A86">
        <w:t>z</w:t>
      </w:r>
      <w:r w:rsidR="00B751D5" w:rsidRPr="009369BF">
        <w:t xml:space="preserve">ation of all </w:t>
      </w:r>
      <w:r w:rsidR="00A3638A">
        <w:t xml:space="preserve">migrants </w:t>
      </w:r>
      <w:r w:rsidR="00B751D5" w:rsidRPr="009369BF">
        <w:t>as irregular or undocumented is detrimental to the identification of potential</w:t>
      </w:r>
      <w:r w:rsidR="00B751D5" w:rsidRPr="008D6EC0">
        <w:t xml:space="preserve"> victims of trafficking.</w:t>
      </w:r>
    </w:p>
    <w:p w:rsidR="00B751D5" w:rsidRPr="008D6EC0" w:rsidRDefault="0023396D" w:rsidP="0023396D">
      <w:pPr>
        <w:pStyle w:val="SingleTxtG"/>
      </w:pPr>
      <w:r w:rsidRPr="008D6EC0">
        <w:rPr>
          <w:iCs/>
        </w:rPr>
        <w:t>23.</w:t>
      </w:r>
      <w:r w:rsidRPr="008D6EC0">
        <w:rPr>
          <w:iCs/>
        </w:rPr>
        <w:tab/>
      </w:r>
      <w:r w:rsidR="00B751D5" w:rsidRPr="008D6EC0">
        <w:t xml:space="preserve">Irregular migration is prohibited under the </w:t>
      </w:r>
      <w:r w:rsidR="00B751D5" w:rsidRPr="009369BF">
        <w:t>Immigration Act (1959)</w:t>
      </w:r>
      <w:r w:rsidR="00B751D5" w:rsidRPr="008D6EC0">
        <w:t>. The law envisages severe penalties for convicted undocumented workers</w:t>
      </w:r>
      <w:r w:rsidR="00C14A86">
        <w:t>,</w:t>
      </w:r>
      <w:r w:rsidR="00B751D5" w:rsidRPr="008D6EC0">
        <w:t xml:space="preserve"> who are subject to fines up to 10,000</w:t>
      </w:r>
      <w:r w:rsidR="00C14A86">
        <w:t xml:space="preserve"> Malaysian </w:t>
      </w:r>
      <w:proofErr w:type="spellStart"/>
      <w:r w:rsidR="00C14A86">
        <w:t>ringitt</w:t>
      </w:r>
      <w:proofErr w:type="spellEnd"/>
      <w:r w:rsidR="00B751D5" w:rsidRPr="008D6EC0">
        <w:t xml:space="preserve">, up to </w:t>
      </w:r>
      <w:r w:rsidR="00C14A86">
        <w:t>five</w:t>
      </w:r>
      <w:r w:rsidR="00B751D5" w:rsidRPr="008D6EC0">
        <w:t xml:space="preserve"> years</w:t>
      </w:r>
      <w:r w:rsidR="00C14A86">
        <w:t>’</w:t>
      </w:r>
      <w:r w:rsidR="00B751D5" w:rsidRPr="008D6EC0">
        <w:t xml:space="preserve"> imprisonment and deportation. Whipping (caning) of those convicted for </w:t>
      </w:r>
      <w:r w:rsidR="00B751D5">
        <w:t>irregular</w:t>
      </w:r>
      <w:r w:rsidR="00B751D5" w:rsidRPr="008D6EC0">
        <w:t xml:space="preserve"> entry is not </w:t>
      </w:r>
      <w:r w:rsidR="00B751D5">
        <w:t xml:space="preserve">an </w:t>
      </w:r>
      <w:r w:rsidR="00B751D5" w:rsidRPr="008D6EC0">
        <w:t xml:space="preserve">uncommon penalty. </w:t>
      </w:r>
    </w:p>
    <w:p w:rsidR="00B751D5" w:rsidRPr="008D6EC0" w:rsidRDefault="0023396D" w:rsidP="0023396D">
      <w:pPr>
        <w:pStyle w:val="SingleTxtG"/>
      </w:pPr>
      <w:r w:rsidRPr="008D6EC0">
        <w:rPr>
          <w:iCs/>
        </w:rPr>
        <w:t>24.</w:t>
      </w:r>
      <w:r w:rsidRPr="008D6EC0">
        <w:rPr>
          <w:iCs/>
        </w:rPr>
        <w:tab/>
      </w:r>
      <w:r w:rsidR="00272798">
        <w:t>U</w:t>
      </w:r>
      <w:r w:rsidR="00B751D5" w:rsidRPr="008D6EC0">
        <w:t>ndocumented migrants</w:t>
      </w:r>
      <w:r w:rsidR="00272798">
        <w:t xml:space="preserve"> who are arrested</w:t>
      </w:r>
      <w:r w:rsidR="00B751D5" w:rsidRPr="008D6EC0">
        <w:t xml:space="preserve"> may legally be held up to 14 days before being brought to a magistrate</w:t>
      </w:r>
      <w:r w:rsidR="00272798">
        <w:t>,</w:t>
      </w:r>
      <w:r w:rsidR="00B751D5" w:rsidRPr="008D6EC0">
        <w:t xml:space="preserve"> contrary to the 24</w:t>
      </w:r>
      <w:r w:rsidR="00272798">
        <w:t>-</w:t>
      </w:r>
      <w:r w:rsidR="00B751D5" w:rsidRPr="008D6EC0">
        <w:t>hour time</w:t>
      </w:r>
      <w:r w:rsidR="00272798">
        <w:t xml:space="preserve"> </w:t>
      </w:r>
      <w:r w:rsidR="00B751D5" w:rsidRPr="008D6EC0">
        <w:t>frame guaranteed in the Constitution. Sentences are passed following summary hearings in special immigration courts by magistrates</w:t>
      </w:r>
      <w:r w:rsidR="00272798">
        <w:t>,</w:t>
      </w:r>
      <w:r w:rsidR="00B751D5" w:rsidRPr="008D6EC0">
        <w:t xml:space="preserve"> </w:t>
      </w:r>
      <w:r w:rsidR="00272798">
        <w:t>some of whom</w:t>
      </w:r>
      <w:r w:rsidR="00B751D5" w:rsidRPr="008D6EC0">
        <w:t xml:space="preserve"> </w:t>
      </w:r>
      <w:r w:rsidR="00272798">
        <w:t xml:space="preserve">have a reportedly low capacity </w:t>
      </w:r>
      <w:r w:rsidR="00B751D5" w:rsidRPr="008D6EC0">
        <w:t>to deal with migration, refugee, asylum or trafficking issues</w:t>
      </w:r>
      <w:r w:rsidR="00B751D5">
        <w:t>.</w:t>
      </w:r>
      <w:r w:rsidR="00B751D5" w:rsidRPr="008D6EC0">
        <w:t xml:space="preserve"> Given the expedited nature of the proceedings, it is also not clear to what extent judicial guarantees</w:t>
      </w:r>
      <w:r w:rsidR="00BA5E5F">
        <w:t>,</w:t>
      </w:r>
      <w:r w:rsidR="00B751D5" w:rsidRPr="008D6EC0">
        <w:t xml:space="preserve"> such as legal </w:t>
      </w:r>
      <w:r w:rsidR="00B751D5">
        <w:t>representation</w:t>
      </w:r>
      <w:r w:rsidR="00B751D5" w:rsidRPr="008D6EC0">
        <w:t xml:space="preserve"> and </w:t>
      </w:r>
      <w:r w:rsidR="00BA5E5F">
        <w:t xml:space="preserve">the </w:t>
      </w:r>
      <w:r w:rsidR="00B751D5" w:rsidRPr="008D6EC0">
        <w:t>explanation of available r</w:t>
      </w:r>
      <w:r w:rsidR="00B751D5">
        <w:t>emedies</w:t>
      </w:r>
      <w:r w:rsidR="00BA5E5F">
        <w:t>,</w:t>
      </w:r>
      <w:r w:rsidR="00B751D5" w:rsidRPr="008D6EC0">
        <w:t xml:space="preserve"> </w:t>
      </w:r>
      <w:r w:rsidR="00272798">
        <w:t>are</w:t>
      </w:r>
      <w:r w:rsidR="00272798" w:rsidRPr="008D6EC0">
        <w:t xml:space="preserve"> </w:t>
      </w:r>
      <w:r w:rsidR="00B751D5" w:rsidRPr="008D6EC0">
        <w:t xml:space="preserve">systematically </w:t>
      </w:r>
      <w:r w:rsidR="00B751D5">
        <w:t xml:space="preserve">provided </w:t>
      </w:r>
      <w:r w:rsidR="00B751D5" w:rsidRPr="008D6EC0">
        <w:t>to migrants</w:t>
      </w:r>
      <w:r w:rsidR="00272798">
        <w:t>.</w:t>
      </w:r>
      <w:r w:rsidR="00B751D5" w:rsidRPr="008D6EC0">
        <w:t xml:space="preserve"> </w:t>
      </w:r>
      <w:r w:rsidR="00272798">
        <w:t>Following these hearings, the migrants</w:t>
      </w:r>
      <w:r w:rsidR="00272798" w:rsidRPr="008D6EC0">
        <w:t xml:space="preserve"> </w:t>
      </w:r>
      <w:r w:rsidR="00B751D5" w:rsidRPr="008D6EC0">
        <w:t xml:space="preserve">are placed in detention centres awaiting deportation. </w:t>
      </w:r>
    </w:p>
    <w:p w:rsidR="00B751D5" w:rsidRPr="008D6EC0" w:rsidRDefault="0023396D" w:rsidP="0023396D">
      <w:pPr>
        <w:pStyle w:val="SingleTxtG"/>
      </w:pPr>
      <w:r w:rsidRPr="008D6EC0">
        <w:rPr>
          <w:iCs/>
        </w:rPr>
        <w:t>25.</w:t>
      </w:r>
      <w:r w:rsidRPr="008D6EC0">
        <w:rPr>
          <w:iCs/>
        </w:rPr>
        <w:tab/>
      </w:r>
      <w:r w:rsidR="00B751D5" w:rsidRPr="008D6EC0">
        <w:t>The strong political inclination towards criminalizing and prosecuting irregular migrants may have unintended negative consequences for the victims of trafficking</w:t>
      </w:r>
      <w:r w:rsidR="006C4BDC">
        <w:t>,</w:t>
      </w:r>
      <w:r w:rsidR="00CF0AFC">
        <w:t xml:space="preserve"> in spite of some protection against immigration</w:t>
      </w:r>
      <w:r w:rsidR="006C4BDC">
        <w:t>-</w:t>
      </w:r>
      <w:r w:rsidR="00CF0AFC">
        <w:t>related criminal prosecution</w:t>
      </w:r>
      <w:r w:rsidR="006C4BDC">
        <w:t xml:space="preserve"> provided for</w:t>
      </w:r>
      <w:r w:rsidR="00CF0AFC">
        <w:t xml:space="preserve"> in the Anti-</w:t>
      </w:r>
      <w:r w:rsidR="00F464BA">
        <w:t>T</w:t>
      </w:r>
      <w:r w:rsidR="00CF0AFC">
        <w:t>rafficking Act (2007)</w:t>
      </w:r>
      <w:r w:rsidR="00B751D5" w:rsidRPr="008D6EC0">
        <w:t>. Irregular migrants wanting to report abuse, including trafficking and labour exploitation, risk exposing themselves to the real danger of being charged for the offence of “irregular entry or stay”, detained and ultimately expelled. As a result, many irregular migrants are afraid to contact the authorities and avoid seeking legal protection and remedies, even when they are entitled to them. This approach</w:t>
      </w:r>
      <w:r w:rsidR="00F464BA">
        <w:t>,</w:t>
      </w:r>
      <w:r w:rsidR="00B751D5" w:rsidRPr="008D6EC0">
        <w:t xml:space="preserve"> </w:t>
      </w:r>
      <w:r w:rsidR="00F464BA">
        <w:t>which</w:t>
      </w:r>
      <w:r w:rsidR="00F464BA" w:rsidRPr="008D6EC0">
        <w:t xml:space="preserve"> </w:t>
      </w:r>
      <w:r w:rsidR="00B751D5" w:rsidRPr="008D6EC0">
        <w:t>emphasizes national security</w:t>
      </w:r>
      <w:r w:rsidR="00F464BA">
        <w:t>,</w:t>
      </w:r>
      <w:r w:rsidR="00B751D5" w:rsidRPr="008D6EC0">
        <w:t xml:space="preserve"> leads to the criminalization of victims for crimes committed while being trafficked and for which they should not be held liable.</w:t>
      </w:r>
      <w:r w:rsidR="00B751D5" w:rsidRPr="00CF713B">
        <w:rPr>
          <w:rStyle w:val="FootnoteReference"/>
        </w:rPr>
        <w:footnoteReference w:id="8"/>
      </w:r>
      <w:r w:rsidR="00B751D5" w:rsidRPr="008D6EC0">
        <w:t xml:space="preserve"> </w:t>
      </w:r>
    </w:p>
    <w:p w:rsidR="00B751D5" w:rsidRPr="008D6EC0" w:rsidRDefault="0023396D" w:rsidP="0023396D">
      <w:pPr>
        <w:pStyle w:val="SingleTxtG"/>
        <w:rPr>
          <w:color w:val="1F497D"/>
        </w:rPr>
      </w:pPr>
      <w:r w:rsidRPr="008D6EC0">
        <w:rPr>
          <w:iCs/>
        </w:rPr>
        <w:t>26.</w:t>
      </w:r>
      <w:r w:rsidRPr="008D6EC0">
        <w:rPr>
          <w:iCs/>
        </w:rPr>
        <w:tab/>
      </w:r>
      <w:r w:rsidR="00B751D5" w:rsidRPr="008D6EC0">
        <w:t xml:space="preserve">In order to promote </w:t>
      </w:r>
      <w:r w:rsidR="00B751D5">
        <w:t>s</w:t>
      </w:r>
      <w:r w:rsidR="00B751D5" w:rsidRPr="008D6EC0">
        <w:t>afe</w:t>
      </w:r>
      <w:r w:rsidR="00B751D5">
        <w:t>r</w:t>
      </w:r>
      <w:r w:rsidR="00B751D5" w:rsidRPr="008D6EC0">
        <w:t xml:space="preserve"> labour migration, the Government entered into bilateral memorandums of understanding with </w:t>
      </w:r>
      <w:r w:rsidR="00B751D5">
        <w:t xml:space="preserve">several neighbouring countries </w:t>
      </w:r>
      <w:r w:rsidR="00B751D5" w:rsidRPr="009369BF">
        <w:t>(</w:t>
      </w:r>
      <w:r w:rsidR="00B751D5" w:rsidRPr="007D3D1A">
        <w:t>see part J below</w:t>
      </w:r>
      <w:r w:rsidR="00B751D5" w:rsidRPr="009369BF">
        <w:t>)</w:t>
      </w:r>
      <w:r w:rsidR="00B751D5">
        <w:t xml:space="preserve"> </w:t>
      </w:r>
      <w:r w:rsidR="00602183">
        <w:t>that</w:t>
      </w:r>
      <w:r w:rsidR="00602183" w:rsidRPr="008D6EC0">
        <w:t xml:space="preserve"> </w:t>
      </w:r>
      <w:r w:rsidR="00B751D5" w:rsidRPr="008D6EC0">
        <w:t xml:space="preserve">facilitate </w:t>
      </w:r>
      <w:r w:rsidR="00B751D5">
        <w:t xml:space="preserve">and provide legal avenues for migration and </w:t>
      </w:r>
      <w:r w:rsidR="00602183">
        <w:t xml:space="preserve">the </w:t>
      </w:r>
      <w:r w:rsidR="00B751D5" w:rsidRPr="008D6EC0">
        <w:t xml:space="preserve">recruitment of migrant workers from these countries. Furthermore, in an attempt to regularize the situation of irregular migrant workers already in the country, the Government launched </w:t>
      </w:r>
      <w:r w:rsidR="00602183">
        <w:t>the</w:t>
      </w:r>
      <w:r w:rsidR="00602183" w:rsidRPr="008D6EC0">
        <w:t xml:space="preserve"> </w:t>
      </w:r>
      <w:r w:rsidR="00B751D5" w:rsidRPr="008D6EC0">
        <w:t xml:space="preserve">Illegal Immigrant Comprehensive Settlement Programme in </w:t>
      </w:r>
      <w:r w:rsidR="00F93171" w:rsidRPr="008D6EC0">
        <w:t>201</w:t>
      </w:r>
      <w:r w:rsidR="00F93171">
        <w:t>1</w:t>
      </w:r>
      <w:r w:rsidR="00B751D5" w:rsidRPr="008D6EC0">
        <w:t>, whereby irregular migrants were allowed to register and be either legali</w:t>
      </w:r>
      <w:r w:rsidR="008F1DD3">
        <w:t>z</w:t>
      </w:r>
      <w:r w:rsidR="00B751D5" w:rsidRPr="008D6EC0">
        <w:t xml:space="preserve">ed </w:t>
      </w:r>
      <w:r w:rsidR="008F1DD3">
        <w:t>or</w:t>
      </w:r>
      <w:r w:rsidR="008F1DD3" w:rsidRPr="008D6EC0">
        <w:t xml:space="preserve"> </w:t>
      </w:r>
      <w:r w:rsidR="00B751D5" w:rsidRPr="008D6EC0">
        <w:t>deported back to their countries without prosecution.</w:t>
      </w:r>
      <w:r w:rsidR="00B751D5" w:rsidRPr="009369BF">
        <w:t xml:space="preserve"> </w:t>
      </w:r>
      <w:r w:rsidR="00B751D5" w:rsidRPr="008D6EC0">
        <w:t xml:space="preserve">It is noteworthy that </w:t>
      </w:r>
      <w:r w:rsidR="008F1DD3">
        <w:t>the</w:t>
      </w:r>
      <w:r w:rsidR="008F1DD3" w:rsidRPr="008D6EC0">
        <w:t xml:space="preserve"> </w:t>
      </w:r>
      <w:r w:rsidR="00B751D5" w:rsidRPr="008D6EC0">
        <w:t xml:space="preserve">handling of irregular migrants </w:t>
      </w:r>
      <w:r w:rsidR="008F1DD3">
        <w:t xml:space="preserve">by Malaysia </w:t>
      </w:r>
      <w:r w:rsidR="00B751D5" w:rsidRPr="008D6EC0">
        <w:t>has occasionally become an issue of contention with neighbouring countries</w:t>
      </w:r>
      <w:r w:rsidR="00B751D5" w:rsidRPr="00267316">
        <w:t>.</w:t>
      </w:r>
      <w:r w:rsidR="00B751D5" w:rsidRPr="008D6EC0">
        <w:rPr>
          <w:color w:val="1F497D"/>
        </w:rPr>
        <w:t xml:space="preserve"> </w:t>
      </w:r>
    </w:p>
    <w:p w:rsidR="00B751D5" w:rsidRPr="009369BF" w:rsidRDefault="0023396D" w:rsidP="0023396D">
      <w:pPr>
        <w:pStyle w:val="SingleTxtG"/>
      </w:pPr>
      <w:r w:rsidRPr="009369BF">
        <w:rPr>
          <w:iCs/>
        </w:rPr>
        <w:t>27.</w:t>
      </w:r>
      <w:r w:rsidRPr="009369BF">
        <w:rPr>
          <w:iCs/>
        </w:rPr>
        <w:tab/>
      </w:r>
      <w:r w:rsidR="008F1DD3">
        <w:t>Nevertheless</w:t>
      </w:r>
      <w:r w:rsidR="00B751D5" w:rsidRPr="009369BF">
        <w:t xml:space="preserve">, opportunities for safe migration for low-skilled labour remain inadequate. </w:t>
      </w:r>
      <w:r w:rsidR="008F1DD3">
        <w:t>The r</w:t>
      </w:r>
      <w:r w:rsidR="00B751D5" w:rsidRPr="009369BF">
        <w:t>egulation of employment agencies is ineffective, regardless of the fact that licensing of new employment agencies is on hold and</w:t>
      </w:r>
      <w:r w:rsidR="008F1DD3">
        <w:t xml:space="preserve"> </w:t>
      </w:r>
      <w:r w:rsidR="00B751D5" w:rsidRPr="009369BF">
        <w:t xml:space="preserve">licenses of existing agencies will not be extended beyond 2021. </w:t>
      </w:r>
    </w:p>
    <w:p w:rsidR="00B751D5" w:rsidRPr="008D6EC0" w:rsidRDefault="00B751D5" w:rsidP="00B751D5">
      <w:pPr>
        <w:pStyle w:val="H1G"/>
      </w:pPr>
      <w:r w:rsidRPr="008D6EC0">
        <w:rPr>
          <w:color w:val="1F497D"/>
        </w:rPr>
        <w:lastRenderedPageBreak/>
        <w:tab/>
      </w:r>
      <w:r>
        <w:t>C</w:t>
      </w:r>
      <w:r w:rsidRPr="008D6EC0">
        <w:t>.</w:t>
      </w:r>
      <w:r w:rsidRPr="008D6EC0">
        <w:tab/>
        <w:t>Legislative, policy and institutional framework</w:t>
      </w:r>
    </w:p>
    <w:p w:rsidR="00B751D5" w:rsidRPr="008D6EC0" w:rsidRDefault="00B751D5" w:rsidP="00B751D5">
      <w:pPr>
        <w:pStyle w:val="H23G"/>
        <w:spacing w:line="240" w:lineRule="atLeast"/>
      </w:pPr>
      <w:r w:rsidRPr="008D6EC0">
        <w:tab/>
        <w:t>1.</w:t>
      </w:r>
      <w:r w:rsidRPr="008D6EC0">
        <w:tab/>
        <w:t>Legislative framework</w:t>
      </w:r>
    </w:p>
    <w:p w:rsidR="00B751D5" w:rsidRPr="008D6EC0" w:rsidRDefault="006426DD" w:rsidP="00315D83">
      <w:pPr>
        <w:pStyle w:val="H23G"/>
      </w:pPr>
      <w:r>
        <w:tab/>
      </w:r>
      <w:r w:rsidR="008F1DD3">
        <w:t>(a)</w:t>
      </w:r>
      <w:r w:rsidR="005B5A9F">
        <w:tab/>
      </w:r>
      <w:r>
        <w:t>I</w:t>
      </w:r>
      <w:r w:rsidR="00B751D5" w:rsidRPr="008D6EC0">
        <w:t>nternational and regional framework</w:t>
      </w:r>
    </w:p>
    <w:p w:rsidR="00B751D5" w:rsidRPr="008D6EC0" w:rsidRDefault="0023396D" w:rsidP="0023396D">
      <w:pPr>
        <w:pStyle w:val="SingleTxtG"/>
      </w:pPr>
      <w:r w:rsidRPr="008D6EC0">
        <w:rPr>
          <w:iCs/>
        </w:rPr>
        <w:t>28.</w:t>
      </w:r>
      <w:r w:rsidRPr="008D6EC0">
        <w:rPr>
          <w:iCs/>
        </w:rPr>
        <w:tab/>
      </w:r>
      <w:r w:rsidR="00B751D5" w:rsidRPr="008D6EC0">
        <w:t xml:space="preserve">Malaysia is party to the Protocol to Prevent, Suppress and Punish Trafficking in </w:t>
      </w:r>
      <w:r w:rsidR="008F1DD3">
        <w:t>P</w:t>
      </w:r>
      <w:r w:rsidR="00B751D5" w:rsidRPr="008D6EC0">
        <w:t xml:space="preserve">ersons, </w:t>
      </w:r>
      <w:r w:rsidR="008F1DD3">
        <w:t>E</w:t>
      </w:r>
      <w:r w:rsidR="00B751D5" w:rsidRPr="008D6EC0">
        <w:t xml:space="preserve">specially </w:t>
      </w:r>
      <w:r w:rsidR="008F1DD3">
        <w:t>W</w:t>
      </w:r>
      <w:r w:rsidR="00B751D5" w:rsidRPr="008D6EC0">
        <w:t xml:space="preserve">omen and </w:t>
      </w:r>
      <w:r w:rsidR="008F1DD3">
        <w:t>C</w:t>
      </w:r>
      <w:r w:rsidR="00B751D5" w:rsidRPr="008D6EC0">
        <w:t>hildren</w:t>
      </w:r>
      <w:r w:rsidR="008F1DD3">
        <w:t>,</w:t>
      </w:r>
      <w:r w:rsidR="00B751D5" w:rsidRPr="008D6EC0">
        <w:t xml:space="preserve"> </w:t>
      </w:r>
      <w:r w:rsidR="00B751D5" w:rsidRPr="009369BF">
        <w:t>supplementing the United Nations Convention against Transnational Organized Crime</w:t>
      </w:r>
      <w:r w:rsidR="00B751D5" w:rsidRPr="008D6EC0">
        <w:t xml:space="preserve"> (</w:t>
      </w:r>
      <w:r w:rsidR="00B751D5">
        <w:t>here</w:t>
      </w:r>
      <w:r w:rsidR="008F1DD3">
        <w:t>in</w:t>
      </w:r>
      <w:r w:rsidR="00B751D5">
        <w:t>after</w:t>
      </w:r>
      <w:r w:rsidR="00097221">
        <w:t>,</w:t>
      </w:r>
      <w:r w:rsidR="00B751D5">
        <w:t xml:space="preserve"> </w:t>
      </w:r>
      <w:r w:rsidR="008F1DD3">
        <w:t xml:space="preserve">the </w:t>
      </w:r>
      <w:r w:rsidR="00714EA7">
        <w:t>Trafficking in Persons</w:t>
      </w:r>
      <w:r w:rsidR="008F1DD3" w:rsidRPr="008D6EC0">
        <w:t xml:space="preserve"> </w:t>
      </w:r>
      <w:r w:rsidR="00B751D5" w:rsidRPr="008D6EC0">
        <w:t>Protocol) and a number of international human rights instruments, including the Convention on the Elimination of All Forms of Discrimination against Women and the Convention on the Rights of the Child. It has also ratified the Forced Labour Convention, 1930 (No.</w:t>
      </w:r>
      <w:r w:rsidR="00840317">
        <w:t> </w:t>
      </w:r>
      <w:r w:rsidR="00B751D5" w:rsidRPr="008D6EC0">
        <w:t>29), the Abolition of Forced Labour Convention, 1957 (No.</w:t>
      </w:r>
      <w:r w:rsidR="00840317">
        <w:t> </w:t>
      </w:r>
      <w:r w:rsidR="00B751D5" w:rsidRPr="008D6EC0">
        <w:t>105) and the Worst Forms of Child Labour Convention, 1999 (No.</w:t>
      </w:r>
      <w:r w:rsidR="00840317">
        <w:t> </w:t>
      </w:r>
      <w:r w:rsidR="00B751D5" w:rsidRPr="008D6EC0">
        <w:t xml:space="preserve">182) of the International Labour Organization (ILO). </w:t>
      </w:r>
    </w:p>
    <w:p w:rsidR="00B751D5" w:rsidRPr="008D6EC0" w:rsidRDefault="0023396D" w:rsidP="0023396D">
      <w:pPr>
        <w:pStyle w:val="SingleTxtG"/>
      </w:pPr>
      <w:r w:rsidRPr="008D6EC0">
        <w:rPr>
          <w:iCs/>
        </w:rPr>
        <w:t>29.</w:t>
      </w:r>
      <w:r w:rsidRPr="008D6EC0">
        <w:rPr>
          <w:iCs/>
        </w:rPr>
        <w:tab/>
      </w:r>
      <w:r w:rsidR="00B751D5" w:rsidRPr="00267316">
        <w:t xml:space="preserve">Regrettably, Malaysia is not party to the 1951 </w:t>
      </w:r>
      <w:r w:rsidR="008F1DD3">
        <w:t>C</w:t>
      </w:r>
      <w:r w:rsidR="00B751D5" w:rsidRPr="00267316">
        <w:t>onvention relating to the Status of Refugees</w:t>
      </w:r>
      <w:r w:rsidR="00B751D5" w:rsidRPr="009369BF">
        <w:t xml:space="preserve"> and </w:t>
      </w:r>
      <w:r w:rsidR="008F1DD3">
        <w:t>the</w:t>
      </w:r>
      <w:r w:rsidR="008F1DD3" w:rsidRPr="009369BF">
        <w:t xml:space="preserve"> </w:t>
      </w:r>
      <w:r w:rsidR="00B751D5" w:rsidRPr="009369BF">
        <w:t>1967 Protocol</w:t>
      </w:r>
      <w:r w:rsidR="008F1DD3">
        <w:t xml:space="preserve"> thereto or</w:t>
      </w:r>
      <w:r w:rsidR="00B751D5" w:rsidRPr="009369BF">
        <w:t xml:space="preserve"> the 1954 Convention relating to the Status of Stateless Persons </w:t>
      </w:r>
      <w:r w:rsidR="00B751D5" w:rsidRPr="00267316">
        <w:t xml:space="preserve">and lacks a formal legislative and administrative framework to address refugee matters. The </w:t>
      </w:r>
      <w:r w:rsidR="00B751D5" w:rsidRPr="009369BF">
        <w:t>International Convention on the Protection of the Rights of All Migrant Workers and Members of Their Families, the ILO Domestic Workers Convention</w:t>
      </w:r>
      <w:r w:rsidR="008F1DD3">
        <w:t>, 2011 (No. 189)</w:t>
      </w:r>
      <w:r w:rsidR="00B751D5" w:rsidRPr="009369BF">
        <w:t xml:space="preserve"> and the Protocol</w:t>
      </w:r>
      <w:r w:rsidR="0013571C">
        <w:t xml:space="preserve"> of 2014</w:t>
      </w:r>
      <w:r w:rsidR="00B751D5" w:rsidRPr="009369BF">
        <w:t xml:space="preserve"> </w:t>
      </w:r>
      <w:r w:rsidR="008F1DD3">
        <w:t>to the</w:t>
      </w:r>
      <w:r w:rsidR="008F1DD3" w:rsidRPr="009369BF">
        <w:t xml:space="preserve"> </w:t>
      </w:r>
      <w:r w:rsidR="00B751D5" w:rsidRPr="009369BF">
        <w:t xml:space="preserve">Forced </w:t>
      </w:r>
      <w:r w:rsidR="008F1DD3">
        <w:t>L</w:t>
      </w:r>
      <w:r w:rsidR="00B751D5" w:rsidRPr="009369BF">
        <w:t xml:space="preserve">abour </w:t>
      </w:r>
      <w:r w:rsidR="008F1DD3">
        <w:t>Convention, 1930</w:t>
      </w:r>
      <w:r w:rsidR="0013571C">
        <w:t>,</w:t>
      </w:r>
      <w:r w:rsidR="008F1DD3">
        <w:t xml:space="preserve"> have</w:t>
      </w:r>
      <w:r w:rsidR="008F1DD3" w:rsidRPr="009369BF">
        <w:t xml:space="preserve"> </w:t>
      </w:r>
      <w:r w:rsidR="00B751D5" w:rsidRPr="009369BF">
        <w:t>also not</w:t>
      </w:r>
      <w:r w:rsidR="008F1DD3">
        <w:t xml:space="preserve"> been</w:t>
      </w:r>
      <w:r w:rsidR="00B751D5" w:rsidRPr="009369BF">
        <w:t xml:space="preserve"> ratified, while the Abolition of Forced Labour Convention</w:t>
      </w:r>
      <w:r w:rsidR="008F1DD3">
        <w:t>,</w:t>
      </w:r>
      <w:r w:rsidR="00B751D5" w:rsidRPr="009369BF">
        <w:t xml:space="preserve"> 1957</w:t>
      </w:r>
      <w:r w:rsidR="008F1DD3">
        <w:t xml:space="preserve"> (No. 105)</w:t>
      </w:r>
      <w:r w:rsidR="00B751D5" w:rsidRPr="009369BF">
        <w:t xml:space="preserve"> was denounced in 1990.</w:t>
      </w:r>
    </w:p>
    <w:p w:rsidR="00B751D5" w:rsidRDefault="0023396D" w:rsidP="0023396D">
      <w:pPr>
        <w:pStyle w:val="SingleTxtG"/>
      </w:pPr>
      <w:r>
        <w:rPr>
          <w:iCs/>
        </w:rPr>
        <w:t>30.</w:t>
      </w:r>
      <w:r>
        <w:rPr>
          <w:iCs/>
        </w:rPr>
        <w:tab/>
      </w:r>
      <w:r w:rsidR="00B751D5" w:rsidRPr="008D6EC0">
        <w:t>At the regional level, Malaysia is a founding member</w:t>
      </w:r>
      <w:r w:rsidR="00B751D5">
        <w:t xml:space="preserve"> of the </w:t>
      </w:r>
      <w:r w:rsidR="00B751D5" w:rsidRPr="00802994">
        <w:t xml:space="preserve">Association of Southeast Asian Nations </w:t>
      </w:r>
      <w:r w:rsidR="00B751D5">
        <w:t>(ASEAN). It is</w:t>
      </w:r>
      <w:r w:rsidR="00B751D5" w:rsidRPr="008D6EC0">
        <w:t xml:space="preserve"> party to a number of binding and non-binding instruments including the ASEAN Human Rights Declaration and the Treaty on Mutual Legal Assistance in Criminal Matters Among Like-Minded ASEAN Member Countries. It supports the ASEAN </w:t>
      </w:r>
      <w:proofErr w:type="spellStart"/>
      <w:r w:rsidR="00B751D5" w:rsidRPr="008D6EC0">
        <w:t>sectoral</w:t>
      </w:r>
      <w:proofErr w:type="spellEnd"/>
      <w:r w:rsidR="00B751D5" w:rsidRPr="008D6EC0">
        <w:t xml:space="preserve"> bodies</w:t>
      </w:r>
      <w:r w:rsidR="00097221">
        <w:t>,</w:t>
      </w:r>
      <w:r w:rsidR="00B751D5" w:rsidRPr="008D6EC0">
        <w:t xml:space="preserve"> such as the ASEAN Commission on the</w:t>
      </w:r>
      <w:r w:rsidR="00097221">
        <w:t xml:space="preserve"> Promotion and Protection of the</w:t>
      </w:r>
      <w:r w:rsidR="00B751D5" w:rsidRPr="008D6EC0">
        <w:t xml:space="preserve"> </w:t>
      </w:r>
      <w:r w:rsidR="00097221">
        <w:t>R</w:t>
      </w:r>
      <w:r w:rsidR="00B751D5" w:rsidRPr="008D6EC0">
        <w:t>ights of Women and Children and the ASEAN Committee on the Implementation of the ASEAN Declaration on the Protection and Promotion of the Rights of Migrant Workers.</w:t>
      </w:r>
      <w:r w:rsidR="00B751D5">
        <w:t xml:space="preserve"> </w:t>
      </w:r>
      <w:r w:rsidR="00B751D5" w:rsidRPr="008060DD">
        <w:t>As a member of the Bali Process on People Smuggling, Trafficking in Persons and Related Transnational Crime, Malaysia continues to support the practical measures to help combat trafficking in persons and related transnational crime in the Asia</w:t>
      </w:r>
      <w:r w:rsidR="00097221">
        <w:t xml:space="preserve"> and </w:t>
      </w:r>
      <w:r w:rsidR="00B751D5" w:rsidRPr="008060DD">
        <w:t>Pacific region.</w:t>
      </w:r>
      <w:r w:rsidR="00B751D5" w:rsidRPr="008D6EC0">
        <w:t xml:space="preserve"> </w:t>
      </w:r>
    </w:p>
    <w:p w:rsidR="00B751D5" w:rsidRPr="008D6EC0" w:rsidRDefault="005B5A9F" w:rsidP="00315D83">
      <w:pPr>
        <w:pStyle w:val="H23G"/>
      </w:pPr>
      <w:r>
        <w:tab/>
      </w:r>
      <w:r w:rsidR="008F1DD3">
        <w:t>(b)</w:t>
      </w:r>
      <w:r>
        <w:tab/>
      </w:r>
      <w:r w:rsidR="00B751D5" w:rsidRPr="008D6EC0">
        <w:t>National framework</w:t>
      </w:r>
    </w:p>
    <w:p w:rsidR="00B751D5" w:rsidRPr="008D6EC0" w:rsidRDefault="0023396D" w:rsidP="0023396D">
      <w:pPr>
        <w:pStyle w:val="SingleTxtG"/>
      </w:pPr>
      <w:r w:rsidRPr="008D6EC0">
        <w:rPr>
          <w:iCs/>
        </w:rPr>
        <w:t>31.</w:t>
      </w:r>
      <w:r w:rsidRPr="008D6EC0">
        <w:rPr>
          <w:iCs/>
        </w:rPr>
        <w:tab/>
      </w:r>
      <w:r w:rsidR="00B751D5" w:rsidRPr="008D6EC0">
        <w:t xml:space="preserve">At the national level, slavery and forced labour are prohibited </w:t>
      </w:r>
      <w:r w:rsidR="00097221">
        <w:t>under</w:t>
      </w:r>
      <w:r w:rsidR="00097221" w:rsidRPr="008D6EC0">
        <w:t xml:space="preserve"> </w:t>
      </w:r>
      <w:r w:rsidR="00B751D5" w:rsidRPr="008D6EC0">
        <w:t xml:space="preserve">section 6 of the Federal </w:t>
      </w:r>
      <w:r w:rsidR="00097221">
        <w:t>C</w:t>
      </w:r>
      <w:r w:rsidR="00B751D5" w:rsidRPr="008D6EC0">
        <w:t xml:space="preserve">onstitution. </w:t>
      </w:r>
    </w:p>
    <w:p w:rsidR="00B751D5" w:rsidRDefault="0023396D" w:rsidP="0023396D">
      <w:pPr>
        <w:pStyle w:val="SingleTxtG"/>
      </w:pPr>
      <w:r>
        <w:rPr>
          <w:iCs/>
        </w:rPr>
        <w:t>32.</w:t>
      </w:r>
      <w:r>
        <w:rPr>
          <w:iCs/>
        </w:rPr>
        <w:tab/>
      </w:r>
      <w:r w:rsidR="00097221">
        <w:t>The country’s</w:t>
      </w:r>
      <w:r w:rsidR="00097221" w:rsidRPr="008D6EC0">
        <w:t xml:space="preserve"> </w:t>
      </w:r>
      <w:r w:rsidR="00B751D5" w:rsidRPr="008D6EC0">
        <w:t xml:space="preserve">Anti-Trafficking in Persons Act of 2007 was amended in 2010 and renamed the </w:t>
      </w:r>
      <w:r w:rsidR="00B751D5" w:rsidRPr="00854165">
        <w:t>Anti-Trafficking in Persons and Anti</w:t>
      </w:r>
      <w:r w:rsidR="00097221" w:rsidRPr="00854165">
        <w:t>-</w:t>
      </w:r>
      <w:r w:rsidR="00B751D5" w:rsidRPr="00854165">
        <w:t>Smuggling of Migrants Act (here</w:t>
      </w:r>
      <w:r w:rsidR="00097221" w:rsidRPr="00854165">
        <w:t>in</w:t>
      </w:r>
      <w:r w:rsidR="00B751D5" w:rsidRPr="00854165">
        <w:t>after</w:t>
      </w:r>
      <w:r w:rsidR="00097221" w:rsidRPr="00854165">
        <w:t>,</w:t>
      </w:r>
      <w:r w:rsidR="00B751D5" w:rsidRPr="00854165">
        <w:t xml:space="preserve"> Anti-</w:t>
      </w:r>
      <w:r w:rsidR="00097221" w:rsidRPr="00854165">
        <w:t>T</w:t>
      </w:r>
      <w:r w:rsidR="00B751D5" w:rsidRPr="00854165">
        <w:t>rafficking Act</w:t>
      </w:r>
      <w:r w:rsidR="00B751D5" w:rsidRPr="008D6EC0">
        <w:t xml:space="preserve">). In </w:t>
      </w:r>
      <w:r w:rsidR="00097221">
        <w:t>accordance</w:t>
      </w:r>
      <w:r w:rsidR="00097221" w:rsidRPr="008D6EC0">
        <w:t xml:space="preserve"> </w:t>
      </w:r>
      <w:r w:rsidR="00B751D5" w:rsidRPr="008D6EC0">
        <w:t xml:space="preserve">with the </w:t>
      </w:r>
      <w:r w:rsidR="00714EA7">
        <w:t>Trafficking in Persons</w:t>
      </w:r>
      <w:r w:rsidR="00097221" w:rsidRPr="009369BF">
        <w:t xml:space="preserve"> </w:t>
      </w:r>
      <w:r w:rsidR="00B751D5" w:rsidRPr="009369BF">
        <w:t>Protocol</w:t>
      </w:r>
      <w:r w:rsidR="00B751D5" w:rsidRPr="008D6EC0">
        <w:t>, the adopted definition of trafficking in persons is comprehensive and criminali</w:t>
      </w:r>
      <w:r w:rsidR="00097221">
        <w:t>z</w:t>
      </w:r>
      <w:r w:rsidR="00B751D5" w:rsidRPr="008D6EC0">
        <w:t>es all aspects of trafficking</w:t>
      </w:r>
      <w:r w:rsidR="00097221">
        <w:t>,</w:t>
      </w:r>
      <w:r w:rsidR="00B751D5" w:rsidRPr="008D6EC0">
        <w:t xml:space="preserve"> including labour trafficking (sect</w:t>
      </w:r>
      <w:r w:rsidR="00097221">
        <w:t>.</w:t>
      </w:r>
      <w:r w:rsidR="00B751D5" w:rsidRPr="008D6EC0">
        <w:t xml:space="preserve"> 2</w:t>
      </w:r>
      <w:r w:rsidR="00097221">
        <w:t xml:space="preserve"> </w:t>
      </w:r>
      <w:r w:rsidR="00B751D5" w:rsidRPr="008D6EC0">
        <w:t>(g))</w:t>
      </w:r>
      <w:r w:rsidR="00B751D5">
        <w:t xml:space="preserve">. </w:t>
      </w:r>
      <w:r w:rsidR="00B751D5" w:rsidRPr="008D6EC0">
        <w:t xml:space="preserve">Trafficking in persons for the purpose of exploitation carries </w:t>
      </w:r>
      <w:r w:rsidR="00097221">
        <w:t xml:space="preserve">a penalty of </w:t>
      </w:r>
      <w:r w:rsidR="00B751D5">
        <w:t>up to</w:t>
      </w:r>
      <w:r w:rsidR="00B751D5" w:rsidRPr="008D6EC0">
        <w:t xml:space="preserve"> </w:t>
      </w:r>
      <w:r w:rsidR="00097221">
        <w:t>15</w:t>
      </w:r>
      <w:r w:rsidR="00097221" w:rsidRPr="008D6EC0">
        <w:t xml:space="preserve"> </w:t>
      </w:r>
      <w:r w:rsidR="00B751D5" w:rsidRPr="008D6EC0">
        <w:t>years</w:t>
      </w:r>
      <w:r w:rsidR="00097221">
        <w:t>’</w:t>
      </w:r>
      <w:r w:rsidR="00B751D5">
        <w:t xml:space="preserve"> imprisonment</w:t>
      </w:r>
      <w:r w:rsidR="00B751D5" w:rsidRPr="008D6EC0">
        <w:t xml:space="preserve"> and a fine (sect</w:t>
      </w:r>
      <w:r w:rsidR="00097221">
        <w:t xml:space="preserve">. </w:t>
      </w:r>
      <w:r w:rsidR="00B751D5" w:rsidRPr="008D6EC0">
        <w:t xml:space="preserve">12). </w:t>
      </w:r>
      <w:r w:rsidR="00B751D5">
        <w:t xml:space="preserve">The </w:t>
      </w:r>
      <w:r w:rsidR="00097221">
        <w:t>o</w:t>
      </w:r>
      <w:r w:rsidR="00B751D5" w:rsidRPr="000B2F37">
        <w:t xml:space="preserve">ffence of trafficking in persons by means of </w:t>
      </w:r>
      <w:r w:rsidR="00B751D5">
        <w:t xml:space="preserve">threat; use of force or other forms of coercion; abduction; fraud; deception; abuse of power; abuse of the position of vulnerability; or payments/benefits to obtain the consent of a person having control over a trafficked person </w:t>
      </w:r>
      <w:r w:rsidR="00097221">
        <w:t>is punishable by</w:t>
      </w:r>
      <w:r w:rsidR="00097221" w:rsidRPr="008D6EC0">
        <w:t xml:space="preserve"> </w:t>
      </w:r>
      <w:r w:rsidR="00B751D5" w:rsidRPr="008D6EC0">
        <w:t xml:space="preserve">between 3 </w:t>
      </w:r>
      <w:r w:rsidR="00097221">
        <w:t>and</w:t>
      </w:r>
      <w:r w:rsidR="00097221" w:rsidRPr="008D6EC0">
        <w:t xml:space="preserve"> </w:t>
      </w:r>
      <w:r w:rsidR="00B751D5" w:rsidRPr="008D6EC0">
        <w:t>20 years</w:t>
      </w:r>
      <w:r w:rsidR="00097221">
        <w:t>’</w:t>
      </w:r>
      <w:r w:rsidR="00B751D5">
        <w:t xml:space="preserve"> </w:t>
      </w:r>
      <w:r w:rsidR="00B751D5" w:rsidRPr="008D6EC0">
        <w:t>imprisonment and a fine (sect</w:t>
      </w:r>
      <w:r w:rsidR="002C4A84">
        <w:t>.</w:t>
      </w:r>
      <w:r w:rsidR="00B751D5" w:rsidRPr="008D6EC0">
        <w:t xml:space="preserve"> 13). Profiting from</w:t>
      </w:r>
      <w:r w:rsidR="00097221">
        <w:t xml:space="preserve"> the</w:t>
      </w:r>
      <w:r w:rsidR="00B751D5" w:rsidRPr="008D6EC0">
        <w:t xml:space="preserve"> exploitation of a trafficked person </w:t>
      </w:r>
      <w:r w:rsidR="00097221">
        <w:t xml:space="preserve">can </w:t>
      </w:r>
      <w:r w:rsidR="00B751D5" w:rsidRPr="008D6EC0">
        <w:t>lead to up</w:t>
      </w:r>
      <w:r w:rsidR="00B751D5">
        <w:t xml:space="preserve"> to</w:t>
      </w:r>
      <w:r w:rsidR="00B751D5" w:rsidRPr="008D6EC0">
        <w:t xml:space="preserve"> 15 years</w:t>
      </w:r>
      <w:r w:rsidR="00097221">
        <w:t>’</w:t>
      </w:r>
      <w:r w:rsidR="00B751D5" w:rsidRPr="008D6EC0">
        <w:t xml:space="preserve"> imprisonment, payment of fines and forfeiture of the profits from the offence (sect</w:t>
      </w:r>
      <w:r w:rsidR="00097221">
        <w:t>.</w:t>
      </w:r>
      <w:r w:rsidR="00B751D5">
        <w:t xml:space="preserve"> </w:t>
      </w:r>
      <w:r w:rsidR="00B751D5" w:rsidRPr="008D6EC0">
        <w:t xml:space="preserve">15). </w:t>
      </w:r>
      <w:r w:rsidR="00097221">
        <w:t>T</w:t>
      </w:r>
      <w:r w:rsidR="00B751D5" w:rsidRPr="008D6EC0">
        <w:t>he offence of bringing in transit a trafficked person through Malaysia or facilitating such act</w:t>
      </w:r>
      <w:r w:rsidR="00097221">
        <w:t xml:space="preserve"> can</w:t>
      </w:r>
      <w:r w:rsidR="00B751D5" w:rsidRPr="008D6EC0">
        <w:t xml:space="preserve"> </w:t>
      </w:r>
      <w:r w:rsidR="00B751D5">
        <w:t>result in</w:t>
      </w:r>
      <w:r w:rsidR="00B751D5" w:rsidRPr="008D6EC0">
        <w:t xml:space="preserve"> imprisonment</w:t>
      </w:r>
      <w:r w:rsidR="00B751D5">
        <w:t xml:space="preserve"> of up to</w:t>
      </w:r>
      <w:r w:rsidR="00B751D5" w:rsidRPr="008D6EC0">
        <w:t xml:space="preserve"> </w:t>
      </w:r>
      <w:r w:rsidR="00B751D5">
        <w:t xml:space="preserve">7 years and </w:t>
      </w:r>
      <w:r w:rsidR="00B751D5" w:rsidRPr="008D6EC0">
        <w:t>a fine (</w:t>
      </w:r>
      <w:r w:rsidR="006D350A">
        <w:t>s</w:t>
      </w:r>
      <w:r w:rsidR="00B751D5" w:rsidRPr="008D6EC0">
        <w:t>ect</w:t>
      </w:r>
      <w:r w:rsidR="00097221">
        <w:t>.</w:t>
      </w:r>
      <w:r w:rsidR="00B751D5">
        <w:t xml:space="preserve"> </w:t>
      </w:r>
      <w:r w:rsidR="00B751D5" w:rsidRPr="008D6EC0">
        <w:t>15A).</w:t>
      </w:r>
    </w:p>
    <w:p w:rsidR="00B751D5" w:rsidRPr="008D6EC0" w:rsidRDefault="0023396D" w:rsidP="0023396D">
      <w:pPr>
        <w:pStyle w:val="SingleTxtG"/>
      </w:pPr>
      <w:r w:rsidRPr="008D6EC0">
        <w:rPr>
          <w:iCs/>
        </w:rPr>
        <w:lastRenderedPageBreak/>
        <w:t>33.</w:t>
      </w:r>
      <w:r w:rsidRPr="008D6EC0">
        <w:rPr>
          <w:iCs/>
        </w:rPr>
        <w:tab/>
      </w:r>
      <w:r w:rsidR="00B751D5" w:rsidRPr="008D6EC0">
        <w:t xml:space="preserve">Trafficking in children is punishable with imprisonment ranging from </w:t>
      </w:r>
      <w:r w:rsidR="00B751D5">
        <w:t>3</w:t>
      </w:r>
      <w:r w:rsidR="00B751D5" w:rsidRPr="008D6EC0">
        <w:t xml:space="preserve"> to </w:t>
      </w:r>
      <w:r w:rsidR="00B751D5">
        <w:t>20</w:t>
      </w:r>
      <w:r w:rsidR="00B751D5" w:rsidRPr="008D6EC0">
        <w:t xml:space="preserve"> years and a fine (sect</w:t>
      </w:r>
      <w:r w:rsidR="00097221">
        <w:t>.</w:t>
      </w:r>
      <w:r w:rsidR="00B751D5">
        <w:t xml:space="preserve"> </w:t>
      </w:r>
      <w:r w:rsidR="00B751D5" w:rsidRPr="008D6EC0">
        <w:t xml:space="preserve">14). In </w:t>
      </w:r>
      <w:r w:rsidR="00097221">
        <w:t>accordance</w:t>
      </w:r>
      <w:r w:rsidR="00097221" w:rsidRPr="008D6EC0">
        <w:t xml:space="preserve"> </w:t>
      </w:r>
      <w:r w:rsidR="00B751D5" w:rsidRPr="008D6EC0">
        <w:t xml:space="preserve">with the </w:t>
      </w:r>
      <w:r w:rsidR="00714EA7">
        <w:t>Trafficking in Persons</w:t>
      </w:r>
      <w:r w:rsidR="00097221" w:rsidRPr="008D6EC0">
        <w:t xml:space="preserve"> </w:t>
      </w:r>
      <w:r w:rsidR="00B751D5" w:rsidRPr="008D6EC0">
        <w:t xml:space="preserve">Protocol, </w:t>
      </w:r>
      <w:r w:rsidR="00156390">
        <w:t xml:space="preserve">when </w:t>
      </w:r>
      <w:r w:rsidR="00097221">
        <w:t xml:space="preserve">the </w:t>
      </w:r>
      <w:r w:rsidR="00B751D5" w:rsidRPr="008D6EC0">
        <w:t xml:space="preserve">trafficking offence </w:t>
      </w:r>
      <w:r w:rsidR="00156390" w:rsidRPr="008D6EC0">
        <w:t>involv</w:t>
      </w:r>
      <w:r w:rsidR="00156390">
        <w:t>es</w:t>
      </w:r>
      <w:r w:rsidR="00156390" w:rsidRPr="008D6EC0">
        <w:t xml:space="preserve"> </w:t>
      </w:r>
      <w:r w:rsidR="00B751D5" w:rsidRPr="008D6EC0">
        <w:t>children</w:t>
      </w:r>
      <w:r w:rsidR="00241219">
        <w:t xml:space="preserve">, it is irrelevant whether the consent of the trafficked child was obtained </w:t>
      </w:r>
      <w:r w:rsidR="00B751D5" w:rsidRPr="008D6EC0">
        <w:t>(sect</w:t>
      </w:r>
      <w:r w:rsidR="00097221">
        <w:t xml:space="preserve">. </w:t>
      </w:r>
      <w:r w:rsidR="00B751D5" w:rsidRPr="008D6EC0">
        <w:t>1</w:t>
      </w:r>
      <w:r w:rsidR="00241219">
        <w:t>6</w:t>
      </w:r>
      <w:r w:rsidR="00B751D5" w:rsidRPr="008D6EC0">
        <w:t>).</w:t>
      </w:r>
    </w:p>
    <w:p w:rsidR="00B751D5" w:rsidRPr="008D6EC0" w:rsidRDefault="0023396D" w:rsidP="0023396D">
      <w:pPr>
        <w:pStyle w:val="SingleTxtG"/>
      </w:pPr>
      <w:r w:rsidRPr="008D6EC0">
        <w:rPr>
          <w:iCs/>
        </w:rPr>
        <w:t>34.</w:t>
      </w:r>
      <w:r w:rsidRPr="008D6EC0">
        <w:rPr>
          <w:iCs/>
        </w:rPr>
        <w:tab/>
      </w:r>
      <w:r w:rsidR="00B751D5" w:rsidRPr="008D6EC0">
        <w:t xml:space="preserve">The law envisages </w:t>
      </w:r>
      <w:r w:rsidR="00B751D5">
        <w:t xml:space="preserve">punishment for </w:t>
      </w:r>
      <w:r w:rsidR="00B751D5" w:rsidRPr="008D6EC0">
        <w:t xml:space="preserve">trafficking </w:t>
      </w:r>
      <w:r w:rsidR="00B751D5">
        <w:t>offen</w:t>
      </w:r>
      <w:r w:rsidR="00241219">
        <w:t>c</w:t>
      </w:r>
      <w:r w:rsidR="00B751D5">
        <w:t>es committed by corporate bodies, employees or their agents (sect</w:t>
      </w:r>
      <w:r w:rsidR="00241219">
        <w:t>.</w:t>
      </w:r>
      <w:r w:rsidR="00B751D5">
        <w:t xml:space="preserve"> 64)</w:t>
      </w:r>
      <w:r w:rsidR="00241219">
        <w:t>.</w:t>
      </w:r>
      <w:r w:rsidR="00B751D5">
        <w:t xml:space="preserve"> </w:t>
      </w:r>
      <w:r w:rsidR="00241219">
        <w:t>C</w:t>
      </w:r>
      <w:r w:rsidR="00B751D5" w:rsidRPr="009369BF">
        <w:t>ases of trafficking that occur in Malaysia as a source, transit or destination country</w:t>
      </w:r>
      <w:r w:rsidR="00241219">
        <w:t xml:space="preserve"> are offences under the Act</w:t>
      </w:r>
      <w:r w:rsidR="00B751D5" w:rsidRPr="009369BF">
        <w:t>.</w:t>
      </w:r>
      <w:r w:rsidR="00B751D5" w:rsidRPr="00B935AC">
        <w:t xml:space="preserve"> </w:t>
      </w:r>
      <w:r w:rsidR="00B751D5">
        <w:t>It is also applicable to offen</w:t>
      </w:r>
      <w:r w:rsidR="00241219">
        <w:t>c</w:t>
      </w:r>
      <w:r w:rsidR="00B751D5">
        <w:t>es committed by Malaysian citizen</w:t>
      </w:r>
      <w:r w:rsidR="00241219">
        <w:t>s</w:t>
      </w:r>
      <w:r w:rsidR="00B751D5">
        <w:t xml:space="preserve"> and permanent residents outside Malaysia. (sect</w:t>
      </w:r>
      <w:r w:rsidR="00241219">
        <w:t>s.</w:t>
      </w:r>
      <w:r w:rsidR="00B751D5">
        <w:t xml:space="preserve"> 3 and 4)</w:t>
      </w:r>
      <w:r w:rsidR="006D350A">
        <w:t>.</w:t>
      </w:r>
    </w:p>
    <w:p w:rsidR="00B751D5" w:rsidRDefault="0023396D" w:rsidP="0023396D">
      <w:pPr>
        <w:pStyle w:val="SingleTxtG"/>
      </w:pPr>
      <w:r>
        <w:rPr>
          <w:iCs/>
        </w:rPr>
        <w:t>35.</w:t>
      </w:r>
      <w:r>
        <w:rPr>
          <w:iCs/>
        </w:rPr>
        <w:tab/>
      </w:r>
      <w:r w:rsidR="00B751D5" w:rsidRPr="009369BF">
        <w:t xml:space="preserve">In addition to the </w:t>
      </w:r>
      <w:r w:rsidR="00B751D5">
        <w:t>Anti-</w:t>
      </w:r>
      <w:r w:rsidR="00FF7BE4">
        <w:t>T</w:t>
      </w:r>
      <w:r w:rsidR="00B751D5">
        <w:t>rafficking Act</w:t>
      </w:r>
      <w:r w:rsidR="00B751D5" w:rsidRPr="009369BF">
        <w:t xml:space="preserve">, </w:t>
      </w:r>
      <w:r w:rsidR="00B751D5" w:rsidRPr="008D6EC0">
        <w:t>other legislation may be invoked to prosecute trafficking or trafficking-related offences. The</w:t>
      </w:r>
      <w:r w:rsidR="00B751D5" w:rsidRPr="009369BF">
        <w:t xml:space="preserve"> Penal Code </w:t>
      </w:r>
      <w:r w:rsidR="00B751D5" w:rsidRPr="008D6EC0">
        <w:t>punishes offences that may amount to trafficking and other forms of exploitation, such as trafficking for purposes of prostitution</w:t>
      </w:r>
      <w:r w:rsidR="00241219">
        <w:t xml:space="preserve"> (s</w:t>
      </w:r>
      <w:r w:rsidR="00241219" w:rsidRPr="00C32EEE">
        <w:t>ect</w:t>
      </w:r>
      <w:r w:rsidR="00241219">
        <w:t>s.</w:t>
      </w:r>
      <w:r w:rsidR="00241219" w:rsidRPr="00C32EEE">
        <w:t xml:space="preserve"> 372 and 373</w:t>
      </w:r>
      <w:r w:rsidR="00241219">
        <w:t>)</w:t>
      </w:r>
      <w:r w:rsidR="00B751D5" w:rsidRPr="008D6EC0">
        <w:t xml:space="preserve"> and forced labour</w:t>
      </w:r>
      <w:r w:rsidR="00241219">
        <w:t xml:space="preserve"> (sect. 74)</w:t>
      </w:r>
      <w:r w:rsidR="00B751D5">
        <w:t>.</w:t>
      </w:r>
      <w:r w:rsidR="00B751D5" w:rsidRPr="008D6EC0">
        <w:t xml:space="preserve"> </w:t>
      </w:r>
      <w:r w:rsidR="00B751D5">
        <w:t>It</w:t>
      </w:r>
      <w:r w:rsidR="00B751D5" w:rsidRPr="008D6EC0">
        <w:t xml:space="preserve"> </w:t>
      </w:r>
      <w:r w:rsidR="00B751D5">
        <w:t>criminalizes h</w:t>
      </w:r>
      <w:r w:rsidR="00B751D5" w:rsidRPr="00B6456C">
        <w:t>abitual dealing in slaves</w:t>
      </w:r>
      <w:r w:rsidR="00B751D5">
        <w:t xml:space="preserve"> (</w:t>
      </w:r>
      <w:r w:rsidR="00B751D5" w:rsidRPr="008D6EC0">
        <w:t>sect</w:t>
      </w:r>
      <w:r w:rsidR="00241219">
        <w:t>.</w:t>
      </w:r>
      <w:r w:rsidR="00B751D5">
        <w:t xml:space="preserve"> 371). </w:t>
      </w:r>
      <w:r w:rsidR="00B751D5" w:rsidRPr="00E00F6F">
        <w:t>Prostitution is not a criminal offen</w:t>
      </w:r>
      <w:r w:rsidR="00241219">
        <w:t>c</w:t>
      </w:r>
      <w:r w:rsidR="00B751D5" w:rsidRPr="00E00F6F">
        <w:t>e</w:t>
      </w:r>
      <w:r w:rsidR="00B751D5">
        <w:t xml:space="preserve"> per se </w:t>
      </w:r>
      <w:r w:rsidR="00241219">
        <w:t xml:space="preserve">under </w:t>
      </w:r>
      <w:r w:rsidR="00B751D5">
        <w:t>the Penal Code</w:t>
      </w:r>
      <w:r w:rsidR="00B751D5" w:rsidRPr="00E00F6F">
        <w:t>, but sol</w:t>
      </w:r>
      <w:r w:rsidR="00B751D5">
        <w:t xml:space="preserve">iciting prostitution leads to up to </w:t>
      </w:r>
      <w:r w:rsidR="00241219">
        <w:t>one</w:t>
      </w:r>
      <w:r w:rsidR="00B751D5">
        <w:t xml:space="preserve"> year</w:t>
      </w:r>
      <w:r w:rsidR="00241219">
        <w:t>’s</w:t>
      </w:r>
      <w:r w:rsidR="00B751D5">
        <w:t xml:space="preserve"> imprisonment and/</w:t>
      </w:r>
      <w:r w:rsidR="00241219">
        <w:t>or a</w:t>
      </w:r>
      <w:r w:rsidR="00B751D5">
        <w:t xml:space="preserve"> fine (sect</w:t>
      </w:r>
      <w:r w:rsidR="00D37DC2">
        <w:t>.</w:t>
      </w:r>
      <w:r w:rsidR="00B751D5">
        <w:t xml:space="preserve"> 372 B). Exploitation of a person for </w:t>
      </w:r>
      <w:r w:rsidR="00241219">
        <w:t xml:space="preserve">the </w:t>
      </w:r>
      <w:r w:rsidR="00B751D5">
        <w:t>purposes of prostitution; living on or trading in prostitution of another person; and owning and managing brothels lead to up to 15 years</w:t>
      </w:r>
      <w:r w:rsidR="00241219">
        <w:t>’</w:t>
      </w:r>
      <w:r w:rsidR="00B751D5">
        <w:t xml:space="preserve"> imprisonment, whipping and payment of fines (</w:t>
      </w:r>
      <w:r w:rsidR="00AD6A2A">
        <w:t>s</w:t>
      </w:r>
      <w:r w:rsidR="00B751D5">
        <w:t>ect</w:t>
      </w:r>
      <w:r w:rsidR="00AD6A2A">
        <w:t>s</w:t>
      </w:r>
      <w:r w:rsidR="00241219">
        <w:t>.</w:t>
      </w:r>
      <w:r w:rsidR="00B751D5">
        <w:t xml:space="preserve"> 372 and 372</w:t>
      </w:r>
      <w:r w:rsidR="00241219">
        <w:t>A</w:t>
      </w:r>
      <w:r w:rsidR="00B751D5">
        <w:t>). Moreover, foreign prostitutes or persons living on or receiving the proceeds of prostitution are considered as prohibited migrants and subject to expulsion from the country under section 3e of the Immigration Act (1955).</w:t>
      </w:r>
    </w:p>
    <w:p w:rsidR="00B751D5" w:rsidRPr="008D6EC0" w:rsidRDefault="0023396D" w:rsidP="0023396D">
      <w:pPr>
        <w:pStyle w:val="SingleTxtG"/>
      </w:pPr>
      <w:r w:rsidRPr="008D6EC0">
        <w:rPr>
          <w:iCs/>
        </w:rPr>
        <w:t>36.</w:t>
      </w:r>
      <w:r w:rsidRPr="008D6EC0">
        <w:rPr>
          <w:iCs/>
        </w:rPr>
        <w:tab/>
      </w:r>
      <w:r w:rsidR="00B751D5" w:rsidRPr="008D6EC0">
        <w:t xml:space="preserve">The </w:t>
      </w:r>
      <w:r w:rsidR="00B751D5" w:rsidRPr="009369BF">
        <w:t>Employment Act</w:t>
      </w:r>
      <w:r w:rsidR="00B751D5" w:rsidRPr="008D6EC0">
        <w:t xml:space="preserve"> (1955) sets out minimum labour protection standards</w:t>
      </w:r>
      <w:r w:rsidR="00531B38">
        <w:t xml:space="preserve"> and is applicable to employees whose wages are RM</w:t>
      </w:r>
      <w:r w:rsidR="00241219">
        <w:t xml:space="preserve"> </w:t>
      </w:r>
      <w:r w:rsidR="00531B38">
        <w:t xml:space="preserve">2,000 and below, and all manual labourers irrespective of </w:t>
      </w:r>
      <w:r w:rsidR="00241219">
        <w:t xml:space="preserve">their </w:t>
      </w:r>
      <w:r w:rsidR="00531B38">
        <w:t>wages</w:t>
      </w:r>
      <w:r w:rsidR="00241219">
        <w:t>.</w:t>
      </w:r>
      <w:r w:rsidR="00B751D5" w:rsidRPr="008D6EC0">
        <w:t xml:space="preserve"> </w:t>
      </w:r>
      <w:r w:rsidR="00531B38">
        <w:t>Among other</w:t>
      </w:r>
      <w:r w:rsidR="00241219">
        <w:t xml:space="preserve"> provision</w:t>
      </w:r>
      <w:r w:rsidR="00531B38">
        <w:t>s, the Act provides for</w:t>
      </w:r>
      <w:r w:rsidR="00B751D5" w:rsidRPr="008D6EC0">
        <w:t xml:space="preserve"> the limitation of working hours, the provision of paid leave and overtime pay. Its scope extends to foreign employees together with</w:t>
      </w:r>
      <w:r w:rsidR="00B751D5">
        <w:t>,</w:t>
      </w:r>
      <w:r w:rsidR="00B751D5" w:rsidRPr="008D6EC0">
        <w:t xml:space="preserve"> inter alia, the Employment (Restriction) Act 1968 (Revised 1988)</w:t>
      </w:r>
      <w:r w:rsidR="00241219">
        <w:t>,</w:t>
      </w:r>
      <w:r w:rsidR="00B751D5" w:rsidRPr="008D6EC0">
        <w:t xml:space="preserve"> which governs </w:t>
      </w:r>
      <w:r w:rsidR="00B751D5">
        <w:t>e</w:t>
      </w:r>
      <w:r w:rsidR="00B751D5" w:rsidRPr="008D6EC0">
        <w:t>mployment permits, registration and restrictions for non-Malaysian citizens</w:t>
      </w:r>
      <w:r w:rsidR="00241219">
        <w:t>,</w:t>
      </w:r>
      <w:r w:rsidR="00B751D5" w:rsidRPr="008D6EC0">
        <w:t xml:space="preserve"> and the Immigration Act (1957). </w:t>
      </w:r>
      <w:r w:rsidR="00B751D5" w:rsidRPr="009A58B7">
        <w:t>Domestic workers</w:t>
      </w:r>
      <w:r w:rsidR="00B751D5">
        <w:t xml:space="preserve">, labelled as </w:t>
      </w:r>
      <w:r w:rsidR="00F3058D">
        <w:t>“</w:t>
      </w:r>
      <w:r w:rsidR="00B751D5">
        <w:t>domestic servants</w:t>
      </w:r>
      <w:r w:rsidR="00F3058D">
        <w:t>”</w:t>
      </w:r>
      <w:r w:rsidR="00B751D5">
        <w:t>,</w:t>
      </w:r>
      <w:r w:rsidR="00B751D5" w:rsidRPr="008D6EC0">
        <w:t xml:space="preserve"> are </w:t>
      </w:r>
      <w:r w:rsidR="00B751D5">
        <w:t>covered by</w:t>
      </w:r>
      <w:r w:rsidR="00B751D5" w:rsidRPr="008D6EC0">
        <w:t xml:space="preserve"> the Employment Act. However, they are excluded from protection under key articles of the law, including </w:t>
      </w:r>
      <w:r w:rsidR="00B751D5">
        <w:t xml:space="preserve">those on </w:t>
      </w:r>
      <w:r w:rsidR="00B751D5" w:rsidRPr="008D6EC0">
        <w:t>fair termination of contract</w:t>
      </w:r>
      <w:r w:rsidR="00B751D5">
        <w:t xml:space="preserve"> (</w:t>
      </w:r>
      <w:r w:rsidR="00BA2E0E">
        <w:t>a</w:t>
      </w:r>
      <w:r w:rsidR="00B751D5">
        <w:t>rts</w:t>
      </w:r>
      <w:r w:rsidR="00BA2E0E">
        <w:t>.</w:t>
      </w:r>
      <w:r w:rsidR="00F3058D">
        <w:t> </w:t>
      </w:r>
      <w:r w:rsidR="00B751D5">
        <w:t>12 and 14)</w:t>
      </w:r>
      <w:r w:rsidR="00B751D5" w:rsidRPr="008D6EC0">
        <w:t xml:space="preserve">, </w:t>
      </w:r>
      <w:r w:rsidR="00BA2E0E">
        <w:t xml:space="preserve">the </w:t>
      </w:r>
      <w:r w:rsidR="00B751D5" w:rsidRPr="008D6EC0">
        <w:t>minimum number of working days per month</w:t>
      </w:r>
      <w:r w:rsidR="00B751D5" w:rsidRPr="00600BF9">
        <w:t xml:space="preserve"> </w:t>
      </w:r>
      <w:r w:rsidR="00B751D5">
        <w:t>(</w:t>
      </w:r>
      <w:r w:rsidR="00BA2E0E">
        <w:t>a</w:t>
      </w:r>
      <w:r w:rsidR="00F3058D">
        <w:t>rt</w:t>
      </w:r>
      <w:r w:rsidR="00BA2E0E">
        <w:t>.</w:t>
      </w:r>
      <w:r w:rsidR="00F3058D">
        <w:t> </w:t>
      </w:r>
      <w:r w:rsidR="00B751D5" w:rsidRPr="008D6EC0">
        <w:t>16</w:t>
      </w:r>
      <w:r w:rsidR="00B751D5">
        <w:t>),</w:t>
      </w:r>
      <w:r w:rsidR="00B751D5" w:rsidRPr="008D6EC0">
        <w:t xml:space="preserve"> maternity provisions</w:t>
      </w:r>
      <w:r w:rsidR="00B751D5" w:rsidRPr="00600BF9">
        <w:t xml:space="preserve"> </w:t>
      </w:r>
      <w:r w:rsidR="00B751D5">
        <w:t>(</w:t>
      </w:r>
      <w:r w:rsidR="00BA2E0E">
        <w:t>p</w:t>
      </w:r>
      <w:r w:rsidR="00B751D5" w:rsidRPr="008D6EC0">
        <w:t>art IX</w:t>
      </w:r>
      <w:r w:rsidR="00B751D5">
        <w:t>)</w:t>
      </w:r>
      <w:r w:rsidR="00B751D5" w:rsidRPr="008D6EC0">
        <w:t>, rest days</w:t>
      </w:r>
      <w:r w:rsidR="00B751D5" w:rsidRPr="00600BF9">
        <w:t xml:space="preserve"> </w:t>
      </w:r>
      <w:r w:rsidR="00B751D5">
        <w:t>(</w:t>
      </w:r>
      <w:r w:rsidR="00BA2E0E">
        <w:t>p</w:t>
      </w:r>
      <w:r w:rsidR="00B751D5">
        <w:t xml:space="preserve">art </w:t>
      </w:r>
      <w:r w:rsidR="00B751D5" w:rsidRPr="008D6EC0">
        <w:t>XII</w:t>
      </w:r>
      <w:r w:rsidR="00B751D5">
        <w:t>)</w:t>
      </w:r>
      <w:r w:rsidR="00B751D5" w:rsidRPr="008D6EC0">
        <w:t>, hours of work, holidays and other conditions of service (including annual and sick leave) and termination, lay off and retirement</w:t>
      </w:r>
      <w:r w:rsidR="00B751D5" w:rsidRPr="00600BF9">
        <w:t xml:space="preserve"> </w:t>
      </w:r>
      <w:r w:rsidR="00B751D5">
        <w:t>(</w:t>
      </w:r>
      <w:r w:rsidR="00BA2E0E">
        <w:t>p</w:t>
      </w:r>
      <w:r w:rsidR="00B751D5">
        <w:t>art X</w:t>
      </w:r>
      <w:r w:rsidR="00B751D5" w:rsidRPr="008D6EC0">
        <w:t>IIA</w:t>
      </w:r>
      <w:r w:rsidR="00B751D5">
        <w:t>)</w:t>
      </w:r>
      <w:r w:rsidR="00B751D5" w:rsidRPr="008D6EC0">
        <w:t xml:space="preserve">. </w:t>
      </w:r>
      <w:r w:rsidR="00B751D5" w:rsidRPr="00405875">
        <w:t xml:space="preserve">They are also </w:t>
      </w:r>
      <w:r w:rsidR="007E0AEE">
        <w:t>not within</w:t>
      </w:r>
      <w:r w:rsidR="00B751D5" w:rsidRPr="00405875">
        <w:t xml:space="preserve"> the purview of the Domestic Violence Act </w:t>
      </w:r>
      <w:r w:rsidR="00BA2E0E">
        <w:t>(</w:t>
      </w:r>
      <w:r w:rsidR="00B751D5" w:rsidRPr="00405875">
        <w:t>1994)</w:t>
      </w:r>
      <w:r w:rsidR="00BA2E0E">
        <w:t>,</w:t>
      </w:r>
      <w:r w:rsidR="00B751D5" w:rsidRPr="00405875">
        <w:t xml:space="preserve"> which provides legal protection for victims of violence in the home and supplements the Penal Code.</w:t>
      </w:r>
    </w:p>
    <w:p w:rsidR="00B751D5" w:rsidRPr="008D6EC0" w:rsidRDefault="0023396D" w:rsidP="0023396D">
      <w:pPr>
        <w:pStyle w:val="SingleTxtG"/>
      </w:pPr>
      <w:r w:rsidRPr="008D6EC0">
        <w:rPr>
          <w:iCs/>
        </w:rPr>
        <w:t>37.</w:t>
      </w:r>
      <w:r w:rsidRPr="008D6EC0">
        <w:rPr>
          <w:iCs/>
        </w:rPr>
        <w:tab/>
      </w:r>
      <w:r w:rsidR="00B751D5" w:rsidRPr="008D6EC0">
        <w:t xml:space="preserve">The </w:t>
      </w:r>
      <w:r w:rsidR="00B751D5" w:rsidRPr="009369BF">
        <w:t>Children and Young Persons (Employment)</w:t>
      </w:r>
      <w:r w:rsidR="00B751D5" w:rsidRPr="008D6EC0">
        <w:t xml:space="preserve"> (Amendment) Act 2010 provides for the conditions of their employment in light work within the family, specific public entertainment, apprenticeships and work sponsored by the </w:t>
      </w:r>
      <w:r w:rsidR="00BA2E0E">
        <w:t>G</w:t>
      </w:r>
      <w:r w:rsidR="00B751D5" w:rsidRPr="008D6EC0">
        <w:t>overnment. It forbids night work and underground work for children and young persons and sets forth hours of work.</w:t>
      </w:r>
    </w:p>
    <w:p w:rsidR="00B751D5" w:rsidRPr="008D6EC0" w:rsidRDefault="0023396D" w:rsidP="0023396D">
      <w:pPr>
        <w:pStyle w:val="SingleTxtG"/>
      </w:pPr>
      <w:r w:rsidRPr="008D6EC0">
        <w:rPr>
          <w:iCs/>
        </w:rPr>
        <w:t>38.</w:t>
      </w:r>
      <w:r w:rsidRPr="008D6EC0">
        <w:rPr>
          <w:iCs/>
        </w:rPr>
        <w:tab/>
      </w:r>
      <w:r w:rsidR="00B751D5" w:rsidRPr="009369BF">
        <w:t xml:space="preserve">The Private Employment </w:t>
      </w:r>
      <w:r w:rsidR="00BA2E0E">
        <w:t>A</w:t>
      </w:r>
      <w:r w:rsidR="00B751D5" w:rsidRPr="009369BF">
        <w:t>gencies Act</w:t>
      </w:r>
      <w:r w:rsidR="00B751D5" w:rsidRPr="008D6EC0">
        <w:t xml:space="preserve"> (1981) regulates the recruitment agencies. It requires all recruitment agencies to be licensed and to deposit a security bond, and limits the amount of fees </w:t>
      </w:r>
      <w:r w:rsidR="007E0AEE">
        <w:t xml:space="preserve">that can be charged </w:t>
      </w:r>
      <w:r w:rsidR="00B751D5">
        <w:t xml:space="preserve">for recruitment services. </w:t>
      </w:r>
      <w:r w:rsidR="00B751D5" w:rsidRPr="008D6EC0">
        <w:t xml:space="preserve">It also provides the Director </w:t>
      </w:r>
      <w:r w:rsidR="00B751D5" w:rsidRPr="0042721A">
        <w:t>General</w:t>
      </w:r>
      <w:r w:rsidR="00B751D5">
        <w:t xml:space="preserve"> of </w:t>
      </w:r>
      <w:r w:rsidR="00A21BE6">
        <w:t>L</w:t>
      </w:r>
      <w:r w:rsidR="00B751D5">
        <w:t>abour</w:t>
      </w:r>
      <w:r w:rsidR="00B751D5" w:rsidRPr="0042721A">
        <w:t xml:space="preserve"> </w:t>
      </w:r>
      <w:r w:rsidR="007E0AEE">
        <w:t xml:space="preserve">with </w:t>
      </w:r>
      <w:r w:rsidR="00B751D5" w:rsidRPr="0042721A">
        <w:t>broad inspection and</w:t>
      </w:r>
      <w:r w:rsidR="00B751D5" w:rsidRPr="008D6EC0">
        <w:t xml:space="preserve"> investigatory powers, including the ability to cancel licen</w:t>
      </w:r>
      <w:r w:rsidR="00A21BE6">
        <w:t>c</w:t>
      </w:r>
      <w:r w:rsidR="00B751D5" w:rsidRPr="008D6EC0">
        <w:t xml:space="preserve">es and to dispose of the recruitment bond for </w:t>
      </w:r>
      <w:r w:rsidR="00B751D5">
        <w:t>breaches</w:t>
      </w:r>
      <w:r w:rsidR="00B751D5" w:rsidRPr="008D6EC0">
        <w:t xml:space="preserve">. </w:t>
      </w:r>
      <w:r w:rsidR="00A21BE6">
        <w:t>O</w:t>
      </w:r>
      <w:r w:rsidR="00B751D5" w:rsidRPr="008D6EC0">
        <w:t>ffences</w:t>
      </w:r>
      <w:r w:rsidR="00A21BE6">
        <w:t xml:space="preserve"> listed in the Act</w:t>
      </w:r>
      <w:r w:rsidR="00B751D5" w:rsidRPr="008D6EC0">
        <w:t xml:space="preserve"> include overcharging for recruitment agency services and providing false </w:t>
      </w:r>
      <w:r w:rsidR="00B751D5" w:rsidRPr="008D6EC0">
        <w:lastRenderedPageBreak/>
        <w:t>or incorrect information. However, complaint mechanisms are unspecifi</w:t>
      </w:r>
      <w:r w:rsidR="00B751D5">
        <w:t xml:space="preserve">ed </w:t>
      </w:r>
      <w:r w:rsidR="00B751D5" w:rsidRPr="008D6EC0">
        <w:t>and worker rights and obligations are not defined.</w:t>
      </w:r>
      <w:r w:rsidR="00B751D5" w:rsidRPr="00CF713B">
        <w:rPr>
          <w:rStyle w:val="FootnoteReference"/>
        </w:rPr>
        <w:footnoteReference w:id="9"/>
      </w:r>
    </w:p>
    <w:p w:rsidR="00B751D5" w:rsidRPr="008D6EC0" w:rsidRDefault="0023396D" w:rsidP="0023396D">
      <w:pPr>
        <w:pStyle w:val="SingleTxtG"/>
      </w:pPr>
      <w:r w:rsidRPr="008D6EC0">
        <w:rPr>
          <w:iCs/>
        </w:rPr>
        <w:t>39.</w:t>
      </w:r>
      <w:r w:rsidRPr="008D6EC0">
        <w:rPr>
          <w:iCs/>
        </w:rPr>
        <w:tab/>
      </w:r>
      <w:r w:rsidR="00B751D5" w:rsidRPr="008D6EC0">
        <w:t xml:space="preserve">The </w:t>
      </w:r>
      <w:r w:rsidR="00B751D5" w:rsidRPr="009369BF">
        <w:t xml:space="preserve">Child Act </w:t>
      </w:r>
      <w:r w:rsidR="00A21BE6">
        <w:t>(</w:t>
      </w:r>
      <w:r w:rsidR="00B751D5" w:rsidRPr="009369BF">
        <w:t>2001</w:t>
      </w:r>
      <w:r w:rsidR="00B751D5">
        <w:t>)</w:t>
      </w:r>
      <w:r w:rsidR="00B751D5" w:rsidRPr="008D6EC0">
        <w:t xml:space="preserve"> establishes standards for</w:t>
      </w:r>
      <w:r w:rsidR="007E0AEE">
        <w:t xml:space="preserve"> the</w:t>
      </w:r>
      <w:r w:rsidR="00B751D5" w:rsidRPr="008D6EC0">
        <w:t xml:space="preserve"> treatment of children and provides for the care, protection and rehabilitation </w:t>
      </w:r>
      <w:r w:rsidR="00B751D5">
        <w:t>of</w:t>
      </w:r>
      <w:r w:rsidR="00B751D5" w:rsidRPr="008D6EC0">
        <w:t xml:space="preserve"> children in need. The </w:t>
      </w:r>
      <w:r w:rsidR="00A21BE6">
        <w:t>A</w:t>
      </w:r>
      <w:r w:rsidR="00B751D5" w:rsidRPr="008D6EC0">
        <w:t>ct prohibits exploitative acts often committed in the process of trafficking, such as the procurement of a child for purposes of prostitution/the purposes of sexual intercourse either within/outside Malaysia</w:t>
      </w:r>
      <w:r w:rsidR="00A21BE6">
        <w:t xml:space="preserve"> (sects. 43 and 44)</w:t>
      </w:r>
      <w:r w:rsidR="00B751D5" w:rsidRPr="008D6EC0">
        <w:t>.</w:t>
      </w:r>
      <w:r w:rsidR="00A21BE6">
        <w:t xml:space="preserve"> </w:t>
      </w:r>
      <w:r w:rsidR="00B751D5" w:rsidRPr="008D6EC0">
        <w:t>Moreover, the transfer of custody or control of a child for any valuable consideration is considered an offen</w:t>
      </w:r>
      <w:r w:rsidR="00A21BE6">
        <w:t>c</w:t>
      </w:r>
      <w:r w:rsidR="00B751D5" w:rsidRPr="008D6EC0">
        <w:t xml:space="preserve">e under </w:t>
      </w:r>
      <w:r w:rsidR="00A21BE6">
        <w:t>s</w:t>
      </w:r>
      <w:r w:rsidR="00B751D5" w:rsidRPr="008D6EC0">
        <w:t xml:space="preserve">ection 48. It also condemns the bringing </w:t>
      </w:r>
      <w:r w:rsidR="00B751D5">
        <w:t>in</w:t>
      </w:r>
      <w:r w:rsidR="00A21BE6">
        <w:t>to</w:t>
      </w:r>
      <w:r w:rsidR="00B751D5">
        <w:t xml:space="preserve"> Malaysia </w:t>
      </w:r>
      <w:r w:rsidR="00B751D5" w:rsidRPr="008D6EC0">
        <w:t xml:space="preserve">of a child by false pretences and the taking out of </w:t>
      </w:r>
      <w:r w:rsidR="00B751D5">
        <w:t xml:space="preserve">Malaysia </w:t>
      </w:r>
      <w:r w:rsidR="00B751D5" w:rsidRPr="008D6EC0">
        <w:t>a child without appropriate consent of his/her legal custodian</w:t>
      </w:r>
      <w:r w:rsidR="00A21BE6">
        <w:t xml:space="preserve"> (sects. 49 and 52)</w:t>
      </w:r>
      <w:r w:rsidR="00B751D5" w:rsidRPr="008D6EC0">
        <w:t xml:space="preserve">. </w:t>
      </w:r>
    </w:p>
    <w:p w:rsidR="00B751D5" w:rsidRDefault="0023396D" w:rsidP="0023396D">
      <w:pPr>
        <w:pStyle w:val="SingleTxtG"/>
      </w:pPr>
      <w:r>
        <w:rPr>
          <w:iCs/>
        </w:rPr>
        <w:t>40.</w:t>
      </w:r>
      <w:r>
        <w:rPr>
          <w:iCs/>
        </w:rPr>
        <w:tab/>
      </w:r>
      <w:r w:rsidR="00B751D5">
        <w:t>The</w:t>
      </w:r>
      <w:r w:rsidR="00B751D5" w:rsidRPr="00403F4F">
        <w:t xml:space="preserve"> </w:t>
      </w:r>
      <w:r w:rsidR="00B751D5" w:rsidRPr="009369BF">
        <w:t xml:space="preserve">Passports Act </w:t>
      </w:r>
      <w:r w:rsidR="00A21BE6">
        <w:t>(</w:t>
      </w:r>
      <w:r w:rsidR="00B751D5" w:rsidRPr="009369BF">
        <w:t>1966)</w:t>
      </w:r>
      <w:r w:rsidR="00A21BE6">
        <w:t>,</w:t>
      </w:r>
      <w:r w:rsidR="00B751D5" w:rsidRPr="00403F4F">
        <w:t xml:space="preserve"> </w:t>
      </w:r>
      <w:r w:rsidR="00B751D5">
        <w:t xml:space="preserve">which also </w:t>
      </w:r>
      <w:r w:rsidR="00B751D5" w:rsidRPr="00403F4F">
        <w:t>aims at preventing the abducti</w:t>
      </w:r>
      <w:r w:rsidR="00B751D5">
        <w:t>on and trafficking of children, criminali</w:t>
      </w:r>
      <w:r w:rsidR="00A21BE6">
        <w:t>z</w:t>
      </w:r>
      <w:r w:rsidR="00B751D5">
        <w:t>es the withholding of passports and documents with payment of fine or up to 5 years</w:t>
      </w:r>
      <w:r w:rsidR="007E0AEE">
        <w:t>’</w:t>
      </w:r>
      <w:r w:rsidR="00B751D5">
        <w:t xml:space="preserve"> imprisonment or both (sect</w:t>
      </w:r>
      <w:r w:rsidR="00A21BE6">
        <w:t>.</w:t>
      </w:r>
      <w:r w:rsidR="00B751D5">
        <w:t xml:space="preserve"> </w:t>
      </w:r>
      <w:r w:rsidR="00B751D5" w:rsidRPr="00403F4F">
        <w:t>12 (d)</w:t>
      </w:r>
      <w:r w:rsidR="00B751D5">
        <w:t>).</w:t>
      </w:r>
    </w:p>
    <w:p w:rsidR="00B751D5" w:rsidRPr="008D6EC0" w:rsidRDefault="0023396D" w:rsidP="0023396D">
      <w:pPr>
        <w:pStyle w:val="SingleTxtG"/>
      </w:pPr>
      <w:r w:rsidRPr="008D6EC0">
        <w:rPr>
          <w:iCs/>
        </w:rPr>
        <w:t>41.</w:t>
      </w:r>
      <w:r w:rsidRPr="008D6EC0">
        <w:rPr>
          <w:iCs/>
        </w:rPr>
        <w:tab/>
      </w:r>
      <w:r w:rsidR="00B751D5" w:rsidRPr="008D6EC0">
        <w:t xml:space="preserve">Other legislation </w:t>
      </w:r>
      <w:r w:rsidR="00B751D5">
        <w:t>relevant to cases of trafficking in persons include</w:t>
      </w:r>
      <w:r w:rsidR="00B751D5" w:rsidRPr="008D6EC0">
        <w:t xml:space="preserve"> the </w:t>
      </w:r>
      <w:r w:rsidR="00A21BE6">
        <w:t>M</w:t>
      </w:r>
      <w:r w:rsidR="00B751D5" w:rsidRPr="008D6EC0">
        <w:t xml:space="preserve">aritime Enforcement Agency Act (2004), </w:t>
      </w:r>
      <w:r w:rsidR="00A21BE6">
        <w:t xml:space="preserve">the </w:t>
      </w:r>
      <w:r w:rsidR="00B751D5" w:rsidRPr="008D6EC0">
        <w:t xml:space="preserve">Customs Act (1967), </w:t>
      </w:r>
      <w:r w:rsidR="00A21BE6">
        <w:t xml:space="preserve">the </w:t>
      </w:r>
      <w:r w:rsidR="00B751D5" w:rsidRPr="008D6EC0">
        <w:t xml:space="preserve">Security Offences </w:t>
      </w:r>
      <w:r w:rsidR="00A21BE6">
        <w:t>(</w:t>
      </w:r>
      <w:r w:rsidR="00B751D5" w:rsidRPr="008D6EC0">
        <w:t xml:space="preserve">Special </w:t>
      </w:r>
      <w:r w:rsidR="00A21BE6">
        <w:t>M</w:t>
      </w:r>
      <w:r w:rsidR="00B751D5" w:rsidRPr="008D6EC0">
        <w:t>easures</w:t>
      </w:r>
      <w:r w:rsidR="00A21BE6">
        <w:t>)</w:t>
      </w:r>
      <w:r w:rsidR="00B751D5" w:rsidRPr="008D6EC0">
        <w:t xml:space="preserve"> Act</w:t>
      </w:r>
      <w:r w:rsidR="00A21BE6">
        <w:t xml:space="preserve"> (2012) and the</w:t>
      </w:r>
      <w:r w:rsidR="00B751D5" w:rsidRPr="008D6EC0">
        <w:t xml:space="preserve"> Anti-Money </w:t>
      </w:r>
      <w:r w:rsidR="00A21BE6">
        <w:t>L</w:t>
      </w:r>
      <w:r w:rsidR="00B751D5" w:rsidRPr="008D6EC0">
        <w:t>aundering and Anti-</w:t>
      </w:r>
      <w:r w:rsidR="00A21BE6">
        <w:t>T</w:t>
      </w:r>
      <w:r w:rsidR="00B751D5" w:rsidRPr="008D6EC0">
        <w:t xml:space="preserve">errorism </w:t>
      </w:r>
      <w:r w:rsidR="00A21BE6">
        <w:t>F</w:t>
      </w:r>
      <w:r w:rsidR="00B751D5" w:rsidRPr="008D6EC0">
        <w:t>inancing Act</w:t>
      </w:r>
      <w:r w:rsidR="00A21BE6">
        <w:t xml:space="preserve"> (2001)</w:t>
      </w:r>
      <w:r w:rsidR="00B751D5" w:rsidRPr="008D6EC0">
        <w:t>.</w:t>
      </w:r>
    </w:p>
    <w:p w:rsidR="00B751D5" w:rsidRPr="008D6EC0" w:rsidRDefault="00B751D5" w:rsidP="00B751D5">
      <w:pPr>
        <w:pStyle w:val="H23G"/>
        <w:spacing w:line="240" w:lineRule="atLeast"/>
      </w:pPr>
      <w:r w:rsidRPr="008D6EC0">
        <w:tab/>
      </w:r>
      <w:r w:rsidRPr="001A5CC1">
        <w:t>2.</w:t>
      </w:r>
      <w:r w:rsidRPr="001A5CC1">
        <w:tab/>
        <w:t>Policy framework</w:t>
      </w:r>
      <w:r w:rsidRPr="008D6EC0">
        <w:t xml:space="preserve"> </w:t>
      </w:r>
    </w:p>
    <w:p w:rsidR="00B751D5" w:rsidRPr="008D6EC0" w:rsidRDefault="0023396D" w:rsidP="0023396D">
      <w:pPr>
        <w:pStyle w:val="SingleTxtG"/>
      </w:pPr>
      <w:r w:rsidRPr="008D6EC0">
        <w:rPr>
          <w:iCs/>
        </w:rPr>
        <w:t>42.</w:t>
      </w:r>
      <w:r w:rsidRPr="008D6EC0">
        <w:rPr>
          <w:iCs/>
        </w:rPr>
        <w:tab/>
      </w:r>
      <w:r w:rsidR="00B751D5" w:rsidRPr="008D6EC0">
        <w:t>Since 2010, Malaysia has</w:t>
      </w:r>
      <w:r w:rsidR="00335F56">
        <w:t xml:space="preserve"> been pursuing</w:t>
      </w:r>
      <w:r w:rsidR="00B751D5" w:rsidRPr="008D6EC0">
        <w:t xml:space="preserve"> a </w:t>
      </w:r>
      <w:r w:rsidR="00335F56">
        <w:t>five-</w:t>
      </w:r>
      <w:r w:rsidR="00B751D5">
        <w:t xml:space="preserve">year </w:t>
      </w:r>
      <w:r w:rsidR="00B751D5" w:rsidRPr="009369BF">
        <w:t>National Plan of Action to Combat Trafficking in Persons</w:t>
      </w:r>
      <w:r w:rsidR="00B751D5" w:rsidRPr="008D6EC0">
        <w:t xml:space="preserve"> which focuses on nine programme areas</w:t>
      </w:r>
      <w:r w:rsidR="00335F56">
        <w:t>,</w:t>
      </w:r>
      <w:r w:rsidR="00B751D5" w:rsidRPr="008D6EC0">
        <w:t xml:space="preserve"> including strengthening legal mechanisms, joint action </w:t>
      </w:r>
      <w:r w:rsidR="00836273">
        <w:t>of</w:t>
      </w:r>
      <w:r w:rsidR="00836273" w:rsidRPr="008D6EC0">
        <w:t xml:space="preserve"> </w:t>
      </w:r>
      <w:r w:rsidR="00B751D5" w:rsidRPr="008D6EC0">
        <w:t xml:space="preserve">law enforcement agencies, prevention, protection and rehabilitation, </w:t>
      </w:r>
      <w:r w:rsidR="00B751D5">
        <w:t>capacity</w:t>
      </w:r>
      <w:r w:rsidR="00836273">
        <w:t>-</w:t>
      </w:r>
      <w:r w:rsidR="00B751D5">
        <w:t>building and</w:t>
      </w:r>
      <w:r w:rsidR="00B751D5" w:rsidRPr="008D6EC0">
        <w:t xml:space="preserve"> partnership.</w:t>
      </w:r>
      <w:r w:rsidR="00B751D5" w:rsidRPr="009369BF">
        <w:t xml:space="preserve"> </w:t>
      </w:r>
      <w:r w:rsidR="00B751D5" w:rsidRPr="008D6EC0">
        <w:t>While</w:t>
      </w:r>
      <w:r w:rsidR="004575D8">
        <w:t xml:space="preserve"> considering</w:t>
      </w:r>
      <w:r w:rsidR="00B751D5" w:rsidRPr="008D6EC0">
        <w:t xml:space="preserve"> the policy is a positive initiative to address human trafficking, particularly labour trafficking, </w:t>
      </w:r>
      <w:r w:rsidR="004575D8">
        <w:t xml:space="preserve">the Special Rapporteur was not provided with any </w:t>
      </w:r>
      <w:r w:rsidR="00B751D5">
        <w:t xml:space="preserve">information regarding the achievements </w:t>
      </w:r>
      <w:r w:rsidR="004575D8">
        <w:t>generated by</w:t>
      </w:r>
      <w:r w:rsidR="00B751D5">
        <w:t xml:space="preserve"> the plan, </w:t>
      </w:r>
      <w:r w:rsidR="00B751D5" w:rsidRPr="008D6EC0">
        <w:t xml:space="preserve">its implementation </w:t>
      </w:r>
      <w:r w:rsidR="00B751D5">
        <w:t xml:space="preserve">and monitoring. </w:t>
      </w:r>
      <w:r w:rsidR="00B751D5" w:rsidRPr="008D6EC0">
        <w:t xml:space="preserve">At the time of the visit, the Special Rapporteur was informed that the </w:t>
      </w:r>
      <w:r w:rsidR="004575D8">
        <w:t>a</w:t>
      </w:r>
      <w:r w:rsidR="00B751D5" w:rsidRPr="008D6EC0">
        <w:t>ction plan for 2015</w:t>
      </w:r>
      <w:r w:rsidR="00F3058D">
        <w:t>–</w:t>
      </w:r>
      <w:r w:rsidR="00B751D5" w:rsidRPr="008D6EC0">
        <w:t>2020 was being finali</w:t>
      </w:r>
      <w:r w:rsidR="004575D8">
        <w:t>z</w:t>
      </w:r>
      <w:r w:rsidR="00B751D5" w:rsidRPr="008D6EC0">
        <w:t>ed.</w:t>
      </w:r>
    </w:p>
    <w:p w:rsidR="00B751D5" w:rsidRPr="008D6EC0" w:rsidRDefault="0023396D" w:rsidP="0023396D">
      <w:pPr>
        <w:pStyle w:val="SingleTxtG"/>
      </w:pPr>
      <w:r w:rsidRPr="008D6EC0">
        <w:rPr>
          <w:iCs/>
        </w:rPr>
        <w:t>43.</w:t>
      </w:r>
      <w:r w:rsidRPr="008D6EC0">
        <w:rPr>
          <w:iCs/>
        </w:rPr>
        <w:tab/>
      </w:r>
      <w:r w:rsidR="008205C0">
        <w:t>Ano</w:t>
      </w:r>
      <w:r w:rsidR="00B751D5" w:rsidRPr="008D6EC0">
        <w:t>ther polic</w:t>
      </w:r>
      <w:r w:rsidR="008205C0">
        <w:t>y</w:t>
      </w:r>
      <w:r w:rsidR="00B751D5" w:rsidRPr="008D6EC0">
        <w:t xml:space="preserve"> </w:t>
      </w:r>
      <w:r w:rsidR="00B751D5">
        <w:t>relevant to</w:t>
      </w:r>
      <w:r w:rsidR="00B751D5" w:rsidRPr="008D6EC0">
        <w:t xml:space="preserve"> </w:t>
      </w:r>
      <w:r w:rsidR="007E0AEE">
        <w:t xml:space="preserve">the </w:t>
      </w:r>
      <w:r w:rsidR="00B751D5" w:rsidRPr="008D6EC0">
        <w:t xml:space="preserve">trafficking effort </w:t>
      </w:r>
      <w:r w:rsidR="008205C0">
        <w:t>is</w:t>
      </w:r>
      <w:r w:rsidR="008205C0" w:rsidRPr="008D6EC0">
        <w:t xml:space="preserve"> </w:t>
      </w:r>
      <w:r w:rsidR="00B751D5" w:rsidRPr="009369BF">
        <w:t xml:space="preserve">the </w:t>
      </w:r>
      <w:r w:rsidR="008205C0">
        <w:t>p</w:t>
      </w:r>
      <w:r w:rsidR="00B751D5" w:rsidRPr="009369BF">
        <w:t xml:space="preserve">olicy on </w:t>
      </w:r>
      <w:r w:rsidR="008205C0">
        <w:t xml:space="preserve">the </w:t>
      </w:r>
      <w:r w:rsidR="00B751D5" w:rsidRPr="009369BF">
        <w:t>recruitment of foreign workers (1991)</w:t>
      </w:r>
      <w:r w:rsidR="004575D8">
        <w:t>,</w:t>
      </w:r>
      <w:r w:rsidR="00B751D5" w:rsidRPr="008D6EC0">
        <w:t xml:space="preserve"> which provides guidelines for</w:t>
      </w:r>
      <w:r w:rsidR="008205C0">
        <w:t xml:space="preserve"> the</w:t>
      </w:r>
      <w:r w:rsidR="00B751D5" w:rsidRPr="008D6EC0">
        <w:t xml:space="preserve"> treatment of foreign workers. This </w:t>
      </w:r>
      <w:r w:rsidR="008205C0">
        <w:t>provides</w:t>
      </w:r>
      <w:r w:rsidR="008205C0" w:rsidRPr="008D6EC0">
        <w:t xml:space="preserve"> </w:t>
      </w:r>
      <w:r w:rsidR="00B751D5" w:rsidRPr="008D6EC0">
        <w:t xml:space="preserve">that wages, benefits and terms of conditions of employment </w:t>
      </w:r>
      <w:r w:rsidR="008205C0">
        <w:t xml:space="preserve">should </w:t>
      </w:r>
      <w:r w:rsidR="00B751D5" w:rsidRPr="008D6EC0">
        <w:t>be similar to those for nationals, that migrant workers</w:t>
      </w:r>
      <w:r w:rsidR="008205C0">
        <w:t xml:space="preserve"> should</w:t>
      </w:r>
      <w:r w:rsidR="00B751D5" w:rsidRPr="008D6EC0">
        <w:t xml:space="preserve"> have written contracts and that costs of recruitment and repatriation </w:t>
      </w:r>
      <w:r w:rsidR="008205C0">
        <w:t xml:space="preserve">should </w:t>
      </w:r>
      <w:r w:rsidR="00B751D5" w:rsidRPr="008D6EC0">
        <w:t>be borne by the employer.</w:t>
      </w:r>
      <w:r w:rsidR="00B751D5" w:rsidRPr="009369BF">
        <w:t xml:space="preserve"> </w:t>
      </w:r>
      <w:r w:rsidR="00B751D5" w:rsidRPr="008D6EC0">
        <w:t>Nevertheless</w:t>
      </w:r>
      <w:r w:rsidR="008205C0">
        <w:t>,</w:t>
      </w:r>
      <w:r w:rsidR="00B751D5" w:rsidRPr="008D6EC0">
        <w:t xml:space="preserve"> the </w:t>
      </w:r>
      <w:r w:rsidR="00B751D5">
        <w:t>Special Rapporteur</w:t>
      </w:r>
      <w:r w:rsidR="00B751D5" w:rsidRPr="008D6EC0">
        <w:t xml:space="preserve"> received information that this policy is not </w:t>
      </w:r>
      <w:r w:rsidR="008205C0">
        <w:t>often</w:t>
      </w:r>
      <w:r w:rsidR="008205C0" w:rsidRPr="008D6EC0">
        <w:t xml:space="preserve"> </w:t>
      </w:r>
      <w:r w:rsidR="00B751D5" w:rsidRPr="008D6EC0">
        <w:t>enforced.</w:t>
      </w:r>
    </w:p>
    <w:p w:rsidR="00B751D5" w:rsidRPr="008D6EC0" w:rsidRDefault="00B751D5" w:rsidP="00B751D5">
      <w:pPr>
        <w:pStyle w:val="H23G"/>
        <w:spacing w:before="0" w:line="240" w:lineRule="atLeast"/>
        <w:jc w:val="both"/>
      </w:pPr>
      <w:r w:rsidRPr="008D6EC0">
        <w:rPr>
          <w:color w:val="1F497D"/>
        </w:rPr>
        <w:tab/>
      </w:r>
      <w:r w:rsidRPr="008D6EC0">
        <w:t>3.</w:t>
      </w:r>
      <w:r w:rsidRPr="008D6EC0">
        <w:tab/>
        <w:t xml:space="preserve">Institutional framework </w:t>
      </w:r>
    </w:p>
    <w:p w:rsidR="00B751D5" w:rsidRPr="009369BF" w:rsidRDefault="0023396D" w:rsidP="0023396D">
      <w:pPr>
        <w:pStyle w:val="SingleTxtG"/>
      </w:pPr>
      <w:r w:rsidRPr="009369BF">
        <w:rPr>
          <w:iCs/>
        </w:rPr>
        <w:t>44.</w:t>
      </w:r>
      <w:r w:rsidRPr="009369BF">
        <w:rPr>
          <w:iCs/>
        </w:rPr>
        <w:tab/>
      </w:r>
      <w:r w:rsidR="00B751D5" w:rsidRPr="009369BF">
        <w:t xml:space="preserve">The Council for Anti-Trafficking in Persons and Anti-Smuggling of Migrants was established in 2008. It is responsible </w:t>
      </w:r>
      <w:r w:rsidR="008205C0">
        <w:t>for,</w:t>
      </w:r>
      <w:r w:rsidR="008205C0" w:rsidRPr="009369BF">
        <w:t xml:space="preserve"> </w:t>
      </w:r>
      <w:r w:rsidR="00B751D5" w:rsidRPr="009369BF">
        <w:t>inter alia</w:t>
      </w:r>
      <w:r w:rsidR="008205C0">
        <w:t>,</w:t>
      </w:r>
      <w:r w:rsidR="00B751D5" w:rsidRPr="009369BF">
        <w:t xml:space="preserve"> coordinat</w:t>
      </w:r>
      <w:r w:rsidR="008205C0">
        <w:t>ing</w:t>
      </w:r>
      <w:r w:rsidR="00B751D5" w:rsidRPr="009369BF">
        <w:t xml:space="preserve"> the implementation of the Anti-</w:t>
      </w:r>
      <w:r w:rsidR="008205C0">
        <w:t>T</w:t>
      </w:r>
      <w:r w:rsidR="00B751D5" w:rsidRPr="009369BF">
        <w:t xml:space="preserve">rafficking Act in cooperation with government departments and international organizations. It is mandated to collect data and monitor migration patterns with a view to formulating and implementing anti-trafficking policies and programmes </w:t>
      </w:r>
      <w:r w:rsidR="008205C0">
        <w:t>that</w:t>
      </w:r>
      <w:r w:rsidR="008205C0" w:rsidRPr="009369BF">
        <w:t xml:space="preserve"> </w:t>
      </w:r>
      <w:r w:rsidR="00B751D5" w:rsidRPr="009369BF">
        <w:t xml:space="preserve">focus on prevention and protection of victims. It also advises the </w:t>
      </w:r>
      <w:r w:rsidR="008205C0">
        <w:t>G</w:t>
      </w:r>
      <w:r w:rsidR="00B751D5" w:rsidRPr="009369BF">
        <w:t>overnment on developments at the international level</w:t>
      </w:r>
      <w:r w:rsidR="008205C0">
        <w:t xml:space="preserve"> </w:t>
      </w:r>
      <w:r w:rsidR="008205C0" w:rsidRPr="00854165">
        <w:t>(see Anti-Trafficking</w:t>
      </w:r>
      <w:r w:rsidR="001A5CC1" w:rsidRPr="00854165">
        <w:t xml:space="preserve"> </w:t>
      </w:r>
      <w:r w:rsidR="008205C0" w:rsidRPr="00854165">
        <w:t>Act, sect. 7)</w:t>
      </w:r>
      <w:r w:rsidR="00B751D5" w:rsidRPr="00854165">
        <w:t>.</w:t>
      </w:r>
    </w:p>
    <w:p w:rsidR="00B751D5" w:rsidRPr="009369BF" w:rsidRDefault="0023396D" w:rsidP="0023396D">
      <w:pPr>
        <w:pStyle w:val="SingleTxtG"/>
      </w:pPr>
      <w:r w:rsidRPr="009369BF">
        <w:rPr>
          <w:iCs/>
        </w:rPr>
        <w:t>45.</w:t>
      </w:r>
      <w:r w:rsidRPr="009369BF">
        <w:rPr>
          <w:iCs/>
        </w:rPr>
        <w:tab/>
      </w:r>
      <w:r w:rsidR="00B751D5" w:rsidRPr="008D6EC0">
        <w:t>Th</w:t>
      </w:r>
      <w:r w:rsidR="001A5CC1">
        <w:t>e</w:t>
      </w:r>
      <w:r w:rsidR="00B751D5" w:rsidRPr="008D6EC0">
        <w:t xml:space="preserve"> multidisciplinary structure </w:t>
      </w:r>
      <w:r w:rsidR="00B751D5">
        <w:t>of the Council is led</w:t>
      </w:r>
      <w:r w:rsidR="00B751D5" w:rsidRPr="008D6EC0">
        <w:t xml:space="preserve"> </w:t>
      </w:r>
      <w:r w:rsidR="00B751D5">
        <w:t>by the</w:t>
      </w:r>
      <w:r w:rsidR="00B751D5" w:rsidRPr="008D6EC0">
        <w:t xml:space="preserve"> Ministry of Home Affairs</w:t>
      </w:r>
      <w:r w:rsidR="00B751D5" w:rsidRPr="009369BF">
        <w:t xml:space="preserve">, which acts </w:t>
      </w:r>
      <w:r w:rsidR="00B751D5" w:rsidRPr="008D6EC0">
        <w:t>as its secretariat at the national and provincial levels.</w:t>
      </w:r>
      <w:r w:rsidR="00B751D5" w:rsidRPr="009369BF">
        <w:t xml:space="preserve"> The Council comprises of the Attorney</w:t>
      </w:r>
      <w:r w:rsidR="00AD1F07">
        <w:t xml:space="preserve"> </w:t>
      </w:r>
      <w:r w:rsidR="00B751D5" w:rsidRPr="009369BF">
        <w:t xml:space="preserve">General and high-ranking officials of various </w:t>
      </w:r>
      <w:r w:rsidR="001A5CC1">
        <w:t>g</w:t>
      </w:r>
      <w:r w:rsidR="00B751D5" w:rsidRPr="009369BF">
        <w:t>overnment agencies</w:t>
      </w:r>
      <w:r w:rsidR="001A5CC1">
        <w:t>,</w:t>
      </w:r>
      <w:r w:rsidR="00B751D5" w:rsidRPr="009369BF">
        <w:t xml:space="preserve"> including the Ministr</w:t>
      </w:r>
      <w:r w:rsidR="001A5CC1">
        <w:t>ies</w:t>
      </w:r>
      <w:r w:rsidR="00B751D5" w:rsidRPr="009369BF">
        <w:t xml:space="preserve"> </w:t>
      </w:r>
      <w:r w:rsidR="001A5CC1">
        <w:t>of</w:t>
      </w:r>
      <w:r w:rsidR="00B751D5" w:rsidRPr="009369BF">
        <w:t xml:space="preserve"> Internal Security; Foreign Affairs; Women, Family </w:t>
      </w:r>
      <w:r w:rsidR="00B751D5" w:rsidRPr="009369BF">
        <w:lastRenderedPageBreak/>
        <w:t>and Community Development; Human Resources; Transport</w:t>
      </w:r>
      <w:r w:rsidR="001A5CC1">
        <w:t>;</w:t>
      </w:r>
      <w:r w:rsidR="00B751D5" w:rsidRPr="009369BF">
        <w:t xml:space="preserve"> and Information</w:t>
      </w:r>
      <w:r w:rsidR="001A5CC1">
        <w:t>, Communication and Culture</w:t>
      </w:r>
      <w:r w:rsidR="00B751D5" w:rsidRPr="009369BF">
        <w:t>. The Special Rapporteur noted with concern the absence of key government offices dealing with industry, trade, plantations</w:t>
      </w:r>
      <w:r w:rsidR="001A5CC1">
        <w:t xml:space="preserve"> and the</w:t>
      </w:r>
      <w:r w:rsidR="00B751D5" w:rsidRPr="009369BF">
        <w:t xml:space="preserve"> construction</w:t>
      </w:r>
      <w:r w:rsidR="001A5CC1">
        <w:t xml:space="preserve"> and</w:t>
      </w:r>
      <w:r w:rsidR="00B751D5" w:rsidRPr="009369BF">
        <w:t xml:space="preserve"> textile</w:t>
      </w:r>
      <w:r w:rsidR="001A5CC1">
        <w:t xml:space="preserve"> sectors, areas in which</w:t>
      </w:r>
      <w:r w:rsidR="00B751D5" w:rsidRPr="009369BF">
        <w:t xml:space="preserve"> human trafficking may take place. She encourages the Government to pursue its intention of enlarging the Council </w:t>
      </w:r>
      <w:r w:rsidR="001A5CC1">
        <w:t xml:space="preserve">to include </w:t>
      </w:r>
      <w:r w:rsidR="007D3D1A">
        <w:t>additional</w:t>
      </w:r>
      <w:r w:rsidR="001A5CC1" w:rsidRPr="009369BF">
        <w:t xml:space="preserve"> </w:t>
      </w:r>
      <w:r w:rsidR="00B751D5" w:rsidRPr="009369BF">
        <w:t xml:space="preserve">relevant institutions at the peninsular and </w:t>
      </w:r>
      <w:r w:rsidR="001A5CC1">
        <w:t>S</w:t>
      </w:r>
      <w:r w:rsidR="00B751D5" w:rsidRPr="009369BF">
        <w:t xml:space="preserve">tate levels. </w:t>
      </w:r>
    </w:p>
    <w:p w:rsidR="00B751D5" w:rsidRPr="009369BF" w:rsidRDefault="0023396D" w:rsidP="0023396D">
      <w:pPr>
        <w:pStyle w:val="SingleTxtG"/>
      </w:pPr>
      <w:r w:rsidRPr="009369BF">
        <w:rPr>
          <w:iCs/>
        </w:rPr>
        <w:t>46.</w:t>
      </w:r>
      <w:r w:rsidRPr="009369BF">
        <w:rPr>
          <w:iCs/>
        </w:rPr>
        <w:tab/>
      </w:r>
      <w:r w:rsidR="00B751D5" w:rsidRPr="009369BF">
        <w:t xml:space="preserve">The Council is composed of </w:t>
      </w:r>
      <w:r w:rsidR="001A5CC1">
        <w:t>five</w:t>
      </w:r>
      <w:r w:rsidR="00B751D5" w:rsidRPr="009369BF">
        <w:t xml:space="preserve"> committees: </w:t>
      </w:r>
      <w:r w:rsidR="001A5CC1">
        <w:t>(a</w:t>
      </w:r>
      <w:r w:rsidR="00B751D5" w:rsidRPr="009369BF">
        <w:t>)</w:t>
      </w:r>
      <w:r w:rsidR="00F3058D">
        <w:t xml:space="preserve"> </w:t>
      </w:r>
      <w:r w:rsidR="001A5CC1">
        <w:t xml:space="preserve">the </w:t>
      </w:r>
      <w:r w:rsidR="00B751D5" w:rsidRPr="009369BF">
        <w:t>Legislation Committee</w:t>
      </w:r>
      <w:r w:rsidR="001A5CC1">
        <w:t>,</w:t>
      </w:r>
      <w:r w:rsidR="00B751D5" w:rsidRPr="009369BF">
        <w:t xml:space="preserve"> headed by the Attorney</w:t>
      </w:r>
      <w:r w:rsidR="00AD1F07">
        <w:t xml:space="preserve"> </w:t>
      </w:r>
      <w:r w:rsidR="00B751D5" w:rsidRPr="009369BF">
        <w:t xml:space="preserve">General’s Chambers; </w:t>
      </w:r>
      <w:r w:rsidR="001A5CC1">
        <w:t>(b</w:t>
      </w:r>
      <w:r w:rsidR="00B751D5" w:rsidRPr="009369BF">
        <w:t xml:space="preserve">) </w:t>
      </w:r>
      <w:r w:rsidR="00AD1F07">
        <w:t xml:space="preserve">the </w:t>
      </w:r>
      <w:r w:rsidR="00B751D5" w:rsidRPr="009369BF">
        <w:t xml:space="preserve">Victim Protection and Rehabilitation Committee headed by the Ministry of Women, Family and Community Development; </w:t>
      </w:r>
      <w:r w:rsidR="00AD1F07">
        <w:t>(c</w:t>
      </w:r>
      <w:r w:rsidR="00B751D5" w:rsidRPr="009369BF">
        <w:t>)</w:t>
      </w:r>
      <w:r w:rsidR="007E0AEE">
        <w:t> </w:t>
      </w:r>
      <w:r w:rsidR="00AD1F07">
        <w:t xml:space="preserve">the </w:t>
      </w:r>
      <w:r w:rsidR="00B751D5" w:rsidRPr="009369BF">
        <w:t>Media and Publicity Committee</w:t>
      </w:r>
      <w:r w:rsidR="00AD1F07">
        <w:t>,</w:t>
      </w:r>
      <w:r w:rsidR="00B751D5" w:rsidRPr="009369BF">
        <w:t xml:space="preserve"> headed by the Ministry of Information, Communication and Culture; </w:t>
      </w:r>
      <w:r w:rsidR="00AD1F07">
        <w:t>(d</w:t>
      </w:r>
      <w:r w:rsidR="00B751D5" w:rsidRPr="009369BF">
        <w:t>)</w:t>
      </w:r>
      <w:r w:rsidR="00F3058D">
        <w:t> </w:t>
      </w:r>
      <w:r w:rsidR="00AD1F07">
        <w:t xml:space="preserve">the </w:t>
      </w:r>
      <w:r w:rsidR="00B751D5" w:rsidRPr="009369BF">
        <w:t>Special Committee to Study the Issues of Labour Trafficking</w:t>
      </w:r>
      <w:r w:rsidR="00AD1F07">
        <w:t>,</w:t>
      </w:r>
      <w:r w:rsidR="00B751D5" w:rsidRPr="009369BF">
        <w:t xml:space="preserve"> headed by the Ministry of Human Resources</w:t>
      </w:r>
      <w:r w:rsidR="00AD1F07">
        <w:t>;</w:t>
      </w:r>
      <w:r w:rsidR="00B751D5" w:rsidRPr="009369BF">
        <w:t xml:space="preserve"> and </w:t>
      </w:r>
      <w:r w:rsidR="00AD1F07">
        <w:t>(e</w:t>
      </w:r>
      <w:r w:rsidR="00B751D5" w:rsidRPr="009369BF">
        <w:t>)</w:t>
      </w:r>
      <w:r w:rsidR="00F3058D">
        <w:t xml:space="preserve"> </w:t>
      </w:r>
      <w:r w:rsidR="00AD1F07">
        <w:t xml:space="preserve">the </w:t>
      </w:r>
      <w:r w:rsidR="00B751D5" w:rsidRPr="009369BF">
        <w:t>Enforcement Committee</w:t>
      </w:r>
      <w:r w:rsidR="007120DE">
        <w:t>,</w:t>
      </w:r>
      <w:r w:rsidR="00B751D5" w:rsidRPr="009369BF">
        <w:t xml:space="preserve"> headed by the Royal Malaysian Police. The main function</w:t>
      </w:r>
      <w:r w:rsidR="0018169C">
        <w:t>s</w:t>
      </w:r>
      <w:r w:rsidR="00B751D5" w:rsidRPr="009369BF">
        <w:t xml:space="preserve"> of th</w:t>
      </w:r>
      <w:r w:rsidR="0018169C">
        <w:t>e latter</w:t>
      </w:r>
      <w:r w:rsidR="00B751D5" w:rsidRPr="009369BF">
        <w:t xml:space="preserve"> committee </w:t>
      </w:r>
      <w:r w:rsidR="0018169C">
        <w:t>are</w:t>
      </w:r>
      <w:r w:rsidR="0018169C" w:rsidRPr="009369BF">
        <w:t xml:space="preserve"> </w:t>
      </w:r>
      <w:r w:rsidR="00B751D5" w:rsidRPr="009369BF">
        <w:t>to rescue victims of trafficking</w:t>
      </w:r>
      <w:r w:rsidR="0018169C">
        <w:t xml:space="preserve"> and</w:t>
      </w:r>
      <w:r w:rsidR="00B751D5" w:rsidRPr="009369BF">
        <w:t xml:space="preserve"> detain</w:t>
      </w:r>
      <w:r w:rsidR="0018169C">
        <w:t xml:space="preserve"> perpetrators,</w:t>
      </w:r>
      <w:r w:rsidR="00B751D5" w:rsidRPr="009369BF">
        <w:t xml:space="preserve"> investigate</w:t>
      </w:r>
      <w:r w:rsidR="0018169C">
        <w:t xml:space="preserve"> cases</w:t>
      </w:r>
      <w:r w:rsidR="00B751D5" w:rsidRPr="009369BF">
        <w:t>, prevent</w:t>
      </w:r>
      <w:r w:rsidR="0018169C">
        <w:t xml:space="preserve"> trafficking</w:t>
      </w:r>
      <w:r w:rsidR="00B751D5" w:rsidRPr="009369BF">
        <w:t>, raise awareness and build capacity of its members.</w:t>
      </w:r>
    </w:p>
    <w:p w:rsidR="00B751D5" w:rsidRPr="008D6EC0" w:rsidRDefault="0023396D" w:rsidP="0023396D">
      <w:pPr>
        <w:pStyle w:val="SingleTxtG"/>
      </w:pPr>
      <w:bookmarkStart w:id="1" w:name="_Toc278222317"/>
      <w:r w:rsidRPr="008D6EC0">
        <w:rPr>
          <w:iCs/>
        </w:rPr>
        <w:t>47.</w:t>
      </w:r>
      <w:r w:rsidRPr="008D6EC0">
        <w:rPr>
          <w:iCs/>
        </w:rPr>
        <w:tab/>
      </w:r>
      <w:r w:rsidR="00B751D5" w:rsidRPr="008D6EC0">
        <w:t xml:space="preserve">Furthermore, the National Human Rights Institution plays an active </w:t>
      </w:r>
      <w:r w:rsidR="00B751D5">
        <w:t>role</w:t>
      </w:r>
      <w:r w:rsidR="00B751D5" w:rsidRPr="008D6EC0">
        <w:t xml:space="preserve"> in combating trafficking in person</w:t>
      </w:r>
      <w:r w:rsidR="0018169C">
        <w:t>s</w:t>
      </w:r>
      <w:r w:rsidR="007E0AEE">
        <w:t>,</w:t>
      </w:r>
      <w:r w:rsidR="00B751D5">
        <w:t xml:space="preserve"> as</w:t>
      </w:r>
      <w:r w:rsidR="00B751D5" w:rsidRPr="008D6EC0">
        <w:t xml:space="preserve"> </w:t>
      </w:r>
      <w:bookmarkEnd w:id="1"/>
      <w:r w:rsidR="00B751D5">
        <w:t>i</w:t>
      </w:r>
      <w:r w:rsidR="00B751D5" w:rsidRPr="008D6EC0">
        <w:t xml:space="preserve">t also receives and </w:t>
      </w:r>
      <w:proofErr w:type="spellStart"/>
      <w:r w:rsidR="00B751D5" w:rsidRPr="008D6EC0">
        <w:t>inquires</w:t>
      </w:r>
      <w:proofErr w:type="spellEnd"/>
      <w:r w:rsidR="00B751D5" w:rsidRPr="008D6EC0">
        <w:t xml:space="preserve"> into complaints of alleged human rights violations</w:t>
      </w:r>
      <w:r w:rsidR="0018169C">
        <w:t>,</w:t>
      </w:r>
      <w:r w:rsidR="00B751D5" w:rsidRPr="008D6EC0">
        <w:t xml:space="preserve"> including complaints relating to trafficking in persons</w:t>
      </w:r>
      <w:r w:rsidR="00B751D5">
        <w:t>,</w:t>
      </w:r>
      <w:r w:rsidR="00B751D5" w:rsidRPr="008D6EC0">
        <w:t xml:space="preserve"> and monitors shelters and detention facilities. It proposes and formulates policies and standard operating procedures, raises awareness and engages with stakeholders at the national, regional and international levels.</w:t>
      </w:r>
    </w:p>
    <w:p w:rsidR="00B751D5" w:rsidRPr="009369BF" w:rsidRDefault="0023396D" w:rsidP="0023396D">
      <w:pPr>
        <w:pStyle w:val="SingleTxtG"/>
      </w:pPr>
      <w:r w:rsidRPr="009369BF">
        <w:rPr>
          <w:iCs/>
        </w:rPr>
        <w:t>48.</w:t>
      </w:r>
      <w:r w:rsidRPr="009369BF">
        <w:rPr>
          <w:iCs/>
        </w:rPr>
        <w:tab/>
      </w:r>
      <w:r w:rsidR="00B751D5" w:rsidRPr="00A71DB5">
        <w:t>The Special Rapporteur commends the establishment of the Council and its initiatives to combat trafficking. However, she observed that coordination of work between government bodies remains a challenge</w:t>
      </w:r>
      <w:r w:rsidR="0018169C">
        <w:t>,</w:t>
      </w:r>
      <w:r w:rsidR="00B751D5" w:rsidRPr="00A71DB5">
        <w:t xml:space="preserve"> partly </w:t>
      </w:r>
      <w:r w:rsidR="0018169C">
        <w:t>owing</w:t>
      </w:r>
      <w:r w:rsidR="0018169C" w:rsidRPr="00A71DB5">
        <w:t xml:space="preserve"> </w:t>
      </w:r>
      <w:r w:rsidR="00B751D5" w:rsidRPr="00A71DB5">
        <w:t>to their varying level of commitment to the issue of trafficking</w:t>
      </w:r>
      <w:r w:rsidR="0018169C">
        <w:t xml:space="preserve"> and</w:t>
      </w:r>
      <w:r w:rsidR="00B751D5" w:rsidRPr="00A71DB5">
        <w:t xml:space="preserve"> their understanding of trafficking and its impact</w:t>
      </w:r>
      <w:r w:rsidR="007E0AEE">
        <w:t xml:space="preserve"> on</w:t>
      </w:r>
      <w:r w:rsidR="00B751D5" w:rsidRPr="00A71DB5">
        <w:t>/relevance to their work</w:t>
      </w:r>
      <w:r w:rsidR="0018169C">
        <w:t>.</w:t>
      </w:r>
      <w:r w:rsidR="00B751D5" w:rsidRPr="00A71DB5">
        <w:t xml:space="preserve"> Of further concern is the limited information</w:t>
      </w:r>
      <w:r w:rsidR="0018169C">
        <w:t>-</w:t>
      </w:r>
      <w:r w:rsidR="00B751D5" w:rsidRPr="00A71DB5">
        <w:t xml:space="preserve">sharing and </w:t>
      </w:r>
      <w:r w:rsidR="0018169C" w:rsidRPr="00A71DB5">
        <w:t>disjointed</w:t>
      </w:r>
      <w:r w:rsidR="00B751D5" w:rsidRPr="00A71DB5">
        <w:t xml:space="preserve"> coordination between government bodies at the federal and </w:t>
      </w:r>
      <w:r w:rsidR="0018169C">
        <w:t>S</w:t>
      </w:r>
      <w:r w:rsidR="00B751D5" w:rsidRPr="00A71DB5">
        <w:t>tate levels</w:t>
      </w:r>
      <w:r w:rsidR="007E0AEE">
        <w:t>,</w:t>
      </w:r>
      <w:r w:rsidR="00B751D5" w:rsidRPr="00A71DB5">
        <w:t xml:space="preserve"> particularly noted by the Special Rapporteur in Sabah</w:t>
      </w:r>
      <w:r w:rsidR="0018169C">
        <w:t>,</w:t>
      </w:r>
      <w:r w:rsidR="00B751D5" w:rsidRPr="00A71DB5">
        <w:t xml:space="preserve"> for instance, where a number of authorities appeared not to be aware of the anti-trafficking initiatives and work undertaken by the Council. Moreover, while</w:t>
      </w:r>
      <w:r w:rsidR="00B751D5" w:rsidRPr="009369BF">
        <w:t xml:space="preserve"> </w:t>
      </w:r>
      <w:r w:rsidR="0018169C">
        <w:t>five</w:t>
      </w:r>
      <w:r w:rsidR="00B751D5" w:rsidRPr="009369BF">
        <w:t xml:space="preserve"> NGOs are formally affiliated with the Council and included in policy discussions, there is a need to widen the scope of civil society participation. </w:t>
      </w:r>
    </w:p>
    <w:p w:rsidR="00B751D5" w:rsidRPr="0035152F" w:rsidRDefault="00B751D5" w:rsidP="00B751D5">
      <w:pPr>
        <w:pStyle w:val="H1G"/>
      </w:pPr>
      <w:r w:rsidRPr="0035152F">
        <w:tab/>
        <w:t>D.</w:t>
      </w:r>
      <w:r w:rsidRPr="0035152F">
        <w:tab/>
        <w:t>Identification of trafficked persons</w:t>
      </w:r>
    </w:p>
    <w:p w:rsidR="00B751D5" w:rsidRDefault="0023396D" w:rsidP="0023396D">
      <w:pPr>
        <w:pStyle w:val="SingleTxtG"/>
      </w:pPr>
      <w:r>
        <w:rPr>
          <w:iCs/>
        </w:rPr>
        <w:t>49.</w:t>
      </w:r>
      <w:r>
        <w:rPr>
          <w:iCs/>
        </w:rPr>
        <w:tab/>
      </w:r>
      <w:r w:rsidR="00B751D5" w:rsidRPr="009369BF">
        <w:t xml:space="preserve">Members of the </w:t>
      </w:r>
      <w:r w:rsidR="002422F1">
        <w:t>E</w:t>
      </w:r>
      <w:r w:rsidR="00B751D5" w:rsidRPr="009369BF">
        <w:t xml:space="preserve">nforcement </w:t>
      </w:r>
      <w:r w:rsidR="002422F1">
        <w:t>C</w:t>
      </w:r>
      <w:r w:rsidR="00B751D5" w:rsidRPr="009369BF">
        <w:t xml:space="preserve">ommittee of the Council, namely officers </w:t>
      </w:r>
      <w:r w:rsidR="007456EB">
        <w:t>from</w:t>
      </w:r>
      <w:r w:rsidR="007456EB" w:rsidRPr="009369BF">
        <w:t xml:space="preserve"> </w:t>
      </w:r>
      <w:r w:rsidR="00B751D5" w:rsidRPr="009369BF">
        <w:t>the Anti-</w:t>
      </w:r>
      <w:r w:rsidR="002422F1">
        <w:t>T</w:t>
      </w:r>
      <w:r w:rsidR="00B751D5" w:rsidRPr="009369BF">
        <w:t>rafficking Unit of the Royal Malaysian Police</w:t>
      </w:r>
      <w:r w:rsidR="007E0AEE">
        <w:t>,</w:t>
      </w:r>
      <w:r w:rsidR="00B751D5" w:rsidRPr="009369BF">
        <w:t xml:space="preserve"> </w:t>
      </w:r>
      <w:r w:rsidR="00B751D5" w:rsidRPr="008D6EC0">
        <w:t>the</w:t>
      </w:r>
      <w:r w:rsidR="00B751D5" w:rsidRPr="009369BF">
        <w:t xml:space="preserve"> </w:t>
      </w:r>
      <w:r w:rsidR="002422F1">
        <w:t>I</w:t>
      </w:r>
      <w:r w:rsidR="00B751D5" w:rsidRPr="009369BF">
        <w:t xml:space="preserve">mmigration </w:t>
      </w:r>
      <w:r w:rsidR="002422F1">
        <w:t>D</w:t>
      </w:r>
      <w:r w:rsidR="00B751D5" w:rsidRPr="009369BF">
        <w:t>epartment</w:t>
      </w:r>
      <w:r w:rsidR="002422F1">
        <w:t>,</w:t>
      </w:r>
      <w:r w:rsidR="00B751D5" w:rsidRPr="009369BF">
        <w:t xml:space="preserve"> the </w:t>
      </w:r>
      <w:r w:rsidR="002422F1">
        <w:t>R</w:t>
      </w:r>
      <w:r w:rsidR="00B751D5" w:rsidRPr="009369BF">
        <w:t xml:space="preserve">oyal Malaysian </w:t>
      </w:r>
      <w:r w:rsidR="002422F1">
        <w:t>C</w:t>
      </w:r>
      <w:r w:rsidR="00B751D5" w:rsidRPr="009369BF">
        <w:t>ustoms</w:t>
      </w:r>
      <w:r w:rsidR="002422F1">
        <w:t>,</w:t>
      </w:r>
      <w:r w:rsidR="00B751D5" w:rsidRPr="009369BF">
        <w:t xml:space="preserve"> the maritime agencies and </w:t>
      </w:r>
      <w:r w:rsidR="002422F1">
        <w:t>the L</w:t>
      </w:r>
      <w:r w:rsidR="00B751D5" w:rsidRPr="009369BF">
        <w:t xml:space="preserve">abour </w:t>
      </w:r>
      <w:r w:rsidR="002422F1">
        <w:t>D</w:t>
      </w:r>
      <w:r w:rsidR="00B751D5" w:rsidRPr="009369BF">
        <w:t>epartment</w:t>
      </w:r>
      <w:r w:rsidR="007456EB">
        <w:t>,</w:t>
      </w:r>
      <w:r w:rsidR="00B751D5" w:rsidRPr="009369BF">
        <w:t xml:space="preserve"> have the</w:t>
      </w:r>
      <w:r w:rsidR="00B751D5" w:rsidRPr="008D6EC0">
        <w:t xml:space="preserve"> primary responsibility for identifying trafficked persons in collaboration with </w:t>
      </w:r>
      <w:r w:rsidR="00B751D5">
        <w:t xml:space="preserve">each </w:t>
      </w:r>
      <w:r w:rsidR="00B751D5" w:rsidRPr="00E36B93">
        <w:t xml:space="preserve">other. </w:t>
      </w:r>
      <w:r w:rsidR="002422F1">
        <w:t>The i</w:t>
      </w:r>
      <w:r w:rsidR="00B751D5" w:rsidRPr="00E36B93">
        <w:t xml:space="preserve">dentification of victims is undertaken on the basis of </w:t>
      </w:r>
      <w:r w:rsidR="00B751D5">
        <w:t xml:space="preserve">standard operating procedures </w:t>
      </w:r>
      <w:r w:rsidR="00B751D5" w:rsidRPr="007305E2">
        <w:t>for enforcement agencies dealing with human trafficking and smuggling of migrants</w:t>
      </w:r>
      <w:r w:rsidR="00B751D5">
        <w:t xml:space="preserve"> developed by the Council in </w:t>
      </w:r>
      <w:r w:rsidR="00B751D5" w:rsidRPr="007305E2">
        <w:t>2013</w:t>
      </w:r>
      <w:r w:rsidR="00B751D5" w:rsidRPr="009369BF">
        <w:t>.</w:t>
      </w:r>
    </w:p>
    <w:p w:rsidR="00B751D5" w:rsidRPr="009369BF" w:rsidRDefault="0023396D" w:rsidP="0023396D">
      <w:pPr>
        <w:pStyle w:val="SingleTxtG"/>
      </w:pPr>
      <w:r w:rsidRPr="009369BF">
        <w:rPr>
          <w:iCs/>
        </w:rPr>
        <w:t>50.</w:t>
      </w:r>
      <w:r w:rsidRPr="009369BF">
        <w:rPr>
          <w:iCs/>
        </w:rPr>
        <w:tab/>
      </w:r>
      <w:r w:rsidR="00D75D81">
        <w:t>W</w:t>
      </w:r>
      <w:r w:rsidR="00B751D5" w:rsidRPr="009369BF">
        <w:t xml:space="preserve">hile there is increasing recognition of trafficking for labour exploitation, trafficking in persons in Malaysia is viewed primarily as a problem concerning women and children trafficked for sexual exploitation. </w:t>
      </w:r>
      <w:r w:rsidR="00B751D5" w:rsidRPr="008D6EC0">
        <w:t>Statistics from the Royal Police reveal that from 2008 to 2014, 509 cases of trafficking for sexual exploitation were identified, while 291 cases of</w:t>
      </w:r>
      <w:r w:rsidR="007456EB">
        <w:t xml:space="preserve"> trafficking for</w:t>
      </w:r>
      <w:r w:rsidR="00B751D5" w:rsidRPr="008D6EC0">
        <w:t xml:space="preserve"> forced labour</w:t>
      </w:r>
      <w:r w:rsidR="007456EB">
        <w:t xml:space="preserve"> were identified</w:t>
      </w:r>
      <w:r w:rsidR="00B751D5" w:rsidRPr="008D6EC0">
        <w:t xml:space="preserve"> and none was identified for other forms of exploitation.</w:t>
      </w:r>
      <w:r w:rsidR="00B751D5" w:rsidRPr="00CF713B">
        <w:rPr>
          <w:rStyle w:val="FootnoteReference"/>
        </w:rPr>
        <w:footnoteReference w:id="10"/>
      </w:r>
      <w:r w:rsidR="00B751D5" w:rsidRPr="009369BF">
        <w:t xml:space="preserve"> This is partly explained by the fact that raids and rescues conducted </w:t>
      </w:r>
      <w:r w:rsidR="00B751D5" w:rsidRPr="009369BF">
        <w:lastRenderedPageBreak/>
        <w:t xml:space="preserve">by the police in </w:t>
      </w:r>
      <w:r w:rsidR="00B751D5" w:rsidRPr="00357BD7">
        <w:t>entertainment</w:t>
      </w:r>
      <w:r w:rsidR="00357BD7">
        <w:t>/sex</w:t>
      </w:r>
      <w:r w:rsidR="00B751D5" w:rsidRPr="00357BD7">
        <w:t xml:space="preserve"> industry</w:t>
      </w:r>
      <w:r w:rsidR="00B751D5" w:rsidRPr="009369BF">
        <w:t xml:space="preserve"> are the main means of identifying victims of trafficking. </w:t>
      </w:r>
    </w:p>
    <w:p w:rsidR="00B751D5" w:rsidRDefault="0023396D" w:rsidP="0023396D">
      <w:pPr>
        <w:pStyle w:val="SingleTxtG"/>
      </w:pPr>
      <w:r>
        <w:rPr>
          <w:iCs/>
        </w:rPr>
        <w:t>51.</w:t>
      </w:r>
      <w:r>
        <w:rPr>
          <w:iCs/>
        </w:rPr>
        <w:tab/>
      </w:r>
      <w:r w:rsidR="00B751D5" w:rsidRPr="00FC5491">
        <w:t>The Special Rapporteur heard allegations</w:t>
      </w:r>
      <w:r w:rsidR="00B751D5" w:rsidRPr="00D177C1">
        <w:t xml:space="preserve"> of </w:t>
      </w:r>
      <w:r w:rsidR="001722A9" w:rsidRPr="00D177C1">
        <w:t xml:space="preserve">the </w:t>
      </w:r>
      <w:r w:rsidR="00B751D5" w:rsidRPr="00D177C1">
        <w:t>corruption</w:t>
      </w:r>
      <w:r w:rsidR="00B751D5" w:rsidRPr="008D6EC0">
        <w:t xml:space="preserve"> of law enforcement</w:t>
      </w:r>
      <w:r w:rsidR="001722A9">
        <w:t xml:space="preserve"> officers</w:t>
      </w:r>
      <w:r w:rsidR="00B751D5" w:rsidRPr="008D6EC0">
        <w:t xml:space="preserve"> which often hampers the effective identification of trafficked persons. She was informed of numerous cases in which immigration</w:t>
      </w:r>
      <w:r w:rsidR="001722A9">
        <w:t>,</w:t>
      </w:r>
      <w:r w:rsidR="00B751D5" w:rsidRPr="008D6EC0">
        <w:t xml:space="preserve"> police and maritime enforcement officers were directly implicated in trafficking in persons or turned a blind eye to the situations of trafficked persons. The prevalence of corruption </w:t>
      </w:r>
      <w:r w:rsidR="00B751D5">
        <w:t>coupled with the</w:t>
      </w:r>
      <w:r w:rsidR="00B751D5" w:rsidRPr="008D6EC0">
        <w:t xml:space="preserve"> inadequate </w:t>
      </w:r>
      <w:r w:rsidR="00B751D5" w:rsidRPr="0042721A">
        <w:t>capacity of enforcement officers</w:t>
      </w:r>
      <w:r w:rsidR="00B751D5" w:rsidRPr="008D6EC0">
        <w:t xml:space="preserve"> </w:t>
      </w:r>
      <w:r w:rsidR="00B751D5">
        <w:t>to accurately</w:t>
      </w:r>
      <w:r w:rsidR="00B751D5" w:rsidRPr="008D6EC0">
        <w:t xml:space="preserve"> identif</w:t>
      </w:r>
      <w:r w:rsidR="00B751D5">
        <w:t>y</w:t>
      </w:r>
      <w:r w:rsidR="00B751D5" w:rsidRPr="008D6EC0">
        <w:t xml:space="preserve"> trafficked persons</w:t>
      </w:r>
      <w:r w:rsidR="00B751D5">
        <w:t xml:space="preserve"> </w:t>
      </w:r>
      <w:r w:rsidR="00B751D5" w:rsidRPr="008D6EC0">
        <w:t>results in deep mistrust of law enforcement officers by trafficked persons and those at risk of being trafficked, such as migrants</w:t>
      </w:r>
      <w:r w:rsidR="00B751D5">
        <w:t>,</w:t>
      </w:r>
      <w:r w:rsidR="00B751D5" w:rsidRPr="008D6EC0">
        <w:t xml:space="preserve"> refugees</w:t>
      </w:r>
      <w:r w:rsidR="00B751D5">
        <w:t xml:space="preserve"> and asylum seekers</w:t>
      </w:r>
      <w:r w:rsidR="00B751D5" w:rsidRPr="008D6EC0">
        <w:t xml:space="preserve">. </w:t>
      </w:r>
    </w:p>
    <w:p w:rsidR="00B751D5" w:rsidRPr="009369BF" w:rsidRDefault="0023396D" w:rsidP="0023396D">
      <w:pPr>
        <w:pStyle w:val="SingleTxtG"/>
      </w:pPr>
      <w:r w:rsidRPr="009369BF">
        <w:rPr>
          <w:iCs/>
        </w:rPr>
        <w:t>52.</w:t>
      </w:r>
      <w:r w:rsidRPr="009369BF">
        <w:rPr>
          <w:iCs/>
        </w:rPr>
        <w:tab/>
      </w:r>
      <w:r w:rsidR="00B751D5" w:rsidRPr="009369BF">
        <w:t>There are two categories of labo</w:t>
      </w:r>
      <w:r w:rsidR="00210ACE">
        <w:t>u</w:t>
      </w:r>
      <w:r w:rsidR="00B751D5" w:rsidRPr="009369BF">
        <w:t>r officers within the Labo</w:t>
      </w:r>
      <w:r w:rsidR="00210ACE">
        <w:t>u</w:t>
      </w:r>
      <w:r w:rsidR="00B751D5" w:rsidRPr="009369BF">
        <w:t>r Department of the Ministry of Human Resources</w:t>
      </w:r>
      <w:r w:rsidR="00210ACE">
        <w:rPr>
          <w:lang w:val="en-US"/>
        </w:rPr>
        <w:t>:</w:t>
      </w:r>
      <w:r w:rsidR="00B751D5" w:rsidRPr="009369BF">
        <w:t xml:space="preserve"> generalists, who conduct inspection</w:t>
      </w:r>
      <w:r w:rsidR="007E0AEE">
        <w:t>s</w:t>
      </w:r>
      <w:r w:rsidR="00B751D5" w:rsidRPr="009369BF">
        <w:t xml:space="preserve"> to identify forced labo</w:t>
      </w:r>
      <w:r w:rsidR="00210ACE">
        <w:t>u</w:t>
      </w:r>
      <w:r w:rsidR="00B751D5" w:rsidRPr="009369BF">
        <w:t>r in workplaces</w:t>
      </w:r>
      <w:r w:rsidR="00210ACE">
        <w:t>,</w:t>
      </w:r>
      <w:r w:rsidR="00B751D5" w:rsidRPr="009369BF">
        <w:t xml:space="preserve"> and specialists. </w:t>
      </w:r>
      <w:r w:rsidR="00B751D5">
        <w:t xml:space="preserve">As </w:t>
      </w:r>
      <w:r w:rsidR="00210ACE">
        <w:t>they are</w:t>
      </w:r>
      <w:r w:rsidR="00B751D5">
        <w:t xml:space="preserve"> enforcement officers, specialist l</w:t>
      </w:r>
      <w:r w:rsidR="00B751D5" w:rsidRPr="009369BF">
        <w:t>abour inspectors</w:t>
      </w:r>
      <w:r w:rsidR="00B751D5">
        <w:t xml:space="preserve"> are also empowered to identify and investigate cases of trafficking, as well as rescue victims. They also apprehend suspects and testify in court. </w:t>
      </w:r>
    </w:p>
    <w:p w:rsidR="00B751D5" w:rsidRPr="009369BF" w:rsidRDefault="0023396D" w:rsidP="0023396D">
      <w:pPr>
        <w:pStyle w:val="SingleTxtG"/>
      </w:pPr>
      <w:r w:rsidRPr="009369BF">
        <w:rPr>
          <w:iCs/>
        </w:rPr>
        <w:t>53.</w:t>
      </w:r>
      <w:r w:rsidRPr="009369BF">
        <w:rPr>
          <w:iCs/>
        </w:rPr>
        <w:tab/>
      </w:r>
      <w:r w:rsidR="00B751D5" w:rsidRPr="009369BF">
        <w:t xml:space="preserve">In </w:t>
      </w:r>
      <w:r w:rsidR="00531B38" w:rsidRPr="009369BF">
        <w:t>201</w:t>
      </w:r>
      <w:r w:rsidR="00531B38">
        <w:t>4</w:t>
      </w:r>
      <w:r w:rsidR="00B751D5" w:rsidRPr="009369BF">
        <w:t xml:space="preserve">, a total of </w:t>
      </w:r>
      <w:r w:rsidR="00931A37">
        <w:t>42,804</w:t>
      </w:r>
      <w:r w:rsidR="00B751D5" w:rsidRPr="009369BF">
        <w:t xml:space="preserve"> labour inspections were conducted in the country; </w:t>
      </w:r>
      <w:r w:rsidR="00931A37">
        <w:t>30,228</w:t>
      </w:r>
      <w:r w:rsidR="00B751D5" w:rsidRPr="009369BF">
        <w:t xml:space="preserve"> in </w:t>
      </w:r>
      <w:r w:rsidR="00210ACE">
        <w:t>p</w:t>
      </w:r>
      <w:r w:rsidR="00B751D5" w:rsidRPr="009369BF">
        <w:t xml:space="preserve">eninsular Malaysia; </w:t>
      </w:r>
      <w:r w:rsidR="00931A37">
        <w:t>7,952</w:t>
      </w:r>
      <w:r w:rsidR="00B751D5" w:rsidRPr="009369BF">
        <w:t xml:space="preserve"> in Sabah and </w:t>
      </w:r>
      <w:r w:rsidR="00931A37">
        <w:t>4,624</w:t>
      </w:r>
      <w:r w:rsidR="00B751D5" w:rsidRPr="009369BF">
        <w:t xml:space="preserve"> in Sarawak. </w:t>
      </w:r>
      <w:r w:rsidR="00F93171">
        <w:t xml:space="preserve">Specialist labour inspectors investigated </w:t>
      </w:r>
      <w:r w:rsidR="00210ACE">
        <w:t>seven</w:t>
      </w:r>
      <w:r w:rsidR="00F93171">
        <w:t xml:space="preserve"> cases, of which</w:t>
      </w:r>
      <w:r w:rsidR="00B751D5" w:rsidRPr="009369BF">
        <w:t xml:space="preserve"> </w:t>
      </w:r>
      <w:r w:rsidR="00210ACE">
        <w:t>two</w:t>
      </w:r>
      <w:r w:rsidR="000A0F39" w:rsidRPr="009369BF">
        <w:t xml:space="preserve"> </w:t>
      </w:r>
      <w:r w:rsidR="00114BF3" w:rsidRPr="009369BF">
        <w:t xml:space="preserve">were </w:t>
      </w:r>
      <w:r w:rsidR="00114BF3">
        <w:t xml:space="preserve">identified as </w:t>
      </w:r>
      <w:r w:rsidR="00B751D5" w:rsidRPr="009369BF">
        <w:t xml:space="preserve">cases of trafficking while </w:t>
      </w:r>
      <w:r w:rsidR="00210ACE">
        <w:t>five</w:t>
      </w:r>
      <w:r w:rsidR="000A0F39">
        <w:t xml:space="preserve"> </w:t>
      </w:r>
      <w:r w:rsidR="00B751D5" w:rsidRPr="009369BF">
        <w:t xml:space="preserve">cases were referred for investigation under the Employment Act. </w:t>
      </w:r>
      <w:r w:rsidR="00114BF3">
        <w:t>These figures</w:t>
      </w:r>
      <w:r w:rsidR="00114BF3" w:rsidRPr="009369BF">
        <w:t xml:space="preserve"> </w:t>
      </w:r>
      <w:r w:rsidR="00114BF3">
        <w:t>suggest</w:t>
      </w:r>
      <w:r w:rsidR="00114BF3" w:rsidRPr="009369BF">
        <w:t xml:space="preserve"> </w:t>
      </w:r>
      <w:r w:rsidR="00B751D5" w:rsidRPr="009369BF">
        <w:t xml:space="preserve">that cases involving </w:t>
      </w:r>
      <w:r w:rsidR="00114BF3">
        <w:t xml:space="preserve">the </w:t>
      </w:r>
      <w:r w:rsidR="00B751D5" w:rsidRPr="009369BF">
        <w:t xml:space="preserve">confiscation of passports or </w:t>
      </w:r>
      <w:r w:rsidR="00114BF3">
        <w:t xml:space="preserve">the </w:t>
      </w:r>
      <w:r w:rsidR="00B751D5" w:rsidRPr="009369BF">
        <w:t>withholding of salaries are often misidentified as labour offen</w:t>
      </w:r>
      <w:r w:rsidR="00114BF3">
        <w:t>c</w:t>
      </w:r>
      <w:r w:rsidR="00B751D5" w:rsidRPr="009369BF">
        <w:t>es owing to the absence of clarity o</w:t>
      </w:r>
      <w:r w:rsidR="00114BF3">
        <w:t>n</w:t>
      </w:r>
      <w:r w:rsidR="00B751D5" w:rsidRPr="009369BF">
        <w:t xml:space="preserve"> </w:t>
      </w:r>
      <w:r w:rsidR="00114BF3">
        <w:t xml:space="preserve">what </w:t>
      </w:r>
      <w:r w:rsidR="00B751D5" w:rsidRPr="009369BF">
        <w:t>trafficking for the purposes of labour exploitation</w:t>
      </w:r>
      <w:r w:rsidR="00114BF3">
        <w:t xml:space="preserve"> is</w:t>
      </w:r>
      <w:r w:rsidR="00B751D5" w:rsidRPr="009369BF">
        <w:t xml:space="preserve"> and </w:t>
      </w:r>
      <w:r w:rsidR="00114BF3">
        <w:t xml:space="preserve">what are </w:t>
      </w:r>
      <w:r w:rsidR="00B751D5" w:rsidRPr="009369BF">
        <w:t xml:space="preserve">other labour cases, </w:t>
      </w:r>
      <w:r w:rsidR="00114BF3">
        <w:t xml:space="preserve">and </w:t>
      </w:r>
      <w:r w:rsidR="00B751D5" w:rsidRPr="009369BF">
        <w:t>the fact that</w:t>
      </w:r>
      <w:r w:rsidR="00B751D5" w:rsidRPr="007168E3">
        <w:t xml:space="preserve"> </w:t>
      </w:r>
      <w:r w:rsidR="00B751D5" w:rsidRPr="0042721A">
        <w:t>labour inspectors</w:t>
      </w:r>
      <w:r w:rsidR="00B751D5" w:rsidRPr="007168E3">
        <w:t xml:space="preserve"> speciali</w:t>
      </w:r>
      <w:r w:rsidR="00114BF3">
        <w:t>z</w:t>
      </w:r>
      <w:r w:rsidR="00B751D5" w:rsidRPr="007168E3">
        <w:t xml:space="preserve">ed in labour trafficking are </w:t>
      </w:r>
      <w:r w:rsidR="00114BF3">
        <w:t xml:space="preserve">too </w:t>
      </w:r>
      <w:r w:rsidR="00B751D5" w:rsidRPr="007168E3">
        <w:t xml:space="preserve">few </w:t>
      </w:r>
      <w:r w:rsidR="00114BF3">
        <w:t>for</w:t>
      </w:r>
      <w:r w:rsidR="00B751D5" w:rsidRPr="007168E3">
        <w:t xml:space="preserve"> the number of workplaces and not sufficiently trained</w:t>
      </w:r>
      <w:r w:rsidR="00B751D5" w:rsidRPr="009369BF">
        <w:t xml:space="preserve">. </w:t>
      </w:r>
    </w:p>
    <w:p w:rsidR="00B751D5" w:rsidRPr="009369BF" w:rsidRDefault="0023396D" w:rsidP="0023396D">
      <w:pPr>
        <w:pStyle w:val="SingleTxtG"/>
      </w:pPr>
      <w:r w:rsidRPr="009369BF">
        <w:rPr>
          <w:iCs/>
        </w:rPr>
        <w:t>54.</w:t>
      </w:r>
      <w:r w:rsidRPr="009369BF">
        <w:rPr>
          <w:iCs/>
        </w:rPr>
        <w:tab/>
      </w:r>
      <w:r w:rsidR="00B751D5" w:rsidRPr="00A71DB5">
        <w:t xml:space="preserve">Other factors that contribute to </w:t>
      </w:r>
      <w:r w:rsidR="00FC5491">
        <w:t>the lack of</w:t>
      </w:r>
      <w:r w:rsidR="00FC5491" w:rsidRPr="00A71DB5">
        <w:t xml:space="preserve"> </w:t>
      </w:r>
      <w:r w:rsidR="00B751D5" w:rsidRPr="00A71DB5">
        <w:t>identification of cases of trafficking in sectors typically linked with it is the lack of clear understanding of the issue of trafficking by authorities</w:t>
      </w:r>
      <w:r w:rsidR="00FC5491">
        <w:t>;</w:t>
      </w:r>
      <w:r w:rsidR="00B751D5">
        <w:t xml:space="preserve"> an</w:t>
      </w:r>
      <w:r w:rsidR="00B751D5" w:rsidRPr="00A71DB5">
        <w:t xml:space="preserve"> attitude </w:t>
      </w:r>
      <w:r w:rsidR="00B751D5">
        <w:t xml:space="preserve">which </w:t>
      </w:r>
      <w:r w:rsidR="00B751D5" w:rsidRPr="00A71DB5">
        <w:t>could hamper national anti-trafficking initiatives. A case in point is the</w:t>
      </w:r>
      <w:r w:rsidR="00B751D5" w:rsidRPr="009369BF">
        <w:t xml:space="preserve"> apparent unwillingness </w:t>
      </w:r>
      <w:r w:rsidR="00FC5491">
        <w:t>of</w:t>
      </w:r>
      <w:r w:rsidR="00FC5491" w:rsidRPr="009369BF">
        <w:t xml:space="preserve"> </w:t>
      </w:r>
      <w:r w:rsidR="00B751D5" w:rsidRPr="009369BF">
        <w:t xml:space="preserve">the Ministry of Plantation </w:t>
      </w:r>
      <w:r w:rsidR="00FC5491">
        <w:t xml:space="preserve">Industries and Commodities </w:t>
      </w:r>
      <w:r w:rsidR="00B751D5" w:rsidRPr="009369BF">
        <w:t>to identify possible situations of trafficking for labour exploitation on the grounds that the palm oil market is highly competitive</w:t>
      </w:r>
      <w:r w:rsidR="00FC5491">
        <w:t xml:space="preserve"> and</w:t>
      </w:r>
      <w:r w:rsidR="00B751D5" w:rsidRPr="009369BF">
        <w:t xml:space="preserve"> tightly regulated and </w:t>
      </w:r>
      <w:r w:rsidR="00FC5491">
        <w:t xml:space="preserve">that </w:t>
      </w:r>
      <w:r w:rsidR="00B751D5" w:rsidRPr="009369BF">
        <w:t xml:space="preserve">the </w:t>
      </w:r>
      <w:r w:rsidR="007E0AEE">
        <w:t>frequent use of</w:t>
      </w:r>
      <w:r w:rsidR="007D3D1A">
        <w:t xml:space="preserve"> c</w:t>
      </w:r>
      <w:r w:rsidR="00B751D5" w:rsidRPr="009369BF">
        <w:t xml:space="preserve">hild labour in this sector is culturally accepted. The Special Rapporteur wishes to </w:t>
      </w:r>
      <w:r w:rsidR="00FC5491">
        <w:t>emphasize</w:t>
      </w:r>
      <w:r w:rsidR="00FC5491" w:rsidRPr="009369BF">
        <w:t xml:space="preserve"> </w:t>
      </w:r>
      <w:r w:rsidR="00B751D5" w:rsidRPr="009369BF">
        <w:t>that</w:t>
      </w:r>
      <w:r w:rsidR="00FC5491">
        <w:t>,</w:t>
      </w:r>
      <w:r w:rsidR="00B751D5" w:rsidRPr="009369BF">
        <w:t xml:space="preserve"> in an industry relying on low</w:t>
      </w:r>
      <w:r w:rsidR="00FC5491">
        <w:t>-</w:t>
      </w:r>
      <w:r w:rsidR="00B751D5" w:rsidRPr="009369BF">
        <w:t>skilled migrant workers</w:t>
      </w:r>
      <w:r w:rsidR="00FC5491">
        <w:t xml:space="preserve"> and given </w:t>
      </w:r>
      <w:r w:rsidR="00B751D5" w:rsidRPr="009369BF">
        <w:t xml:space="preserve">the prevalent </w:t>
      </w:r>
      <w:r w:rsidR="00FC5491">
        <w:t>practice of</w:t>
      </w:r>
      <w:r w:rsidR="00FC5491" w:rsidRPr="009369BF">
        <w:t xml:space="preserve"> </w:t>
      </w:r>
      <w:r w:rsidR="00B751D5" w:rsidRPr="009369BF">
        <w:t>recruit</w:t>
      </w:r>
      <w:r w:rsidR="00FC5491">
        <w:t>ing</w:t>
      </w:r>
      <w:r w:rsidR="00B751D5" w:rsidRPr="009369BF">
        <w:t xml:space="preserve"> foreigners</w:t>
      </w:r>
      <w:r w:rsidR="00FC5491">
        <w:t xml:space="preserve"> to work in the industry</w:t>
      </w:r>
      <w:r w:rsidR="00B751D5" w:rsidRPr="009369BF">
        <w:t xml:space="preserve"> and credible information from stakeholders, </w:t>
      </w:r>
      <w:r w:rsidR="002B7AE7">
        <w:t xml:space="preserve">the occurrence of </w:t>
      </w:r>
      <w:r w:rsidR="00B751D5" w:rsidRPr="009369BF">
        <w:t>human trafficking cannot be excluded from this sector.</w:t>
      </w:r>
    </w:p>
    <w:p w:rsidR="00B751D5" w:rsidRPr="009369BF" w:rsidRDefault="0023396D" w:rsidP="0023396D">
      <w:pPr>
        <w:pStyle w:val="SingleTxtG"/>
      </w:pPr>
      <w:r w:rsidRPr="009369BF">
        <w:rPr>
          <w:iCs/>
        </w:rPr>
        <w:t>55.</w:t>
      </w:r>
      <w:r w:rsidRPr="009369BF">
        <w:rPr>
          <w:iCs/>
        </w:rPr>
        <w:tab/>
      </w:r>
      <w:r w:rsidR="00B751D5" w:rsidRPr="008D6EC0">
        <w:t xml:space="preserve">There is also a real danger </w:t>
      </w:r>
      <w:r w:rsidR="00417A5B">
        <w:t>that</w:t>
      </w:r>
      <w:r w:rsidR="00417A5B" w:rsidRPr="008D6EC0">
        <w:t xml:space="preserve"> </w:t>
      </w:r>
      <w:r w:rsidR="00B751D5" w:rsidRPr="008D6EC0">
        <w:t>victims of trafficking</w:t>
      </w:r>
      <w:r w:rsidR="00417A5B">
        <w:t xml:space="preserve"> are misidentified</w:t>
      </w:r>
      <w:r w:rsidR="00B751D5" w:rsidRPr="008D6EC0">
        <w:t xml:space="preserve"> as irregular migrants, resulting in their arrest, detention and deportation. Once in the </w:t>
      </w:r>
      <w:r w:rsidR="00B751D5" w:rsidRPr="0042721A">
        <w:t>immigration detention</w:t>
      </w:r>
      <w:r w:rsidR="00B751D5" w:rsidRPr="008D6EC0">
        <w:t xml:space="preserve"> centre, the Special Rapporteur found there was no possibility </w:t>
      </w:r>
      <w:r w:rsidR="00417A5B">
        <w:t xml:space="preserve">for </w:t>
      </w:r>
      <w:r w:rsidR="00B751D5" w:rsidRPr="008D6EC0">
        <w:t xml:space="preserve">potential victims </w:t>
      </w:r>
      <w:r w:rsidR="00417A5B">
        <w:t xml:space="preserve">to be identified </w:t>
      </w:r>
      <w:r w:rsidR="00B751D5" w:rsidRPr="008D6EC0">
        <w:t>and their deportation</w:t>
      </w:r>
      <w:r w:rsidR="00417A5B">
        <w:t xml:space="preserve"> reversed</w:t>
      </w:r>
      <w:r w:rsidR="00B751D5" w:rsidRPr="008D6EC0">
        <w:t>. In this regard, she note</w:t>
      </w:r>
      <w:r w:rsidR="00B751D5">
        <w:t>d</w:t>
      </w:r>
      <w:r w:rsidR="00B751D5" w:rsidRPr="008D6EC0">
        <w:t xml:space="preserve"> that of the </w:t>
      </w:r>
      <w:r w:rsidR="00417A5B">
        <w:t>four</w:t>
      </w:r>
      <w:r w:rsidR="00417A5B" w:rsidRPr="008D6EC0">
        <w:t xml:space="preserve"> </w:t>
      </w:r>
      <w:r w:rsidR="00B751D5" w:rsidRPr="008D6EC0">
        <w:t>persons she interviewed</w:t>
      </w:r>
      <w:r w:rsidR="00417A5B">
        <w:t xml:space="preserve"> at random</w:t>
      </w:r>
      <w:r w:rsidR="00B751D5" w:rsidRPr="008D6EC0">
        <w:t xml:space="preserve"> at an immigration detention cent</w:t>
      </w:r>
      <w:r w:rsidR="00417A5B">
        <w:t>re</w:t>
      </w:r>
      <w:r w:rsidR="00B751D5">
        <w:t xml:space="preserve"> in the course of her visit</w:t>
      </w:r>
      <w:r w:rsidR="00B751D5" w:rsidRPr="008D6EC0">
        <w:t xml:space="preserve">, </w:t>
      </w:r>
      <w:r w:rsidR="00417A5B">
        <w:t>two</w:t>
      </w:r>
      <w:r w:rsidR="00B751D5" w:rsidRPr="008D6EC0">
        <w:t xml:space="preserve"> could have been identified </w:t>
      </w:r>
      <w:r w:rsidR="00B751D5">
        <w:t xml:space="preserve">as trafficking cases </w:t>
      </w:r>
      <w:r w:rsidR="00B751D5" w:rsidRPr="008D6EC0">
        <w:t>by trained officers</w:t>
      </w:r>
      <w:r w:rsidR="00B751D5">
        <w:t xml:space="preserve">. </w:t>
      </w:r>
      <w:r w:rsidR="00417A5B">
        <w:t>Yet, t</w:t>
      </w:r>
      <w:r w:rsidR="00B751D5">
        <w:t xml:space="preserve">hese persons </w:t>
      </w:r>
      <w:r w:rsidR="00B751D5" w:rsidRPr="008D6EC0">
        <w:t>will be deported without proper assessment of whether or not their return would be safe</w:t>
      </w:r>
      <w:r w:rsidR="00B751D5">
        <w:t xml:space="preserve"> or </w:t>
      </w:r>
      <w:r w:rsidR="00417A5B">
        <w:t xml:space="preserve">whether they will be </w:t>
      </w:r>
      <w:r w:rsidR="00B751D5">
        <w:t>at risk of re-trafficking</w:t>
      </w:r>
      <w:r w:rsidR="00B751D5" w:rsidRPr="008D6EC0">
        <w:t xml:space="preserve">. </w:t>
      </w:r>
    </w:p>
    <w:p w:rsidR="00B751D5" w:rsidRPr="008D6EC0" w:rsidRDefault="0023396D" w:rsidP="0023396D">
      <w:pPr>
        <w:pStyle w:val="SingleTxtG"/>
      </w:pPr>
      <w:r w:rsidRPr="008D6EC0">
        <w:rPr>
          <w:iCs/>
        </w:rPr>
        <w:t>56.</w:t>
      </w:r>
      <w:r w:rsidRPr="008D6EC0">
        <w:rPr>
          <w:iCs/>
        </w:rPr>
        <w:tab/>
      </w:r>
      <w:r w:rsidR="00B751D5" w:rsidRPr="008D6EC0">
        <w:t xml:space="preserve">In addition, there is a lack of appropriate infrastructures and services designed to facilitate the identification of trafficked persons, such as </w:t>
      </w:r>
      <w:r w:rsidR="00B751D5" w:rsidRPr="0042721A">
        <w:t>hotlines</w:t>
      </w:r>
      <w:r w:rsidR="00B751D5" w:rsidRPr="008D6EC0">
        <w:t xml:space="preserve"> dedicated to trafficked victims. The </w:t>
      </w:r>
      <w:r w:rsidR="00B751D5" w:rsidRPr="009369BF">
        <w:t>Ministry of Women, Family and Community Development</w:t>
      </w:r>
      <w:r w:rsidR="00B751D5" w:rsidRPr="008D6EC0">
        <w:t xml:space="preserve"> maintains a national helpline, which operates 24 hours a day, seven days a week to address a variety of social concerns, such as domestic violence</w:t>
      </w:r>
      <w:r w:rsidR="00417A5B">
        <w:t xml:space="preserve"> and</w:t>
      </w:r>
      <w:r w:rsidR="00B751D5" w:rsidRPr="008D6EC0">
        <w:t xml:space="preserve"> child abuse. Similarly</w:t>
      </w:r>
      <w:r w:rsidR="00417A5B">
        <w:t>,</w:t>
      </w:r>
      <w:r w:rsidR="00B751D5" w:rsidRPr="008D6EC0">
        <w:t xml:space="preserve"> </w:t>
      </w:r>
      <w:r w:rsidR="00417A5B">
        <w:t>a</w:t>
      </w:r>
      <w:r w:rsidR="00417A5B" w:rsidRPr="008D6EC0">
        <w:t xml:space="preserve"> </w:t>
      </w:r>
      <w:r w:rsidR="00B751D5" w:rsidRPr="008D6EC0">
        <w:t>Kuala Lumpur police hotline operates 24 hours a day to receive public complaint</w:t>
      </w:r>
      <w:r w:rsidR="00B751D5">
        <w:t>s</w:t>
      </w:r>
      <w:r w:rsidR="00B751D5" w:rsidRPr="008D6EC0">
        <w:t xml:space="preserve"> on a number of issues. Regrettably, these hotlines are available only in Bahasa Malaysia and English, </w:t>
      </w:r>
      <w:r w:rsidR="00417A5B">
        <w:t>despite</w:t>
      </w:r>
      <w:r w:rsidR="00417A5B" w:rsidRPr="008D6EC0">
        <w:t xml:space="preserve"> </w:t>
      </w:r>
      <w:r w:rsidR="00B751D5" w:rsidRPr="008D6EC0">
        <w:t xml:space="preserve">the </w:t>
      </w:r>
      <w:r w:rsidR="00B751D5" w:rsidRPr="008D6EC0">
        <w:lastRenderedPageBreak/>
        <w:t xml:space="preserve">fact that trafficked persons in Malaysia mostly speak other languages. The </w:t>
      </w:r>
      <w:r w:rsidR="00B751D5">
        <w:t xml:space="preserve">lack of </w:t>
      </w:r>
      <w:r w:rsidR="00B751D5" w:rsidRPr="008D6EC0">
        <w:t>capacity of operators to accurately identify victims from</w:t>
      </w:r>
      <w:r w:rsidR="00417A5B">
        <w:t xml:space="preserve"> among</w:t>
      </w:r>
      <w:r w:rsidR="00B751D5" w:rsidRPr="008D6EC0">
        <w:t xml:space="preserve"> the callers and </w:t>
      </w:r>
      <w:r w:rsidR="00417A5B">
        <w:t>to provide</w:t>
      </w:r>
      <w:r w:rsidR="00B751D5" w:rsidRPr="008D6EC0">
        <w:t xml:space="preserve"> information for their protection is a</w:t>
      </w:r>
      <w:r w:rsidR="00B751D5">
        <w:t>n additional</w:t>
      </w:r>
      <w:r w:rsidR="00B751D5" w:rsidRPr="008D6EC0">
        <w:t xml:space="preserve"> aspect that hinders identification.</w:t>
      </w:r>
    </w:p>
    <w:p w:rsidR="00B751D5" w:rsidRPr="0035152F" w:rsidRDefault="00B751D5" w:rsidP="00B751D5">
      <w:pPr>
        <w:pStyle w:val="H1G"/>
      </w:pPr>
      <w:r w:rsidRPr="0035152F">
        <w:tab/>
        <w:t>E.</w:t>
      </w:r>
      <w:r w:rsidRPr="0035152F">
        <w:tab/>
        <w:t>Protection</w:t>
      </w:r>
    </w:p>
    <w:p w:rsidR="00B751D5" w:rsidRPr="008934FE" w:rsidRDefault="00B751D5" w:rsidP="00B751D5">
      <w:pPr>
        <w:pStyle w:val="H23G"/>
        <w:rPr>
          <w:lang w:eastAsia="en-GB"/>
        </w:rPr>
      </w:pPr>
      <w:r>
        <w:rPr>
          <w:lang w:eastAsia="en-GB"/>
        </w:rPr>
        <w:tab/>
      </w:r>
      <w:r w:rsidRPr="008934FE">
        <w:rPr>
          <w:lang w:eastAsia="en-GB"/>
        </w:rPr>
        <w:t>1.</w:t>
      </w:r>
      <w:r>
        <w:rPr>
          <w:lang w:eastAsia="en-GB"/>
        </w:rPr>
        <w:tab/>
      </w:r>
      <w:r w:rsidRPr="008934FE">
        <w:rPr>
          <w:lang w:eastAsia="en-GB"/>
        </w:rPr>
        <w:t>Shelters</w:t>
      </w:r>
    </w:p>
    <w:p w:rsidR="00B751D5" w:rsidRDefault="0023396D" w:rsidP="0023396D">
      <w:pPr>
        <w:pStyle w:val="SingleTxtG"/>
      </w:pPr>
      <w:r>
        <w:rPr>
          <w:iCs/>
        </w:rPr>
        <w:t>57.</w:t>
      </w:r>
      <w:r>
        <w:rPr>
          <w:iCs/>
        </w:rPr>
        <w:tab/>
      </w:r>
      <w:r w:rsidR="00B751D5" w:rsidRPr="00672338">
        <w:t xml:space="preserve">Protection officers appointed by the Ministry of </w:t>
      </w:r>
      <w:r w:rsidR="00B751D5" w:rsidRPr="006A3CA4">
        <w:t xml:space="preserve">Women, Family </w:t>
      </w:r>
      <w:r w:rsidR="00B751D5">
        <w:t>and</w:t>
      </w:r>
      <w:r w:rsidR="00B751D5" w:rsidRPr="006A3CA4">
        <w:t xml:space="preserve"> Community Development</w:t>
      </w:r>
      <w:r w:rsidR="00B751D5" w:rsidRPr="00672338">
        <w:t xml:space="preserve"> are responsible for the protection</w:t>
      </w:r>
      <w:r w:rsidR="00B751D5">
        <w:t>,</w:t>
      </w:r>
      <w:r w:rsidR="00B751D5" w:rsidRPr="00672338">
        <w:t xml:space="preserve"> </w:t>
      </w:r>
      <w:r w:rsidR="00B751D5">
        <w:t>care</w:t>
      </w:r>
      <w:r w:rsidR="00B751D5" w:rsidRPr="00672338">
        <w:t xml:space="preserve"> and supervision of victims of trafficking in shelters</w:t>
      </w:r>
      <w:r w:rsidR="00B03178">
        <w:t xml:space="preserve"> (see Anti-Trafficking Act, sect. 43)</w:t>
      </w:r>
      <w:r w:rsidR="00B751D5" w:rsidRPr="00672338">
        <w:t xml:space="preserve">. </w:t>
      </w:r>
      <w:r w:rsidR="00B751D5" w:rsidRPr="00B37FE7">
        <w:t>Protection for identified or potential victims of trafficking is provided on the basis o</w:t>
      </w:r>
      <w:r w:rsidR="00B751D5">
        <w:t>f</w:t>
      </w:r>
      <w:r w:rsidR="00B751D5" w:rsidRPr="00B37FE7">
        <w:t xml:space="preserve"> </w:t>
      </w:r>
      <w:r w:rsidR="00DC5FD7">
        <w:t>i</w:t>
      </w:r>
      <w:r w:rsidR="00B751D5">
        <w:t xml:space="preserve">nterim </w:t>
      </w:r>
      <w:r w:rsidR="00DC5FD7">
        <w:t>p</w:t>
      </w:r>
      <w:r w:rsidR="00B751D5">
        <w:t xml:space="preserve">rotection </w:t>
      </w:r>
      <w:r w:rsidR="00DC5FD7">
        <w:t>o</w:t>
      </w:r>
      <w:r w:rsidR="00B751D5">
        <w:t xml:space="preserve">rders </w:t>
      </w:r>
      <w:r w:rsidR="00B751D5" w:rsidRPr="00B37FE7">
        <w:t xml:space="preserve">and </w:t>
      </w:r>
      <w:r w:rsidR="00DC5FD7">
        <w:t>p</w:t>
      </w:r>
      <w:r w:rsidR="00B751D5">
        <w:t xml:space="preserve">rotection </w:t>
      </w:r>
      <w:r w:rsidR="00DC5FD7">
        <w:t>o</w:t>
      </w:r>
      <w:r w:rsidR="00B751D5">
        <w:t xml:space="preserve">rders </w:t>
      </w:r>
      <w:r w:rsidR="00B751D5" w:rsidRPr="00B37FE7">
        <w:t>issued by magistrates. Identified</w:t>
      </w:r>
      <w:r w:rsidR="00B751D5" w:rsidRPr="00FE273A">
        <w:t xml:space="preserve"> or potential victims of trafficking are placed by enforcement officers in temporary custody and brought before a </w:t>
      </w:r>
      <w:r w:rsidR="00DC5FD7">
        <w:t>m</w:t>
      </w:r>
      <w:r w:rsidR="00B751D5" w:rsidRPr="00FE273A">
        <w:t xml:space="preserve">agistrate within 24 hours for the purpose of obtaining an </w:t>
      </w:r>
      <w:r w:rsidR="00DC5FD7">
        <w:t>i</w:t>
      </w:r>
      <w:r w:rsidR="00B751D5" w:rsidRPr="0042721A">
        <w:t xml:space="preserve">nterim </w:t>
      </w:r>
      <w:r w:rsidR="00DC5FD7">
        <w:t>p</w:t>
      </w:r>
      <w:r w:rsidR="00B751D5" w:rsidRPr="0042721A">
        <w:t xml:space="preserve">rotection </w:t>
      </w:r>
      <w:r w:rsidR="00DC5FD7">
        <w:t>o</w:t>
      </w:r>
      <w:r w:rsidR="00B751D5" w:rsidRPr="0042721A">
        <w:t>rder</w:t>
      </w:r>
      <w:r w:rsidR="00DC5FD7">
        <w:t>,</w:t>
      </w:r>
      <w:r w:rsidR="00B751D5" w:rsidRPr="0042721A">
        <w:t xml:space="preserve"> </w:t>
      </w:r>
      <w:r w:rsidR="00DC5FD7">
        <w:t xml:space="preserve">under </w:t>
      </w:r>
      <w:r w:rsidR="00B751D5" w:rsidRPr="00FE273A">
        <w:t xml:space="preserve">which </w:t>
      </w:r>
      <w:r w:rsidR="00DC5FD7">
        <w:t xml:space="preserve">they are </w:t>
      </w:r>
      <w:r w:rsidR="00B751D5" w:rsidRPr="00FE273A">
        <w:t>place</w:t>
      </w:r>
      <w:r w:rsidR="00DC5FD7">
        <w:t>d</w:t>
      </w:r>
      <w:r w:rsidR="00B751D5" w:rsidRPr="00FE273A">
        <w:t xml:space="preserve"> in a </w:t>
      </w:r>
      <w:r w:rsidR="00B751D5">
        <w:t>shelter</w:t>
      </w:r>
      <w:r w:rsidR="00B751D5" w:rsidRPr="00FE273A">
        <w:t xml:space="preserve"> for </w:t>
      </w:r>
      <w:r w:rsidR="00DC5FD7">
        <w:t>14</w:t>
      </w:r>
      <w:r w:rsidR="00DC5FD7" w:rsidRPr="00FE273A">
        <w:t xml:space="preserve"> </w:t>
      </w:r>
      <w:r w:rsidR="00B751D5" w:rsidRPr="00FE273A">
        <w:t xml:space="preserve">days while </w:t>
      </w:r>
      <w:r w:rsidR="00DC5FD7">
        <w:t xml:space="preserve">an </w:t>
      </w:r>
      <w:r w:rsidR="00B751D5" w:rsidRPr="00FE273A">
        <w:t>investigation i</w:t>
      </w:r>
      <w:r w:rsidR="00B751D5">
        <w:t>s carried out</w:t>
      </w:r>
      <w:r w:rsidR="00B751D5" w:rsidRPr="00FE273A">
        <w:t xml:space="preserve">. </w:t>
      </w:r>
      <w:r w:rsidR="00DC5FD7">
        <w:t>On the basis</w:t>
      </w:r>
      <w:r w:rsidR="00DC5FD7" w:rsidRPr="00FE273A">
        <w:t xml:space="preserve"> </w:t>
      </w:r>
      <w:r w:rsidR="00B751D5" w:rsidRPr="00FE273A">
        <w:t>o</w:t>
      </w:r>
      <w:r w:rsidR="00DC5FD7">
        <w:t>f</w:t>
      </w:r>
      <w:r w:rsidR="00B751D5" w:rsidRPr="00FE273A">
        <w:t xml:space="preserve"> the outcome of the inquiry of </w:t>
      </w:r>
      <w:r w:rsidR="00B751D5">
        <w:t xml:space="preserve">both the </w:t>
      </w:r>
      <w:r w:rsidR="00B751D5" w:rsidRPr="00FE273A">
        <w:t xml:space="preserve">enforcement and </w:t>
      </w:r>
      <w:r w:rsidR="00B751D5">
        <w:t xml:space="preserve">the </w:t>
      </w:r>
      <w:r w:rsidR="00B751D5" w:rsidRPr="00FE273A">
        <w:t>protection officers, the</w:t>
      </w:r>
      <w:r w:rsidR="000F5600">
        <w:t xml:space="preserve"> magistrate indicates that a</w:t>
      </w:r>
      <w:r w:rsidR="00B751D5">
        <w:t xml:space="preserve"> person </w:t>
      </w:r>
      <w:r w:rsidR="000F5600">
        <w:t>i</w:t>
      </w:r>
      <w:r w:rsidR="00B751D5">
        <w:t>s a victim</w:t>
      </w:r>
      <w:r w:rsidR="00B751D5" w:rsidRPr="00FE273A">
        <w:t xml:space="preserve"> of trafficking in need of care </w:t>
      </w:r>
      <w:r w:rsidR="00B751D5">
        <w:t xml:space="preserve">and protection </w:t>
      </w:r>
      <w:r w:rsidR="000F5600">
        <w:t>by issuing</w:t>
      </w:r>
      <w:r w:rsidR="00B751D5">
        <w:t xml:space="preserve"> a </w:t>
      </w:r>
      <w:r w:rsidR="000F5600">
        <w:t>p</w:t>
      </w:r>
      <w:r w:rsidR="00B751D5" w:rsidRPr="0042721A">
        <w:t xml:space="preserve">rotection </w:t>
      </w:r>
      <w:r w:rsidR="000F5600">
        <w:t>o</w:t>
      </w:r>
      <w:r w:rsidR="00B751D5" w:rsidRPr="0042721A">
        <w:t>rder</w:t>
      </w:r>
      <w:r w:rsidR="00B751D5" w:rsidRPr="00FE273A">
        <w:t xml:space="preserve"> </w:t>
      </w:r>
      <w:r w:rsidR="00B751D5">
        <w:t xml:space="preserve">that places victims from Malaysia and those permanently residing in the country up to </w:t>
      </w:r>
      <w:r w:rsidR="000F5600">
        <w:t>two</w:t>
      </w:r>
      <w:r w:rsidR="00257C5E">
        <w:t> </w:t>
      </w:r>
      <w:r w:rsidR="00B751D5">
        <w:t>years in a shelter</w:t>
      </w:r>
      <w:r w:rsidR="00B03178">
        <w:t xml:space="preserve"> (see Anti-Trafficking Act, sects</w:t>
      </w:r>
      <w:r w:rsidR="00B751D5" w:rsidRPr="00FE273A">
        <w:t>.</w:t>
      </w:r>
      <w:r w:rsidR="00B03178">
        <w:t xml:space="preserve"> 44–51).</w:t>
      </w:r>
      <w:r w:rsidR="00B751D5" w:rsidRPr="00FE273A">
        <w:t xml:space="preserve"> </w:t>
      </w:r>
      <w:r w:rsidR="00B751D5">
        <w:t>F</w:t>
      </w:r>
      <w:r w:rsidR="00B751D5" w:rsidRPr="00FE273A">
        <w:t>oreign</w:t>
      </w:r>
      <w:r w:rsidR="00B751D5">
        <w:t xml:space="preserve">ers who are identified as victims of trafficking stay in </w:t>
      </w:r>
      <w:r w:rsidR="000F5600">
        <w:t xml:space="preserve">a </w:t>
      </w:r>
      <w:r w:rsidR="00B751D5">
        <w:t xml:space="preserve">shelter for </w:t>
      </w:r>
      <w:r w:rsidR="000F5600">
        <w:t>three</w:t>
      </w:r>
      <w:r w:rsidR="00B751D5" w:rsidRPr="00FE273A">
        <w:t xml:space="preserve"> months before being </w:t>
      </w:r>
      <w:r w:rsidR="00B751D5">
        <w:t xml:space="preserve">expulsed to their country of origin. Whereas those not found </w:t>
      </w:r>
      <w:r w:rsidR="000F5600">
        <w:t xml:space="preserve">to be </w:t>
      </w:r>
      <w:r w:rsidR="00B751D5">
        <w:t>victims are immediately deported</w:t>
      </w:r>
      <w:r w:rsidR="00B751D5" w:rsidRPr="00FE273A">
        <w:t xml:space="preserve">. Protection </w:t>
      </w:r>
      <w:r w:rsidR="000F5600">
        <w:t>o</w:t>
      </w:r>
      <w:r w:rsidR="00B751D5" w:rsidRPr="00FE273A">
        <w:t>rder</w:t>
      </w:r>
      <w:r w:rsidR="00B751D5">
        <w:t xml:space="preserve">s can be </w:t>
      </w:r>
      <w:r w:rsidR="00B751D5" w:rsidRPr="00FE273A">
        <w:t>extend</w:t>
      </w:r>
      <w:r w:rsidR="00B751D5">
        <w:t xml:space="preserve">ed under </w:t>
      </w:r>
      <w:r w:rsidR="00B751D5" w:rsidRPr="00FE273A">
        <w:t>exceptional circumstances</w:t>
      </w:r>
      <w:r w:rsidR="000F5600">
        <w:t>,</w:t>
      </w:r>
      <w:r w:rsidR="00B751D5" w:rsidRPr="00FE273A">
        <w:t xml:space="preserve"> </w:t>
      </w:r>
      <w:r w:rsidR="00B751D5">
        <w:t>such as</w:t>
      </w:r>
      <w:r w:rsidR="00B751D5" w:rsidRPr="00FE273A">
        <w:t xml:space="preserve"> </w:t>
      </w:r>
      <w:r w:rsidR="000F5600">
        <w:t>when</w:t>
      </w:r>
      <w:r w:rsidR="00B751D5" w:rsidRPr="00FE273A">
        <w:t xml:space="preserve"> the </w:t>
      </w:r>
      <w:r w:rsidR="00B751D5">
        <w:t>victim’s</w:t>
      </w:r>
      <w:r w:rsidR="00B751D5" w:rsidRPr="00FE273A">
        <w:t xml:space="preserve"> evidence</w:t>
      </w:r>
      <w:r w:rsidR="000F5600">
        <w:t xml:space="preserve"> is still be</w:t>
      </w:r>
      <w:r w:rsidR="00382A29">
        <w:t>ing</w:t>
      </w:r>
      <w:r w:rsidR="000F5600">
        <w:t xml:space="preserve"> collected</w:t>
      </w:r>
      <w:r w:rsidR="00B751D5">
        <w:t>.</w:t>
      </w:r>
    </w:p>
    <w:p w:rsidR="00B751D5" w:rsidRPr="008D6EC0" w:rsidRDefault="0023396D" w:rsidP="0023396D">
      <w:pPr>
        <w:pStyle w:val="SingleTxtG"/>
      </w:pPr>
      <w:r w:rsidRPr="008D6EC0">
        <w:rPr>
          <w:iCs/>
        </w:rPr>
        <w:t>58.</w:t>
      </w:r>
      <w:r w:rsidRPr="008D6EC0">
        <w:rPr>
          <w:iCs/>
        </w:rPr>
        <w:tab/>
      </w:r>
      <w:r w:rsidR="00B751D5" w:rsidRPr="008D6EC0">
        <w:t xml:space="preserve">In 2014, 1,684 individuals </w:t>
      </w:r>
      <w:r w:rsidR="000F5600" w:rsidRPr="008D6EC0">
        <w:t xml:space="preserve">rescued </w:t>
      </w:r>
      <w:r w:rsidR="00B751D5" w:rsidRPr="008D6EC0">
        <w:t xml:space="preserve">were granted </w:t>
      </w:r>
      <w:r w:rsidR="000F5600">
        <w:t>i</w:t>
      </w:r>
      <w:r w:rsidR="00B751D5">
        <w:t xml:space="preserve">nterim </w:t>
      </w:r>
      <w:r w:rsidR="000F5600">
        <w:t>p</w:t>
      </w:r>
      <w:r w:rsidR="00B751D5">
        <w:t xml:space="preserve">rotection </w:t>
      </w:r>
      <w:r w:rsidR="000F5600">
        <w:t>o</w:t>
      </w:r>
      <w:r w:rsidR="00B751D5">
        <w:t>rders</w:t>
      </w:r>
      <w:r w:rsidR="000F5600">
        <w:t>,</w:t>
      </w:r>
      <w:r w:rsidR="00B751D5" w:rsidRPr="008D6EC0">
        <w:t xml:space="preserve"> of </w:t>
      </w:r>
      <w:r w:rsidR="000F5600">
        <w:t>whom</w:t>
      </w:r>
      <w:r w:rsidR="000F5600" w:rsidRPr="008D6EC0">
        <w:t xml:space="preserve"> </w:t>
      </w:r>
      <w:r w:rsidR="00B751D5" w:rsidRPr="008D6EC0">
        <w:t xml:space="preserve">303 were granted </w:t>
      </w:r>
      <w:r w:rsidR="000F5600">
        <w:t>p</w:t>
      </w:r>
      <w:r w:rsidR="00B751D5">
        <w:t xml:space="preserve">rotection </w:t>
      </w:r>
      <w:r w:rsidR="000F5600">
        <w:t>o</w:t>
      </w:r>
      <w:r w:rsidR="00B751D5">
        <w:t>rders</w:t>
      </w:r>
      <w:r w:rsidR="00B751D5" w:rsidRPr="008D6EC0">
        <w:t xml:space="preserve"> and placed </w:t>
      </w:r>
      <w:r w:rsidR="000F5600">
        <w:t>in</w:t>
      </w:r>
      <w:r w:rsidR="000F5600" w:rsidRPr="008D6EC0">
        <w:t xml:space="preserve"> </w:t>
      </w:r>
      <w:r w:rsidR="00B751D5" w:rsidRPr="008D6EC0">
        <w:t xml:space="preserve">the </w:t>
      </w:r>
      <w:r w:rsidR="000F5600">
        <w:t>g</w:t>
      </w:r>
      <w:r w:rsidR="00B751D5" w:rsidRPr="008D6EC0">
        <w:t xml:space="preserve">overnment </w:t>
      </w:r>
      <w:r w:rsidR="000F5600">
        <w:t>s</w:t>
      </w:r>
      <w:r w:rsidR="00B751D5" w:rsidRPr="008D6EC0">
        <w:t xml:space="preserve">helter. The overwhelming majority of victims </w:t>
      </w:r>
      <w:r w:rsidR="002B7AE7" w:rsidRPr="008D6EC0">
        <w:t xml:space="preserve">identified </w:t>
      </w:r>
      <w:r w:rsidR="00B751D5" w:rsidRPr="008D6EC0">
        <w:t xml:space="preserve">were female (295 female and 8 male victims) </w:t>
      </w:r>
      <w:r w:rsidR="00B751D5">
        <w:t xml:space="preserve">mainly </w:t>
      </w:r>
      <w:r w:rsidR="00B751D5" w:rsidRPr="008D6EC0">
        <w:t>from Indonesia (141), Viet</w:t>
      </w:r>
      <w:r w:rsidR="0026726A">
        <w:t xml:space="preserve"> N</w:t>
      </w:r>
      <w:r w:rsidR="00B751D5" w:rsidRPr="008D6EC0">
        <w:t xml:space="preserve">am (91) and </w:t>
      </w:r>
      <w:r w:rsidR="0026726A">
        <w:t xml:space="preserve">the </w:t>
      </w:r>
      <w:r w:rsidR="00B751D5" w:rsidRPr="008D6EC0">
        <w:t>Philippines (31).</w:t>
      </w:r>
      <w:r w:rsidR="00B751D5" w:rsidRPr="00CF713B">
        <w:rPr>
          <w:rStyle w:val="FootnoteReference"/>
        </w:rPr>
        <w:footnoteReference w:id="11"/>
      </w:r>
    </w:p>
    <w:p w:rsidR="00B751D5" w:rsidRPr="008D6EC0" w:rsidRDefault="0023396D" w:rsidP="0023396D">
      <w:pPr>
        <w:pStyle w:val="SingleTxtG"/>
      </w:pPr>
      <w:r w:rsidRPr="008D6EC0">
        <w:rPr>
          <w:iCs/>
        </w:rPr>
        <w:t>59.</w:t>
      </w:r>
      <w:r w:rsidRPr="008D6EC0">
        <w:rPr>
          <w:iCs/>
        </w:rPr>
        <w:tab/>
      </w:r>
      <w:r w:rsidR="00B751D5" w:rsidRPr="008D6EC0">
        <w:t xml:space="preserve">The </w:t>
      </w:r>
      <w:r w:rsidR="0026726A">
        <w:t>M</w:t>
      </w:r>
      <w:r w:rsidR="00B751D5" w:rsidRPr="008D6EC0">
        <w:t xml:space="preserve">inistry of </w:t>
      </w:r>
      <w:r w:rsidR="0026726A">
        <w:t>W</w:t>
      </w:r>
      <w:r w:rsidR="00B751D5" w:rsidRPr="008D6EC0">
        <w:t>omen</w:t>
      </w:r>
      <w:r w:rsidR="0026726A">
        <w:t>, Family and Community Development</w:t>
      </w:r>
      <w:r w:rsidR="00B751D5" w:rsidRPr="008D6EC0">
        <w:t xml:space="preserve"> currently runs </w:t>
      </w:r>
      <w:r w:rsidR="0026726A">
        <w:t>eight</w:t>
      </w:r>
      <w:r w:rsidR="00B751D5" w:rsidRPr="008D6EC0">
        <w:t xml:space="preserve"> shelters. The Special Rapporteur was impressed by the standard of the </w:t>
      </w:r>
      <w:r w:rsidR="0026726A">
        <w:t>three</w:t>
      </w:r>
      <w:r w:rsidR="00B751D5" w:rsidRPr="008D6EC0">
        <w:t xml:space="preserve"> government </w:t>
      </w:r>
      <w:r w:rsidR="00B751D5" w:rsidRPr="0042721A">
        <w:t>shelters</w:t>
      </w:r>
      <w:r w:rsidR="00B751D5" w:rsidRPr="008D6EC0">
        <w:t xml:space="preserve"> for children, women and men victim</w:t>
      </w:r>
      <w:r w:rsidR="00B751D5">
        <w:t xml:space="preserve"> </w:t>
      </w:r>
      <w:r w:rsidR="0026726A">
        <w:t xml:space="preserve">to </w:t>
      </w:r>
      <w:r w:rsidR="00B751D5">
        <w:t>trafficking</w:t>
      </w:r>
      <w:r w:rsidR="00B751D5" w:rsidRPr="008D6EC0">
        <w:t xml:space="preserve"> </w:t>
      </w:r>
      <w:r w:rsidR="0026726A">
        <w:t xml:space="preserve">that </w:t>
      </w:r>
      <w:r w:rsidR="00B751D5" w:rsidRPr="008D6EC0">
        <w:t>she visited</w:t>
      </w:r>
      <w:r w:rsidR="0026726A">
        <w:t>,</w:t>
      </w:r>
      <w:r w:rsidR="00B751D5" w:rsidRPr="008D6EC0">
        <w:t xml:space="preserve"> which were modern, clean and provided limited access to psychological, medical, language and other support services in collaboration with </w:t>
      </w:r>
      <w:r w:rsidR="0026726A">
        <w:t>a handful of</w:t>
      </w:r>
      <w:r w:rsidR="0026726A" w:rsidRPr="008D6EC0">
        <w:t xml:space="preserve"> </w:t>
      </w:r>
      <w:r w:rsidR="00B751D5" w:rsidRPr="008D6EC0">
        <w:t>NGOs. While the committed and dedicated staff in the shelters do their utmost with</w:t>
      </w:r>
      <w:r w:rsidR="00B751D5">
        <w:t>in</w:t>
      </w:r>
      <w:r w:rsidR="00B751D5" w:rsidRPr="008D6EC0">
        <w:t xml:space="preserve"> available resources, there is an evident lack of capacity to provide </w:t>
      </w:r>
      <w:r w:rsidR="0026726A" w:rsidRPr="008D6EC0">
        <w:t>victims</w:t>
      </w:r>
      <w:r w:rsidR="0026726A">
        <w:t xml:space="preserve"> with</w:t>
      </w:r>
      <w:r w:rsidR="0026726A" w:rsidRPr="008D6EC0">
        <w:t xml:space="preserve"> </w:t>
      </w:r>
      <w:r w:rsidR="00B751D5" w:rsidRPr="008D6EC0">
        <w:t>comprehensive support</w:t>
      </w:r>
      <w:r w:rsidR="0026726A">
        <w:t>,</w:t>
      </w:r>
      <w:r w:rsidR="00B751D5" w:rsidRPr="008D6EC0">
        <w:t xml:space="preserve"> including psychological and legal. For instance, although trafficked victims in the shelters come from </w:t>
      </w:r>
      <w:r w:rsidR="00B751D5" w:rsidRPr="0034538C">
        <w:t>various countries</w:t>
      </w:r>
      <w:r w:rsidR="0026726A">
        <w:t xml:space="preserve"> and</w:t>
      </w:r>
      <w:r w:rsidR="00B751D5" w:rsidRPr="0034538C">
        <w:t xml:space="preserve"> </w:t>
      </w:r>
      <w:r w:rsidR="002B7AE7">
        <w:t>speak</w:t>
      </w:r>
      <w:r w:rsidR="002B7AE7" w:rsidRPr="008D6EC0">
        <w:t xml:space="preserve"> </w:t>
      </w:r>
      <w:r w:rsidR="00B751D5" w:rsidRPr="008D6EC0">
        <w:t>different languages and dialects, there are no on</w:t>
      </w:r>
      <w:r w:rsidR="0026726A">
        <w:t>-</w:t>
      </w:r>
      <w:r w:rsidR="00B751D5" w:rsidRPr="008D6EC0">
        <w:t xml:space="preserve">site interpreters available to assist </w:t>
      </w:r>
      <w:r w:rsidR="00B751D5">
        <w:t>them</w:t>
      </w:r>
      <w:r w:rsidR="00B751D5" w:rsidRPr="008D6EC0">
        <w:t xml:space="preserve"> on a daily basis. Furthermore, trafficked persons are not provided with suitable </w:t>
      </w:r>
      <w:r w:rsidR="00B751D5" w:rsidRPr="0042721A">
        <w:t>educational and vocational training during their stay in the shelter.</w:t>
      </w:r>
      <w:r w:rsidR="00B751D5" w:rsidRPr="008D6EC0">
        <w:t xml:space="preserve"> Women and girls are provided with vocational training traditionally associated with women, such as s</w:t>
      </w:r>
      <w:r w:rsidR="0026726A">
        <w:t>e</w:t>
      </w:r>
      <w:r w:rsidR="00B751D5" w:rsidRPr="008D6EC0">
        <w:t>wing, cocking and handicraft</w:t>
      </w:r>
      <w:r w:rsidR="0026726A">
        <w:t>s</w:t>
      </w:r>
      <w:r w:rsidR="00B751D5" w:rsidRPr="008D6EC0">
        <w:t xml:space="preserve">, which may not correspond with their ambitions and talents, or the needs of the labour market. </w:t>
      </w:r>
    </w:p>
    <w:p w:rsidR="00B751D5" w:rsidRPr="008D6EC0" w:rsidRDefault="0023396D" w:rsidP="0023396D">
      <w:pPr>
        <w:pStyle w:val="SingleTxtG"/>
      </w:pPr>
      <w:r w:rsidRPr="008D6EC0">
        <w:rPr>
          <w:iCs/>
        </w:rPr>
        <w:t>60.</w:t>
      </w:r>
      <w:r w:rsidRPr="008D6EC0">
        <w:rPr>
          <w:iCs/>
        </w:rPr>
        <w:tab/>
      </w:r>
      <w:r w:rsidR="00B751D5" w:rsidRPr="008D6EC0">
        <w:t xml:space="preserve">What is perhaps more alarming is that assisted victims are kept in </w:t>
      </w:r>
      <w:r w:rsidR="00B751D5" w:rsidRPr="0042721A">
        <w:t>closed shelters</w:t>
      </w:r>
      <w:r w:rsidR="00B751D5" w:rsidRPr="006B4FE3">
        <w:t xml:space="preserve"> </w:t>
      </w:r>
      <w:r w:rsidR="0026726A">
        <w:t xml:space="preserve">and </w:t>
      </w:r>
      <w:r w:rsidR="00B751D5" w:rsidRPr="008D6EC0">
        <w:t>deprived of freedom of movement and punished for escaping</w:t>
      </w:r>
      <w:r w:rsidR="00B751D5" w:rsidRPr="0042721A">
        <w:t xml:space="preserve">. </w:t>
      </w:r>
      <w:r w:rsidR="00B751D5" w:rsidRPr="008D6EC0">
        <w:t>The Special Rapporteur is concerned that</w:t>
      </w:r>
      <w:r w:rsidR="0026726A">
        <w:t>,</w:t>
      </w:r>
      <w:r w:rsidR="00B751D5" w:rsidRPr="008D6EC0">
        <w:t xml:space="preserve"> in effect, such shelters are equivalent to detention centres where trafficked persons are treated as criminals in custody rather than victims placed in a refuge </w:t>
      </w:r>
      <w:r w:rsidR="00B751D5" w:rsidRPr="008D6EC0">
        <w:lastRenderedPageBreak/>
        <w:t>for care and protection from further harm</w:t>
      </w:r>
      <w:r w:rsidR="00B751D5">
        <w:t>.</w:t>
      </w:r>
      <w:r w:rsidR="00B751D5" w:rsidRPr="008D6EC0">
        <w:t xml:space="preserve"> Victims are also prohibited from working while in shelters. </w:t>
      </w:r>
    </w:p>
    <w:p w:rsidR="00B751D5" w:rsidRPr="008D6EC0" w:rsidRDefault="0023396D" w:rsidP="0023396D">
      <w:pPr>
        <w:pStyle w:val="SingleTxtG"/>
      </w:pPr>
      <w:r w:rsidRPr="008D6EC0">
        <w:rPr>
          <w:iCs/>
        </w:rPr>
        <w:t>61.</w:t>
      </w:r>
      <w:r w:rsidRPr="008D6EC0">
        <w:rPr>
          <w:iCs/>
        </w:rPr>
        <w:tab/>
      </w:r>
      <w:r w:rsidR="00B751D5" w:rsidRPr="00384B05">
        <w:t xml:space="preserve">The fact that they are unable to leave and work outside the shelter </w:t>
      </w:r>
      <w:r w:rsidR="00B751D5">
        <w:t>is</w:t>
      </w:r>
      <w:r w:rsidR="00B751D5" w:rsidRPr="00384B05">
        <w:t xml:space="preserve"> reported to create a strong </w:t>
      </w:r>
      <w:r w:rsidR="00B751D5" w:rsidRPr="0042721A">
        <w:t>disincentive</w:t>
      </w:r>
      <w:r w:rsidR="00B751D5" w:rsidRPr="00384B05">
        <w:t xml:space="preserve"> among trafficked persons in Malaysia to be identified as such. Nearly all of the victims that the Special Rapporteur interviewed were not clear of the significance of their status and its resulting entitlement and expressed their wish to be released from the shelter to work and pay back debts. </w:t>
      </w:r>
    </w:p>
    <w:p w:rsidR="00B751D5" w:rsidRPr="009369BF" w:rsidRDefault="0023396D" w:rsidP="0023396D">
      <w:pPr>
        <w:pStyle w:val="SingleTxtG"/>
      </w:pPr>
      <w:r w:rsidRPr="009369BF">
        <w:rPr>
          <w:iCs/>
        </w:rPr>
        <w:t>62.</w:t>
      </w:r>
      <w:r w:rsidRPr="009369BF">
        <w:rPr>
          <w:iCs/>
        </w:rPr>
        <w:tab/>
      </w:r>
      <w:r w:rsidR="00B751D5" w:rsidRPr="009369BF">
        <w:t xml:space="preserve">Some </w:t>
      </w:r>
      <w:r w:rsidR="008F2696">
        <w:t>CSOs</w:t>
      </w:r>
      <w:r w:rsidR="00B751D5" w:rsidRPr="009369BF">
        <w:t xml:space="preserve"> have the capacity to provide protection and assistance to victims of trafficking. However, they are </w:t>
      </w:r>
      <w:r w:rsidR="0026726A">
        <w:t>currently</w:t>
      </w:r>
      <w:r w:rsidR="0026726A" w:rsidRPr="009369BF">
        <w:t xml:space="preserve"> </w:t>
      </w:r>
      <w:r w:rsidR="00B751D5" w:rsidRPr="009369BF">
        <w:t xml:space="preserve">not legally considered protection officers and are not able to contribute to the fight against trafficking. Their support is sought on an ad hoc basis because of the lack of enabling legislation designating them as protection officers with </w:t>
      </w:r>
      <w:r w:rsidR="00357BD7">
        <w:t>a</w:t>
      </w:r>
      <w:r w:rsidR="00357BD7" w:rsidRPr="009369BF">
        <w:t xml:space="preserve"> </w:t>
      </w:r>
      <w:r w:rsidR="00B751D5" w:rsidRPr="009369BF">
        <w:t xml:space="preserve">responsibility for the care of victims and the identification of victims of trafficking. </w:t>
      </w:r>
      <w:r w:rsidR="00B751D5">
        <w:t xml:space="preserve">The Special Rapporteur hopes that the pilot project being considered by the Ministry of </w:t>
      </w:r>
      <w:r w:rsidR="00B751D5" w:rsidRPr="006A3CA4">
        <w:t>Women</w:t>
      </w:r>
      <w:r w:rsidR="00B751D5">
        <w:t xml:space="preserve">, Family </w:t>
      </w:r>
      <w:r w:rsidR="00357BD7">
        <w:t>and</w:t>
      </w:r>
      <w:r w:rsidR="00B751D5">
        <w:t xml:space="preserve"> Community Development to enable NGOs to manage shelters will be implemented</w:t>
      </w:r>
      <w:r w:rsidR="00357BD7">
        <w:t>,</w:t>
      </w:r>
      <w:r w:rsidR="00B751D5">
        <w:t xml:space="preserve"> taking into consideration</w:t>
      </w:r>
      <w:r w:rsidR="00357BD7">
        <w:t>,</w:t>
      </w:r>
      <w:r w:rsidR="00B751D5">
        <w:t xml:space="preserve"> inter alia, the need of victims and the capacities and autonomy of NGOs. </w:t>
      </w:r>
      <w:r w:rsidR="00357BD7">
        <w:t>Additionally</w:t>
      </w:r>
      <w:r w:rsidR="00B751D5" w:rsidRPr="009369BF">
        <w:t>, NGO</w:t>
      </w:r>
      <w:r w:rsidR="00357BD7">
        <w:t>-</w:t>
      </w:r>
      <w:r w:rsidR="00B751D5" w:rsidRPr="009369BF">
        <w:t>run shelters are not recogni</w:t>
      </w:r>
      <w:r w:rsidR="00357BD7">
        <w:t>z</w:t>
      </w:r>
      <w:r w:rsidR="00B751D5" w:rsidRPr="009369BF">
        <w:t xml:space="preserve">ed as </w:t>
      </w:r>
      <w:r w:rsidR="00854165">
        <w:t>official</w:t>
      </w:r>
      <w:r w:rsidR="00854165" w:rsidRPr="009369BF">
        <w:t xml:space="preserve"> </w:t>
      </w:r>
      <w:r w:rsidR="00B751D5" w:rsidRPr="009369BF">
        <w:t>place</w:t>
      </w:r>
      <w:r w:rsidR="00357BD7">
        <w:t>s</w:t>
      </w:r>
      <w:r w:rsidR="00B751D5" w:rsidRPr="009369BF">
        <w:t xml:space="preserve"> of refuge for victims of trafficking. The Special Rapporteur hopes that the intention </w:t>
      </w:r>
      <w:r w:rsidR="00854165">
        <w:t xml:space="preserve">of the </w:t>
      </w:r>
      <w:r w:rsidR="00854165" w:rsidRPr="009369BF">
        <w:t xml:space="preserve">Council for Anti-Trafficking in Persons and Anti-Smuggling of Migrants </w:t>
      </w:r>
      <w:r w:rsidR="00B751D5" w:rsidRPr="009369BF">
        <w:t xml:space="preserve">to </w:t>
      </w:r>
      <w:r w:rsidR="00357BD7">
        <w:t xml:space="preserve">bring about the </w:t>
      </w:r>
      <w:r w:rsidR="00B751D5" w:rsidRPr="009369BF">
        <w:t>amend</w:t>
      </w:r>
      <w:r w:rsidR="00357BD7">
        <w:t>ment of</w:t>
      </w:r>
      <w:r w:rsidR="00B751D5" w:rsidRPr="009369BF">
        <w:t xml:space="preserve"> the </w:t>
      </w:r>
      <w:r w:rsidR="00357BD7">
        <w:t>A</w:t>
      </w:r>
      <w:r w:rsidR="00B751D5" w:rsidRPr="009369BF">
        <w:t>nti-</w:t>
      </w:r>
      <w:r w:rsidR="00357BD7">
        <w:t>T</w:t>
      </w:r>
      <w:r w:rsidR="00B751D5" w:rsidRPr="009369BF">
        <w:t xml:space="preserve">rafficking </w:t>
      </w:r>
      <w:r w:rsidR="00357BD7">
        <w:t>A</w:t>
      </w:r>
      <w:r w:rsidR="00B751D5" w:rsidRPr="009369BF">
        <w:t xml:space="preserve">ct for a more effective collaboration with CSOs is </w:t>
      </w:r>
      <w:r w:rsidR="00357BD7">
        <w:t>realized</w:t>
      </w:r>
      <w:r w:rsidR="00B751D5" w:rsidRPr="009369BF">
        <w:t xml:space="preserve"> without delay.</w:t>
      </w:r>
    </w:p>
    <w:p w:rsidR="00B751D5" w:rsidRPr="00CF713B" w:rsidRDefault="0090636F" w:rsidP="00CF713B">
      <w:pPr>
        <w:pStyle w:val="H23G"/>
      </w:pPr>
      <w:r>
        <w:tab/>
      </w:r>
      <w:r w:rsidR="00B751D5" w:rsidRPr="00130B33">
        <w:t>2.</w:t>
      </w:r>
      <w:r w:rsidR="00B751D5" w:rsidRPr="00130B33">
        <w:tab/>
      </w:r>
      <w:r w:rsidR="00B751D5" w:rsidRPr="00524109">
        <w:t>Non-criminalization of traffic</w:t>
      </w:r>
      <w:r w:rsidR="00B751D5" w:rsidRPr="00CF713B">
        <w:t xml:space="preserve">ked persons </w:t>
      </w:r>
    </w:p>
    <w:p w:rsidR="00B751D5" w:rsidRDefault="0023396D" w:rsidP="0023396D">
      <w:pPr>
        <w:pStyle w:val="SingleTxtG"/>
      </w:pPr>
      <w:r>
        <w:rPr>
          <w:iCs/>
        </w:rPr>
        <w:t>63.</w:t>
      </w:r>
      <w:r>
        <w:rPr>
          <w:iCs/>
        </w:rPr>
        <w:tab/>
      </w:r>
      <w:r w:rsidR="00B751D5" w:rsidRPr="00FE273A">
        <w:t>Section 25 of the A</w:t>
      </w:r>
      <w:r w:rsidR="00B751D5">
        <w:t>nti-</w:t>
      </w:r>
      <w:r w:rsidR="00357BD7">
        <w:t>T</w:t>
      </w:r>
      <w:r w:rsidR="00B751D5">
        <w:t>rafficking Act</w:t>
      </w:r>
      <w:r w:rsidR="00B751D5" w:rsidRPr="00FE273A">
        <w:t xml:space="preserve"> provides for the non-criminali</w:t>
      </w:r>
      <w:r w:rsidR="00357BD7">
        <w:t>z</w:t>
      </w:r>
      <w:r w:rsidR="00B751D5" w:rsidRPr="00FE273A">
        <w:t xml:space="preserve">ation of </w:t>
      </w:r>
      <w:r w:rsidR="00B751D5">
        <w:t xml:space="preserve">identified </w:t>
      </w:r>
      <w:r w:rsidR="00B751D5" w:rsidRPr="00FE273A">
        <w:t xml:space="preserve">trafficked persons for offences related to their irregular entry and </w:t>
      </w:r>
      <w:r w:rsidR="00965BDD">
        <w:t>unlawful residence</w:t>
      </w:r>
      <w:r w:rsidR="00965BDD" w:rsidRPr="00FE273A">
        <w:t xml:space="preserve"> </w:t>
      </w:r>
      <w:r w:rsidR="00B751D5" w:rsidRPr="00FE273A">
        <w:t xml:space="preserve">in Malaysia, </w:t>
      </w:r>
      <w:r w:rsidR="00B751D5">
        <w:t xml:space="preserve">as well as the </w:t>
      </w:r>
      <w:r w:rsidR="00B751D5" w:rsidRPr="00FE273A">
        <w:t>procuring and possessi</w:t>
      </w:r>
      <w:r w:rsidR="00B751D5">
        <w:t>on of</w:t>
      </w:r>
      <w:r w:rsidR="00B751D5" w:rsidRPr="00FE273A">
        <w:t xml:space="preserve"> fraudulent travel documents</w:t>
      </w:r>
      <w:r w:rsidR="00B751D5" w:rsidRPr="00B70DDB">
        <w:t xml:space="preserve"> </w:t>
      </w:r>
      <w:r w:rsidR="00B751D5">
        <w:t>for the purpose of entering the country</w:t>
      </w:r>
      <w:r w:rsidR="00B751D5" w:rsidRPr="00FE273A">
        <w:t xml:space="preserve">. </w:t>
      </w:r>
      <w:r w:rsidR="00B751D5">
        <w:t>However, immunity from criminali</w:t>
      </w:r>
      <w:r w:rsidR="00357BD7">
        <w:t>z</w:t>
      </w:r>
      <w:r w:rsidR="00B751D5">
        <w:t xml:space="preserve">ation is not provided to all </w:t>
      </w:r>
      <w:r w:rsidR="00357BD7">
        <w:t xml:space="preserve">the </w:t>
      </w:r>
      <w:r w:rsidR="00B751D5">
        <w:t>offen</w:t>
      </w:r>
      <w:r w:rsidR="00357BD7">
        <w:t>c</w:t>
      </w:r>
      <w:r w:rsidR="00B751D5">
        <w:t xml:space="preserve">es committed by victims as a consequence of their trafficking, </w:t>
      </w:r>
      <w:r w:rsidR="00357BD7">
        <w:t>al</w:t>
      </w:r>
      <w:r w:rsidR="00B751D5">
        <w:t>though it would be possible to provide such exemptions on a case</w:t>
      </w:r>
      <w:r w:rsidR="00357BD7">
        <w:t>-</w:t>
      </w:r>
      <w:r w:rsidR="00B751D5">
        <w:t>by</w:t>
      </w:r>
      <w:r w:rsidR="00357BD7">
        <w:t>-</w:t>
      </w:r>
      <w:r w:rsidR="00B751D5">
        <w:t>case basis under the general exception part of the Penal Code.</w:t>
      </w:r>
      <w:r w:rsidR="00B751D5" w:rsidRPr="00CF713B">
        <w:rPr>
          <w:rStyle w:val="FootnoteReference"/>
        </w:rPr>
        <w:footnoteReference w:id="12"/>
      </w:r>
    </w:p>
    <w:p w:rsidR="00B751D5" w:rsidRPr="00524109" w:rsidRDefault="00B751D5" w:rsidP="00130B33">
      <w:pPr>
        <w:pStyle w:val="H23G"/>
      </w:pPr>
      <w:r w:rsidRPr="00130B33">
        <w:tab/>
      </w:r>
      <w:r w:rsidRPr="00524109">
        <w:t>3.</w:t>
      </w:r>
      <w:r w:rsidR="0090636F">
        <w:tab/>
      </w:r>
      <w:r w:rsidRPr="009A4F72">
        <w:t xml:space="preserve">Rescue operations </w:t>
      </w:r>
    </w:p>
    <w:p w:rsidR="00B751D5" w:rsidRDefault="0023396D" w:rsidP="0023396D">
      <w:pPr>
        <w:pStyle w:val="SingleTxtG"/>
      </w:pPr>
      <w:r>
        <w:rPr>
          <w:iCs/>
        </w:rPr>
        <w:t>64.</w:t>
      </w:r>
      <w:r>
        <w:rPr>
          <w:iCs/>
        </w:rPr>
        <w:tab/>
      </w:r>
      <w:r w:rsidR="00B751D5" w:rsidRPr="00FE273A">
        <w:t xml:space="preserve">According to information provided by </w:t>
      </w:r>
      <w:r w:rsidR="00B751D5">
        <w:t xml:space="preserve">the </w:t>
      </w:r>
      <w:r w:rsidR="00854165" w:rsidRPr="009369BF">
        <w:t>Council for Anti-Trafficking in Persons and Anti-Smuggling of Migrants</w:t>
      </w:r>
      <w:r w:rsidR="00B751D5" w:rsidRPr="00FE273A">
        <w:t xml:space="preserve">, in 2014, </w:t>
      </w:r>
      <w:r w:rsidR="00357BD7">
        <w:t>six</w:t>
      </w:r>
      <w:r w:rsidR="00B751D5" w:rsidRPr="00FE273A">
        <w:t xml:space="preserve"> integrated operations to re</w:t>
      </w:r>
      <w:r w:rsidR="00357BD7">
        <w:t>s</w:t>
      </w:r>
      <w:r w:rsidR="00B751D5" w:rsidRPr="00FE273A">
        <w:t>cue victims of trafficking were conducted jointly by police, customs, maritime enforcement, immigration and labour</w:t>
      </w:r>
      <w:r w:rsidR="00357BD7" w:rsidRPr="00357BD7">
        <w:t xml:space="preserve"> </w:t>
      </w:r>
      <w:r w:rsidR="00357BD7">
        <w:t>officers</w:t>
      </w:r>
      <w:r w:rsidR="00B751D5" w:rsidRPr="00FE273A">
        <w:t>, in addition to individual operations by</w:t>
      </w:r>
      <w:r w:rsidR="00B751D5">
        <w:t xml:space="preserve"> those enforcement agencies</w:t>
      </w:r>
      <w:r w:rsidR="00B751D5" w:rsidRPr="00FE273A">
        <w:t xml:space="preserve">. Raids, particularly in the </w:t>
      </w:r>
      <w:r w:rsidR="00B751D5" w:rsidRPr="002F0C85">
        <w:t>entertainment/sex industry</w:t>
      </w:r>
      <w:r w:rsidR="00357BD7">
        <w:t>,</w:t>
      </w:r>
      <w:r w:rsidR="00B751D5" w:rsidRPr="00FE273A">
        <w:t xml:space="preserve"> were the main means of identifying victims. </w:t>
      </w:r>
    </w:p>
    <w:p w:rsidR="00B751D5" w:rsidRPr="00FE273A" w:rsidRDefault="0023396D" w:rsidP="0023396D">
      <w:pPr>
        <w:pStyle w:val="SingleTxtG"/>
      </w:pPr>
      <w:r w:rsidRPr="00FE273A">
        <w:rPr>
          <w:iCs/>
        </w:rPr>
        <w:t>65.</w:t>
      </w:r>
      <w:r w:rsidRPr="00FE273A">
        <w:rPr>
          <w:iCs/>
        </w:rPr>
        <w:tab/>
      </w:r>
      <w:r w:rsidR="00B751D5" w:rsidRPr="002F0C85">
        <w:t>The Special Rapporteur note</w:t>
      </w:r>
      <w:r w:rsidR="00357BD7">
        <w:t>s</w:t>
      </w:r>
      <w:r w:rsidR="00B751D5" w:rsidRPr="002F0C85">
        <w:t xml:space="preserve"> with concern that such operations often do not fully respect victims’ human rights</w:t>
      </w:r>
      <w:r w:rsidR="00B751D5">
        <w:t xml:space="preserve"> as </w:t>
      </w:r>
      <w:r w:rsidR="00B751D5" w:rsidRPr="002F0C85">
        <w:t>victims</w:t>
      </w:r>
      <w:r w:rsidR="00357BD7">
        <w:t xml:space="preserve"> and</w:t>
      </w:r>
      <w:r w:rsidR="00B751D5" w:rsidRPr="002F0C85">
        <w:t xml:space="preserve"> point</w:t>
      </w:r>
      <w:r w:rsidR="00357BD7">
        <w:t>s</w:t>
      </w:r>
      <w:r w:rsidR="00B751D5" w:rsidRPr="002F0C85">
        <w:t xml:space="preserve"> out that </w:t>
      </w:r>
      <w:r w:rsidR="00357BD7">
        <w:t xml:space="preserve">the </w:t>
      </w:r>
      <w:r w:rsidR="00B751D5" w:rsidRPr="002F0C85">
        <w:t>limited information</w:t>
      </w:r>
      <w:r w:rsidR="00357BD7" w:rsidRPr="00357BD7">
        <w:t xml:space="preserve"> </w:t>
      </w:r>
      <w:r w:rsidR="00357BD7" w:rsidRPr="002F0C85">
        <w:t>offered to them</w:t>
      </w:r>
      <w:r w:rsidR="00B751D5" w:rsidRPr="002F0C85">
        <w:t xml:space="preserve">, often </w:t>
      </w:r>
      <w:r w:rsidR="00357BD7">
        <w:t>not</w:t>
      </w:r>
      <w:r w:rsidR="00357BD7" w:rsidRPr="002F0C85">
        <w:t xml:space="preserve"> </w:t>
      </w:r>
      <w:r w:rsidR="00B751D5" w:rsidRPr="002F0C85">
        <w:t>translat</w:t>
      </w:r>
      <w:r w:rsidR="00357BD7">
        <w:t>ed into the victim’s language</w:t>
      </w:r>
      <w:r w:rsidR="00B751D5" w:rsidRPr="002F0C85">
        <w:t xml:space="preserve">, </w:t>
      </w:r>
      <w:r w:rsidR="00357BD7">
        <w:t>does not take into account</w:t>
      </w:r>
      <w:r w:rsidR="00B751D5" w:rsidRPr="002F0C85">
        <w:t xml:space="preserve"> why they have been apprehended or what their rights are at the time of the raid and in subsequent interviews and </w:t>
      </w:r>
      <w:r w:rsidR="00B751D5">
        <w:t xml:space="preserve">during </w:t>
      </w:r>
      <w:r w:rsidR="00B751D5" w:rsidRPr="002F0C85">
        <w:t>detention. Physical and emotional abuses by law enforcement offic</w:t>
      </w:r>
      <w:r w:rsidR="003D0917">
        <w:t>er</w:t>
      </w:r>
      <w:r w:rsidR="00B751D5" w:rsidRPr="002F0C85">
        <w:t xml:space="preserve">s were also mentioned during </w:t>
      </w:r>
      <w:r w:rsidR="00B751D5">
        <w:t>the interviews</w:t>
      </w:r>
      <w:r w:rsidR="00B751D5" w:rsidRPr="002F0C85">
        <w:t>. Moreover</w:t>
      </w:r>
      <w:r w:rsidR="003D0917">
        <w:t>,</w:t>
      </w:r>
      <w:r w:rsidR="00B751D5" w:rsidRPr="002F0C85">
        <w:t xml:space="preserve"> images and photographs of such victims regularly feature in the media</w:t>
      </w:r>
      <w:r w:rsidR="003D0917">
        <w:t>,</w:t>
      </w:r>
      <w:r w:rsidR="00B751D5" w:rsidRPr="002F0C85">
        <w:t xml:space="preserve"> in spite of the</w:t>
      </w:r>
      <w:r w:rsidR="00B751D5">
        <w:t xml:space="preserve"> guarantees of privacy envisaged </w:t>
      </w:r>
      <w:r w:rsidR="003D0917">
        <w:t xml:space="preserve">under </w:t>
      </w:r>
      <w:r w:rsidR="00B751D5">
        <w:t>the Anti-</w:t>
      </w:r>
      <w:r w:rsidR="003D0917">
        <w:t>T</w:t>
      </w:r>
      <w:r w:rsidR="00B751D5">
        <w:t>rafficking Act.</w:t>
      </w:r>
    </w:p>
    <w:p w:rsidR="00B751D5" w:rsidRPr="0035152F" w:rsidRDefault="00B751D5" w:rsidP="00B751D5">
      <w:pPr>
        <w:pStyle w:val="H1G"/>
      </w:pPr>
      <w:r w:rsidRPr="0035152F">
        <w:lastRenderedPageBreak/>
        <w:tab/>
        <w:t>F.</w:t>
      </w:r>
      <w:r w:rsidRPr="0035152F">
        <w:tab/>
        <w:t>Investigation, prosecution and punishment</w:t>
      </w:r>
    </w:p>
    <w:p w:rsidR="00B751D5" w:rsidRDefault="0023396D" w:rsidP="0023396D">
      <w:pPr>
        <w:pStyle w:val="SingleTxtG"/>
      </w:pPr>
      <w:r>
        <w:rPr>
          <w:iCs/>
        </w:rPr>
        <w:t>66.</w:t>
      </w:r>
      <w:r>
        <w:rPr>
          <w:iCs/>
        </w:rPr>
        <w:tab/>
      </w:r>
      <w:r w:rsidR="00B751D5">
        <w:t>Investigation for offences under the Anti-</w:t>
      </w:r>
      <w:r w:rsidR="00D65642">
        <w:t>T</w:t>
      </w:r>
      <w:r w:rsidR="00B751D5">
        <w:t xml:space="preserve">rafficking Act </w:t>
      </w:r>
      <w:r w:rsidR="00B751D5" w:rsidRPr="00854165">
        <w:t>(</w:t>
      </w:r>
      <w:r w:rsidR="00155468" w:rsidRPr="00854165">
        <w:t>s</w:t>
      </w:r>
      <w:r w:rsidR="00B751D5" w:rsidRPr="00854165">
        <w:t>ect</w:t>
      </w:r>
      <w:r w:rsidR="00D65642" w:rsidRPr="00854165">
        <w:t>.</w:t>
      </w:r>
      <w:r w:rsidR="00B751D5" w:rsidRPr="00854165">
        <w:t xml:space="preserve"> 28)</w:t>
      </w:r>
      <w:r w:rsidR="00B751D5">
        <w:t xml:space="preserve"> is conducted by enforcement officers</w:t>
      </w:r>
      <w:r w:rsidR="00D65642">
        <w:t>,</w:t>
      </w:r>
      <w:r w:rsidR="00B751D5">
        <w:t xml:space="preserve"> </w:t>
      </w:r>
      <w:r w:rsidR="00D65642">
        <w:t xml:space="preserve">who </w:t>
      </w:r>
      <w:r w:rsidR="00B751D5">
        <w:t>include police, immigration, customs and maritime officers</w:t>
      </w:r>
      <w:r w:rsidR="00D65642">
        <w:t>,</w:t>
      </w:r>
      <w:r w:rsidR="00B751D5">
        <w:t xml:space="preserve"> with the power to arrest, conduct search and seizure, and examine persons. Considered as enforcement officers, </w:t>
      </w:r>
      <w:r w:rsidR="00B751D5" w:rsidRPr="0042721A">
        <w:t>labour inspectors</w:t>
      </w:r>
      <w:r w:rsidR="00B751D5">
        <w:t xml:space="preserve"> are also empowered to identify and respond to trafficking for forced labour. A standard operating procedure for enforcement officers (</w:t>
      </w:r>
      <w:r w:rsidR="002B7AE7">
        <w:t>see</w:t>
      </w:r>
      <w:r w:rsidR="00B751D5">
        <w:t xml:space="preserve"> </w:t>
      </w:r>
      <w:r w:rsidR="00B751D5" w:rsidRPr="00FC3B60">
        <w:t>para</w:t>
      </w:r>
      <w:r w:rsidR="00155468" w:rsidRPr="00315D83">
        <w:t>. </w:t>
      </w:r>
      <w:r w:rsidR="00F403C2" w:rsidRPr="00315D83">
        <w:t>49</w:t>
      </w:r>
      <w:r w:rsidR="00F403C2" w:rsidRPr="00FC3B60">
        <w:t xml:space="preserve"> </w:t>
      </w:r>
      <w:r w:rsidR="00B751D5" w:rsidRPr="00315D83">
        <w:t>above</w:t>
      </w:r>
      <w:r w:rsidR="00B751D5">
        <w:t>)</w:t>
      </w:r>
      <w:r w:rsidR="00B751D5" w:rsidRPr="00C400A2">
        <w:rPr>
          <w:color w:val="1F497D"/>
        </w:rPr>
        <w:t xml:space="preserve"> </w:t>
      </w:r>
      <w:r w:rsidR="00B751D5" w:rsidRPr="00944E90">
        <w:rPr>
          <w:color w:val="000000"/>
        </w:rPr>
        <w:t xml:space="preserve">guides </w:t>
      </w:r>
      <w:r w:rsidR="00D65642">
        <w:rPr>
          <w:color w:val="000000"/>
        </w:rPr>
        <w:t xml:space="preserve">the </w:t>
      </w:r>
      <w:r w:rsidR="00B751D5" w:rsidRPr="00944E90">
        <w:rPr>
          <w:color w:val="000000"/>
        </w:rPr>
        <w:t>methods of accomplishing tasks and establishes general performance standards</w:t>
      </w:r>
      <w:r w:rsidR="00D65642">
        <w:rPr>
          <w:color w:val="000000"/>
        </w:rPr>
        <w:t>,</w:t>
      </w:r>
      <w:r w:rsidR="00B751D5" w:rsidRPr="00944E90">
        <w:rPr>
          <w:color w:val="000000"/>
        </w:rPr>
        <w:t xml:space="preserve"> including in the area of investigation, raid, arrest, rescue</w:t>
      </w:r>
      <w:r w:rsidR="00D65642">
        <w:rPr>
          <w:color w:val="000000"/>
        </w:rPr>
        <w:t xml:space="preserve"> and</w:t>
      </w:r>
      <w:r w:rsidR="00B751D5" w:rsidRPr="00944E90">
        <w:rPr>
          <w:color w:val="000000"/>
        </w:rPr>
        <w:t xml:space="preserve"> networking/coordination among enforcement agencies.</w:t>
      </w:r>
    </w:p>
    <w:p w:rsidR="00B751D5" w:rsidRPr="009369BF" w:rsidRDefault="0023396D" w:rsidP="0023396D">
      <w:pPr>
        <w:pStyle w:val="SingleTxtG"/>
      </w:pPr>
      <w:r w:rsidRPr="009369BF">
        <w:rPr>
          <w:iCs/>
        </w:rPr>
        <w:t>67.</w:t>
      </w:r>
      <w:r w:rsidRPr="009369BF">
        <w:rPr>
          <w:iCs/>
        </w:rPr>
        <w:tab/>
      </w:r>
      <w:r w:rsidR="00B751D5" w:rsidRPr="00FE273A">
        <w:t xml:space="preserve">A number of factors </w:t>
      </w:r>
      <w:r w:rsidR="00B751D5" w:rsidRPr="0042721A">
        <w:t>hamper</w:t>
      </w:r>
      <w:r w:rsidR="00AF1D97">
        <w:t xml:space="preserve"> the</w:t>
      </w:r>
      <w:r w:rsidR="00B751D5" w:rsidRPr="0042721A">
        <w:t xml:space="preserve"> effective and swift investigation </w:t>
      </w:r>
      <w:r w:rsidR="00B751D5" w:rsidRPr="00FE273A">
        <w:t>of trafficking cases.</w:t>
      </w:r>
      <w:r w:rsidR="00B751D5">
        <w:t xml:space="preserve"> These include limited coordination among </w:t>
      </w:r>
      <w:r w:rsidR="00B751D5" w:rsidRPr="00E13F2A">
        <w:t>enforcement agencies</w:t>
      </w:r>
      <w:r w:rsidR="00B751D5">
        <w:t xml:space="preserve"> a</w:t>
      </w:r>
      <w:r w:rsidR="00B751D5" w:rsidRPr="00E13F2A">
        <w:t xml:space="preserve">nd </w:t>
      </w:r>
      <w:r w:rsidR="00AF1D97">
        <w:t xml:space="preserve">the lack of </w:t>
      </w:r>
      <w:r w:rsidR="00B751D5" w:rsidRPr="00E13F2A">
        <w:t>skills to handle cases of trafficking, a</w:t>
      </w:r>
      <w:r w:rsidR="00B751D5">
        <w:t>s well as</w:t>
      </w:r>
      <w:r w:rsidR="00B751D5" w:rsidRPr="00E13F2A">
        <w:t xml:space="preserve"> corruption.</w:t>
      </w:r>
      <w:r w:rsidR="00B751D5" w:rsidRPr="009369BF">
        <w:t xml:space="preserve"> </w:t>
      </w:r>
      <w:r w:rsidR="00B751D5" w:rsidRPr="00E13F2A">
        <w:t>Moreover, it</w:t>
      </w:r>
      <w:r w:rsidR="00B751D5" w:rsidRPr="00FE273A">
        <w:t xml:space="preserve"> has been brought to the </w:t>
      </w:r>
      <w:r w:rsidR="00B751D5">
        <w:t>Special Rapporteur’s attention</w:t>
      </w:r>
      <w:r w:rsidR="00B751D5" w:rsidRPr="00FE273A">
        <w:t xml:space="preserve"> that</w:t>
      </w:r>
      <w:r w:rsidR="00AF1D97">
        <w:t>,</w:t>
      </w:r>
      <w:r w:rsidR="00B751D5" w:rsidRPr="00FE273A">
        <w:t xml:space="preserve"> on several occasion</w:t>
      </w:r>
      <w:r w:rsidR="00B751D5">
        <w:t>s</w:t>
      </w:r>
      <w:r w:rsidR="00AF1D97">
        <w:t>,</w:t>
      </w:r>
      <w:r w:rsidR="00B751D5" w:rsidRPr="00FE273A">
        <w:t xml:space="preserve"> credible requests to </w:t>
      </w:r>
      <w:r w:rsidR="005D512A" w:rsidRPr="00FE273A">
        <w:t xml:space="preserve">further </w:t>
      </w:r>
      <w:r w:rsidR="00B751D5" w:rsidRPr="00FE273A">
        <w:t>investigate cases of trafficking of children for begging in well-known hotspots have remained unheeded.</w:t>
      </w:r>
      <w:r w:rsidR="00B751D5" w:rsidRPr="004605A3">
        <w:t xml:space="preserve"> </w:t>
      </w:r>
    </w:p>
    <w:p w:rsidR="00B751D5" w:rsidRPr="00FE273A" w:rsidRDefault="0023396D" w:rsidP="0023396D">
      <w:pPr>
        <w:pStyle w:val="SingleTxtG"/>
      </w:pPr>
      <w:r w:rsidRPr="00FE273A">
        <w:rPr>
          <w:iCs/>
        </w:rPr>
        <w:t>68.</w:t>
      </w:r>
      <w:r w:rsidRPr="00FE273A">
        <w:rPr>
          <w:iCs/>
        </w:rPr>
        <w:tab/>
      </w:r>
      <w:r w:rsidR="00B751D5" w:rsidRPr="00FE273A">
        <w:t>A corollary of th</w:t>
      </w:r>
      <w:r w:rsidR="00B751D5">
        <w:t>is</w:t>
      </w:r>
      <w:r w:rsidR="00B751D5" w:rsidRPr="00FE273A">
        <w:t xml:space="preserve"> is the low rate of </w:t>
      </w:r>
      <w:r w:rsidR="00B751D5" w:rsidRPr="0042721A">
        <w:t>prosecution.</w:t>
      </w:r>
      <w:r w:rsidR="00B751D5" w:rsidRPr="00FE273A">
        <w:t xml:space="preserve"> The A</w:t>
      </w:r>
      <w:r w:rsidR="00B751D5">
        <w:t>ttorney</w:t>
      </w:r>
      <w:r w:rsidR="00AD1F07">
        <w:t xml:space="preserve"> G</w:t>
      </w:r>
      <w:r w:rsidR="00B751D5">
        <w:t>eneral’s</w:t>
      </w:r>
      <w:r w:rsidR="00B751D5" w:rsidRPr="00FE273A">
        <w:t xml:space="preserve"> office reported that 38 cases of trafficking were prosecuted in 2014</w:t>
      </w:r>
      <w:r w:rsidR="00AF1D97">
        <w:t>:</w:t>
      </w:r>
      <w:r w:rsidR="00B751D5" w:rsidRPr="00FE273A">
        <w:t xml:space="preserve"> </w:t>
      </w:r>
      <w:r w:rsidR="00B751D5">
        <w:t>interestingly</w:t>
      </w:r>
      <w:r w:rsidR="00AF1D97">
        <w:t>,</w:t>
      </w:r>
      <w:r w:rsidR="00B751D5">
        <w:t xml:space="preserve"> the majority of cases (</w:t>
      </w:r>
      <w:r w:rsidR="00B751D5" w:rsidRPr="00FE273A">
        <w:t>26 cases</w:t>
      </w:r>
      <w:r w:rsidR="00B751D5">
        <w:t xml:space="preserve">) were </w:t>
      </w:r>
      <w:r w:rsidR="00B751D5" w:rsidRPr="00FE273A">
        <w:t>for forced labo</w:t>
      </w:r>
      <w:r w:rsidR="00AF1D97">
        <w:t>u</w:t>
      </w:r>
      <w:r w:rsidR="00B751D5" w:rsidRPr="00FE273A">
        <w:t>r exploitation</w:t>
      </w:r>
      <w:r w:rsidR="00B751D5">
        <w:t xml:space="preserve">, while </w:t>
      </w:r>
      <w:r w:rsidR="00B751D5" w:rsidRPr="00FE273A">
        <w:t>12</w:t>
      </w:r>
      <w:r w:rsidR="00B751D5">
        <w:t xml:space="preserve"> were for</w:t>
      </w:r>
      <w:r w:rsidR="00B751D5" w:rsidRPr="00FE273A">
        <w:t xml:space="preserve"> sexual exploitation. However only </w:t>
      </w:r>
      <w:r w:rsidR="00AF1D97">
        <w:t>three</w:t>
      </w:r>
      <w:r w:rsidR="00B751D5" w:rsidRPr="00FE273A">
        <w:t xml:space="preserve"> convictions were secured </w:t>
      </w:r>
      <w:r w:rsidR="00AF1D97">
        <w:t>in those cases of</w:t>
      </w:r>
      <w:r w:rsidR="00B751D5" w:rsidRPr="00FE273A">
        <w:t xml:space="preserve"> labo</w:t>
      </w:r>
      <w:r w:rsidR="00AF1D97">
        <w:t>u</w:t>
      </w:r>
      <w:r w:rsidR="00B751D5" w:rsidRPr="00FE273A">
        <w:t xml:space="preserve">r exploitation, </w:t>
      </w:r>
      <w:r w:rsidR="00AF1D97">
        <w:t>two</w:t>
      </w:r>
      <w:r w:rsidR="00B751D5" w:rsidRPr="00FE273A">
        <w:t xml:space="preserve"> ended in acquittals, </w:t>
      </w:r>
      <w:r w:rsidR="00AF1D97">
        <w:t>one</w:t>
      </w:r>
      <w:r w:rsidR="00B751D5" w:rsidRPr="00FE273A">
        <w:t xml:space="preserve"> case was </w:t>
      </w:r>
      <w:r w:rsidR="001F5D4F">
        <w:t>thrown out</w:t>
      </w:r>
      <w:r w:rsidR="001F5D4F" w:rsidRPr="00FE273A">
        <w:t xml:space="preserve"> </w:t>
      </w:r>
      <w:r w:rsidR="00B751D5" w:rsidRPr="00FE273A">
        <w:t xml:space="preserve">and the rest were still pending trial. The </w:t>
      </w:r>
      <w:r w:rsidR="00B751D5">
        <w:t>Special Rapporteur</w:t>
      </w:r>
      <w:r w:rsidR="00B751D5" w:rsidRPr="00FE273A">
        <w:t xml:space="preserve"> was also informed </w:t>
      </w:r>
      <w:r w:rsidR="001F5D4F">
        <w:t>of</w:t>
      </w:r>
      <w:r w:rsidR="001F5D4F" w:rsidRPr="00FE273A">
        <w:t xml:space="preserve"> </w:t>
      </w:r>
      <w:r w:rsidR="001F5D4F">
        <w:t xml:space="preserve">penalties </w:t>
      </w:r>
      <w:r w:rsidR="00B751D5" w:rsidRPr="00FE273A">
        <w:t xml:space="preserve">against an employer who had confiscated the passports of 29 victims of trafficking and who was </w:t>
      </w:r>
      <w:r w:rsidR="00B751D5">
        <w:t xml:space="preserve">fined </w:t>
      </w:r>
      <w:r w:rsidR="00B751D5" w:rsidRPr="00142296">
        <w:t>RM</w:t>
      </w:r>
      <w:r w:rsidR="00257C5E">
        <w:t> </w:t>
      </w:r>
      <w:r w:rsidR="00B751D5" w:rsidRPr="00142296">
        <w:t>5</w:t>
      </w:r>
      <w:r w:rsidR="00B751D5" w:rsidRPr="00FE273A">
        <w:t>,000.</w:t>
      </w:r>
    </w:p>
    <w:p w:rsidR="00B751D5" w:rsidRDefault="0023396D" w:rsidP="0023396D">
      <w:pPr>
        <w:pStyle w:val="SingleTxtG"/>
      </w:pPr>
      <w:r>
        <w:rPr>
          <w:iCs/>
        </w:rPr>
        <w:t>69.</w:t>
      </w:r>
      <w:r>
        <w:rPr>
          <w:iCs/>
        </w:rPr>
        <w:tab/>
      </w:r>
      <w:r w:rsidR="00B751D5" w:rsidRPr="00FE273A">
        <w:t xml:space="preserve">The </w:t>
      </w:r>
      <w:r w:rsidR="00B751D5">
        <w:t>Special Rapporteur</w:t>
      </w:r>
      <w:r w:rsidR="00B751D5" w:rsidRPr="00FE273A">
        <w:t xml:space="preserve"> acknowledges the </w:t>
      </w:r>
      <w:r w:rsidR="00B751D5" w:rsidRPr="0042721A">
        <w:t>positive measures</w:t>
      </w:r>
      <w:r w:rsidR="00B751D5" w:rsidRPr="00FE273A">
        <w:t xml:space="preserve"> taken to p</w:t>
      </w:r>
      <w:r w:rsidR="00B751D5">
        <w:t>rosecute</w:t>
      </w:r>
      <w:r w:rsidR="00B751D5" w:rsidRPr="00FE273A">
        <w:t xml:space="preserve"> cases of human trafficking. These include the appointment of 28 deputy public p</w:t>
      </w:r>
      <w:r w:rsidR="00B751D5">
        <w:t>rosecutors within the Attorney G</w:t>
      </w:r>
      <w:r w:rsidR="00B751D5" w:rsidRPr="00FE273A">
        <w:t xml:space="preserve">eneral’s </w:t>
      </w:r>
      <w:r w:rsidR="001F5D4F">
        <w:t>C</w:t>
      </w:r>
      <w:r w:rsidR="00B751D5" w:rsidRPr="00FE273A">
        <w:t xml:space="preserve">hambers </w:t>
      </w:r>
      <w:r w:rsidR="001F5D4F">
        <w:t xml:space="preserve">who are </w:t>
      </w:r>
      <w:r w:rsidR="00B751D5" w:rsidRPr="00FE273A">
        <w:t xml:space="preserve">specialized in trafficking; </w:t>
      </w:r>
      <w:r w:rsidR="00B751D5" w:rsidRPr="001A56BA">
        <w:t>the issuance of a directive to investigate all cases involving foreign</w:t>
      </w:r>
      <w:r w:rsidR="005D512A">
        <w:t xml:space="preserve"> national</w:t>
      </w:r>
      <w:r w:rsidR="00B751D5" w:rsidRPr="001A56BA">
        <w:t xml:space="preserve">s under the </w:t>
      </w:r>
      <w:r w:rsidR="00B751D5">
        <w:t>Anti-</w:t>
      </w:r>
      <w:r w:rsidR="001F5D4F">
        <w:t>T</w:t>
      </w:r>
      <w:r w:rsidR="00B751D5">
        <w:t>rafficking Act</w:t>
      </w:r>
      <w:r w:rsidR="001F5D4F">
        <w:t>,</w:t>
      </w:r>
      <w:r w:rsidR="00B751D5" w:rsidRPr="001A56BA">
        <w:t xml:space="preserve"> except where </w:t>
      </w:r>
      <w:r w:rsidR="001F5D4F">
        <w:t xml:space="preserve">the </w:t>
      </w:r>
      <w:r w:rsidR="00B751D5" w:rsidRPr="001A56BA">
        <w:t xml:space="preserve">offences committed fall within ordinary criminal law; </w:t>
      </w:r>
      <w:r w:rsidR="00B751D5" w:rsidRPr="00FE273A">
        <w:t xml:space="preserve">the </w:t>
      </w:r>
      <w:r w:rsidR="00B751D5">
        <w:t>issuance of another directive for the referral of</w:t>
      </w:r>
      <w:r w:rsidR="00B751D5" w:rsidRPr="00FE273A">
        <w:t xml:space="preserve"> all cases of trafficking </w:t>
      </w:r>
      <w:r w:rsidR="001F5D4F" w:rsidRPr="00FE273A">
        <w:t xml:space="preserve">investigated </w:t>
      </w:r>
      <w:r w:rsidR="00B751D5">
        <w:t>to</w:t>
      </w:r>
      <w:r w:rsidR="00B751D5" w:rsidRPr="00FE273A">
        <w:t xml:space="preserve"> the A</w:t>
      </w:r>
      <w:r w:rsidR="00B751D5">
        <w:t>ttorney</w:t>
      </w:r>
      <w:r w:rsidR="00AD1F07">
        <w:t xml:space="preserve"> </w:t>
      </w:r>
      <w:r w:rsidR="00B751D5">
        <w:t xml:space="preserve">General’s </w:t>
      </w:r>
      <w:r w:rsidR="001F5D4F">
        <w:t>Chambers</w:t>
      </w:r>
      <w:r w:rsidR="001F5D4F" w:rsidRPr="00FE273A">
        <w:t xml:space="preserve"> </w:t>
      </w:r>
      <w:r w:rsidR="00B751D5" w:rsidRPr="00FE273A">
        <w:t>before institutin</w:t>
      </w:r>
      <w:r w:rsidR="001F5D4F">
        <w:t>g</w:t>
      </w:r>
      <w:r w:rsidR="00B751D5" w:rsidRPr="00FE273A">
        <w:t xml:space="preserve"> </w:t>
      </w:r>
      <w:r w:rsidR="002A4353">
        <w:t>prosecution and</w:t>
      </w:r>
      <w:r w:rsidR="00B751D5" w:rsidRPr="00FE273A">
        <w:t xml:space="preserve"> </w:t>
      </w:r>
      <w:r w:rsidR="002A4353">
        <w:t xml:space="preserve">offering </w:t>
      </w:r>
      <w:r w:rsidR="00B751D5" w:rsidRPr="00FE273A">
        <w:t>the possibility of converting charges made against perpetrators under the Penal Code and Immigration </w:t>
      </w:r>
      <w:r w:rsidR="001F5D4F">
        <w:t>A</w:t>
      </w:r>
      <w:r w:rsidR="00B751D5" w:rsidRPr="00FE273A">
        <w:t xml:space="preserve">ct to </w:t>
      </w:r>
      <w:r w:rsidR="002A4353">
        <w:t xml:space="preserve">charges under </w:t>
      </w:r>
      <w:r w:rsidR="00B751D5" w:rsidRPr="00FE273A">
        <w:t xml:space="preserve">the </w:t>
      </w:r>
      <w:r w:rsidR="00B751D5">
        <w:t>Anti-</w:t>
      </w:r>
      <w:r w:rsidR="002A4353">
        <w:t>T</w:t>
      </w:r>
      <w:r w:rsidR="00B751D5">
        <w:t>rafficking Act</w:t>
      </w:r>
      <w:r w:rsidR="00B751D5" w:rsidRPr="00FE273A">
        <w:t xml:space="preserve">; and the introduction of </w:t>
      </w:r>
      <w:r w:rsidR="00B751D5">
        <w:t>a coding system</w:t>
      </w:r>
      <w:r w:rsidR="00B751D5" w:rsidRPr="00FE273A">
        <w:t xml:space="preserve"> for regist</w:t>
      </w:r>
      <w:r w:rsidR="002A4353">
        <w:t>e</w:t>
      </w:r>
      <w:r w:rsidR="00B751D5" w:rsidRPr="00FE273A">
        <w:t>rin</w:t>
      </w:r>
      <w:r w:rsidR="002A4353">
        <w:t>g</w:t>
      </w:r>
      <w:r w:rsidR="00B751D5" w:rsidRPr="00FE273A">
        <w:t xml:space="preserve"> cases of trafficking to ensure proceeding</w:t>
      </w:r>
      <w:r w:rsidR="00B751D5">
        <w:t>s</w:t>
      </w:r>
      <w:r w:rsidR="00B751D5" w:rsidRPr="00FE273A">
        <w:t xml:space="preserve"> </w:t>
      </w:r>
      <w:r w:rsidR="002A4353">
        <w:t>take priority</w:t>
      </w:r>
      <w:r w:rsidR="002A4353" w:rsidRPr="00FE273A">
        <w:t xml:space="preserve"> </w:t>
      </w:r>
      <w:r w:rsidR="00B751D5" w:rsidRPr="00FE273A">
        <w:t>in court.</w:t>
      </w:r>
      <w:r w:rsidR="00B751D5">
        <w:t xml:space="preserve"> </w:t>
      </w:r>
      <w:r w:rsidR="00B751D5" w:rsidRPr="003A1C7C">
        <w:t xml:space="preserve">A </w:t>
      </w:r>
      <w:r w:rsidR="002A4353">
        <w:t>s</w:t>
      </w:r>
      <w:r w:rsidR="00B751D5" w:rsidRPr="003A1C7C">
        <w:t xml:space="preserve">tandard </w:t>
      </w:r>
      <w:r w:rsidR="002A4353">
        <w:t>o</w:t>
      </w:r>
      <w:r w:rsidR="00B751D5" w:rsidRPr="003A1C7C">
        <w:t xml:space="preserve">perating </w:t>
      </w:r>
      <w:r w:rsidR="002A4353">
        <w:t>p</w:t>
      </w:r>
      <w:r w:rsidR="00B751D5" w:rsidRPr="003A1C7C">
        <w:t xml:space="preserve">rocedure for </w:t>
      </w:r>
      <w:r w:rsidR="002A4353">
        <w:t>p</w:t>
      </w:r>
      <w:r w:rsidR="00B751D5" w:rsidRPr="003A1C7C">
        <w:t>rosecution launched in 2013 aims to standardi</w:t>
      </w:r>
      <w:r w:rsidR="002A4353">
        <w:t>z</w:t>
      </w:r>
      <w:r w:rsidR="00B751D5" w:rsidRPr="003A1C7C">
        <w:t xml:space="preserve">e and create </w:t>
      </w:r>
      <w:r w:rsidR="00714EA7">
        <w:t xml:space="preserve">a </w:t>
      </w:r>
      <w:r w:rsidR="00B751D5" w:rsidRPr="003A1C7C">
        <w:t xml:space="preserve">uniform approach </w:t>
      </w:r>
      <w:r w:rsidR="00714EA7">
        <w:t>to</w:t>
      </w:r>
      <w:r w:rsidR="00714EA7" w:rsidRPr="003A1C7C">
        <w:t xml:space="preserve"> </w:t>
      </w:r>
      <w:r w:rsidR="00B751D5" w:rsidRPr="003A1C7C">
        <w:t xml:space="preserve">dealing with cases of trafficking. </w:t>
      </w:r>
    </w:p>
    <w:p w:rsidR="00B751D5" w:rsidRDefault="0023396D" w:rsidP="0023396D">
      <w:pPr>
        <w:pStyle w:val="SingleTxtG"/>
      </w:pPr>
      <w:r>
        <w:rPr>
          <w:iCs/>
        </w:rPr>
        <w:t>70.</w:t>
      </w:r>
      <w:r>
        <w:rPr>
          <w:iCs/>
        </w:rPr>
        <w:tab/>
      </w:r>
      <w:r w:rsidR="00714EA7">
        <w:t>The a</w:t>
      </w:r>
      <w:r w:rsidR="00B751D5" w:rsidRPr="00FE273A">
        <w:t xml:space="preserve">uthorities cited the reluctance of </w:t>
      </w:r>
      <w:r w:rsidR="00B751D5" w:rsidRPr="0042721A">
        <w:t>victim</w:t>
      </w:r>
      <w:r w:rsidR="00B751D5">
        <w:t>s to</w:t>
      </w:r>
      <w:r w:rsidR="00B751D5" w:rsidRPr="0042721A">
        <w:t xml:space="preserve"> cooperat</w:t>
      </w:r>
      <w:r w:rsidR="00B751D5">
        <w:t>e</w:t>
      </w:r>
      <w:r w:rsidR="00B751D5" w:rsidRPr="00FE273A">
        <w:t xml:space="preserve"> with law enforcement authorities as one of the </w:t>
      </w:r>
      <w:r w:rsidR="00B751D5">
        <w:t xml:space="preserve">main </w:t>
      </w:r>
      <w:r w:rsidR="00B751D5" w:rsidRPr="00FE273A">
        <w:t xml:space="preserve">reasons for low prosecution rates. </w:t>
      </w:r>
      <w:r w:rsidR="00B751D5">
        <w:t>While noting that assistance to victims should be provided irrespective of their collaboration with authorities</w:t>
      </w:r>
      <w:r w:rsidR="00714EA7">
        <w:t>,</w:t>
      </w:r>
      <w:r w:rsidR="00B751D5">
        <w:t xml:space="preserve"> as provided in the </w:t>
      </w:r>
      <w:r w:rsidR="00B751D5" w:rsidRPr="002F0C85">
        <w:t>Anti-</w:t>
      </w:r>
      <w:r w:rsidR="00714EA7">
        <w:t>T</w:t>
      </w:r>
      <w:r w:rsidR="00B751D5" w:rsidRPr="002F0C85">
        <w:t>rafficking Act and the Trafficking</w:t>
      </w:r>
      <w:r w:rsidR="00714EA7">
        <w:t xml:space="preserve"> in Persons</w:t>
      </w:r>
      <w:r w:rsidR="00B751D5" w:rsidRPr="002F0C85">
        <w:t xml:space="preserve"> Protocol,</w:t>
      </w:r>
      <w:r w:rsidR="00B751D5">
        <w:t xml:space="preserve"> the Special Rapporteur wishes to highlight that short reflection periods (</w:t>
      </w:r>
      <w:r w:rsidR="00714EA7">
        <w:t>three</w:t>
      </w:r>
      <w:r w:rsidR="00B751D5">
        <w:t xml:space="preserve"> months for foreigners),</w:t>
      </w:r>
      <w:r w:rsidR="00B751D5" w:rsidRPr="00FE273A">
        <w:t xml:space="preserve"> lengthy human trafficking trials, </w:t>
      </w:r>
      <w:r w:rsidR="00B751D5">
        <w:t>limited</w:t>
      </w:r>
      <w:r w:rsidR="00B751D5" w:rsidRPr="00FE273A">
        <w:t xml:space="preserve"> </w:t>
      </w:r>
      <w:r w:rsidR="00B751D5">
        <w:t>legal assistance and</w:t>
      </w:r>
      <w:r w:rsidR="00B751D5" w:rsidRPr="00FE273A">
        <w:t xml:space="preserve"> information</w:t>
      </w:r>
      <w:r w:rsidR="00B751D5">
        <w:t xml:space="preserve"> </w:t>
      </w:r>
      <w:r w:rsidR="00B751D5" w:rsidRPr="00FE273A">
        <w:t xml:space="preserve">on the case, confinement in shelters, </w:t>
      </w:r>
      <w:r w:rsidR="00714EA7">
        <w:t xml:space="preserve">the </w:t>
      </w:r>
      <w:r w:rsidR="00B751D5" w:rsidRPr="00FE273A">
        <w:t xml:space="preserve">inability </w:t>
      </w:r>
      <w:r w:rsidR="00714EA7">
        <w:t xml:space="preserve">of victims </w:t>
      </w:r>
      <w:r w:rsidR="00B751D5" w:rsidRPr="00FE273A">
        <w:t>to work while in confinement</w:t>
      </w:r>
      <w:r w:rsidR="00B751D5">
        <w:t xml:space="preserve">, </w:t>
      </w:r>
      <w:r w:rsidR="00B751D5" w:rsidRPr="009369BF">
        <w:t xml:space="preserve">fear of reprisal when reporting traffickers and </w:t>
      </w:r>
      <w:r w:rsidR="00B751D5" w:rsidRPr="00FE273A">
        <w:t>deportation are factors that</w:t>
      </w:r>
      <w:r w:rsidR="00B751D5">
        <w:t xml:space="preserve"> further</w:t>
      </w:r>
      <w:r w:rsidR="00B751D5" w:rsidRPr="00FE273A">
        <w:t xml:space="preserve"> discourage </w:t>
      </w:r>
      <w:r w:rsidR="00B751D5">
        <w:t>victims</w:t>
      </w:r>
      <w:r w:rsidR="00B751D5" w:rsidRPr="00FE273A">
        <w:t xml:space="preserve"> </w:t>
      </w:r>
      <w:r w:rsidR="00B751D5">
        <w:t xml:space="preserve">of trafficking </w:t>
      </w:r>
      <w:r w:rsidR="00B751D5" w:rsidRPr="00FE273A">
        <w:t xml:space="preserve">from </w:t>
      </w:r>
      <w:r w:rsidR="00B751D5">
        <w:t xml:space="preserve">identifying themselves as such and collaborating with </w:t>
      </w:r>
      <w:r w:rsidR="00857E8A">
        <w:t xml:space="preserve">the </w:t>
      </w:r>
      <w:r w:rsidR="00B751D5">
        <w:t>enforcement authorities.</w:t>
      </w:r>
    </w:p>
    <w:p w:rsidR="00B751D5" w:rsidRPr="00FB06B9" w:rsidRDefault="0023396D" w:rsidP="0023396D">
      <w:pPr>
        <w:pStyle w:val="SingleTxtG"/>
      </w:pPr>
      <w:r w:rsidRPr="00FB06B9">
        <w:rPr>
          <w:iCs/>
        </w:rPr>
        <w:t>71.</w:t>
      </w:r>
      <w:r w:rsidRPr="00FB06B9">
        <w:rPr>
          <w:iCs/>
        </w:rPr>
        <w:tab/>
      </w:r>
      <w:r w:rsidR="00B751D5" w:rsidRPr="00387EBA">
        <w:t xml:space="preserve">Furthermore, in spite of ad hoc training on the </w:t>
      </w:r>
      <w:r w:rsidR="00857E8A">
        <w:t>A</w:t>
      </w:r>
      <w:r w:rsidR="00B751D5" w:rsidRPr="00387EBA">
        <w:t>nti-</w:t>
      </w:r>
      <w:r w:rsidR="00857E8A">
        <w:t>T</w:t>
      </w:r>
      <w:r w:rsidR="00B751D5" w:rsidRPr="00387EBA">
        <w:t>rafficking Act, prosecutors and judicial officers were not sufficiently familiar with th</w:t>
      </w:r>
      <w:r w:rsidR="00B751D5">
        <w:t>is</w:t>
      </w:r>
      <w:r w:rsidR="00B751D5" w:rsidRPr="00387EBA">
        <w:t xml:space="preserve"> law. Lack of clarity </w:t>
      </w:r>
      <w:r w:rsidR="00857E8A">
        <w:t>of what constitutes</w:t>
      </w:r>
      <w:r w:rsidR="00857E8A" w:rsidRPr="00387EBA">
        <w:t xml:space="preserve"> </w:t>
      </w:r>
      <w:r w:rsidR="00B751D5" w:rsidRPr="00387EBA">
        <w:t>trafficking for forced labour and</w:t>
      </w:r>
      <w:r w:rsidR="00857E8A">
        <w:t xml:space="preserve"> what are</w:t>
      </w:r>
      <w:r w:rsidR="00B751D5" w:rsidRPr="00387EBA">
        <w:t xml:space="preserve"> other labour crimes also emerged as</w:t>
      </w:r>
      <w:r w:rsidR="00B751D5">
        <w:t xml:space="preserve"> a </w:t>
      </w:r>
      <w:r w:rsidR="00B751D5" w:rsidRPr="00387EBA">
        <w:t xml:space="preserve">concern affecting </w:t>
      </w:r>
      <w:r w:rsidR="00857E8A">
        <w:t xml:space="preserve">the </w:t>
      </w:r>
      <w:r w:rsidR="00B751D5" w:rsidRPr="00387EBA">
        <w:t>i</w:t>
      </w:r>
      <w:r w:rsidR="00B751D5">
        <w:t xml:space="preserve">nvestigation and </w:t>
      </w:r>
      <w:r w:rsidR="00B751D5" w:rsidRPr="00387EBA">
        <w:t>adjudication of such cases.</w:t>
      </w:r>
    </w:p>
    <w:p w:rsidR="00B751D5" w:rsidRPr="0035152F" w:rsidRDefault="00B751D5" w:rsidP="00B751D5">
      <w:pPr>
        <w:pStyle w:val="H1G"/>
      </w:pPr>
      <w:r w:rsidRPr="0035152F">
        <w:lastRenderedPageBreak/>
        <w:tab/>
      </w:r>
      <w:r w:rsidRPr="005A1C70">
        <w:t>G.</w:t>
      </w:r>
      <w:r w:rsidRPr="005A1C70">
        <w:tab/>
        <w:t>Redress</w:t>
      </w:r>
    </w:p>
    <w:p w:rsidR="00B751D5" w:rsidRDefault="0023396D" w:rsidP="0023396D">
      <w:pPr>
        <w:pStyle w:val="SingleTxtG"/>
      </w:pPr>
      <w:r>
        <w:rPr>
          <w:iCs/>
        </w:rPr>
        <w:t>72.</w:t>
      </w:r>
      <w:r>
        <w:rPr>
          <w:iCs/>
        </w:rPr>
        <w:tab/>
      </w:r>
      <w:r w:rsidR="00B751D5" w:rsidRPr="00FE273A">
        <w:t>Compensation and restitution are an integral part of effective remedies for victims of trafficking under international law and standards.</w:t>
      </w:r>
      <w:r w:rsidR="00B751D5" w:rsidRPr="00CF713B">
        <w:rPr>
          <w:rStyle w:val="FootnoteReference"/>
        </w:rPr>
        <w:footnoteReference w:id="13"/>
      </w:r>
      <w:r w:rsidR="00B751D5" w:rsidRPr="00FE273A">
        <w:t xml:space="preserve"> In Malaysia, </w:t>
      </w:r>
      <w:r w:rsidR="00B751D5">
        <w:t xml:space="preserve">neither </w:t>
      </w:r>
      <w:r w:rsidR="00B751D5" w:rsidRPr="00FE273A">
        <w:t xml:space="preserve">compensation </w:t>
      </w:r>
      <w:r w:rsidR="00B751D5">
        <w:t>nor a</w:t>
      </w:r>
      <w:r w:rsidR="00B751D5" w:rsidRPr="00FE273A">
        <w:t xml:space="preserve"> </w:t>
      </w:r>
      <w:r w:rsidR="00B751D5">
        <w:t xml:space="preserve">national compensation scheme for victims of trafficking is envisaged under the </w:t>
      </w:r>
      <w:r w:rsidR="00177CDA">
        <w:t>A</w:t>
      </w:r>
      <w:r w:rsidR="00B751D5">
        <w:t>nti-</w:t>
      </w:r>
      <w:r w:rsidR="00177CDA">
        <w:t>T</w:t>
      </w:r>
      <w:r w:rsidR="00B751D5">
        <w:t xml:space="preserve">rafficking </w:t>
      </w:r>
      <w:r w:rsidR="00177CDA">
        <w:t>A</w:t>
      </w:r>
      <w:r w:rsidR="00B751D5">
        <w:t>ct. Nevertheless, victims</w:t>
      </w:r>
      <w:r w:rsidR="00B751D5" w:rsidRPr="00660EF6">
        <w:t xml:space="preserve"> </w:t>
      </w:r>
      <w:r w:rsidR="00B751D5" w:rsidRPr="00FE273A">
        <w:t xml:space="preserve">of trafficking may file separate civil </w:t>
      </w:r>
      <w:r w:rsidR="00B751D5">
        <w:t xml:space="preserve">and criminal </w:t>
      </w:r>
      <w:r w:rsidR="00B751D5" w:rsidRPr="00FE273A">
        <w:t>claim</w:t>
      </w:r>
      <w:r w:rsidR="00B751D5">
        <w:t>s for</w:t>
      </w:r>
      <w:r w:rsidR="00B751D5" w:rsidRPr="00FE273A">
        <w:t xml:space="preserve"> compensation</w:t>
      </w:r>
      <w:r w:rsidR="00B751D5">
        <w:t xml:space="preserve">, </w:t>
      </w:r>
      <w:r w:rsidR="00177CDA">
        <w:t>al</w:t>
      </w:r>
      <w:r w:rsidR="00B751D5">
        <w:t>though</w:t>
      </w:r>
      <w:r w:rsidR="00B751D5" w:rsidRPr="003B4B16">
        <w:t xml:space="preserve"> </w:t>
      </w:r>
      <w:r w:rsidR="00B751D5">
        <w:t>information o</w:t>
      </w:r>
      <w:r w:rsidR="00177CDA">
        <w:t>n</w:t>
      </w:r>
      <w:r w:rsidR="00B751D5">
        <w:t xml:space="preserve"> </w:t>
      </w:r>
      <w:r w:rsidR="00B751D5" w:rsidRPr="00FE273A">
        <w:t xml:space="preserve">cases in which victims </w:t>
      </w:r>
      <w:r w:rsidR="00177CDA">
        <w:t>were</w:t>
      </w:r>
      <w:r w:rsidR="00177CDA" w:rsidRPr="00FE273A">
        <w:t xml:space="preserve"> </w:t>
      </w:r>
      <w:r w:rsidR="00B751D5" w:rsidRPr="00FE273A">
        <w:t>awarded such compensations</w:t>
      </w:r>
      <w:r w:rsidR="00B751D5">
        <w:t xml:space="preserve"> was not available</w:t>
      </w:r>
      <w:r w:rsidR="00854165">
        <w:t xml:space="preserve"> (see Criminal Procedure Code, sect. 426)</w:t>
      </w:r>
      <w:r w:rsidR="00B751D5" w:rsidRPr="00FE273A">
        <w:t>.</w:t>
      </w:r>
      <w:r w:rsidR="00B751D5">
        <w:t xml:space="preserve"> </w:t>
      </w:r>
    </w:p>
    <w:p w:rsidR="00B751D5" w:rsidRPr="002F0C85" w:rsidRDefault="0023396D" w:rsidP="0023396D">
      <w:pPr>
        <w:pStyle w:val="SingleTxtG"/>
      </w:pPr>
      <w:r w:rsidRPr="002F0C85">
        <w:rPr>
          <w:iCs/>
        </w:rPr>
        <w:t>73.</w:t>
      </w:r>
      <w:r w:rsidRPr="002F0C85">
        <w:rPr>
          <w:iCs/>
        </w:rPr>
        <w:tab/>
      </w:r>
      <w:r w:rsidR="00B751D5" w:rsidRPr="00FE273A">
        <w:t>Another important means of redress, specifically for victims of labour trafficking, is the recovery of unpaid wages</w:t>
      </w:r>
      <w:r w:rsidR="00B751D5">
        <w:t>. While not</w:t>
      </w:r>
      <w:r w:rsidR="00B751D5" w:rsidRPr="00FE273A">
        <w:t xml:space="preserve"> envisaged </w:t>
      </w:r>
      <w:r w:rsidR="00177CDA">
        <w:t>under</w:t>
      </w:r>
      <w:r w:rsidR="00177CDA" w:rsidRPr="00FE273A">
        <w:t xml:space="preserve"> </w:t>
      </w:r>
      <w:r w:rsidR="00B751D5" w:rsidRPr="00FE273A">
        <w:t>the A</w:t>
      </w:r>
      <w:r w:rsidR="00B751D5">
        <w:t>nti-</w:t>
      </w:r>
      <w:r w:rsidR="005D512A">
        <w:t>T</w:t>
      </w:r>
      <w:r w:rsidR="00B751D5">
        <w:t>rafficking Act</w:t>
      </w:r>
      <w:r w:rsidR="00B751D5" w:rsidRPr="00FE273A">
        <w:t xml:space="preserve">, victims may </w:t>
      </w:r>
      <w:r w:rsidR="00B751D5">
        <w:t xml:space="preserve">nevertheless </w:t>
      </w:r>
      <w:r w:rsidR="00B751D5" w:rsidRPr="00FE273A">
        <w:t xml:space="preserve">raise claims against their employers through either of two administrative processes, one before the </w:t>
      </w:r>
      <w:r w:rsidR="00B751D5" w:rsidRPr="002F0C85">
        <w:t xml:space="preserve">Labour Department for claims concerning </w:t>
      </w:r>
      <w:r w:rsidR="00B751D5" w:rsidRPr="009369BF">
        <w:t xml:space="preserve">wages or any other payments in cash due to </w:t>
      </w:r>
      <w:r w:rsidR="00B751D5" w:rsidRPr="002F0C85">
        <w:t>them</w:t>
      </w:r>
      <w:r w:rsidR="00B751D5" w:rsidRPr="009369BF">
        <w:t xml:space="preserve"> </w:t>
      </w:r>
      <w:r w:rsidR="00B751D5" w:rsidRPr="002F0C85">
        <w:t>(wrongful deductions, unpaid wages or unpaid compensation in the event of workplace injuries) and the other through the Industrial Relations Department for unfair dismissal</w:t>
      </w:r>
      <w:r w:rsidR="0013571C">
        <w:t xml:space="preserve"> (see </w:t>
      </w:r>
      <w:r w:rsidR="0013571C" w:rsidRPr="0013571C">
        <w:t>Employment Act</w:t>
      </w:r>
      <w:r w:rsidR="0013571C">
        <w:t xml:space="preserve"> </w:t>
      </w:r>
      <w:r w:rsidR="005D512A">
        <w:t>(</w:t>
      </w:r>
      <w:r w:rsidR="0013571C" w:rsidRPr="0013571C">
        <w:t>1955</w:t>
      </w:r>
      <w:r w:rsidR="005D512A">
        <w:t>)</w:t>
      </w:r>
      <w:r w:rsidR="0013571C">
        <w:t>, sect. 69,</w:t>
      </w:r>
      <w:r w:rsidR="0013571C" w:rsidRPr="0013571C">
        <w:t xml:space="preserve"> and Industrial Relations Act </w:t>
      </w:r>
      <w:r w:rsidR="005D512A">
        <w:t>(</w:t>
      </w:r>
      <w:r w:rsidR="0013571C" w:rsidRPr="0013571C">
        <w:t>1967</w:t>
      </w:r>
      <w:r w:rsidR="005D512A">
        <w:t>)</w:t>
      </w:r>
      <w:r w:rsidR="0013571C">
        <w:t>)</w:t>
      </w:r>
      <w:r w:rsidR="00B751D5" w:rsidRPr="002F0C85">
        <w:t>.</w:t>
      </w:r>
    </w:p>
    <w:p w:rsidR="00B751D5" w:rsidRPr="009369BF" w:rsidRDefault="0023396D" w:rsidP="0023396D">
      <w:pPr>
        <w:pStyle w:val="SingleTxtG"/>
      </w:pPr>
      <w:r w:rsidRPr="009369BF">
        <w:rPr>
          <w:iCs/>
        </w:rPr>
        <w:t>74.</w:t>
      </w:r>
      <w:r w:rsidRPr="009369BF">
        <w:rPr>
          <w:iCs/>
        </w:rPr>
        <w:tab/>
      </w:r>
      <w:r w:rsidR="00B751D5" w:rsidRPr="002F0C85">
        <w:t>In certain circumstances, the Special Rapporteur</w:t>
      </w:r>
      <w:r w:rsidR="00B751D5" w:rsidRPr="009D76E2">
        <w:t xml:space="preserve"> is of the view that </w:t>
      </w:r>
      <w:r w:rsidR="00B751D5" w:rsidRPr="00FE273A">
        <w:t>permanent or temporary residence in itself may be a necessary and appropriate form of remedy. This consideration is particularly pertinent in the case of Malaysia, where trafficked persons returned to their country of origin can be at serious risk of being re</w:t>
      </w:r>
      <w:r w:rsidR="00B751D5">
        <w:t>-</w:t>
      </w:r>
      <w:r w:rsidR="00B751D5" w:rsidRPr="00FE273A">
        <w:t>trafficked or of severe violations of their human rights.</w:t>
      </w:r>
      <w:r w:rsidR="00B751D5" w:rsidRPr="00F84DBA">
        <w:t xml:space="preserve"> In this regard, she acknowledges the recent steps </w:t>
      </w:r>
      <w:r w:rsidR="00B751D5">
        <w:t xml:space="preserve">taken by </w:t>
      </w:r>
      <w:r w:rsidR="00B751D5" w:rsidRPr="00F84DBA">
        <w:t>the Government to allow victim</w:t>
      </w:r>
      <w:r w:rsidR="00AD6D0E">
        <w:t>s</w:t>
      </w:r>
      <w:r w:rsidR="00B751D5" w:rsidRPr="00F84DBA">
        <w:t xml:space="preserve"> of labour trafficking to remain and work legally in Malaysia (</w:t>
      </w:r>
      <w:r w:rsidR="00B751D5" w:rsidRPr="00FC3B60">
        <w:t>see para</w:t>
      </w:r>
      <w:r w:rsidR="00927678" w:rsidRPr="00FC3B60">
        <w:t>. </w:t>
      </w:r>
      <w:r w:rsidR="001205A5" w:rsidRPr="00315D83">
        <w:t>7</w:t>
      </w:r>
      <w:r w:rsidR="00F403C2" w:rsidRPr="00315D83">
        <w:t>7</w:t>
      </w:r>
      <w:r w:rsidR="00AD6D0E" w:rsidRPr="00FC3B60">
        <w:t xml:space="preserve"> </w:t>
      </w:r>
      <w:r w:rsidR="00B751D5" w:rsidRPr="00315D83">
        <w:t>below</w:t>
      </w:r>
      <w:r w:rsidR="00B751D5" w:rsidRPr="00F84DBA">
        <w:t>).</w:t>
      </w:r>
    </w:p>
    <w:p w:rsidR="00B751D5" w:rsidRPr="009369BF" w:rsidRDefault="0023396D" w:rsidP="0023396D">
      <w:pPr>
        <w:pStyle w:val="SingleTxtG"/>
      </w:pPr>
      <w:r w:rsidRPr="009369BF">
        <w:rPr>
          <w:iCs/>
        </w:rPr>
        <w:t>75.</w:t>
      </w:r>
      <w:r w:rsidRPr="009369BF">
        <w:rPr>
          <w:iCs/>
        </w:rPr>
        <w:tab/>
      </w:r>
      <w:r w:rsidR="00B751D5" w:rsidRPr="000E5FF8">
        <w:t xml:space="preserve">Besides </w:t>
      </w:r>
      <w:r w:rsidR="005D512A">
        <w:t>operating on the assumption</w:t>
      </w:r>
      <w:r w:rsidR="005D512A" w:rsidRPr="000E5FF8">
        <w:t xml:space="preserve"> </w:t>
      </w:r>
      <w:r w:rsidR="00B751D5" w:rsidRPr="000E5FF8">
        <w:t>that victims are aware of their rights and systematically benefit from legal assistance, the</w:t>
      </w:r>
      <w:r w:rsidR="00B751D5">
        <w:t xml:space="preserve"> above-mentioned</w:t>
      </w:r>
      <w:r w:rsidR="00B751D5" w:rsidRPr="000E5FF8">
        <w:t xml:space="preserve"> redress mechanisms</w:t>
      </w:r>
      <w:r w:rsidR="00B751D5">
        <w:t xml:space="preserve"> require</w:t>
      </w:r>
      <w:r w:rsidR="00177CDA">
        <w:t xml:space="preserve"> victims to</w:t>
      </w:r>
      <w:r w:rsidR="00B751D5">
        <w:t xml:space="preserve"> tak</w:t>
      </w:r>
      <w:r w:rsidR="00177CDA">
        <w:t>e</w:t>
      </w:r>
      <w:r w:rsidR="00B751D5" w:rsidRPr="000E5FF8">
        <w:t xml:space="preserve"> additional steps and incur costs for lengthy trials. Moreover, tying restitution to the successful conviction of perpetrators in civil and criminal </w:t>
      </w:r>
      <w:r w:rsidR="00B751D5">
        <w:t>proceedings</w:t>
      </w:r>
      <w:r w:rsidR="00B751D5" w:rsidRPr="000E5FF8">
        <w:t xml:space="preserve"> makes </w:t>
      </w:r>
      <w:r w:rsidR="00B751D5">
        <w:t>restitution</w:t>
      </w:r>
      <w:r w:rsidR="00B751D5" w:rsidRPr="000E5FF8">
        <w:t xml:space="preserve"> contingent upon victims’ cooperation in judicial processes. This </w:t>
      </w:r>
      <w:r w:rsidR="00EA7139">
        <w:t>prevents</w:t>
      </w:r>
      <w:r w:rsidR="00EA7139" w:rsidRPr="000E5FF8">
        <w:t xml:space="preserve"> </w:t>
      </w:r>
      <w:r w:rsidR="00B751D5" w:rsidRPr="000E5FF8">
        <w:t>those victims who are reluctant to file complaints against their traffickers</w:t>
      </w:r>
      <w:r w:rsidR="00EA7139">
        <w:t>,</w:t>
      </w:r>
      <w:r w:rsidR="00B751D5" w:rsidRPr="000E5FF8">
        <w:t xml:space="preserve"> and those whose cases were unsuccessful in court, from obtaining restitution and compensation. There ar</w:t>
      </w:r>
      <w:r w:rsidR="00B751D5">
        <w:t>e</w:t>
      </w:r>
      <w:r w:rsidR="00B751D5" w:rsidRPr="000E5FF8">
        <w:t xml:space="preserve"> also concerns that cases resulting in the awarding of compensation are limited to cases of labo</w:t>
      </w:r>
      <w:r w:rsidR="00EA7139">
        <w:t>u</w:t>
      </w:r>
      <w:r w:rsidR="00B751D5" w:rsidRPr="000E5FF8">
        <w:t>r exploitation in sectors other tha</w:t>
      </w:r>
      <w:r w:rsidR="00B751D5">
        <w:t>n the entertainment/sex industry</w:t>
      </w:r>
      <w:r w:rsidR="00B751D5" w:rsidRPr="000E5FF8">
        <w:t xml:space="preserve">. </w:t>
      </w:r>
      <w:r w:rsidR="00B751D5" w:rsidRPr="009369BF">
        <w:t>Moreover, there is a risk of</w:t>
      </w:r>
      <w:r w:rsidR="00EA7139">
        <w:t xml:space="preserve"> </w:t>
      </w:r>
      <w:r w:rsidR="00B751D5" w:rsidRPr="000E5FF8">
        <w:t xml:space="preserve">victims </w:t>
      </w:r>
      <w:r w:rsidR="00B751D5">
        <w:t xml:space="preserve">of labour </w:t>
      </w:r>
      <w:r w:rsidR="00B751D5" w:rsidRPr="000E5FF8">
        <w:t>traffick</w:t>
      </w:r>
      <w:r w:rsidR="00EA7139">
        <w:t>ing</w:t>
      </w:r>
      <w:r w:rsidR="00B751D5" w:rsidRPr="000E5FF8">
        <w:t xml:space="preserve"> who file cases against their employers </w:t>
      </w:r>
      <w:r w:rsidR="00EA7139">
        <w:t xml:space="preserve">being deported </w:t>
      </w:r>
      <w:r w:rsidR="00B751D5" w:rsidRPr="000E5FF8">
        <w:t>as a result of the cancellation of their work permits by</w:t>
      </w:r>
      <w:r w:rsidR="00EA7139">
        <w:t xml:space="preserve"> those</w:t>
      </w:r>
      <w:r w:rsidR="00B751D5" w:rsidRPr="000E5FF8">
        <w:t xml:space="preserve"> employers. </w:t>
      </w:r>
      <w:r w:rsidR="00B751D5">
        <w:t xml:space="preserve">Finally, the capacity of practitioners to correctly distinguish between cases of labour trafficking and other labour disputes also affects the type of redress awarded to victims. </w:t>
      </w:r>
      <w:r w:rsidR="00B751D5" w:rsidRPr="009369BF">
        <w:t>In the face of these obstacles, many victims opt to give up their rights to pursue claims</w:t>
      </w:r>
      <w:r w:rsidR="00EA7139">
        <w:t>,</w:t>
      </w:r>
      <w:r w:rsidR="00B751D5" w:rsidRPr="009369BF">
        <w:t xml:space="preserve"> even if their cases are compelling.</w:t>
      </w:r>
      <w:r w:rsidR="00B751D5" w:rsidRPr="00CF713B">
        <w:rPr>
          <w:rStyle w:val="FootnoteReference"/>
        </w:rPr>
        <w:footnoteReference w:id="14"/>
      </w:r>
      <w:r w:rsidR="00B751D5" w:rsidRPr="009369BF">
        <w:t xml:space="preserve"> </w:t>
      </w:r>
    </w:p>
    <w:p w:rsidR="00B751D5" w:rsidRPr="00FE273A" w:rsidRDefault="00B751D5" w:rsidP="00B751D5">
      <w:pPr>
        <w:pStyle w:val="H1G"/>
      </w:pPr>
      <w:r>
        <w:tab/>
        <w:t>H.</w:t>
      </w:r>
      <w:r>
        <w:tab/>
      </w:r>
      <w:r w:rsidRPr="00FE273A">
        <w:t xml:space="preserve">Repatriation and reintegration </w:t>
      </w:r>
    </w:p>
    <w:p w:rsidR="00B751D5" w:rsidRDefault="0023396D" w:rsidP="0023396D">
      <w:pPr>
        <w:pStyle w:val="SingleTxtG"/>
      </w:pPr>
      <w:r>
        <w:rPr>
          <w:iCs/>
        </w:rPr>
        <w:t>76.</w:t>
      </w:r>
      <w:r>
        <w:rPr>
          <w:iCs/>
        </w:rPr>
        <w:tab/>
      </w:r>
      <w:r w:rsidR="00B751D5">
        <w:t xml:space="preserve">Under the </w:t>
      </w:r>
      <w:r w:rsidR="00EA7139">
        <w:t>A</w:t>
      </w:r>
      <w:r w:rsidR="00B751D5">
        <w:t>nti-</w:t>
      </w:r>
      <w:r w:rsidR="00EA7139">
        <w:t>T</w:t>
      </w:r>
      <w:r w:rsidR="00B751D5">
        <w:t xml:space="preserve">rafficking </w:t>
      </w:r>
      <w:r w:rsidR="00EA7139">
        <w:t>A</w:t>
      </w:r>
      <w:r w:rsidR="00B751D5">
        <w:t>ct, the fate of all victims of trafficking, whether identified or not, is their immediate removal from Malaysia</w:t>
      </w:r>
      <w:r w:rsidR="00B03178">
        <w:t xml:space="preserve"> (see Anti-Trafficking Act, sects. 51 and 54, and </w:t>
      </w:r>
      <w:r w:rsidR="00B03178" w:rsidRPr="00854165">
        <w:t>Immigration Act, sects. 8 and 32</w:t>
      </w:r>
      <w:r w:rsidR="00B03178">
        <w:t>)</w:t>
      </w:r>
      <w:r w:rsidR="00B751D5" w:rsidRPr="00FE273A">
        <w:t xml:space="preserve">. However, it is not clear what the </w:t>
      </w:r>
      <w:r w:rsidR="00B751D5" w:rsidRPr="00FE273A">
        <w:lastRenderedPageBreak/>
        <w:t>procedures of return are and what safeguards are in place to ensure their safety and avoid their re-victimi</w:t>
      </w:r>
      <w:r w:rsidR="00EA7139">
        <w:t>z</w:t>
      </w:r>
      <w:r w:rsidR="00B751D5" w:rsidRPr="00FE273A">
        <w:t>ation.</w:t>
      </w:r>
      <w:r w:rsidR="00B751D5">
        <w:t xml:space="preserve"> </w:t>
      </w:r>
    </w:p>
    <w:p w:rsidR="00B751D5" w:rsidRDefault="0023396D" w:rsidP="0023396D">
      <w:pPr>
        <w:pStyle w:val="SingleTxtG"/>
      </w:pPr>
      <w:r>
        <w:rPr>
          <w:iCs/>
        </w:rPr>
        <w:t>77.</w:t>
      </w:r>
      <w:r>
        <w:rPr>
          <w:iCs/>
        </w:rPr>
        <w:tab/>
      </w:r>
      <w:r w:rsidR="00B751D5">
        <w:t>In</w:t>
      </w:r>
      <w:r w:rsidR="00B751D5" w:rsidRPr="00FE273A">
        <w:t xml:space="preserve"> January 2012, victims </w:t>
      </w:r>
      <w:r w:rsidR="00B751D5">
        <w:t xml:space="preserve">of trafficking were allowed </w:t>
      </w:r>
      <w:r w:rsidR="00B751D5" w:rsidRPr="00FE273A">
        <w:t xml:space="preserve">to take up employment in the country after completion of their </w:t>
      </w:r>
      <w:r w:rsidR="00B751D5">
        <w:t>stay in shelters. S</w:t>
      </w:r>
      <w:r w:rsidR="00B751D5" w:rsidRPr="00FE273A">
        <w:t xml:space="preserve">ubsequently, the first </w:t>
      </w:r>
      <w:r w:rsidR="00EA7139">
        <w:t>group</w:t>
      </w:r>
      <w:r w:rsidR="00EA7139" w:rsidRPr="00FE273A">
        <w:t xml:space="preserve"> </w:t>
      </w:r>
      <w:r w:rsidR="00B751D5" w:rsidRPr="00FE273A">
        <w:t>of 33 victims</w:t>
      </w:r>
      <w:r w:rsidR="00EA7139">
        <w:t>,</w:t>
      </w:r>
      <w:r w:rsidR="00B751D5" w:rsidRPr="00FE273A">
        <w:t xml:space="preserve"> composed of Bangladeshi and Indians</w:t>
      </w:r>
      <w:r w:rsidR="00EA7139">
        <w:t>,</w:t>
      </w:r>
      <w:r w:rsidR="00B751D5" w:rsidRPr="00FE273A">
        <w:t xml:space="preserve"> </w:t>
      </w:r>
      <w:r w:rsidR="00B751D5">
        <w:t xml:space="preserve">took </w:t>
      </w:r>
      <w:r w:rsidR="00B751D5" w:rsidRPr="00FE273A">
        <w:t xml:space="preserve">up employment offers. In March 2014, a government policy amending the </w:t>
      </w:r>
      <w:r w:rsidR="00B751D5">
        <w:t>Anti-</w:t>
      </w:r>
      <w:r w:rsidR="00EA7139">
        <w:t>T</w:t>
      </w:r>
      <w:r w:rsidR="00B751D5">
        <w:t>rafficking Act</w:t>
      </w:r>
      <w:r w:rsidR="00B751D5" w:rsidRPr="00FE273A">
        <w:t xml:space="preserve"> provided victims of labour trafficking </w:t>
      </w:r>
      <w:r w:rsidR="00EA7139">
        <w:t>who</w:t>
      </w:r>
      <w:r w:rsidR="00EA7139" w:rsidRPr="00FE273A">
        <w:t xml:space="preserve"> </w:t>
      </w:r>
      <w:r w:rsidR="00B751D5" w:rsidRPr="00FE273A">
        <w:t>do not require further care and protection</w:t>
      </w:r>
      <w:r w:rsidR="00EA7139">
        <w:t xml:space="preserve"> with</w:t>
      </w:r>
      <w:r w:rsidR="00B751D5" w:rsidRPr="00FE273A">
        <w:t xml:space="preserve"> the possibility </w:t>
      </w:r>
      <w:r w:rsidR="00EA7139">
        <w:t>of</w:t>
      </w:r>
      <w:r w:rsidR="00EA7139" w:rsidRPr="00FE273A">
        <w:t xml:space="preserve"> </w:t>
      </w:r>
      <w:r w:rsidR="00B751D5" w:rsidRPr="00FE273A">
        <w:t>work</w:t>
      </w:r>
      <w:r w:rsidR="00EA7139">
        <w:t>ing</w:t>
      </w:r>
      <w:r w:rsidR="00B751D5" w:rsidRPr="00FE273A">
        <w:t xml:space="preserve"> </w:t>
      </w:r>
      <w:r w:rsidR="00EA7139">
        <w:t>before</w:t>
      </w:r>
      <w:r w:rsidR="00B751D5" w:rsidRPr="00FE273A">
        <w:t xml:space="preserve"> their </w:t>
      </w:r>
      <w:r w:rsidR="00EA7139">
        <w:t>p</w:t>
      </w:r>
      <w:r w:rsidR="00B751D5" w:rsidRPr="00FE273A">
        <w:t xml:space="preserve">rotection </w:t>
      </w:r>
      <w:r w:rsidR="00EA7139">
        <w:t>o</w:t>
      </w:r>
      <w:r w:rsidR="00B751D5" w:rsidRPr="00FE273A">
        <w:t>rder</w:t>
      </w:r>
      <w:r w:rsidR="00EA7139">
        <w:t xml:space="preserve"> runs out</w:t>
      </w:r>
      <w:r w:rsidR="00B751D5" w:rsidRPr="00FE273A">
        <w:t xml:space="preserve">. Upon fulfilment of some conditions/requirements, victims involved mainly in cases related to wages dispute </w:t>
      </w:r>
      <w:r w:rsidR="00B751D5">
        <w:t xml:space="preserve">can obtain </w:t>
      </w:r>
      <w:r w:rsidR="00EA7139">
        <w:t>s</w:t>
      </w:r>
      <w:r w:rsidR="00B751D5" w:rsidRPr="00FE273A">
        <w:t xml:space="preserve">pecial </w:t>
      </w:r>
      <w:r w:rsidR="00EA7139">
        <w:t>i</w:t>
      </w:r>
      <w:r w:rsidR="00B751D5" w:rsidRPr="00FE273A">
        <w:t xml:space="preserve">mmigration </w:t>
      </w:r>
      <w:r w:rsidR="00EA7139">
        <w:t>p</w:t>
      </w:r>
      <w:r w:rsidR="00B751D5" w:rsidRPr="00FE273A">
        <w:t xml:space="preserve">asses </w:t>
      </w:r>
      <w:r w:rsidR="00B751D5">
        <w:t xml:space="preserve">renewable </w:t>
      </w:r>
      <w:r w:rsidR="00B751D5" w:rsidRPr="00FE273A">
        <w:t>on a monthly basis</w:t>
      </w:r>
      <w:r w:rsidR="00B751D5">
        <w:t>. T</w:t>
      </w:r>
      <w:r w:rsidR="00B751D5" w:rsidRPr="001858D4">
        <w:t xml:space="preserve">hese </w:t>
      </w:r>
      <w:r w:rsidR="00EA7139">
        <w:t>p</w:t>
      </w:r>
      <w:r w:rsidR="00B751D5" w:rsidRPr="001858D4">
        <w:t xml:space="preserve">asses cost </w:t>
      </w:r>
      <w:r w:rsidR="001205A5">
        <w:t>R</w:t>
      </w:r>
      <w:r w:rsidR="00EA7139">
        <w:t>M</w:t>
      </w:r>
      <w:r w:rsidR="001205A5" w:rsidRPr="001858D4">
        <w:t xml:space="preserve"> </w:t>
      </w:r>
      <w:r w:rsidR="00B751D5" w:rsidRPr="001858D4">
        <w:t>100</w:t>
      </w:r>
      <w:r w:rsidR="001205A5">
        <w:t xml:space="preserve">, </w:t>
      </w:r>
      <w:r w:rsidR="00B751D5" w:rsidRPr="001858D4">
        <w:t>are only renewable</w:t>
      </w:r>
      <w:r w:rsidR="00EA7139">
        <w:t xml:space="preserve"> for</w:t>
      </w:r>
      <w:r w:rsidR="00B751D5" w:rsidRPr="001858D4">
        <w:t xml:space="preserve"> up to </w:t>
      </w:r>
      <w:r w:rsidR="00EA7139">
        <w:t>three</w:t>
      </w:r>
      <w:r w:rsidR="00B751D5" w:rsidRPr="001858D4">
        <w:t xml:space="preserve"> months and do not </w:t>
      </w:r>
      <w:r w:rsidR="00EA7139">
        <w:t>grant</w:t>
      </w:r>
      <w:r w:rsidR="00EA7139" w:rsidRPr="001858D4">
        <w:t xml:space="preserve"> </w:t>
      </w:r>
      <w:r w:rsidR="00B751D5" w:rsidRPr="001858D4">
        <w:t>the right to work. Upon</w:t>
      </w:r>
      <w:r w:rsidR="00B751D5" w:rsidRPr="00FE273A">
        <w:t xml:space="preserve"> securing new employment</w:t>
      </w:r>
      <w:r w:rsidR="00B751D5">
        <w:t>, the</w:t>
      </w:r>
      <w:r w:rsidR="00A22DCE">
        <w:t xml:space="preserve"> victims</w:t>
      </w:r>
      <w:r w:rsidR="00B751D5" w:rsidRPr="00FE273A">
        <w:t xml:space="preserve"> </w:t>
      </w:r>
      <w:r w:rsidR="00EA7139">
        <w:t>are</w:t>
      </w:r>
      <w:r w:rsidR="00B751D5" w:rsidRPr="00FE273A">
        <w:t xml:space="preserve"> </w:t>
      </w:r>
      <w:r w:rsidR="00A22DCE">
        <w:t>issued with</w:t>
      </w:r>
      <w:r w:rsidR="00B751D5" w:rsidRPr="00FE273A">
        <w:t xml:space="preserve"> </w:t>
      </w:r>
      <w:r w:rsidR="00EA7139">
        <w:t>t</w:t>
      </w:r>
      <w:r w:rsidR="00B751D5" w:rsidRPr="001858D4">
        <w:t xml:space="preserve">emporary </w:t>
      </w:r>
      <w:r w:rsidR="00EA7139">
        <w:t>e</w:t>
      </w:r>
      <w:r w:rsidR="00B751D5" w:rsidRPr="001858D4">
        <w:t xml:space="preserve">mployment </w:t>
      </w:r>
      <w:r w:rsidR="00EA7139">
        <w:t>w</w:t>
      </w:r>
      <w:r w:rsidR="00B751D5" w:rsidRPr="001858D4">
        <w:t xml:space="preserve">ork </w:t>
      </w:r>
      <w:r w:rsidR="00EA7139">
        <w:t>p</w:t>
      </w:r>
      <w:r w:rsidR="00B751D5" w:rsidRPr="001858D4">
        <w:t>asses</w:t>
      </w:r>
      <w:r w:rsidR="00B751D5" w:rsidRPr="00FE273A">
        <w:t>. Those who are unable to secure new employment within the stipulated period will be sent back to their countries.</w:t>
      </w:r>
      <w:r w:rsidR="00B751D5" w:rsidRPr="00CF713B">
        <w:rPr>
          <w:rStyle w:val="FootnoteReference"/>
        </w:rPr>
        <w:footnoteReference w:id="15"/>
      </w:r>
      <w:r w:rsidR="00B751D5" w:rsidRPr="00FE273A">
        <w:t xml:space="preserve"> At the time of visit of the </w:t>
      </w:r>
      <w:r w:rsidR="00B751D5">
        <w:t>Special Rapporteur</w:t>
      </w:r>
      <w:r w:rsidR="00B751D5" w:rsidRPr="00FE273A">
        <w:t xml:space="preserve">, </w:t>
      </w:r>
      <w:r w:rsidR="00A22DCE">
        <w:t>eight</w:t>
      </w:r>
      <w:r w:rsidR="00B751D5" w:rsidRPr="00FE273A">
        <w:t xml:space="preserve"> female victims of trafficking </w:t>
      </w:r>
      <w:r w:rsidR="00A22DCE">
        <w:t>had been</w:t>
      </w:r>
      <w:r w:rsidR="00A22DCE" w:rsidRPr="00FE273A">
        <w:t xml:space="preserve"> </w:t>
      </w:r>
      <w:r w:rsidR="00B751D5" w:rsidRPr="00FE273A">
        <w:t xml:space="preserve">allowed to remain and work in Malaysia as domestic workers and as workers in an international </w:t>
      </w:r>
      <w:r w:rsidR="00A22DCE">
        <w:t>h</w:t>
      </w:r>
      <w:r w:rsidR="00B751D5" w:rsidRPr="00FE273A">
        <w:t xml:space="preserve">otel </w:t>
      </w:r>
      <w:r w:rsidR="00B751D5">
        <w:t>through this programme</w:t>
      </w:r>
      <w:r w:rsidR="00B751D5" w:rsidRPr="00FE273A">
        <w:t>.</w:t>
      </w:r>
    </w:p>
    <w:p w:rsidR="00B751D5" w:rsidRPr="00FE273A" w:rsidRDefault="0023396D" w:rsidP="0023396D">
      <w:pPr>
        <w:pStyle w:val="SingleTxtG"/>
        <w:rPr>
          <w:i/>
        </w:rPr>
      </w:pPr>
      <w:r w:rsidRPr="00FE273A">
        <w:rPr>
          <w:iCs/>
        </w:rPr>
        <w:t>78.</w:t>
      </w:r>
      <w:r w:rsidRPr="00FE273A">
        <w:rPr>
          <w:iCs/>
        </w:rPr>
        <w:tab/>
      </w:r>
      <w:r w:rsidR="00B751D5" w:rsidRPr="00FE273A">
        <w:t>While these are encouraging initiatives, th</w:t>
      </w:r>
      <w:r w:rsidR="00A22DCE">
        <w:t>e Government’s</w:t>
      </w:r>
      <w:r w:rsidR="00B751D5" w:rsidRPr="00FE273A">
        <w:t xml:space="preserve"> policy may</w:t>
      </w:r>
      <w:r w:rsidR="00B751D5" w:rsidRPr="0042721A">
        <w:t xml:space="preserve"> be applicable</w:t>
      </w:r>
      <w:r w:rsidR="00B751D5" w:rsidRPr="00FE273A">
        <w:t xml:space="preserve"> to </w:t>
      </w:r>
      <w:r w:rsidR="00B751D5">
        <w:t xml:space="preserve">only a very limited number of </w:t>
      </w:r>
      <w:r w:rsidR="00B751D5" w:rsidRPr="00FE273A">
        <w:t>victims of trafficking</w:t>
      </w:r>
      <w:r w:rsidR="00B751D5">
        <w:t>.</w:t>
      </w:r>
      <w:r w:rsidR="00B751D5" w:rsidRPr="00FE273A">
        <w:t xml:space="preserve"> </w:t>
      </w:r>
      <w:r w:rsidR="00B751D5">
        <w:t>Having v</w:t>
      </w:r>
      <w:r w:rsidR="00B751D5" w:rsidRPr="00FE273A">
        <w:t>alid travel documents for entry into Malaysia</w:t>
      </w:r>
      <w:r w:rsidR="00A22DCE">
        <w:t>,</w:t>
      </w:r>
      <w:r w:rsidR="00B751D5" w:rsidRPr="00FE273A">
        <w:t xml:space="preserve"> </w:t>
      </w:r>
      <w:r w:rsidR="00A22DCE">
        <w:t xml:space="preserve">a </w:t>
      </w:r>
      <w:r w:rsidR="00B751D5" w:rsidRPr="00FE273A">
        <w:t xml:space="preserve">valid contract of employment and </w:t>
      </w:r>
      <w:r w:rsidR="00A22DCE">
        <w:t xml:space="preserve">the </w:t>
      </w:r>
      <w:r w:rsidR="00B751D5">
        <w:t xml:space="preserve">financial means to pay the monthly fees for the </w:t>
      </w:r>
      <w:r w:rsidR="00A22DCE">
        <w:t>s</w:t>
      </w:r>
      <w:r w:rsidR="00B751D5" w:rsidRPr="00FE273A">
        <w:t xml:space="preserve">pecial </w:t>
      </w:r>
      <w:r w:rsidR="00A22DCE">
        <w:t>p</w:t>
      </w:r>
      <w:r w:rsidR="00B751D5" w:rsidRPr="00FE273A">
        <w:t>asses</w:t>
      </w:r>
      <w:r w:rsidR="00B751D5">
        <w:t xml:space="preserve"> are </w:t>
      </w:r>
      <w:r w:rsidR="00A22DCE">
        <w:t>prerequisites</w:t>
      </w:r>
      <w:r w:rsidR="00B751D5" w:rsidRPr="00FE273A">
        <w:t xml:space="preserve"> for </w:t>
      </w:r>
      <w:r w:rsidR="00B751D5">
        <w:t>victims to be considered</w:t>
      </w:r>
      <w:r w:rsidR="00B751D5" w:rsidRPr="00FE273A">
        <w:t xml:space="preserve"> under this programme. </w:t>
      </w:r>
      <w:r w:rsidR="00B751D5">
        <w:t xml:space="preserve">They also depend on the approval of the Ministry of Home Affairs, embassies </w:t>
      </w:r>
      <w:r w:rsidR="00A22DCE">
        <w:t>and</w:t>
      </w:r>
      <w:r w:rsidR="00B751D5">
        <w:t xml:space="preserve"> employers’ approval for time</w:t>
      </w:r>
      <w:r w:rsidR="00A22DCE">
        <w:t xml:space="preserve"> </w:t>
      </w:r>
      <w:r w:rsidR="00B751D5">
        <w:t xml:space="preserve">off to enable victims to participate in legal procedures. </w:t>
      </w:r>
      <w:r w:rsidR="00B751D5" w:rsidRPr="00FE273A">
        <w:t>Finally, the scope of this policy restricts it</w:t>
      </w:r>
      <w:r w:rsidR="00B751D5">
        <w:t>s</w:t>
      </w:r>
      <w:r w:rsidR="00B751D5" w:rsidRPr="00FE273A">
        <w:t xml:space="preserve"> application to victims of trafficking for the purpose of labour exploitation </w:t>
      </w:r>
      <w:r w:rsidR="00A22DCE" w:rsidRPr="00FE273A">
        <w:t xml:space="preserve">only </w:t>
      </w:r>
      <w:r w:rsidR="00B751D5" w:rsidRPr="00FE273A">
        <w:t>and does not address other types of exploitation</w:t>
      </w:r>
      <w:r w:rsidR="00A22DCE">
        <w:t>,</w:t>
      </w:r>
      <w:r w:rsidR="00B751D5" w:rsidRPr="00FE273A">
        <w:t xml:space="preserve"> contrary to both the </w:t>
      </w:r>
      <w:r w:rsidR="00B751D5">
        <w:t>Anti-Trafficking Act</w:t>
      </w:r>
      <w:r w:rsidR="00B751D5" w:rsidRPr="00FE273A">
        <w:t xml:space="preserve"> and the </w:t>
      </w:r>
      <w:r w:rsidR="00B751D5">
        <w:t>Trafficking</w:t>
      </w:r>
      <w:r w:rsidR="00A22DCE">
        <w:t xml:space="preserve"> in Persons</w:t>
      </w:r>
      <w:r w:rsidR="00B751D5" w:rsidRPr="00FE273A">
        <w:t xml:space="preserve"> Protocol. </w:t>
      </w:r>
    </w:p>
    <w:p w:rsidR="00B751D5" w:rsidRPr="0035152F" w:rsidRDefault="00B751D5" w:rsidP="00B751D5">
      <w:pPr>
        <w:pStyle w:val="H1G"/>
      </w:pPr>
      <w:r w:rsidRPr="0035152F">
        <w:tab/>
      </w:r>
      <w:r>
        <w:t>I</w:t>
      </w:r>
      <w:r w:rsidRPr="0035152F">
        <w:t>.</w:t>
      </w:r>
      <w:r w:rsidRPr="0035152F">
        <w:tab/>
        <w:t>Prevention</w:t>
      </w:r>
    </w:p>
    <w:p w:rsidR="00B751D5" w:rsidRPr="00FE273A" w:rsidRDefault="009E7EF4" w:rsidP="00854165">
      <w:pPr>
        <w:pStyle w:val="H23G"/>
      </w:pPr>
      <w:r>
        <w:tab/>
      </w:r>
      <w:r w:rsidR="00B751D5" w:rsidRPr="00FE273A">
        <w:t>1.</w:t>
      </w:r>
      <w:r>
        <w:tab/>
      </w:r>
      <w:r w:rsidR="00B751D5" w:rsidRPr="00FE273A">
        <w:t xml:space="preserve">Public </w:t>
      </w:r>
      <w:r w:rsidR="00A22DCE">
        <w:t>a</w:t>
      </w:r>
      <w:r w:rsidR="00B751D5" w:rsidRPr="00FE273A">
        <w:t>wareness</w:t>
      </w:r>
    </w:p>
    <w:p w:rsidR="00B751D5" w:rsidRDefault="0023396D" w:rsidP="0023396D">
      <w:pPr>
        <w:pStyle w:val="SingleTxtG"/>
      </w:pPr>
      <w:r>
        <w:rPr>
          <w:iCs/>
        </w:rPr>
        <w:t>79.</w:t>
      </w:r>
      <w:r>
        <w:rPr>
          <w:iCs/>
        </w:rPr>
        <w:tab/>
      </w:r>
      <w:r w:rsidR="00B751D5" w:rsidRPr="00FE273A">
        <w:t xml:space="preserve">The Government has taken a number of measures aimed at preventing trafficking in persons, primarily in the form of </w:t>
      </w:r>
      <w:r w:rsidR="00B751D5" w:rsidRPr="0042721A">
        <w:t>awareness-raising campaigns</w:t>
      </w:r>
      <w:r w:rsidR="00B751D5" w:rsidRPr="00FE273A">
        <w:t xml:space="preserve"> and publications. In 2014, it launched 5,126 campaigns</w:t>
      </w:r>
      <w:r w:rsidR="00B751D5" w:rsidRPr="00CF713B">
        <w:rPr>
          <w:rStyle w:val="FootnoteReference"/>
        </w:rPr>
        <w:footnoteReference w:id="16"/>
      </w:r>
      <w:r w:rsidR="00B751D5" w:rsidRPr="00FE273A">
        <w:t xml:space="preserve"> through media </w:t>
      </w:r>
      <w:r w:rsidR="00B751D5">
        <w:t xml:space="preserve">such </w:t>
      </w:r>
      <w:r w:rsidR="00B751D5" w:rsidRPr="00FE273A">
        <w:t xml:space="preserve">as radio, television and publications to raise public awareness about trafficking issues, and distributed information about trafficking in </w:t>
      </w:r>
      <w:r w:rsidR="00B751D5" w:rsidRPr="008C48BA">
        <w:t>Bahasa Malaysia</w:t>
      </w:r>
      <w:r w:rsidR="00B751D5" w:rsidRPr="00FE273A">
        <w:t xml:space="preserve">, Mandarin, Tamil and other </w:t>
      </w:r>
      <w:r w:rsidR="00B751D5">
        <w:t>languages</w:t>
      </w:r>
      <w:r w:rsidR="00B751D5" w:rsidRPr="00FE273A">
        <w:t xml:space="preserve">. NGOs and </w:t>
      </w:r>
      <w:r w:rsidR="00B751D5">
        <w:t xml:space="preserve">the National Human Rights Institution </w:t>
      </w:r>
      <w:r w:rsidR="00B751D5" w:rsidRPr="00FE273A">
        <w:t xml:space="preserve">contribute to </w:t>
      </w:r>
      <w:r w:rsidR="00A22DCE">
        <w:t>the</w:t>
      </w:r>
      <w:r w:rsidR="00A22DCE" w:rsidRPr="00FE273A">
        <w:t xml:space="preserve"> </w:t>
      </w:r>
      <w:r w:rsidR="00B751D5" w:rsidRPr="00FE273A">
        <w:t>dissemination</w:t>
      </w:r>
      <w:r w:rsidR="00A22DCE">
        <w:t xml:space="preserve"> of information</w:t>
      </w:r>
      <w:r w:rsidR="00B751D5" w:rsidRPr="00FE273A">
        <w:t xml:space="preserve">. Yet, despite </w:t>
      </w:r>
      <w:r w:rsidR="006057C4">
        <w:t xml:space="preserve">the </w:t>
      </w:r>
      <w:r w:rsidR="00B751D5" w:rsidRPr="00FE273A">
        <w:t xml:space="preserve">increased attention </w:t>
      </w:r>
      <w:r w:rsidR="00A22DCE">
        <w:t xml:space="preserve">devoted </w:t>
      </w:r>
      <w:r w:rsidR="00B751D5" w:rsidRPr="00FE273A">
        <w:t>to the issue, some stakeholders have expressed concern about the difficulty of</w:t>
      </w:r>
      <w:r w:rsidR="006057C4">
        <w:t xml:space="preserve"> ensuring that</w:t>
      </w:r>
      <w:r w:rsidR="00B751D5" w:rsidRPr="00FE273A">
        <w:t xml:space="preserve"> these awareness-raising efforts appropriately target trafficked persons, those at risk of being trafficked or otherwise exploited, their employers</w:t>
      </w:r>
      <w:r w:rsidR="00B751D5">
        <w:t xml:space="preserve"> or employment agencies</w:t>
      </w:r>
      <w:r w:rsidR="00B751D5" w:rsidRPr="00FE273A">
        <w:t xml:space="preserve">. </w:t>
      </w:r>
    </w:p>
    <w:p w:rsidR="00B751D5" w:rsidRDefault="0023396D" w:rsidP="0023396D">
      <w:pPr>
        <w:pStyle w:val="SingleTxtG"/>
      </w:pPr>
      <w:r>
        <w:rPr>
          <w:iCs/>
        </w:rPr>
        <w:t>80.</w:t>
      </w:r>
      <w:r>
        <w:rPr>
          <w:iCs/>
        </w:rPr>
        <w:tab/>
      </w:r>
      <w:r w:rsidR="00B751D5" w:rsidRPr="00FE273A">
        <w:t xml:space="preserve">While the </w:t>
      </w:r>
      <w:r w:rsidR="00B751D5">
        <w:t>Special Rapporteur acknowledges these efforts, she</w:t>
      </w:r>
      <w:r w:rsidR="00B751D5" w:rsidRPr="0065614B">
        <w:t xml:space="preserve"> underscores the importance of addressing demand as </w:t>
      </w:r>
      <w:r w:rsidR="006057C4">
        <w:t xml:space="preserve">a </w:t>
      </w:r>
      <w:r w:rsidR="00B751D5" w:rsidRPr="0042721A">
        <w:t>prevention</w:t>
      </w:r>
      <w:r w:rsidR="00B751D5" w:rsidRPr="0065614B">
        <w:t xml:space="preserve"> strateg</w:t>
      </w:r>
      <w:r w:rsidR="00B751D5">
        <w:t>y</w:t>
      </w:r>
      <w:r w:rsidR="00B751D5" w:rsidRPr="0065614B">
        <w:t>, which, in the context of Malaysia, includes demand for exploitative labour and sex. With regard to the demand for exploitative labour of migrant</w:t>
      </w:r>
      <w:r w:rsidR="00B751D5">
        <w:t xml:space="preserve"> workers</w:t>
      </w:r>
      <w:r w:rsidR="00B751D5" w:rsidRPr="0065614B">
        <w:t xml:space="preserve">, including domestic workers, the Special Rapporteur stresses that the protection of labour rights is essential in reducing demand and in preventing exploitation from occurring in the first place. </w:t>
      </w:r>
      <w:r w:rsidR="00B751D5">
        <w:t xml:space="preserve">The regulation, licensing and </w:t>
      </w:r>
      <w:r w:rsidR="00B751D5">
        <w:lastRenderedPageBreak/>
        <w:t xml:space="preserve">monitoring of </w:t>
      </w:r>
      <w:r w:rsidR="006057C4">
        <w:t xml:space="preserve">recruitment and </w:t>
      </w:r>
      <w:r w:rsidR="00B751D5">
        <w:t xml:space="preserve">employment agencies has yet to be effective in preventing exploitation of migrant workers. </w:t>
      </w:r>
      <w:r w:rsidR="00B751D5" w:rsidRPr="0065614B">
        <w:t xml:space="preserve">There is also a critical need to raise the awareness of employers and employment agencies about the labour rights of </w:t>
      </w:r>
      <w:r w:rsidR="00B751D5">
        <w:t>all workers</w:t>
      </w:r>
      <w:r w:rsidR="00B751D5" w:rsidRPr="0065614B">
        <w:t xml:space="preserve"> under international human rights law and standards</w:t>
      </w:r>
      <w:r w:rsidR="00B751D5">
        <w:t xml:space="preserve"> in order to avoid trafficking</w:t>
      </w:r>
      <w:r w:rsidR="00B751D5" w:rsidRPr="0065614B">
        <w:t>.</w:t>
      </w:r>
    </w:p>
    <w:p w:rsidR="00B751D5" w:rsidRPr="00FE273A" w:rsidRDefault="00CA27BC" w:rsidP="00CF713B">
      <w:pPr>
        <w:pStyle w:val="H23G"/>
        <w:rPr>
          <w:lang w:eastAsia="en-GB"/>
        </w:rPr>
      </w:pPr>
      <w:r>
        <w:rPr>
          <w:lang w:eastAsia="en-GB"/>
        </w:rPr>
        <w:tab/>
      </w:r>
      <w:r w:rsidR="00B751D5" w:rsidRPr="00FE273A">
        <w:rPr>
          <w:lang w:eastAsia="en-GB"/>
        </w:rPr>
        <w:t>2.</w:t>
      </w:r>
      <w:r>
        <w:rPr>
          <w:lang w:eastAsia="en-GB"/>
        </w:rPr>
        <w:tab/>
      </w:r>
      <w:r w:rsidR="00B751D5" w:rsidRPr="00FE273A">
        <w:rPr>
          <w:lang w:eastAsia="en-GB"/>
        </w:rPr>
        <w:t>Safe migration</w:t>
      </w:r>
    </w:p>
    <w:p w:rsidR="00B751D5" w:rsidRDefault="0023396D" w:rsidP="0023396D">
      <w:pPr>
        <w:pStyle w:val="SingleTxtG"/>
      </w:pPr>
      <w:r>
        <w:rPr>
          <w:iCs/>
        </w:rPr>
        <w:t>81.</w:t>
      </w:r>
      <w:r>
        <w:rPr>
          <w:iCs/>
        </w:rPr>
        <w:tab/>
      </w:r>
      <w:r w:rsidR="00B751D5">
        <w:t>Current immigration practices focus on criminali</w:t>
      </w:r>
      <w:r w:rsidR="006057C4">
        <w:t>z</w:t>
      </w:r>
      <w:r w:rsidR="00B751D5">
        <w:t>ing rather tha</w:t>
      </w:r>
      <w:r w:rsidR="006057C4">
        <w:t>n</w:t>
      </w:r>
      <w:r w:rsidR="00B751D5">
        <w:t xml:space="preserve"> protecting the migrant labour force, which includes victims of trafficking, refugees and asylum seeker</w:t>
      </w:r>
      <w:r w:rsidR="006057C4">
        <w:t>s,</w:t>
      </w:r>
      <w:r w:rsidR="00B751D5">
        <w:t xml:space="preserve"> who lack formal recognition in Malaysia. </w:t>
      </w:r>
    </w:p>
    <w:p w:rsidR="00B751D5" w:rsidRPr="00FE273A" w:rsidRDefault="0023396D" w:rsidP="0023396D">
      <w:pPr>
        <w:pStyle w:val="SingleTxtG"/>
      </w:pPr>
      <w:r w:rsidRPr="00FE273A">
        <w:rPr>
          <w:iCs/>
        </w:rPr>
        <w:t>82.</w:t>
      </w:r>
      <w:r w:rsidRPr="00FE273A">
        <w:rPr>
          <w:iCs/>
        </w:rPr>
        <w:tab/>
      </w:r>
      <w:r w:rsidR="00B751D5" w:rsidRPr="00FE273A">
        <w:t xml:space="preserve">In this regard, she wishes to </w:t>
      </w:r>
      <w:r w:rsidR="00B751D5">
        <w:t>reiterate</w:t>
      </w:r>
      <w:r w:rsidR="00B751D5" w:rsidRPr="00FE273A">
        <w:t xml:space="preserve"> that more opportunities for safe migration, </w:t>
      </w:r>
      <w:r w:rsidR="006057C4">
        <w:t>i.e.</w:t>
      </w:r>
      <w:r w:rsidR="00B751D5" w:rsidRPr="00FE273A">
        <w:t>, legal, gainful and non-exploitative</w:t>
      </w:r>
      <w:r w:rsidR="006057C4">
        <w:t>,</w:t>
      </w:r>
      <w:r w:rsidR="00B751D5" w:rsidRPr="00FE273A">
        <w:t xml:space="preserve"> </w:t>
      </w:r>
      <w:r w:rsidR="00FC3B60">
        <w:t>are</w:t>
      </w:r>
      <w:r w:rsidR="00FC3B60" w:rsidRPr="00FE273A">
        <w:t xml:space="preserve"> </w:t>
      </w:r>
      <w:r w:rsidR="00B751D5" w:rsidRPr="00FE273A">
        <w:t xml:space="preserve">needed if Malaysia is to effectively address the demand for exploitable labour and fulfil its obligations to respect, protect and promote the labour rights of all workers, including migrants. </w:t>
      </w:r>
    </w:p>
    <w:p w:rsidR="00B751D5" w:rsidRPr="00FE273A" w:rsidRDefault="002A7349" w:rsidP="00CF713B">
      <w:pPr>
        <w:pStyle w:val="H23G"/>
        <w:rPr>
          <w:lang w:eastAsia="en-GB"/>
        </w:rPr>
      </w:pPr>
      <w:r>
        <w:rPr>
          <w:lang w:eastAsia="en-GB"/>
        </w:rPr>
        <w:tab/>
      </w:r>
      <w:r w:rsidR="00B751D5" w:rsidRPr="00FE273A">
        <w:rPr>
          <w:lang w:eastAsia="en-GB"/>
        </w:rPr>
        <w:t>3.</w:t>
      </w:r>
      <w:r>
        <w:rPr>
          <w:lang w:eastAsia="en-GB"/>
        </w:rPr>
        <w:tab/>
      </w:r>
      <w:r w:rsidR="00B751D5" w:rsidRPr="00FE273A">
        <w:rPr>
          <w:lang w:eastAsia="en-GB"/>
        </w:rPr>
        <w:t>Public-</w:t>
      </w:r>
      <w:r w:rsidR="006057C4">
        <w:rPr>
          <w:lang w:eastAsia="en-GB"/>
        </w:rPr>
        <w:t>p</w:t>
      </w:r>
      <w:r w:rsidR="00B751D5" w:rsidRPr="00FE273A">
        <w:rPr>
          <w:lang w:eastAsia="en-GB"/>
        </w:rPr>
        <w:t>rivate partnerships</w:t>
      </w:r>
    </w:p>
    <w:p w:rsidR="00B751D5" w:rsidRDefault="0023396D" w:rsidP="0023396D">
      <w:pPr>
        <w:pStyle w:val="SingleTxtG"/>
      </w:pPr>
      <w:r>
        <w:rPr>
          <w:iCs/>
        </w:rPr>
        <w:t>83.</w:t>
      </w:r>
      <w:r>
        <w:rPr>
          <w:iCs/>
        </w:rPr>
        <w:tab/>
      </w:r>
      <w:r w:rsidR="00B751D5">
        <w:t>Globally, the prevention of trafficking through</w:t>
      </w:r>
      <w:r w:rsidR="00B751D5" w:rsidRPr="00FE273A">
        <w:t xml:space="preserve"> public-private partnerships is </w:t>
      </w:r>
      <w:r w:rsidR="00B751D5">
        <w:t>gaining ground. Through self-regulatory mechanisms such as corporate social responsibility</w:t>
      </w:r>
      <w:r w:rsidR="00B36366">
        <w:t>,</w:t>
      </w:r>
      <w:r w:rsidR="00B751D5">
        <w:t xml:space="preserve"> businesses have taken steps to</w:t>
      </w:r>
      <w:r w:rsidR="00B36366">
        <w:t>,</w:t>
      </w:r>
      <w:r w:rsidR="00B751D5">
        <w:t xml:space="preserve"> inter alia</w:t>
      </w:r>
      <w:r w:rsidR="00B36366">
        <w:t>,</w:t>
      </w:r>
      <w:r w:rsidR="00B751D5">
        <w:t xml:space="preserve"> try </w:t>
      </w:r>
      <w:r w:rsidR="00B36366">
        <w:t xml:space="preserve">to remove from </w:t>
      </w:r>
      <w:r w:rsidR="00B751D5">
        <w:t>their supply chains traffick</w:t>
      </w:r>
      <w:r w:rsidR="00B36366">
        <w:t>ed labour</w:t>
      </w:r>
      <w:r w:rsidR="00B751D5">
        <w:t xml:space="preserve">. </w:t>
      </w:r>
    </w:p>
    <w:p w:rsidR="00B751D5" w:rsidRPr="00FE273A" w:rsidRDefault="0023396D" w:rsidP="0023396D">
      <w:pPr>
        <w:pStyle w:val="SingleTxtG"/>
        <w:rPr>
          <w:lang w:eastAsia="en-GB"/>
        </w:rPr>
      </w:pPr>
      <w:r w:rsidRPr="00FE273A">
        <w:rPr>
          <w:iCs/>
          <w:lang w:eastAsia="en-GB"/>
        </w:rPr>
        <w:t>84.</w:t>
      </w:r>
      <w:r w:rsidRPr="00FE273A">
        <w:rPr>
          <w:iCs/>
          <w:lang w:eastAsia="en-GB"/>
        </w:rPr>
        <w:tab/>
      </w:r>
      <w:r w:rsidR="00B751D5">
        <w:t>In Malaysia,</w:t>
      </w:r>
      <w:r w:rsidR="00B751D5" w:rsidRPr="00FE273A">
        <w:t xml:space="preserve"> the S</w:t>
      </w:r>
      <w:r w:rsidR="00B751D5">
        <w:t>pecial Rapporteur</w:t>
      </w:r>
      <w:r w:rsidR="00B751D5" w:rsidRPr="00FE273A">
        <w:t xml:space="preserve"> was pleased to learn about the recent initiatives of </w:t>
      </w:r>
      <w:r w:rsidR="00B751D5">
        <w:t xml:space="preserve">the </w:t>
      </w:r>
      <w:r w:rsidR="00854165" w:rsidRPr="009369BF">
        <w:t xml:space="preserve">Council for Anti-Trafficking in Persons and Anti-Smuggling of Migrants </w:t>
      </w:r>
      <w:r w:rsidR="00B751D5" w:rsidRPr="00FE273A">
        <w:t xml:space="preserve">to engage with the electronic, airline and plantation industries. In this regard, </w:t>
      </w:r>
      <w:r w:rsidR="00B751D5">
        <w:t xml:space="preserve">she notes that </w:t>
      </w:r>
      <w:r w:rsidR="00B751D5" w:rsidRPr="00FE273A">
        <w:t xml:space="preserve">dialogue and training sessions related to forced labour were provided to </w:t>
      </w:r>
      <w:r w:rsidR="00B36366">
        <w:t>four</w:t>
      </w:r>
      <w:r w:rsidR="00BE2FDB">
        <w:t> </w:t>
      </w:r>
      <w:r w:rsidR="00B751D5" w:rsidRPr="00FE273A">
        <w:t xml:space="preserve">companies within the electronic industry sectors in Shah </w:t>
      </w:r>
      <w:proofErr w:type="spellStart"/>
      <w:r w:rsidR="00B751D5" w:rsidRPr="00FE273A">
        <w:t>Alam</w:t>
      </w:r>
      <w:proofErr w:type="spellEnd"/>
      <w:r w:rsidR="00B751D5" w:rsidRPr="00FE273A">
        <w:t xml:space="preserve">, Penang and Johor </w:t>
      </w:r>
      <w:proofErr w:type="spellStart"/>
      <w:r w:rsidR="00B751D5" w:rsidRPr="00FE273A">
        <w:t>Bahru</w:t>
      </w:r>
      <w:proofErr w:type="spellEnd"/>
      <w:r w:rsidR="00B751D5" w:rsidRPr="00FE273A">
        <w:t>; collaboration with AirAsia</w:t>
      </w:r>
      <w:r w:rsidR="00B751D5">
        <w:t xml:space="preserve"> F</w:t>
      </w:r>
      <w:r w:rsidR="00B751D5" w:rsidRPr="00FE273A">
        <w:t xml:space="preserve">oundation </w:t>
      </w:r>
      <w:r w:rsidR="00B751D5">
        <w:t>to implement an AirAsia a</w:t>
      </w:r>
      <w:r w:rsidR="00B751D5" w:rsidRPr="00FE273A">
        <w:t>nti</w:t>
      </w:r>
      <w:r w:rsidR="00B751D5">
        <w:t>-h</w:t>
      </w:r>
      <w:r w:rsidR="00B751D5" w:rsidRPr="00FE273A">
        <w:t>uman trafficking program</w:t>
      </w:r>
      <w:r w:rsidR="00B36366">
        <w:t>me</w:t>
      </w:r>
      <w:r w:rsidR="00B751D5" w:rsidRPr="00FE273A">
        <w:t xml:space="preserve"> was initiated; and dialogues were held with </w:t>
      </w:r>
      <w:r w:rsidR="00B751D5">
        <w:t>several</w:t>
      </w:r>
      <w:r w:rsidR="00B751D5" w:rsidRPr="00FE273A">
        <w:t xml:space="preserve"> </w:t>
      </w:r>
      <w:r w:rsidR="00B36366">
        <w:t>p</w:t>
      </w:r>
      <w:r w:rsidR="00B751D5" w:rsidRPr="00FE273A">
        <w:t>al</w:t>
      </w:r>
      <w:r w:rsidR="00B751D5">
        <w:t>m</w:t>
      </w:r>
      <w:r w:rsidR="00B751D5" w:rsidRPr="00FE273A">
        <w:t xml:space="preserve"> </w:t>
      </w:r>
      <w:r w:rsidR="00B36366">
        <w:t>o</w:t>
      </w:r>
      <w:r w:rsidR="00B751D5" w:rsidRPr="00FE273A">
        <w:t xml:space="preserve">il </w:t>
      </w:r>
      <w:r w:rsidR="00B36366">
        <w:t>a</w:t>
      </w:r>
      <w:r w:rsidR="00B751D5" w:rsidRPr="00FE273A">
        <w:t xml:space="preserve">ssociations and </w:t>
      </w:r>
      <w:r w:rsidR="00B36366">
        <w:t xml:space="preserve">the National Union of </w:t>
      </w:r>
      <w:r w:rsidR="00B751D5" w:rsidRPr="00FE273A">
        <w:t>Plantation Workers.</w:t>
      </w:r>
      <w:r w:rsidR="00B751D5" w:rsidRPr="00CF713B">
        <w:rPr>
          <w:rStyle w:val="FootnoteReference"/>
        </w:rPr>
        <w:footnoteReference w:id="17"/>
      </w:r>
      <w:r w:rsidR="00B751D5" w:rsidRPr="00FE273A">
        <w:t xml:space="preserve"> She was also encouraged by the recent initiative whereby an </w:t>
      </w:r>
      <w:r w:rsidR="00FC3B60">
        <w:t>i</w:t>
      </w:r>
      <w:r w:rsidR="00B751D5" w:rsidRPr="00FE273A">
        <w:t>nternational hotel in Kuala Lumpur provided work opportunities for 4 victims of trafficking.</w:t>
      </w:r>
      <w:r w:rsidR="00B751D5" w:rsidRPr="00CF713B">
        <w:rPr>
          <w:rStyle w:val="FootnoteReference"/>
        </w:rPr>
        <w:footnoteReference w:id="18"/>
      </w:r>
      <w:r w:rsidR="00B751D5" w:rsidRPr="00FE273A">
        <w:t xml:space="preserve"> </w:t>
      </w:r>
      <w:r w:rsidR="00B751D5">
        <w:t>T</w:t>
      </w:r>
      <w:r w:rsidR="00B751D5" w:rsidRPr="00FE273A">
        <w:t xml:space="preserve">hese initiatives are indeed encouraging, </w:t>
      </w:r>
      <w:r w:rsidR="00B36366">
        <w:t>al</w:t>
      </w:r>
      <w:r w:rsidR="00B751D5">
        <w:t xml:space="preserve">though </w:t>
      </w:r>
      <w:r w:rsidR="00B751D5" w:rsidRPr="00FE273A">
        <w:t xml:space="preserve">they remain an exception. </w:t>
      </w:r>
      <w:r w:rsidR="00B36366">
        <w:t>P</w:t>
      </w:r>
      <w:r w:rsidR="00B751D5" w:rsidRPr="00FE273A">
        <w:t>revent</w:t>
      </w:r>
      <w:r w:rsidR="00B751D5">
        <w:t>in</w:t>
      </w:r>
      <w:r w:rsidR="00B36366">
        <w:t>g</w:t>
      </w:r>
      <w:r w:rsidR="00B751D5">
        <w:t xml:space="preserve"> </w:t>
      </w:r>
      <w:r w:rsidR="00B751D5" w:rsidRPr="00FE273A">
        <w:t xml:space="preserve">trafficking for the purposes of labour exploitation and other exploitation </w:t>
      </w:r>
      <w:r w:rsidR="00B36366">
        <w:t>being used in</w:t>
      </w:r>
      <w:r w:rsidR="00B751D5">
        <w:t xml:space="preserve"> </w:t>
      </w:r>
      <w:r w:rsidR="00B751D5" w:rsidRPr="00FE273A">
        <w:t>national, international and multinational businesses</w:t>
      </w:r>
      <w:r w:rsidR="00B751D5">
        <w:t xml:space="preserve"> should be the aspiration of all ethical business</w:t>
      </w:r>
      <w:r w:rsidR="00B751D5" w:rsidRPr="007E48FE">
        <w:t xml:space="preserve"> </w:t>
      </w:r>
      <w:r w:rsidR="00B751D5" w:rsidRPr="00FE273A">
        <w:t>in Malaysia</w:t>
      </w:r>
      <w:r w:rsidR="00B751D5">
        <w:rPr>
          <w:lang w:eastAsia="en-GB"/>
        </w:rPr>
        <w:t>.</w:t>
      </w:r>
    </w:p>
    <w:p w:rsidR="00B751D5" w:rsidRPr="00F64F9F" w:rsidRDefault="00B751D5" w:rsidP="00B751D5">
      <w:pPr>
        <w:pStyle w:val="H1G"/>
      </w:pPr>
      <w:r w:rsidRPr="00F64F9F">
        <w:tab/>
        <w:t>J.</w:t>
      </w:r>
      <w:r w:rsidRPr="00F64F9F">
        <w:tab/>
        <w:t>Cooperation and partnership</w:t>
      </w:r>
    </w:p>
    <w:p w:rsidR="00B751D5" w:rsidRPr="00FE273A" w:rsidRDefault="00B751D5" w:rsidP="00B751D5">
      <w:pPr>
        <w:pStyle w:val="H23G"/>
        <w:spacing w:before="0" w:line="240" w:lineRule="atLeast"/>
        <w:jc w:val="both"/>
      </w:pPr>
      <w:r w:rsidRPr="00FE273A">
        <w:tab/>
        <w:t>1.</w:t>
      </w:r>
      <w:r w:rsidRPr="00FE273A">
        <w:tab/>
        <w:t>Cooperation with civil society</w:t>
      </w:r>
    </w:p>
    <w:p w:rsidR="00B751D5" w:rsidRPr="00FE273A" w:rsidRDefault="0023396D" w:rsidP="0023396D">
      <w:pPr>
        <w:pStyle w:val="SingleTxtG"/>
      </w:pPr>
      <w:r w:rsidRPr="00FE273A">
        <w:rPr>
          <w:iCs/>
        </w:rPr>
        <w:t>85.</w:t>
      </w:r>
      <w:r w:rsidRPr="00FE273A">
        <w:rPr>
          <w:iCs/>
        </w:rPr>
        <w:tab/>
      </w:r>
      <w:r w:rsidR="00B751D5" w:rsidRPr="00FE273A">
        <w:t>The contribution of and collaboration with CSOs are crucial in the fight against human trafficking. The N</w:t>
      </w:r>
      <w:r w:rsidR="00B751D5">
        <w:t>ational Plan of Action</w:t>
      </w:r>
      <w:r w:rsidR="00B751D5" w:rsidRPr="00FE273A">
        <w:t xml:space="preserve"> </w:t>
      </w:r>
      <w:r w:rsidR="00B36366">
        <w:t>2010–</w:t>
      </w:r>
      <w:r w:rsidR="00B36366" w:rsidRPr="00FE273A">
        <w:t xml:space="preserve">2015 </w:t>
      </w:r>
      <w:r w:rsidR="00B751D5" w:rsidRPr="00FE273A">
        <w:t>aspires</w:t>
      </w:r>
      <w:r w:rsidR="00B36366">
        <w:t>,</w:t>
      </w:r>
      <w:r w:rsidR="00B751D5" w:rsidRPr="00FE273A">
        <w:t xml:space="preserve"> inter alia</w:t>
      </w:r>
      <w:r w:rsidR="00B36366">
        <w:t>,</w:t>
      </w:r>
      <w:r w:rsidR="00B751D5" w:rsidRPr="00FE273A">
        <w:t xml:space="preserve"> to establish close engagement and interaction with </w:t>
      </w:r>
      <w:r w:rsidR="00B36366">
        <w:t xml:space="preserve">those </w:t>
      </w:r>
      <w:r w:rsidR="00B751D5">
        <w:t>CS</w:t>
      </w:r>
      <w:r w:rsidR="00B751D5" w:rsidRPr="00FE273A">
        <w:t>Os with relevant knowledge and skills in the areas of policy, prevention, protection,</w:t>
      </w:r>
      <w:r w:rsidR="00B751D5">
        <w:t xml:space="preserve"> rehabilitation and prosecution</w:t>
      </w:r>
      <w:r w:rsidR="00B751D5" w:rsidRPr="00FE273A">
        <w:t>. However</w:t>
      </w:r>
      <w:r w:rsidR="00B36366">
        <w:t>,</w:t>
      </w:r>
      <w:r w:rsidR="00B751D5" w:rsidRPr="00FE273A">
        <w:t xml:space="preserve"> in practice, only </w:t>
      </w:r>
      <w:r w:rsidR="00B751D5">
        <w:t xml:space="preserve">a </w:t>
      </w:r>
      <w:r w:rsidR="00B751D5" w:rsidRPr="00FE273A">
        <w:t>very limited number of</w:t>
      </w:r>
      <w:r w:rsidR="00B751D5">
        <w:t xml:space="preserve"> CS</w:t>
      </w:r>
      <w:r w:rsidR="00B751D5" w:rsidRPr="00FE273A">
        <w:t>Os (</w:t>
      </w:r>
      <w:r w:rsidR="00B36366">
        <w:t>five</w:t>
      </w:r>
      <w:r w:rsidR="00B751D5" w:rsidRPr="00FE273A">
        <w:t xml:space="preserve">) </w:t>
      </w:r>
      <w:r w:rsidR="00B36366">
        <w:t>take</w:t>
      </w:r>
      <w:r w:rsidR="00B36366" w:rsidRPr="00FE273A">
        <w:t xml:space="preserve"> </w:t>
      </w:r>
      <w:r w:rsidR="00B751D5" w:rsidRPr="00FE273A">
        <w:t xml:space="preserve">part </w:t>
      </w:r>
      <w:r w:rsidR="00B36366">
        <w:t>in</w:t>
      </w:r>
      <w:r w:rsidR="00B36366" w:rsidRPr="00FE273A">
        <w:t xml:space="preserve"> </w:t>
      </w:r>
      <w:r w:rsidR="00B751D5" w:rsidRPr="00FE273A">
        <w:t xml:space="preserve">the </w:t>
      </w:r>
      <w:r w:rsidR="00854165" w:rsidRPr="009369BF">
        <w:t xml:space="preserve">Council for Anti-Trafficking in Persons and Anti-Smuggling of Migrants </w:t>
      </w:r>
      <w:r w:rsidR="00B751D5" w:rsidRPr="00FE273A">
        <w:t>and somewhat contribute to its anti-trafficking work</w:t>
      </w:r>
      <w:r w:rsidR="00B751D5">
        <w:t>, particularly in the provision of assistance to victims</w:t>
      </w:r>
      <w:r w:rsidR="00B751D5" w:rsidRPr="00FE273A">
        <w:t xml:space="preserve">. The need </w:t>
      </w:r>
      <w:r w:rsidR="00B36366" w:rsidRPr="00FE273A">
        <w:t>has emerged</w:t>
      </w:r>
      <w:r w:rsidR="00B36366">
        <w:t xml:space="preserve"> </w:t>
      </w:r>
      <w:r w:rsidR="00B751D5" w:rsidRPr="00FE273A">
        <w:t xml:space="preserve">for immediate steps to be taken to establish the necessary legal framework and </w:t>
      </w:r>
      <w:r w:rsidR="00B751D5" w:rsidRPr="00FE273A">
        <w:lastRenderedPageBreak/>
        <w:t>support to enable a larger pool of potential service providers and CSOs to</w:t>
      </w:r>
      <w:r w:rsidR="00B751D5">
        <w:t>,</w:t>
      </w:r>
      <w:r w:rsidR="00B751D5" w:rsidRPr="00FE273A">
        <w:t xml:space="preserve"> among other</w:t>
      </w:r>
      <w:r w:rsidR="00B36366">
        <w:t xml:space="preserve"> assistance</w:t>
      </w:r>
      <w:r w:rsidR="00B751D5" w:rsidRPr="00FE273A">
        <w:t>, provide protection and assistance to victims</w:t>
      </w:r>
      <w:r w:rsidR="00B36366">
        <w:t>,</w:t>
      </w:r>
      <w:r w:rsidR="00B751D5" w:rsidRPr="00FE273A">
        <w:t xml:space="preserve"> including</w:t>
      </w:r>
      <w:r w:rsidR="00B36366">
        <w:t xml:space="preserve"> by</w:t>
      </w:r>
      <w:r w:rsidR="00B751D5" w:rsidRPr="00FE273A">
        <w:t xml:space="preserve"> running shelters, </w:t>
      </w:r>
      <w:r w:rsidR="00B36366">
        <w:t xml:space="preserve">providing </w:t>
      </w:r>
      <w:r w:rsidR="00B751D5" w:rsidRPr="00FE273A">
        <w:t>counselling</w:t>
      </w:r>
      <w:r w:rsidR="00B36366">
        <w:t xml:space="preserve"> and</w:t>
      </w:r>
      <w:r w:rsidR="00B751D5" w:rsidRPr="00FE273A">
        <w:t xml:space="preserve"> training victims.</w:t>
      </w:r>
    </w:p>
    <w:p w:rsidR="00B751D5" w:rsidRPr="00FE273A" w:rsidRDefault="00B751D5" w:rsidP="00B751D5">
      <w:pPr>
        <w:pStyle w:val="H23G"/>
        <w:spacing w:before="0" w:line="240" w:lineRule="atLeast"/>
        <w:jc w:val="both"/>
      </w:pPr>
      <w:r w:rsidRPr="00FE273A">
        <w:tab/>
        <w:t>2.</w:t>
      </w:r>
      <w:r w:rsidRPr="00FE273A">
        <w:tab/>
        <w:t>International, regional and bilateral cooperation</w:t>
      </w:r>
    </w:p>
    <w:p w:rsidR="00B751D5" w:rsidRPr="009369BF" w:rsidRDefault="0023396D" w:rsidP="0023396D">
      <w:pPr>
        <w:pStyle w:val="SingleTxtG"/>
      </w:pPr>
      <w:r w:rsidRPr="009369BF">
        <w:rPr>
          <w:iCs/>
        </w:rPr>
        <w:t>86.</w:t>
      </w:r>
      <w:r w:rsidRPr="009369BF">
        <w:rPr>
          <w:iCs/>
        </w:rPr>
        <w:tab/>
      </w:r>
      <w:r w:rsidR="00B751D5" w:rsidRPr="00FE273A">
        <w:t xml:space="preserve">Malaysia has concluded </w:t>
      </w:r>
      <w:r w:rsidR="00B751D5">
        <w:t>a number of</w:t>
      </w:r>
      <w:r w:rsidR="00B751D5" w:rsidRPr="00FE273A">
        <w:t xml:space="preserve"> </w:t>
      </w:r>
      <w:r w:rsidR="00B751D5">
        <w:t>memorand</w:t>
      </w:r>
      <w:r w:rsidR="00B36366">
        <w:t>ums</w:t>
      </w:r>
      <w:r w:rsidR="00B751D5" w:rsidRPr="00FE273A">
        <w:t xml:space="preserve"> of understanding on security and combating trans</w:t>
      </w:r>
      <w:r w:rsidR="00B36366">
        <w:t>n</w:t>
      </w:r>
      <w:r w:rsidR="00B751D5" w:rsidRPr="00FE273A">
        <w:t xml:space="preserve">ational </w:t>
      </w:r>
      <w:r w:rsidR="00B751D5">
        <w:t>organi</w:t>
      </w:r>
      <w:r w:rsidR="00B36366">
        <w:t>z</w:t>
      </w:r>
      <w:r w:rsidR="00B751D5">
        <w:t xml:space="preserve">ed </w:t>
      </w:r>
      <w:r w:rsidR="00B751D5" w:rsidRPr="00FE273A">
        <w:t xml:space="preserve">crime </w:t>
      </w:r>
      <w:r w:rsidR="00B751D5" w:rsidRPr="006A3A2D">
        <w:t>with Australia</w:t>
      </w:r>
      <w:r w:rsidR="00B36366">
        <w:t>,</w:t>
      </w:r>
      <w:r w:rsidR="00B751D5" w:rsidRPr="006A3A2D">
        <w:t xml:space="preserve"> Bangladesh, Canada, China, Saudi Arabia, </w:t>
      </w:r>
      <w:r w:rsidR="00B36366">
        <w:t xml:space="preserve">the </w:t>
      </w:r>
      <w:r w:rsidR="00B751D5" w:rsidRPr="006A3A2D">
        <w:t xml:space="preserve">United Kingdom and </w:t>
      </w:r>
      <w:r w:rsidR="00B36366">
        <w:t xml:space="preserve">the </w:t>
      </w:r>
      <w:r w:rsidR="00B751D5" w:rsidRPr="006A3A2D">
        <w:t>United States of America</w:t>
      </w:r>
      <w:r w:rsidR="00B751D5" w:rsidRPr="00FE273A">
        <w:t xml:space="preserve">. </w:t>
      </w:r>
      <w:r w:rsidR="00B751D5" w:rsidRPr="009369BF">
        <w:t>Malaysia also benefits from cooperation with the U</w:t>
      </w:r>
      <w:r w:rsidR="00B36366">
        <w:t xml:space="preserve">nited </w:t>
      </w:r>
      <w:r w:rsidR="00B751D5" w:rsidRPr="009369BF">
        <w:t>N</w:t>
      </w:r>
      <w:r w:rsidR="00B36366">
        <w:t>ations</w:t>
      </w:r>
      <w:r w:rsidR="00B751D5" w:rsidRPr="009369BF">
        <w:t>, international and regional organi</w:t>
      </w:r>
      <w:r w:rsidR="00B36366">
        <w:t>z</w:t>
      </w:r>
      <w:r w:rsidR="00B751D5" w:rsidRPr="009369BF">
        <w:t>ations in areas such as training, assistance to victims of trafficking, repatriation and awareness</w:t>
      </w:r>
      <w:r w:rsidR="00B36366">
        <w:t>-</w:t>
      </w:r>
      <w:r w:rsidR="00B751D5" w:rsidRPr="009369BF">
        <w:t>raising.</w:t>
      </w:r>
    </w:p>
    <w:p w:rsidR="00B751D5" w:rsidRDefault="0023396D" w:rsidP="0023396D">
      <w:pPr>
        <w:pStyle w:val="SingleTxtG"/>
      </w:pPr>
      <w:r>
        <w:rPr>
          <w:iCs/>
        </w:rPr>
        <w:t>87.</w:t>
      </w:r>
      <w:r>
        <w:rPr>
          <w:iCs/>
        </w:rPr>
        <w:tab/>
      </w:r>
      <w:r w:rsidR="00B751D5" w:rsidRPr="00FE273A">
        <w:t xml:space="preserve">At the regional level, Malaysia spearheaded and ratified the Treaty </w:t>
      </w:r>
      <w:r w:rsidR="00B36366">
        <w:t>o</w:t>
      </w:r>
      <w:r w:rsidR="00B751D5" w:rsidRPr="00FE273A">
        <w:t xml:space="preserve">n Mutual Legal Assistance </w:t>
      </w:r>
      <w:r w:rsidR="00B36366">
        <w:t>i</w:t>
      </w:r>
      <w:r w:rsidR="00B751D5" w:rsidRPr="00FE273A">
        <w:t xml:space="preserve">n Criminal Matters Among Like-Minded ASEAN Member Countries. </w:t>
      </w:r>
      <w:r w:rsidR="00B751D5">
        <w:t>As the current chair of ASEAN, i</w:t>
      </w:r>
      <w:r w:rsidR="00B751D5" w:rsidRPr="00FE273A">
        <w:t>t is working towards the</w:t>
      </w:r>
      <w:r w:rsidR="00B751D5">
        <w:t xml:space="preserve"> </w:t>
      </w:r>
      <w:r w:rsidR="00B36366">
        <w:t>development</w:t>
      </w:r>
      <w:r w:rsidR="00B36366" w:rsidRPr="00FE273A">
        <w:t xml:space="preserve"> </w:t>
      </w:r>
      <w:r w:rsidR="00B751D5" w:rsidRPr="00FE273A">
        <w:t xml:space="preserve">of </w:t>
      </w:r>
      <w:r w:rsidR="00B36366">
        <w:t>a</w:t>
      </w:r>
      <w:r w:rsidR="00B36366" w:rsidRPr="00FE273A">
        <w:t xml:space="preserve"> </w:t>
      </w:r>
      <w:r w:rsidR="00B751D5" w:rsidRPr="00FE273A">
        <w:t xml:space="preserve">ASEAN </w:t>
      </w:r>
      <w:r w:rsidR="00B36366">
        <w:t>c</w:t>
      </w:r>
      <w:r w:rsidR="00B751D5" w:rsidRPr="00FE273A">
        <w:t>onvention on</w:t>
      </w:r>
      <w:r w:rsidR="00B751D5">
        <w:t xml:space="preserve"> </w:t>
      </w:r>
      <w:r w:rsidR="00B36366">
        <w:t>t</w:t>
      </w:r>
      <w:r w:rsidR="00B751D5">
        <w:t xml:space="preserve">rafficking in </w:t>
      </w:r>
      <w:r w:rsidR="00B36366">
        <w:t>p</w:t>
      </w:r>
      <w:r w:rsidR="00B751D5">
        <w:t>ersons</w:t>
      </w:r>
      <w:r w:rsidR="00B751D5" w:rsidRPr="00FE273A">
        <w:t xml:space="preserve"> and </w:t>
      </w:r>
      <w:r w:rsidR="00B36366">
        <w:t>a r</w:t>
      </w:r>
      <w:r w:rsidR="00B751D5" w:rsidRPr="00FE273A">
        <w:t xml:space="preserve">egional </w:t>
      </w:r>
      <w:r w:rsidR="00B36366">
        <w:t>p</w:t>
      </w:r>
      <w:r w:rsidR="00B751D5" w:rsidRPr="00FE273A">
        <w:t xml:space="preserve">lan of </w:t>
      </w:r>
      <w:r w:rsidR="00B36366">
        <w:t>a</w:t>
      </w:r>
      <w:r w:rsidR="00B751D5" w:rsidRPr="00FE273A">
        <w:t xml:space="preserve">ction to </w:t>
      </w:r>
      <w:r w:rsidR="00B36366">
        <w:t>c</w:t>
      </w:r>
      <w:r w:rsidR="00B751D5" w:rsidRPr="00FE273A">
        <w:t xml:space="preserve">ombat </w:t>
      </w:r>
      <w:r w:rsidR="00B36366">
        <w:t>t</w:t>
      </w:r>
      <w:r w:rsidR="00B751D5" w:rsidRPr="00FE273A">
        <w:t xml:space="preserve">rafficking in </w:t>
      </w:r>
      <w:r w:rsidR="00B36366">
        <w:t>p</w:t>
      </w:r>
      <w:r w:rsidR="00B751D5" w:rsidRPr="00FE273A">
        <w:t xml:space="preserve">ersons. Malaysia </w:t>
      </w:r>
      <w:r w:rsidR="00B751D5">
        <w:t xml:space="preserve">continues to support the Bali process and </w:t>
      </w:r>
      <w:r w:rsidR="00B751D5" w:rsidRPr="00FE273A">
        <w:t>is also part of the ASEAN</w:t>
      </w:r>
      <w:r w:rsidR="00B36366">
        <w:t xml:space="preserve"> Association of Heads of Police</w:t>
      </w:r>
      <w:r w:rsidR="00B751D5" w:rsidRPr="00FE273A">
        <w:t>, an arrangement for informal cooperation</w:t>
      </w:r>
      <w:r w:rsidR="00B751D5">
        <w:t xml:space="preserve"> on law enforcement efforts that </w:t>
      </w:r>
      <w:r w:rsidR="00B751D5" w:rsidRPr="00FE273A">
        <w:t xml:space="preserve">could </w:t>
      </w:r>
      <w:r w:rsidR="008E35CB">
        <w:t xml:space="preserve">also </w:t>
      </w:r>
      <w:r w:rsidR="00B751D5" w:rsidRPr="00FE273A">
        <w:t xml:space="preserve">potentially focus on </w:t>
      </w:r>
      <w:r w:rsidR="00B751D5">
        <w:t>trafficking in persons</w:t>
      </w:r>
      <w:r w:rsidR="00B751D5" w:rsidRPr="00FE273A">
        <w:t>.</w:t>
      </w:r>
    </w:p>
    <w:p w:rsidR="00B751D5" w:rsidRPr="0035152F" w:rsidRDefault="00B751D5" w:rsidP="00B751D5">
      <w:pPr>
        <w:pStyle w:val="HChG"/>
      </w:pPr>
      <w:r w:rsidRPr="0035152F">
        <w:tab/>
        <w:t>III.</w:t>
      </w:r>
      <w:r w:rsidRPr="0035152F">
        <w:tab/>
        <w:t>Conclusions and recommendations</w:t>
      </w:r>
    </w:p>
    <w:p w:rsidR="00B751D5" w:rsidRPr="00AF57BD" w:rsidRDefault="00B751D5" w:rsidP="00B751D5">
      <w:pPr>
        <w:pStyle w:val="H1G"/>
      </w:pPr>
      <w:r w:rsidRPr="00AF57BD">
        <w:tab/>
        <w:t>A.</w:t>
      </w:r>
      <w:r w:rsidRPr="00AF57BD">
        <w:tab/>
        <w:t>Conclusions</w:t>
      </w:r>
    </w:p>
    <w:p w:rsidR="00B751D5" w:rsidRPr="0035152F" w:rsidRDefault="0023396D" w:rsidP="0023396D">
      <w:pPr>
        <w:pStyle w:val="SingleTxtG"/>
        <w:rPr>
          <w:b/>
          <w:bCs/>
        </w:rPr>
      </w:pPr>
      <w:r w:rsidRPr="0035152F">
        <w:rPr>
          <w:iCs/>
        </w:rPr>
        <w:t>88.</w:t>
      </w:r>
      <w:r w:rsidRPr="0035152F">
        <w:rPr>
          <w:iCs/>
        </w:rPr>
        <w:tab/>
      </w:r>
      <w:r w:rsidR="00B751D5" w:rsidRPr="0035152F">
        <w:rPr>
          <w:b/>
          <w:bCs/>
        </w:rPr>
        <w:t>The Special Rapporteur recogni</w:t>
      </w:r>
      <w:r w:rsidR="00F47F5C">
        <w:rPr>
          <w:b/>
          <w:bCs/>
        </w:rPr>
        <w:t>z</w:t>
      </w:r>
      <w:r w:rsidR="00B751D5" w:rsidRPr="0035152F">
        <w:rPr>
          <w:b/>
          <w:bCs/>
        </w:rPr>
        <w:t>es the efforts of Malaysia to fight trafficking in persons</w:t>
      </w:r>
      <w:r w:rsidR="00FC3B60">
        <w:rPr>
          <w:b/>
          <w:bCs/>
        </w:rPr>
        <w:t>,</w:t>
      </w:r>
      <w:r w:rsidR="00B751D5" w:rsidRPr="0035152F">
        <w:rPr>
          <w:b/>
          <w:bCs/>
        </w:rPr>
        <w:t xml:space="preserve"> </w:t>
      </w:r>
      <w:r w:rsidR="00F47F5C">
        <w:rPr>
          <w:b/>
          <w:bCs/>
        </w:rPr>
        <w:t xml:space="preserve">as </w:t>
      </w:r>
      <w:r w:rsidR="00B751D5" w:rsidRPr="0035152F">
        <w:rPr>
          <w:b/>
          <w:bCs/>
        </w:rPr>
        <w:t xml:space="preserve">reflected in the promulgation and amendment of the </w:t>
      </w:r>
      <w:r w:rsidR="00F47F5C">
        <w:rPr>
          <w:b/>
          <w:bCs/>
        </w:rPr>
        <w:t>A</w:t>
      </w:r>
      <w:r w:rsidR="00B751D5" w:rsidRPr="0035152F">
        <w:rPr>
          <w:b/>
          <w:bCs/>
        </w:rPr>
        <w:t>nti-</w:t>
      </w:r>
      <w:r w:rsidR="00F47F5C">
        <w:rPr>
          <w:b/>
          <w:bCs/>
        </w:rPr>
        <w:t>T</w:t>
      </w:r>
      <w:r w:rsidR="00B751D5" w:rsidRPr="0035152F">
        <w:rPr>
          <w:b/>
          <w:bCs/>
        </w:rPr>
        <w:t xml:space="preserve">rafficking </w:t>
      </w:r>
      <w:r w:rsidR="00F47F5C">
        <w:rPr>
          <w:b/>
          <w:bCs/>
        </w:rPr>
        <w:t>A</w:t>
      </w:r>
      <w:r w:rsidR="00B751D5" w:rsidRPr="0035152F">
        <w:rPr>
          <w:b/>
          <w:bCs/>
        </w:rPr>
        <w:t xml:space="preserve">ct and the multidisciplinary approach </w:t>
      </w:r>
      <w:r w:rsidR="00FC3B60">
        <w:rPr>
          <w:b/>
          <w:bCs/>
        </w:rPr>
        <w:t>to</w:t>
      </w:r>
      <w:r w:rsidR="00FC3B60" w:rsidRPr="0035152F">
        <w:rPr>
          <w:b/>
          <w:bCs/>
        </w:rPr>
        <w:t xml:space="preserve"> </w:t>
      </w:r>
      <w:r w:rsidR="00B751D5" w:rsidRPr="0035152F">
        <w:rPr>
          <w:b/>
          <w:bCs/>
        </w:rPr>
        <w:t xml:space="preserve">anti-trafficking measures, which involves key </w:t>
      </w:r>
      <w:r w:rsidR="00F47F5C">
        <w:rPr>
          <w:b/>
          <w:bCs/>
        </w:rPr>
        <w:t>g</w:t>
      </w:r>
      <w:r w:rsidR="00B751D5" w:rsidRPr="0035152F">
        <w:rPr>
          <w:b/>
          <w:bCs/>
        </w:rPr>
        <w:t xml:space="preserve">overnment agencies and some </w:t>
      </w:r>
      <w:r w:rsidR="008F2696">
        <w:rPr>
          <w:b/>
          <w:bCs/>
        </w:rPr>
        <w:t>CSOs</w:t>
      </w:r>
      <w:r w:rsidR="00B751D5" w:rsidRPr="0035152F">
        <w:rPr>
          <w:b/>
          <w:bCs/>
        </w:rPr>
        <w:t xml:space="preserve">. Malaysia has also promoted bilateral and regional cooperation with other countries in the region. </w:t>
      </w:r>
    </w:p>
    <w:p w:rsidR="00B751D5" w:rsidRPr="0035152F" w:rsidRDefault="0023396D" w:rsidP="0023396D">
      <w:pPr>
        <w:pStyle w:val="SingleTxtG"/>
        <w:rPr>
          <w:b/>
          <w:bCs/>
        </w:rPr>
      </w:pPr>
      <w:r w:rsidRPr="0035152F">
        <w:rPr>
          <w:iCs/>
        </w:rPr>
        <w:t>89.</w:t>
      </w:r>
      <w:r w:rsidRPr="0035152F">
        <w:rPr>
          <w:iCs/>
        </w:rPr>
        <w:tab/>
      </w:r>
      <w:r w:rsidR="00F47F5C">
        <w:rPr>
          <w:b/>
          <w:bCs/>
        </w:rPr>
        <w:t>It is difficult to determine</w:t>
      </w:r>
      <w:r w:rsidR="00B751D5" w:rsidRPr="0035152F">
        <w:rPr>
          <w:b/>
          <w:bCs/>
        </w:rPr>
        <w:t xml:space="preserve"> the trends and scope of trafficking in Malaysia in the absence of a comprehensive assessment. Consequently, the State’s main focus is on combating the sexual exploitation of women and girls, with little attention paid to trafficking for labour exploitation. The restrictive immigration policy focused on rapid deportation of irregular migrants does not provide the opportunity for accurate identification</w:t>
      </w:r>
      <w:r w:rsidR="00FC3B60">
        <w:rPr>
          <w:b/>
          <w:bCs/>
        </w:rPr>
        <w:t xml:space="preserve"> of</w:t>
      </w:r>
      <w:r w:rsidR="00B751D5" w:rsidRPr="0035152F">
        <w:rPr>
          <w:b/>
          <w:bCs/>
        </w:rPr>
        <w:t xml:space="preserve"> and provision of assistance to victims of trafficking. There is a gap in </w:t>
      </w:r>
      <w:r w:rsidR="00F47F5C">
        <w:rPr>
          <w:b/>
          <w:bCs/>
        </w:rPr>
        <w:t>its capacity to</w:t>
      </w:r>
      <w:r w:rsidR="00B751D5" w:rsidRPr="0035152F">
        <w:rPr>
          <w:b/>
          <w:bCs/>
        </w:rPr>
        <w:t xml:space="preserve"> quick</w:t>
      </w:r>
      <w:r w:rsidR="00F47F5C">
        <w:rPr>
          <w:b/>
          <w:bCs/>
        </w:rPr>
        <w:t>ly</w:t>
      </w:r>
      <w:r w:rsidR="00B751D5" w:rsidRPr="0035152F">
        <w:rPr>
          <w:b/>
          <w:bCs/>
        </w:rPr>
        <w:t xml:space="preserve"> and accurate</w:t>
      </w:r>
      <w:r w:rsidR="00F47F5C">
        <w:rPr>
          <w:b/>
          <w:bCs/>
        </w:rPr>
        <w:t>ly</w:t>
      </w:r>
      <w:r w:rsidR="00B751D5" w:rsidRPr="0035152F">
        <w:rPr>
          <w:b/>
          <w:bCs/>
        </w:rPr>
        <w:t xml:space="preserve"> identif</w:t>
      </w:r>
      <w:r w:rsidR="00F47F5C">
        <w:rPr>
          <w:b/>
          <w:bCs/>
        </w:rPr>
        <w:t>y</w:t>
      </w:r>
      <w:r w:rsidR="00B751D5" w:rsidRPr="0035152F">
        <w:rPr>
          <w:b/>
          <w:bCs/>
        </w:rPr>
        <w:t xml:space="preserve"> victims of trafficking which is further exacerbated by the prevalence of corruption of some enforcement officials. The rate of prosecution of trafficking cases also remains very low</w:t>
      </w:r>
      <w:r w:rsidR="00F47F5C">
        <w:rPr>
          <w:b/>
          <w:bCs/>
        </w:rPr>
        <w:t>,</w:t>
      </w:r>
      <w:r w:rsidR="00B751D5" w:rsidRPr="0035152F">
        <w:rPr>
          <w:b/>
          <w:bCs/>
        </w:rPr>
        <w:t xml:space="preserve"> which perpetuates the impunity of traffickers and obstructs victims’ access to justice.</w:t>
      </w:r>
    </w:p>
    <w:p w:rsidR="00B751D5" w:rsidRDefault="0023396D" w:rsidP="0023396D">
      <w:pPr>
        <w:pStyle w:val="SingleTxtG"/>
        <w:rPr>
          <w:b/>
          <w:bCs/>
        </w:rPr>
      </w:pPr>
      <w:r>
        <w:rPr>
          <w:iCs/>
        </w:rPr>
        <w:t>90.</w:t>
      </w:r>
      <w:r>
        <w:rPr>
          <w:iCs/>
        </w:rPr>
        <w:tab/>
      </w:r>
      <w:r w:rsidR="00B751D5" w:rsidRPr="0035152F">
        <w:rPr>
          <w:b/>
          <w:bCs/>
        </w:rPr>
        <w:t xml:space="preserve">The Special Rapporteur has serious concerns </w:t>
      </w:r>
      <w:r w:rsidR="00F47F5C">
        <w:rPr>
          <w:b/>
          <w:bCs/>
        </w:rPr>
        <w:t>that</w:t>
      </w:r>
      <w:r w:rsidR="00F47F5C" w:rsidRPr="0035152F">
        <w:rPr>
          <w:b/>
          <w:bCs/>
        </w:rPr>
        <w:t xml:space="preserve"> </w:t>
      </w:r>
      <w:r w:rsidR="00B751D5" w:rsidRPr="0035152F">
        <w:rPr>
          <w:b/>
          <w:bCs/>
        </w:rPr>
        <w:t xml:space="preserve">the stay of victims of trafficking in shelters </w:t>
      </w:r>
      <w:r w:rsidR="00F47F5C">
        <w:rPr>
          <w:b/>
          <w:bCs/>
        </w:rPr>
        <w:t xml:space="preserve">may </w:t>
      </w:r>
      <w:r w:rsidR="00B751D5" w:rsidRPr="0035152F">
        <w:rPr>
          <w:b/>
          <w:bCs/>
        </w:rPr>
        <w:t>amount to detention. In addition to infringing fundamental human rights relating to freedom of movement and protection from detention,</w:t>
      </w:r>
      <w:r w:rsidR="00B751D5" w:rsidRPr="005B38A5">
        <w:rPr>
          <w:rStyle w:val="FootnoteReference"/>
        </w:rPr>
        <w:footnoteReference w:id="19"/>
      </w:r>
      <w:r w:rsidR="00B751D5" w:rsidRPr="0035152F">
        <w:rPr>
          <w:b/>
          <w:bCs/>
        </w:rPr>
        <w:t xml:space="preserve"> this presents a risk to their well-being. Staff in the shelters, despite being committed and dedicated, require specialized training and capacity</w:t>
      </w:r>
      <w:r w:rsidR="00F47F5C">
        <w:rPr>
          <w:b/>
          <w:bCs/>
        </w:rPr>
        <w:t>-</w:t>
      </w:r>
      <w:r w:rsidR="00B751D5" w:rsidRPr="0035152F">
        <w:rPr>
          <w:b/>
          <w:bCs/>
        </w:rPr>
        <w:t xml:space="preserve">building. While acknowledging the Government’s efforts to raise awareness, </w:t>
      </w:r>
      <w:r w:rsidR="00F47F5C">
        <w:rPr>
          <w:b/>
          <w:bCs/>
        </w:rPr>
        <w:t xml:space="preserve">the Special Rapporteur notes that </w:t>
      </w:r>
      <w:r w:rsidR="00B751D5" w:rsidRPr="0035152F">
        <w:rPr>
          <w:b/>
          <w:bCs/>
        </w:rPr>
        <w:t xml:space="preserve">prevention is still at an early stage. </w:t>
      </w:r>
    </w:p>
    <w:p w:rsidR="00B751D5" w:rsidRPr="00AF57BD" w:rsidRDefault="00B751D5" w:rsidP="00B751D5">
      <w:pPr>
        <w:pStyle w:val="H1G"/>
      </w:pPr>
      <w:r w:rsidRPr="00AF57BD">
        <w:lastRenderedPageBreak/>
        <w:tab/>
        <w:t>B.</w:t>
      </w:r>
      <w:r w:rsidRPr="00AF57BD">
        <w:tab/>
        <w:t>Recommendations</w:t>
      </w:r>
    </w:p>
    <w:p w:rsidR="00B751D5" w:rsidRPr="0035152F" w:rsidRDefault="0023396D" w:rsidP="0023396D">
      <w:pPr>
        <w:pStyle w:val="SingleTxtG"/>
        <w:rPr>
          <w:b/>
          <w:bCs/>
        </w:rPr>
      </w:pPr>
      <w:r w:rsidRPr="0035152F">
        <w:rPr>
          <w:iCs/>
        </w:rPr>
        <w:t>91.</w:t>
      </w:r>
      <w:r w:rsidRPr="0035152F">
        <w:rPr>
          <w:iCs/>
        </w:rPr>
        <w:tab/>
      </w:r>
      <w:r w:rsidR="00B751D5" w:rsidRPr="0035152F">
        <w:rPr>
          <w:b/>
          <w:bCs/>
        </w:rPr>
        <w:t>On the basis of the above findings, and in the spirit of cooperation and dialogue, the Special Rapporteur offers the following recommendations to Malaysia</w:t>
      </w:r>
      <w:r w:rsidR="00320F8B">
        <w:rPr>
          <w:b/>
          <w:bCs/>
        </w:rPr>
        <w:t>:</w:t>
      </w:r>
    </w:p>
    <w:p w:rsidR="00B751D5" w:rsidRPr="00F743C5" w:rsidRDefault="00F743C5" w:rsidP="005B38A5">
      <w:pPr>
        <w:pStyle w:val="Bullet1G"/>
        <w:numPr>
          <w:ilvl w:val="0"/>
          <w:numId w:val="0"/>
        </w:numPr>
        <w:ind w:left="1134" w:firstLine="567"/>
        <w:rPr>
          <w:b/>
        </w:rPr>
      </w:pPr>
      <w:r w:rsidRPr="005B38A5">
        <w:rPr>
          <w:bCs/>
        </w:rPr>
        <w:t>(a)</w:t>
      </w:r>
      <w:r w:rsidR="005B5A9F" w:rsidRPr="00F743C5">
        <w:rPr>
          <w:b/>
        </w:rPr>
        <w:tab/>
      </w:r>
      <w:r w:rsidR="00B751D5" w:rsidRPr="00F743C5">
        <w:rPr>
          <w:b/>
        </w:rPr>
        <w:t xml:space="preserve">Ratify without delay the International Convention on the Protection of the Rights of Migrant Workers and Members of </w:t>
      </w:r>
      <w:r w:rsidR="00F47F5C">
        <w:rPr>
          <w:b/>
        </w:rPr>
        <w:t>T</w:t>
      </w:r>
      <w:r w:rsidR="00B751D5" w:rsidRPr="00F743C5">
        <w:rPr>
          <w:b/>
        </w:rPr>
        <w:t>heir Families;</w:t>
      </w:r>
    </w:p>
    <w:p w:rsidR="00B751D5" w:rsidRPr="00F743C5" w:rsidRDefault="00F743C5" w:rsidP="000D1414">
      <w:pPr>
        <w:pStyle w:val="Bullet1G"/>
        <w:numPr>
          <w:ilvl w:val="0"/>
          <w:numId w:val="0"/>
        </w:numPr>
        <w:ind w:left="1134" w:firstLine="567"/>
        <w:rPr>
          <w:rFonts w:eastAsia="Calibri"/>
          <w:b/>
        </w:rPr>
      </w:pPr>
      <w:r w:rsidRPr="005B38A5">
        <w:rPr>
          <w:rFonts w:eastAsia="Calibri"/>
          <w:bCs/>
        </w:rPr>
        <w:t>(b)</w:t>
      </w:r>
      <w:r w:rsidR="005B5A9F" w:rsidRPr="00F743C5">
        <w:rPr>
          <w:rFonts w:eastAsia="Calibri"/>
          <w:b/>
        </w:rPr>
        <w:tab/>
      </w:r>
      <w:r w:rsidR="00B751D5" w:rsidRPr="00F743C5">
        <w:rPr>
          <w:rFonts w:eastAsia="Calibri"/>
          <w:b/>
        </w:rPr>
        <w:t xml:space="preserve">Ratify, without delay, </w:t>
      </w:r>
      <w:r w:rsidR="00B751D5" w:rsidRPr="0013571C">
        <w:rPr>
          <w:rFonts w:eastAsia="Calibri"/>
          <w:b/>
        </w:rPr>
        <w:t xml:space="preserve">ILO </w:t>
      </w:r>
      <w:r w:rsidR="0013571C" w:rsidRPr="00315D83">
        <w:rPr>
          <w:rFonts w:eastAsia="Calibri"/>
          <w:b/>
        </w:rPr>
        <w:t>Domestic Workers Convention, 2011 (No. 189)</w:t>
      </w:r>
      <w:r w:rsidR="00B751D5" w:rsidRPr="0013571C">
        <w:rPr>
          <w:rFonts w:eastAsia="Calibri"/>
          <w:b/>
        </w:rPr>
        <w:t>;</w:t>
      </w:r>
      <w:r w:rsidR="00B751D5" w:rsidRPr="0013571C">
        <w:rPr>
          <w:b/>
        </w:rPr>
        <w:t xml:space="preserve"> the ILO Protocol</w:t>
      </w:r>
      <w:r w:rsidR="0013571C">
        <w:rPr>
          <w:b/>
        </w:rPr>
        <w:t xml:space="preserve"> of 2014 to the</w:t>
      </w:r>
      <w:r w:rsidR="00B751D5" w:rsidRPr="0013571C">
        <w:rPr>
          <w:b/>
        </w:rPr>
        <w:t xml:space="preserve"> Forced Labour </w:t>
      </w:r>
      <w:r w:rsidR="0013571C">
        <w:rPr>
          <w:b/>
        </w:rPr>
        <w:t>Convention, 1930</w:t>
      </w:r>
      <w:r w:rsidR="00B751D5" w:rsidRPr="0013571C">
        <w:rPr>
          <w:b/>
        </w:rPr>
        <w:t xml:space="preserve"> and ILO Abolition of Forced Labour Convention</w:t>
      </w:r>
      <w:r w:rsidR="000D1414">
        <w:rPr>
          <w:b/>
        </w:rPr>
        <w:t>,</w:t>
      </w:r>
      <w:r w:rsidR="00B751D5" w:rsidRPr="0013571C">
        <w:rPr>
          <w:b/>
        </w:rPr>
        <w:t xml:space="preserve"> 1957</w:t>
      </w:r>
      <w:r w:rsidR="000D1414">
        <w:rPr>
          <w:b/>
        </w:rPr>
        <w:t xml:space="preserve"> (No.</w:t>
      </w:r>
      <w:r w:rsidR="000D1414">
        <w:rPr>
          <w:rFonts w:ascii="Segoe UI Symbol" w:hAnsi="Segoe UI Symbol"/>
          <w:b/>
        </w:rPr>
        <w:t xml:space="preserve"> </w:t>
      </w:r>
      <w:r w:rsidR="000D1414" w:rsidRPr="00315D83">
        <w:rPr>
          <w:b/>
        </w:rPr>
        <w:t>105</w:t>
      </w:r>
      <w:r w:rsidR="00B751D5" w:rsidRPr="0013571C">
        <w:rPr>
          <w:b/>
        </w:rPr>
        <w:t>)</w:t>
      </w:r>
      <w:r w:rsidR="00B751D5" w:rsidRPr="00F743C5">
        <w:rPr>
          <w:b/>
        </w:rPr>
        <w:t xml:space="preserve">; </w:t>
      </w:r>
    </w:p>
    <w:p w:rsidR="00B751D5" w:rsidRPr="00F743C5" w:rsidRDefault="00F743C5" w:rsidP="005B38A5">
      <w:pPr>
        <w:pStyle w:val="Bullet1G"/>
        <w:numPr>
          <w:ilvl w:val="0"/>
          <w:numId w:val="0"/>
        </w:numPr>
        <w:ind w:left="1134" w:firstLine="567"/>
        <w:rPr>
          <w:b/>
        </w:rPr>
      </w:pPr>
      <w:r w:rsidRPr="005B38A5">
        <w:rPr>
          <w:bCs/>
        </w:rPr>
        <w:t>(c)</w:t>
      </w:r>
      <w:r w:rsidR="005B5A9F" w:rsidRPr="00F743C5">
        <w:rPr>
          <w:b/>
        </w:rPr>
        <w:tab/>
      </w:r>
      <w:r w:rsidR="00B751D5" w:rsidRPr="00F743C5">
        <w:rPr>
          <w:b/>
        </w:rPr>
        <w:t xml:space="preserve">Ratify, without delay, the 1951 Convention relating to the Status of </w:t>
      </w:r>
      <w:r w:rsidR="00DA5CF9">
        <w:rPr>
          <w:b/>
        </w:rPr>
        <w:t>Refugees</w:t>
      </w:r>
      <w:r w:rsidR="00A6569E">
        <w:rPr>
          <w:b/>
        </w:rPr>
        <w:t xml:space="preserve"> and </w:t>
      </w:r>
      <w:r w:rsidR="00F47F5C">
        <w:rPr>
          <w:b/>
        </w:rPr>
        <w:t>the</w:t>
      </w:r>
      <w:r w:rsidR="00F47F5C" w:rsidRPr="00F743C5">
        <w:rPr>
          <w:b/>
        </w:rPr>
        <w:t xml:space="preserve"> </w:t>
      </w:r>
      <w:r w:rsidR="00B751D5" w:rsidRPr="00F743C5">
        <w:rPr>
          <w:b/>
        </w:rPr>
        <w:t>1967 Protocol</w:t>
      </w:r>
      <w:r w:rsidR="00A6569E">
        <w:rPr>
          <w:b/>
        </w:rPr>
        <w:t xml:space="preserve"> thereto</w:t>
      </w:r>
      <w:r w:rsidR="00B751D5" w:rsidRPr="00F743C5">
        <w:rPr>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(d)</w:t>
      </w:r>
      <w:r w:rsidR="005B5A9F" w:rsidRPr="00F743C5">
        <w:rPr>
          <w:rFonts w:eastAsia="Calibri"/>
          <w:b/>
        </w:rPr>
        <w:tab/>
      </w:r>
      <w:r w:rsidR="00B751D5" w:rsidRPr="00F743C5">
        <w:rPr>
          <w:rFonts w:eastAsia="Calibri"/>
          <w:b/>
        </w:rPr>
        <w:t>Establish, with countries of origin, transit and of destination, bilateral and multilateral agreements for</w:t>
      </w:r>
      <w:r w:rsidR="00F47F5C">
        <w:rPr>
          <w:rFonts w:eastAsia="Calibri"/>
          <w:b/>
        </w:rPr>
        <w:t xml:space="preserve"> the</w:t>
      </w:r>
      <w:r w:rsidR="00B751D5" w:rsidRPr="00F743C5">
        <w:rPr>
          <w:rFonts w:eastAsia="Calibri"/>
          <w:b/>
        </w:rPr>
        <w:t xml:space="preserve"> exchange of information, mutual legal assistance and safe returns in order to jointly tackle the root causes of trafficking in persons in the region and implement existing agreements focusing on the human rights of trafficked victims</w:t>
      </w:r>
      <w:r w:rsidR="005E53F2">
        <w:rPr>
          <w:rFonts w:eastAsia="Calibri"/>
          <w:b/>
        </w:rPr>
        <w:t>.</w:t>
      </w:r>
    </w:p>
    <w:p w:rsidR="00B751D5" w:rsidRPr="0035152F" w:rsidRDefault="0023396D" w:rsidP="0023396D">
      <w:pPr>
        <w:pStyle w:val="SingleTxtG"/>
        <w:rPr>
          <w:b/>
          <w:bCs/>
        </w:rPr>
      </w:pPr>
      <w:r w:rsidRPr="0035152F">
        <w:rPr>
          <w:iCs/>
        </w:rPr>
        <w:t>92.</w:t>
      </w:r>
      <w:r w:rsidRPr="0035152F">
        <w:rPr>
          <w:iCs/>
        </w:rPr>
        <w:tab/>
      </w:r>
      <w:r w:rsidR="00B751D5" w:rsidRPr="0035152F">
        <w:rPr>
          <w:b/>
          <w:bCs/>
        </w:rPr>
        <w:t>With respect to the national framework, she recommends that the Government:</w:t>
      </w:r>
    </w:p>
    <w:p w:rsidR="00B751D5" w:rsidRPr="00F743C5" w:rsidRDefault="00F743C5" w:rsidP="005B38A5">
      <w:pPr>
        <w:pStyle w:val="Bullet1G"/>
        <w:numPr>
          <w:ilvl w:val="0"/>
          <w:numId w:val="0"/>
        </w:numPr>
        <w:ind w:left="1134" w:firstLine="567"/>
        <w:rPr>
          <w:rFonts w:eastAsia="Calibri"/>
          <w:b/>
        </w:rPr>
      </w:pPr>
      <w:r>
        <w:rPr>
          <w:rFonts w:eastAsia="Calibri"/>
        </w:rPr>
        <w:t>(a)</w:t>
      </w:r>
      <w:r w:rsidR="005B5A9F">
        <w:rPr>
          <w:rFonts w:eastAsia="Calibri"/>
        </w:rPr>
        <w:tab/>
      </w:r>
      <w:r w:rsidR="00B751D5" w:rsidRPr="00F743C5">
        <w:rPr>
          <w:rFonts w:eastAsia="Calibri"/>
          <w:b/>
        </w:rPr>
        <w:t>Fast</w:t>
      </w:r>
      <w:r w:rsidR="00F47F5C">
        <w:rPr>
          <w:rFonts w:eastAsia="Calibri"/>
          <w:b/>
        </w:rPr>
        <w:t>-</w:t>
      </w:r>
      <w:r w:rsidR="00B751D5" w:rsidRPr="00F743C5">
        <w:rPr>
          <w:rFonts w:eastAsia="Calibri"/>
          <w:b/>
        </w:rPr>
        <w:t xml:space="preserve">track the amendment of the Anti-Trafficking in Persons and Anti–Smuggling of Migrants Act and other relevant policies in compliance with the requirements of the Protocol to Prevent, Suppress and Punish Trafficking in Persons, </w:t>
      </w:r>
      <w:r w:rsidR="00F47F5C">
        <w:rPr>
          <w:rFonts w:eastAsia="Calibri"/>
          <w:b/>
        </w:rPr>
        <w:t>E</w:t>
      </w:r>
      <w:r w:rsidR="00B751D5" w:rsidRPr="00F743C5">
        <w:rPr>
          <w:rFonts w:eastAsia="Calibri"/>
          <w:b/>
        </w:rPr>
        <w:t xml:space="preserve">specially </w:t>
      </w:r>
      <w:r w:rsidR="00F47F5C">
        <w:rPr>
          <w:rFonts w:eastAsia="Calibri"/>
          <w:b/>
        </w:rPr>
        <w:t>W</w:t>
      </w:r>
      <w:r w:rsidR="00B751D5" w:rsidRPr="00F743C5">
        <w:rPr>
          <w:rFonts w:eastAsia="Calibri"/>
          <w:b/>
        </w:rPr>
        <w:t xml:space="preserve">omen and </w:t>
      </w:r>
      <w:r w:rsidR="009B38CF">
        <w:rPr>
          <w:rFonts w:eastAsia="Calibri"/>
          <w:b/>
        </w:rPr>
        <w:t>C</w:t>
      </w:r>
      <w:r w:rsidR="00B751D5" w:rsidRPr="00F743C5">
        <w:rPr>
          <w:rFonts w:eastAsia="Calibri"/>
          <w:b/>
        </w:rPr>
        <w:t xml:space="preserve">hildren. </w:t>
      </w:r>
      <w:r w:rsidR="00F47F5C">
        <w:rPr>
          <w:rFonts w:eastAsia="Calibri"/>
          <w:b/>
        </w:rPr>
        <w:t>Inter alia</w:t>
      </w:r>
      <w:r w:rsidR="00B751D5" w:rsidRPr="00F743C5">
        <w:rPr>
          <w:rFonts w:eastAsia="Calibri"/>
          <w:b/>
        </w:rPr>
        <w:t xml:space="preserve">, the amendment should </w:t>
      </w:r>
      <w:r w:rsidR="009B38CF">
        <w:rPr>
          <w:rFonts w:eastAsia="Calibri"/>
          <w:b/>
        </w:rPr>
        <w:t xml:space="preserve">focus on </w:t>
      </w:r>
      <w:r w:rsidR="00B751D5" w:rsidRPr="00F743C5">
        <w:rPr>
          <w:rFonts w:eastAsia="Calibri"/>
          <w:b/>
        </w:rPr>
        <w:t>human rights and victim</w:t>
      </w:r>
      <w:r w:rsidR="009B38CF">
        <w:rPr>
          <w:rFonts w:eastAsia="Calibri"/>
          <w:b/>
        </w:rPr>
        <w:t>s</w:t>
      </w:r>
      <w:r w:rsidR="00B751D5" w:rsidRPr="00F743C5">
        <w:rPr>
          <w:rFonts w:eastAsia="Calibri"/>
          <w:b/>
        </w:rPr>
        <w:t xml:space="preserve"> and provid</w:t>
      </w:r>
      <w:r w:rsidR="009B38CF">
        <w:rPr>
          <w:rFonts w:eastAsia="Calibri"/>
          <w:b/>
        </w:rPr>
        <w:t>e</w:t>
      </w:r>
      <w:r w:rsidR="00B751D5" w:rsidRPr="00F743C5">
        <w:rPr>
          <w:rFonts w:eastAsia="Calibri"/>
          <w:b/>
        </w:rPr>
        <w:t xml:space="preserve"> victims in shelters </w:t>
      </w:r>
      <w:r w:rsidR="009B38CF">
        <w:rPr>
          <w:rFonts w:eastAsia="Calibri"/>
          <w:b/>
        </w:rPr>
        <w:t>with</w:t>
      </w:r>
      <w:r w:rsidR="009B38CF" w:rsidRPr="00F743C5">
        <w:rPr>
          <w:rFonts w:eastAsia="Calibri"/>
          <w:b/>
        </w:rPr>
        <w:t xml:space="preserve"> </w:t>
      </w:r>
      <w:r w:rsidR="00B751D5" w:rsidRPr="00F743C5">
        <w:rPr>
          <w:rFonts w:eastAsia="Calibri"/>
          <w:b/>
        </w:rPr>
        <w:t>freedom of movement,</w:t>
      </w:r>
      <w:r w:rsidR="009B38CF">
        <w:rPr>
          <w:rFonts w:eastAsia="Calibri"/>
          <w:b/>
        </w:rPr>
        <w:t xml:space="preserve"> a</w:t>
      </w:r>
      <w:r w:rsidR="00B751D5" w:rsidRPr="00F743C5">
        <w:rPr>
          <w:rFonts w:eastAsia="Calibri"/>
          <w:b/>
        </w:rPr>
        <w:t xml:space="preserve"> legal stay in Malaysia and employment while awaiting the outcome of their legal proceedings and beyond; non-criminalization of victims for all crimes committed in relation with their status as victims; compensation of victims</w:t>
      </w:r>
      <w:r w:rsidR="00B3773D">
        <w:rPr>
          <w:rFonts w:eastAsia="Calibri"/>
          <w:b/>
        </w:rPr>
        <w:t>;</w:t>
      </w:r>
      <w:r w:rsidR="00B751D5" w:rsidRPr="00F743C5">
        <w:rPr>
          <w:rFonts w:eastAsia="Calibri"/>
          <w:b/>
        </w:rPr>
        <w:t xml:space="preserve"> and </w:t>
      </w:r>
      <w:r w:rsidR="00B3773D">
        <w:rPr>
          <w:rFonts w:eastAsia="Calibri"/>
          <w:b/>
        </w:rPr>
        <w:t xml:space="preserve">the </w:t>
      </w:r>
      <w:r w:rsidR="00B751D5" w:rsidRPr="00F743C5">
        <w:rPr>
          <w:rFonts w:eastAsia="Calibri"/>
          <w:b/>
        </w:rPr>
        <w:t>granting</w:t>
      </w:r>
      <w:r w:rsidR="00B3773D">
        <w:rPr>
          <w:rFonts w:eastAsia="Calibri"/>
          <w:b/>
        </w:rPr>
        <w:t xml:space="preserve"> to</w:t>
      </w:r>
      <w:r w:rsidR="00B751D5" w:rsidRPr="00F743C5">
        <w:rPr>
          <w:rFonts w:eastAsia="Calibri"/>
          <w:b/>
        </w:rPr>
        <w:t xml:space="preserve"> NGOs</w:t>
      </w:r>
      <w:r w:rsidR="00B3773D">
        <w:rPr>
          <w:rFonts w:eastAsia="Calibri"/>
          <w:b/>
        </w:rPr>
        <w:t xml:space="preserve"> of</w:t>
      </w:r>
      <w:r w:rsidR="00B751D5" w:rsidRPr="00F743C5">
        <w:rPr>
          <w:rFonts w:eastAsia="Calibri"/>
          <w:b/>
        </w:rPr>
        <w:t xml:space="preserve"> the status of protection officer to further contribute to the anti-trafficking work;</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(b)</w:t>
      </w:r>
      <w:r w:rsidR="005B5A9F" w:rsidRPr="00F743C5">
        <w:rPr>
          <w:rFonts w:eastAsia="Calibri"/>
          <w:b/>
        </w:rPr>
        <w:tab/>
      </w:r>
      <w:r w:rsidR="00B751D5" w:rsidRPr="00F743C5">
        <w:rPr>
          <w:rFonts w:eastAsia="Calibri"/>
          <w:b/>
        </w:rPr>
        <w:t xml:space="preserve">Recognize the need for </w:t>
      </w:r>
      <w:r w:rsidR="00B3773D">
        <w:rPr>
          <w:rFonts w:eastAsia="Calibri"/>
          <w:b/>
        </w:rPr>
        <w:t xml:space="preserve">a </w:t>
      </w:r>
      <w:r w:rsidR="00B751D5" w:rsidRPr="00F743C5">
        <w:rPr>
          <w:rFonts w:eastAsia="Calibri"/>
          <w:b/>
        </w:rPr>
        <w:t>foreign workforce and develop and review existing safe migration pathways, acknowledging that the current approach to migration management, especially the recruitment of foreign labour via unscrupulous employment agencies</w:t>
      </w:r>
      <w:r w:rsidR="00B3773D">
        <w:rPr>
          <w:rFonts w:eastAsia="Calibri"/>
          <w:b/>
        </w:rPr>
        <w:t>,</w:t>
      </w:r>
      <w:r w:rsidR="00B751D5" w:rsidRPr="00F743C5">
        <w:rPr>
          <w:rFonts w:eastAsia="Calibri"/>
          <w:b/>
        </w:rPr>
        <w:t xml:space="preserve"> may favo</w:t>
      </w:r>
      <w:r w:rsidR="00B3773D">
        <w:rPr>
          <w:rFonts w:eastAsia="Calibri"/>
          <w:b/>
        </w:rPr>
        <w:t>u</w:t>
      </w:r>
      <w:r w:rsidR="00B751D5" w:rsidRPr="00F743C5">
        <w:rPr>
          <w:rFonts w:eastAsia="Calibri"/>
          <w:b/>
        </w:rPr>
        <w:t>r human trafficking</w:t>
      </w:r>
      <w:r w:rsidR="00D37099">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(c)</w:t>
      </w:r>
      <w:r w:rsidR="005B5A9F" w:rsidRPr="00F743C5">
        <w:rPr>
          <w:rFonts w:eastAsia="Calibri"/>
          <w:b/>
        </w:rPr>
        <w:tab/>
      </w:r>
      <w:r w:rsidR="00B751D5" w:rsidRPr="00F743C5">
        <w:rPr>
          <w:rFonts w:eastAsia="Calibri"/>
          <w:b/>
        </w:rPr>
        <w:t>Amend the Employment Act in order to provide greater protection for migrant workers, including domestic workers</w:t>
      </w:r>
      <w:r w:rsidR="0078242E">
        <w:rPr>
          <w:rFonts w:eastAsia="Calibri"/>
          <w:b/>
        </w:rPr>
        <w:t>,</w:t>
      </w:r>
      <w:r w:rsidR="00B751D5" w:rsidRPr="00F743C5">
        <w:rPr>
          <w:rFonts w:eastAsia="Calibri"/>
          <w:b/>
        </w:rPr>
        <w:t xml:space="preserve"> in accordance with international legal standards</w:t>
      </w:r>
      <w:r w:rsidR="00D37099">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(d)</w:t>
      </w:r>
      <w:r w:rsidR="005B5A9F" w:rsidRPr="00F743C5">
        <w:rPr>
          <w:rFonts w:eastAsia="Calibri"/>
          <w:b/>
        </w:rPr>
        <w:tab/>
      </w:r>
      <w:r w:rsidR="00B751D5" w:rsidRPr="00F743C5">
        <w:rPr>
          <w:rFonts w:eastAsia="Calibri"/>
          <w:b/>
        </w:rPr>
        <w:t xml:space="preserve">Revise regulation </w:t>
      </w:r>
      <w:r w:rsidR="00972723">
        <w:rPr>
          <w:rFonts w:eastAsia="Calibri"/>
          <w:b/>
        </w:rPr>
        <w:t>of</w:t>
      </w:r>
      <w:r w:rsidR="00972723" w:rsidRPr="00F743C5">
        <w:rPr>
          <w:rFonts w:eastAsia="Calibri"/>
          <w:b/>
        </w:rPr>
        <w:t xml:space="preserve"> </w:t>
      </w:r>
      <w:r w:rsidR="00B751D5" w:rsidRPr="00F743C5">
        <w:rPr>
          <w:rFonts w:eastAsia="Calibri"/>
          <w:b/>
        </w:rPr>
        <w:t>employment agencies</w:t>
      </w:r>
      <w:r w:rsidR="00972723" w:rsidRPr="00972723">
        <w:rPr>
          <w:rFonts w:eastAsia="Calibri"/>
          <w:b/>
        </w:rPr>
        <w:t xml:space="preserve"> </w:t>
      </w:r>
      <w:r w:rsidR="00972723" w:rsidRPr="00F743C5">
        <w:rPr>
          <w:rFonts w:eastAsia="Calibri"/>
          <w:b/>
        </w:rPr>
        <w:t xml:space="preserve">and implement </w:t>
      </w:r>
      <w:r w:rsidR="00972723">
        <w:rPr>
          <w:rFonts w:eastAsia="Calibri"/>
          <w:b/>
        </w:rPr>
        <w:t xml:space="preserve">it </w:t>
      </w:r>
      <w:r w:rsidR="00972723" w:rsidRPr="00F743C5">
        <w:rPr>
          <w:rFonts w:eastAsia="Calibri"/>
          <w:b/>
        </w:rPr>
        <w:t>stringent</w:t>
      </w:r>
      <w:r w:rsidR="00972723">
        <w:rPr>
          <w:rFonts w:eastAsia="Calibri"/>
          <w:b/>
        </w:rPr>
        <w:t>ly, and</w:t>
      </w:r>
      <w:r w:rsidR="00B751D5" w:rsidRPr="00F743C5">
        <w:rPr>
          <w:rFonts w:eastAsia="Calibri"/>
          <w:b/>
        </w:rPr>
        <w:t xml:space="preserve"> regularly monitor the activities of those</w:t>
      </w:r>
      <w:r w:rsidR="00972723">
        <w:rPr>
          <w:rFonts w:eastAsia="Calibri"/>
          <w:b/>
        </w:rPr>
        <w:t xml:space="preserve"> agencies</w:t>
      </w:r>
      <w:r w:rsidR="00B751D5" w:rsidRPr="00F743C5">
        <w:rPr>
          <w:rFonts w:eastAsia="Calibri"/>
          <w:b/>
        </w:rPr>
        <w:t xml:space="preserve"> already licensed and take immediate action to revoke their licen</w:t>
      </w:r>
      <w:r w:rsidR="00972723">
        <w:rPr>
          <w:rFonts w:eastAsia="Calibri"/>
          <w:b/>
        </w:rPr>
        <w:t>c</w:t>
      </w:r>
      <w:r w:rsidR="00B751D5" w:rsidRPr="00F743C5">
        <w:rPr>
          <w:rFonts w:eastAsia="Calibri"/>
          <w:b/>
        </w:rPr>
        <w:t xml:space="preserve">e and prosecute them where illegal </w:t>
      </w:r>
      <w:r w:rsidR="00972723">
        <w:rPr>
          <w:rFonts w:eastAsia="Calibri"/>
          <w:b/>
        </w:rPr>
        <w:t>activity</w:t>
      </w:r>
      <w:r w:rsidR="00972723" w:rsidRPr="00F743C5">
        <w:rPr>
          <w:rFonts w:eastAsia="Calibri"/>
          <w:b/>
        </w:rPr>
        <w:t xml:space="preserve"> </w:t>
      </w:r>
      <w:r w:rsidR="00B751D5" w:rsidRPr="00F743C5">
        <w:rPr>
          <w:rFonts w:eastAsia="Calibri"/>
          <w:b/>
        </w:rPr>
        <w:t xml:space="preserve">involving trafficking in persons </w:t>
      </w:r>
      <w:r w:rsidR="00972723">
        <w:rPr>
          <w:rFonts w:eastAsia="Calibri"/>
          <w:b/>
        </w:rPr>
        <w:t>has taken place</w:t>
      </w:r>
      <w:r w:rsidR="00B751D5" w:rsidRPr="00F743C5">
        <w:rPr>
          <w:rFonts w:eastAsia="Calibri"/>
          <w:b/>
        </w:rPr>
        <w:t>;</w:t>
      </w:r>
    </w:p>
    <w:p w:rsidR="00DA7959" w:rsidRPr="00F743C5" w:rsidRDefault="00F743C5" w:rsidP="005B38A5">
      <w:pPr>
        <w:pStyle w:val="Bullet1G"/>
        <w:numPr>
          <w:ilvl w:val="0"/>
          <w:numId w:val="0"/>
        </w:numPr>
        <w:ind w:left="1134" w:firstLine="567"/>
        <w:rPr>
          <w:rFonts w:eastAsia="Calibri"/>
          <w:b/>
        </w:rPr>
      </w:pPr>
      <w:r w:rsidRPr="005B38A5">
        <w:rPr>
          <w:rFonts w:eastAsia="Calibri"/>
          <w:bCs/>
        </w:rPr>
        <w:t>(e)</w:t>
      </w:r>
      <w:r w:rsidR="005B5A9F" w:rsidRPr="005B38A5">
        <w:rPr>
          <w:rFonts w:eastAsia="Calibri"/>
          <w:bCs/>
        </w:rPr>
        <w:tab/>
      </w:r>
      <w:r w:rsidR="00DA7959" w:rsidRPr="00F743C5">
        <w:rPr>
          <w:rFonts w:eastAsia="Calibri"/>
          <w:b/>
        </w:rPr>
        <w:t xml:space="preserve">Ensure that the ongoing revision of the Child Act </w:t>
      </w:r>
      <w:r w:rsidR="00972723">
        <w:rPr>
          <w:rFonts w:eastAsia="Calibri"/>
          <w:b/>
        </w:rPr>
        <w:t>(</w:t>
      </w:r>
      <w:r w:rsidR="00DA7959" w:rsidRPr="00F743C5">
        <w:rPr>
          <w:rFonts w:eastAsia="Calibri"/>
          <w:b/>
        </w:rPr>
        <w:t>2001) provides further protection for children victims of trafficking</w:t>
      </w:r>
      <w:r w:rsidR="00D37099">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(f)</w:t>
      </w:r>
      <w:r w:rsidR="005B5A9F" w:rsidRPr="00F743C5">
        <w:rPr>
          <w:rFonts w:eastAsia="Calibri"/>
          <w:b/>
        </w:rPr>
        <w:tab/>
      </w:r>
      <w:r w:rsidR="00B751D5" w:rsidRPr="00F743C5">
        <w:rPr>
          <w:rFonts w:eastAsia="Calibri"/>
          <w:b/>
        </w:rPr>
        <w:t>Evaluate the outcomes and lessons learn</w:t>
      </w:r>
      <w:r w:rsidR="00972723">
        <w:rPr>
          <w:rFonts w:eastAsia="Calibri"/>
          <w:b/>
        </w:rPr>
        <w:t>ed</w:t>
      </w:r>
      <w:r w:rsidR="00B751D5" w:rsidRPr="00F743C5">
        <w:rPr>
          <w:rFonts w:eastAsia="Calibri"/>
          <w:b/>
        </w:rPr>
        <w:t xml:space="preserve"> of the National Plan</w:t>
      </w:r>
      <w:r w:rsidR="00972723">
        <w:rPr>
          <w:rFonts w:eastAsia="Calibri"/>
          <w:b/>
        </w:rPr>
        <w:t xml:space="preserve"> of Action</w:t>
      </w:r>
      <w:r w:rsidR="00B751D5" w:rsidRPr="00F743C5">
        <w:rPr>
          <w:rFonts w:eastAsia="Calibri"/>
          <w:b/>
        </w:rPr>
        <w:t xml:space="preserve"> to </w:t>
      </w:r>
      <w:r w:rsidR="00972723">
        <w:rPr>
          <w:rFonts w:eastAsia="Calibri"/>
          <w:b/>
        </w:rPr>
        <w:t>C</w:t>
      </w:r>
      <w:r w:rsidR="00B751D5" w:rsidRPr="00F743C5">
        <w:rPr>
          <w:rFonts w:eastAsia="Calibri"/>
          <w:b/>
        </w:rPr>
        <w:t xml:space="preserve">ombat </w:t>
      </w:r>
      <w:r w:rsidR="00972723">
        <w:rPr>
          <w:rFonts w:eastAsia="Calibri"/>
          <w:b/>
        </w:rPr>
        <w:t>T</w:t>
      </w:r>
      <w:r w:rsidR="00B751D5" w:rsidRPr="00F743C5">
        <w:rPr>
          <w:rFonts w:eastAsia="Calibri"/>
          <w:b/>
        </w:rPr>
        <w:t xml:space="preserve">rafficking and </w:t>
      </w:r>
      <w:r w:rsidR="00972723">
        <w:rPr>
          <w:rFonts w:eastAsia="Calibri"/>
          <w:b/>
        </w:rPr>
        <w:t>M</w:t>
      </w:r>
      <w:r w:rsidR="00B751D5" w:rsidRPr="00F743C5">
        <w:rPr>
          <w:rFonts w:eastAsia="Calibri"/>
          <w:b/>
        </w:rPr>
        <w:t xml:space="preserve">igrant </w:t>
      </w:r>
      <w:r w:rsidR="00972723">
        <w:rPr>
          <w:rFonts w:eastAsia="Calibri"/>
          <w:b/>
        </w:rPr>
        <w:t>S</w:t>
      </w:r>
      <w:r w:rsidR="00B751D5" w:rsidRPr="00F743C5">
        <w:rPr>
          <w:rFonts w:eastAsia="Calibri"/>
          <w:b/>
        </w:rPr>
        <w:t>muggling</w:t>
      </w:r>
      <w:r w:rsidR="00972723">
        <w:rPr>
          <w:rFonts w:eastAsia="Calibri"/>
          <w:b/>
        </w:rPr>
        <w:t xml:space="preserve"> </w:t>
      </w:r>
      <w:r w:rsidR="00972723" w:rsidRPr="00F743C5">
        <w:rPr>
          <w:rFonts w:eastAsia="Calibri"/>
          <w:b/>
        </w:rPr>
        <w:t>2010</w:t>
      </w:r>
      <w:r w:rsidR="00972723">
        <w:rPr>
          <w:rFonts w:eastAsia="Calibri"/>
          <w:b/>
        </w:rPr>
        <w:t>–</w:t>
      </w:r>
      <w:r w:rsidR="00972723" w:rsidRPr="00F743C5">
        <w:rPr>
          <w:rFonts w:eastAsia="Calibri"/>
          <w:b/>
        </w:rPr>
        <w:t>2015</w:t>
      </w:r>
      <w:r w:rsidR="00972723">
        <w:rPr>
          <w:rFonts w:eastAsia="Calibri"/>
          <w:b/>
        </w:rPr>
        <w:t>;</w:t>
      </w:r>
      <w:r w:rsidR="00B751D5" w:rsidRPr="00F743C5">
        <w:rPr>
          <w:rFonts w:eastAsia="Calibri"/>
          <w:b/>
        </w:rPr>
        <w:t xml:space="preserve"> </w:t>
      </w:r>
      <w:r w:rsidR="00972723">
        <w:rPr>
          <w:rFonts w:eastAsia="Calibri"/>
          <w:b/>
        </w:rPr>
        <w:t>f</w:t>
      </w:r>
      <w:r w:rsidR="00B751D5" w:rsidRPr="00F743C5">
        <w:rPr>
          <w:rFonts w:eastAsia="Calibri"/>
          <w:b/>
        </w:rPr>
        <w:t xml:space="preserve">inalize and rapidly adopt, after concerting with all stakeholders, a national plan of action </w:t>
      </w:r>
      <w:r w:rsidR="00972723">
        <w:rPr>
          <w:rFonts w:eastAsia="Calibri"/>
          <w:b/>
        </w:rPr>
        <w:t xml:space="preserve">for </w:t>
      </w:r>
      <w:r w:rsidR="00B751D5" w:rsidRPr="00F743C5">
        <w:rPr>
          <w:rFonts w:eastAsia="Calibri"/>
          <w:b/>
        </w:rPr>
        <w:t>2015</w:t>
      </w:r>
      <w:r w:rsidR="00972723">
        <w:rPr>
          <w:rFonts w:eastAsia="Calibri"/>
          <w:b/>
        </w:rPr>
        <w:t>–</w:t>
      </w:r>
      <w:r w:rsidR="00B751D5" w:rsidRPr="00F743C5">
        <w:rPr>
          <w:rFonts w:eastAsia="Calibri"/>
          <w:b/>
        </w:rPr>
        <w:t xml:space="preserve">2020 </w:t>
      </w:r>
      <w:r w:rsidR="00972723">
        <w:rPr>
          <w:rFonts w:eastAsia="Calibri"/>
          <w:b/>
        </w:rPr>
        <w:t xml:space="preserve">taking </w:t>
      </w:r>
      <w:r w:rsidR="00B751D5" w:rsidRPr="00F743C5">
        <w:rPr>
          <w:rFonts w:eastAsia="Calibri"/>
          <w:b/>
        </w:rPr>
        <w:t>a human rights and victim-centred approach</w:t>
      </w:r>
      <w:r w:rsidR="00972723">
        <w:rPr>
          <w:rFonts w:eastAsia="Calibri"/>
          <w:b/>
        </w:rPr>
        <w:t xml:space="preserve"> and</w:t>
      </w:r>
      <w:r w:rsidR="00B751D5" w:rsidRPr="00F743C5">
        <w:rPr>
          <w:rFonts w:eastAsia="Calibri"/>
          <w:b/>
        </w:rPr>
        <w:t xml:space="preserve"> setting out clear objectives, responsibilities and indicators to measure progress, and allocate a dedicated budget for its implementation; </w:t>
      </w:r>
    </w:p>
    <w:p w:rsidR="00B751D5" w:rsidRPr="00F743C5" w:rsidRDefault="00F743C5" w:rsidP="005B38A5">
      <w:pPr>
        <w:pStyle w:val="Bullet1G"/>
        <w:numPr>
          <w:ilvl w:val="0"/>
          <w:numId w:val="0"/>
        </w:numPr>
        <w:ind w:left="1134" w:firstLine="567"/>
        <w:rPr>
          <w:rFonts w:eastAsia="Calibri"/>
          <w:b/>
        </w:rPr>
      </w:pPr>
      <w:r w:rsidRPr="005B38A5">
        <w:rPr>
          <w:rFonts w:eastAsia="Calibri"/>
          <w:bCs/>
        </w:rPr>
        <w:lastRenderedPageBreak/>
        <w:t>(g)</w:t>
      </w:r>
      <w:r w:rsidR="005B5A9F" w:rsidRPr="00F743C5">
        <w:rPr>
          <w:rFonts w:eastAsia="Calibri"/>
          <w:b/>
        </w:rPr>
        <w:tab/>
      </w:r>
      <w:r w:rsidR="00B751D5" w:rsidRPr="00F743C5">
        <w:rPr>
          <w:rFonts w:eastAsia="Calibri"/>
          <w:b/>
        </w:rPr>
        <w:t>Carry out a national baseline study in collaboration with independent research institutes, bilateral partners and civil society to document the scope and trends of trafficking at the national level;</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(h)</w:t>
      </w:r>
      <w:r w:rsidR="005B5A9F" w:rsidRPr="00F743C5">
        <w:rPr>
          <w:rFonts w:eastAsia="Calibri"/>
          <w:b/>
        </w:rPr>
        <w:tab/>
      </w:r>
      <w:r w:rsidR="00B751D5" w:rsidRPr="00F743C5">
        <w:rPr>
          <w:rFonts w:eastAsia="Calibri"/>
          <w:b/>
        </w:rPr>
        <w:t>Establish a systematized and harmonized data collection system on the phenomenon of human trafficking. Data on victims of trafficking should include their countries of origin and be disaggregated by, inter alia, sex, age and the nature and type of trafficking involved; the system should also include information on traffickers and data on investigations, prosecution rates and sentencing</w:t>
      </w:r>
      <w:r w:rsidR="00D37099">
        <w:rPr>
          <w:rFonts w:eastAsia="Calibri"/>
          <w:b/>
        </w:rPr>
        <w:t>.</w:t>
      </w:r>
    </w:p>
    <w:p w:rsidR="00B751D5" w:rsidRPr="0035152F" w:rsidRDefault="0023396D" w:rsidP="0023396D">
      <w:pPr>
        <w:pStyle w:val="SingleTxtG"/>
        <w:rPr>
          <w:b/>
          <w:bCs/>
        </w:rPr>
      </w:pPr>
      <w:r w:rsidRPr="0035152F">
        <w:rPr>
          <w:iCs/>
        </w:rPr>
        <w:t>93.</w:t>
      </w:r>
      <w:r w:rsidRPr="0035152F">
        <w:rPr>
          <w:iCs/>
        </w:rPr>
        <w:tab/>
      </w:r>
      <w:r w:rsidR="00B751D5" w:rsidRPr="0035152F">
        <w:rPr>
          <w:b/>
          <w:bCs/>
        </w:rPr>
        <w:t>With regards to identification, training and capacity</w:t>
      </w:r>
      <w:r w:rsidR="00972723">
        <w:rPr>
          <w:b/>
          <w:bCs/>
        </w:rPr>
        <w:t>-</w:t>
      </w:r>
      <w:r w:rsidR="00B751D5" w:rsidRPr="0035152F">
        <w:rPr>
          <w:b/>
          <w:bCs/>
        </w:rPr>
        <w:t>building, she recommends that the Government:</w:t>
      </w:r>
    </w:p>
    <w:p w:rsidR="00B751D5" w:rsidRPr="00F743C5" w:rsidRDefault="00F743C5" w:rsidP="005B38A5">
      <w:pPr>
        <w:pStyle w:val="Bullet1G"/>
        <w:numPr>
          <w:ilvl w:val="0"/>
          <w:numId w:val="0"/>
        </w:numPr>
        <w:ind w:left="1134" w:firstLine="567"/>
        <w:rPr>
          <w:rFonts w:eastAsia="Calibri"/>
          <w:b/>
        </w:rPr>
      </w:pPr>
      <w:r>
        <w:rPr>
          <w:rFonts w:eastAsia="Calibri"/>
        </w:rPr>
        <w:t>(a)</w:t>
      </w:r>
      <w:r w:rsidR="005B5A9F">
        <w:rPr>
          <w:rFonts w:eastAsia="Calibri"/>
        </w:rPr>
        <w:tab/>
      </w:r>
      <w:r w:rsidR="00B751D5" w:rsidRPr="00F743C5">
        <w:rPr>
          <w:rFonts w:eastAsia="Calibri"/>
          <w:b/>
        </w:rPr>
        <w:t xml:space="preserve">Specifically outline and harmonize identification protocols to combat trafficking in persons, developing a range of red flags and indicators to be used </w:t>
      </w:r>
      <w:r w:rsidR="00972723">
        <w:rPr>
          <w:rFonts w:eastAsia="Calibri"/>
          <w:b/>
        </w:rPr>
        <w:t>when</w:t>
      </w:r>
      <w:r w:rsidR="00972723" w:rsidRPr="00F743C5">
        <w:rPr>
          <w:rFonts w:eastAsia="Calibri"/>
          <w:b/>
        </w:rPr>
        <w:t xml:space="preserve"> </w:t>
      </w:r>
      <w:r w:rsidR="00B751D5" w:rsidRPr="00F743C5">
        <w:rPr>
          <w:rFonts w:eastAsia="Calibri"/>
          <w:b/>
        </w:rPr>
        <w:t>screening vulnerable persons</w:t>
      </w:r>
      <w:r w:rsidR="0078242E">
        <w:rPr>
          <w:rFonts w:eastAsia="Calibri"/>
          <w:b/>
        </w:rPr>
        <w:t>,</w:t>
      </w:r>
      <w:r w:rsidR="00B751D5" w:rsidRPr="00F743C5">
        <w:rPr>
          <w:rFonts w:eastAsia="Calibri"/>
          <w:b/>
        </w:rPr>
        <w:t xml:space="preserve"> including undocumented migrants</w:t>
      </w:r>
      <w:r w:rsidR="0078242E">
        <w:rPr>
          <w:rFonts w:eastAsia="Calibri"/>
          <w:b/>
        </w:rPr>
        <w:t>,</w:t>
      </w:r>
      <w:r w:rsidR="00B751D5" w:rsidRPr="00F743C5">
        <w:rPr>
          <w:rFonts w:eastAsia="Calibri"/>
          <w:b/>
        </w:rPr>
        <w:t xml:space="preserve"> refugees, asylum seekers and stateless persons;</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(b)</w:t>
      </w:r>
      <w:r w:rsidR="005B5A9F" w:rsidRPr="00F743C5">
        <w:rPr>
          <w:rFonts w:eastAsia="Calibri"/>
          <w:b/>
        </w:rPr>
        <w:tab/>
      </w:r>
      <w:r w:rsidR="00B751D5" w:rsidRPr="00F743C5">
        <w:rPr>
          <w:rFonts w:eastAsia="Calibri"/>
          <w:b/>
        </w:rPr>
        <w:t xml:space="preserve">Ensure </w:t>
      </w:r>
      <w:r w:rsidR="000F4207">
        <w:rPr>
          <w:rFonts w:eastAsia="Calibri"/>
          <w:b/>
        </w:rPr>
        <w:t>that</w:t>
      </w:r>
      <w:r w:rsidR="00B751D5" w:rsidRPr="00F743C5">
        <w:rPr>
          <w:rFonts w:eastAsia="Calibri"/>
          <w:b/>
        </w:rPr>
        <w:t xml:space="preserve"> victims of trafficking</w:t>
      </w:r>
      <w:r w:rsidR="000F4207">
        <w:rPr>
          <w:rFonts w:eastAsia="Calibri"/>
          <w:b/>
        </w:rPr>
        <w:t xml:space="preserve"> can be identified</w:t>
      </w:r>
      <w:r w:rsidR="00B751D5" w:rsidRPr="00F743C5">
        <w:rPr>
          <w:rFonts w:eastAsia="Calibri"/>
          <w:b/>
        </w:rPr>
        <w:t xml:space="preserve">, even </w:t>
      </w:r>
      <w:r w:rsidR="000F4207">
        <w:rPr>
          <w:rFonts w:eastAsia="Calibri"/>
          <w:b/>
        </w:rPr>
        <w:t>when they are</w:t>
      </w:r>
      <w:r w:rsidR="000F4207" w:rsidRPr="00F743C5">
        <w:rPr>
          <w:rFonts w:eastAsia="Calibri"/>
          <w:b/>
        </w:rPr>
        <w:t xml:space="preserve"> </w:t>
      </w:r>
      <w:r w:rsidR="00B751D5" w:rsidRPr="00F743C5">
        <w:rPr>
          <w:rFonts w:eastAsia="Calibri"/>
          <w:b/>
        </w:rPr>
        <w:t>in immigration detention cent</w:t>
      </w:r>
      <w:r w:rsidR="000F4207">
        <w:rPr>
          <w:rFonts w:eastAsia="Calibri"/>
          <w:b/>
        </w:rPr>
        <w:t>re</w:t>
      </w:r>
      <w:r w:rsidR="00B751D5" w:rsidRPr="00F743C5">
        <w:rPr>
          <w:rFonts w:eastAsia="Calibri"/>
          <w:b/>
        </w:rPr>
        <w:t>s and avoid their repatriation and re</w:t>
      </w:r>
      <w:r w:rsidR="000F4207">
        <w:rPr>
          <w:rFonts w:eastAsia="Calibri"/>
          <w:b/>
        </w:rPr>
        <w:t>-</w:t>
      </w:r>
      <w:r w:rsidR="00B751D5" w:rsidRPr="00F743C5">
        <w:rPr>
          <w:rFonts w:eastAsia="Calibri"/>
          <w:b/>
        </w:rPr>
        <w:t>victimi</w:t>
      </w:r>
      <w:r w:rsidR="000F4207">
        <w:rPr>
          <w:rFonts w:eastAsia="Calibri"/>
          <w:b/>
        </w:rPr>
        <w:t>z</w:t>
      </w:r>
      <w:r w:rsidR="00B751D5" w:rsidRPr="00F743C5">
        <w:rPr>
          <w:rFonts w:eastAsia="Calibri"/>
          <w:b/>
        </w:rPr>
        <w:t>ation;</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(c)</w:t>
      </w:r>
      <w:r w:rsidR="005B5A9F" w:rsidRPr="005B38A5">
        <w:rPr>
          <w:rFonts w:eastAsia="Calibri"/>
          <w:bCs/>
        </w:rPr>
        <w:tab/>
      </w:r>
      <w:r w:rsidR="00B751D5" w:rsidRPr="00F743C5">
        <w:rPr>
          <w:rFonts w:eastAsia="Calibri"/>
          <w:b/>
        </w:rPr>
        <w:t>Provide legal clarity on the elements of trafficking and raise awareness o</w:t>
      </w:r>
      <w:r w:rsidR="000F4207">
        <w:rPr>
          <w:rFonts w:eastAsia="Calibri"/>
          <w:b/>
        </w:rPr>
        <w:t>f</w:t>
      </w:r>
      <w:r w:rsidR="00B751D5" w:rsidRPr="00F743C5">
        <w:rPr>
          <w:rFonts w:eastAsia="Calibri"/>
          <w:b/>
        </w:rPr>
        <w:t xml:space="preserve"> the distinction between cases of trafficking and other situations</w:t>
      </w:r>
      <w:r w:rsidR="0078242E">
        <w:rPr>
          <w:rFonts w:eastAsia="Calibri"/>
          <w:b/>
        </w:rPr>
        <w:t>,</w:t>
      </w:r>
      <w:r w:rsidR="00B751D5" w:rsidRPr="00F743C5">
        <w:rPr>
          <w:rFonts w:eastAsia="Calibri"/>
          <w:b/>
        </w:rPr>
        <w:t xml:space="preserve"> including irregular migration, labour disputes and prostitution to facilitate accurate identification of victims by front</w:t>
      </w:r>
      <w:r w:rsidR="008048F9">
        <w:rPr>
          <w:rFonts w:eastAsia="Calibri"/>
          <w:b/>
        </w:rPr>
        <w:t>-</w:t>
      </w:r>
      <w:r w:rsidR="00B751D5" w:rsidRPr="00F743C5">
        <w:rPr>
          <w:rFonts w:eastAsia="Calibri"/>
          <w:b/>
        </w:rPr>
        <w:t>line officers;</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(d)</w:t>
      </w:r>
      <w:r w:rsidR="005B5A9F" w:rsidRPr="00F743C5">
        <w:rPr>
          <w:rFonts w:eastAsia="Calibri"/>
          <w:b/>
        </w:rPr>
        <w:tab/>
      </w:r>
      <w:r w:rsidR="00B751D5" w:rsidRPr="00F743C5">
        <w:rPr>
          <w:rFonts w:eastAsia="Calibri"/>
          <w:b/>
        </w:rPr>
        <w:t xml:space="preserve">Continue providing comprehensive training programmes on trafficking in persons to enhance </w:t>
      </w:r>
      <w:r w:rsidR="00327CAC">
        <w:rPr>
          <w:rFonts w:eastAsia="Calibri"/>
          <w:b/>
        </w:rPr>
        <w:t xml:space="preserve">the </w:t>
      </w:r>
      <w:r w:rsidR="00B751D5" w:rsidRPr="00F743C5">
        <w:rPr>
          <w:rFonts w:eastAsia="Calibri"/>
          <w:b/>
        </w:rPr>
        <w:t xml:space="preserve">knowledge and awareness of human trafficking of all stakeholders, including police, immigration, customs and maritime officers, labour inspectors, prosecutors, judges, lawyers, employers/businesses, employment agencies, </w:t>
      </w:r>
      <w:r w:rsidR="008F2696">
        <w:rPr>
          <w:rFonts w:eastAsia="Calibri"/>
          <w:b/>
        </w:rPr>
        <w:t>CSOs</w:t>
      </w:r>
      <w:r w:rsidR="00B751D5" w:rsidRPr="00F743C5">
        <w:rPr>
          <w:rFonts w:eastAsia="Calibri"/>
          <w:b/>
        </w:rPr>
        <w:t xml:space="preserve"> and the media;</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w:t>
      </w:r>
      <w:r w:rsidR="005E53F2">
        <w:rPr>
          <w:rFonts w:eastAsia="Calibri"/>
          <w:bCs/>
        </w:rPr>
        <w:t>e</w:t>
      </w:r>
      <w:r w:rsidRPr="005B38A5">
        <w:rPr>
          <w:rFonts w:eastAsia="Calibri"/>
          <w:bCs/>
        </w:rPr>
        <w:t>)</w:t>
      </w:r>
      <w:r w:rsidR="005B5A9F" w:rsidRPr="00F743C5">
        <w:rPr>
          <w:rFonts w:eastAsia="Calibri"/>
          <w:b/>
        </w:rPr>
        <w:tab/>
      </w:r>
      <w:r w:rsidR="00B751D5" w:rsidRPr="00F743C5">
        <w:rPr>
          <w:rFonts w:eastAsia="Calibri"/>
          <w:b/>
        </w:rPr>
        <w:t>Train all service providers (protection officers) involved in the assistance and care of victims of trafficking.</w:t>
      </w:r>
    </w:p>
    <w:p w:rsidR="00B751D5" w:rsidRPr="0035152F" w:rsidRDefault="0023396D" w:rsidP="0023396D">
      <w:pPr>
        <w:pStyle w:val="SingleTxtG"/>
        <w:rPr>
          <w:b/>
          <w:bCs/>
        </w:rPr>
      </w:pPr>
      <w:r w:rsidRPr="0035152F">
        <w:rPr>
          <w:iCs/>
        </w:rPr>
        <w:t>94.</w:t>
      </w:r>
      <w:r w:rsidRPr="0035152F">
        <w:rPr>
          <w:iCs/>
        </w:rPr>
        <w:tab/>
      </w:r>
      <w:r w:rsidR="00B751D5" w:rsidRPr="0035152F">
        <w:rPr>
          <w:b/>
          <w:bCs/>
        </w:rPr>
        <w:t>With respect to support service for victims of trafficking, she recommends that the Government:</w:t>
      </w:r>
    </w:p>
    <w:p w:rsidR="00B751D5" w:rsidRPr="00F743C5" w:rsidRDefault="00F743C5" w:rsidP="005B38A5">
      <w:pPr>
        <w:pStyle w:val="Bullet1G"/>
        <w:numPr>
          <w:ilvl w:val="0"/>
          <w:numId w:val="0"/>
        </w:numPr>
        <w:ind w:left="1134" w:firstLine="567"/>
        <w:rPr>
          <w:rFonts w:eastAsia="Calibri"/>
          <w:b/>
        </w:rPr>
      </w:pPr>
      <w:r>
        <w:rPr>
          <w:rFonts w:eastAsia="Calibri"/>
        </w:rPr>
        <w:t>(a)</w:t>
      </w:r>
      <w:r w:rsidR="005B5A9F">
        <w:rPr>
          <w:rFonts w:eastAsia="Calibri"/>
        </w:rPr>
        <w:tab/>
      </w:r>
      <w:r w:rsidR="00B751D5" w:rsidRPr="00F743C5">
        <w:rPr>
          <w:rFonts w:eastAsia="Calibri"/>
          <w:b/>
        </w:rPr>
        <w:t>Protect and assist all victims of trafficking, including child victims, victims of labour trafficking and domestic servitude with full respect for their human rights, and integrate a human rights-based approach in the investigation of trafficking cases;</w:t>
      </w:r>
    </w:p>
    <w:p w:rsidR="00B751D5" w:rsidRPr="00F743C5" w:rsidRDefault="00F743C5" w:rsidP="0078242E">
      <w:pPr>
        <w:pStyle w:val="Bullet1G"/>
        <w:numPr>
          <w:ilvl w:val="0"/>
          <w:numId w:val="0"/>
        </w:numPr>
        <w:ind w:left="1134" w:firstLine="567"/>
        <w:rPr>
          <w:rFonts w:eastAsia="Calibri"/>
          <w:b/>
        </w:rPr>
      </w:pPr>
      <w:r w:rsidRPr="005B38A5">
        <w:rPr>
          <w:rFonts w:eastAsia="Calibri"/>
          <w:bCs/>
        </w:rPr>
        <w:t>(b)</w:t>
      </w:r>
      <w:r w:rsidR="005B5A9F" w:rsidRPr="00F743C5">
        <w:rPr>
          <w:rFonts w:eastAsia="Calibri"/>
          <w:b/>
        </w:rPr>
        <w:tab/>
      </w:r>
      <w:r w:rsidR="00B751D5" w:rsidRPr="00F743C5">
        <w:rPr>
          <w:rFonts w:eastAsia="Calibri"/>
          <w:b/>
        </w:rPr>
        <w:t>Make provision for unconditional and appropriate assistance, including social, psychological, medical</w:t>
      </w:r>
      <w:r w:rsidR="0078242E">
        <w:rPr>
          <w:rFonts w:eastAsia="Calibri"/>
          <w:b/>
        </w:rPr>
        <w:t xml:space="preserve"> and</w:t>
      </w:r>
      <w:r w:rsidR="00B751D5" w:rsidRPr="00F743C5">
        <w:rPr>
          <w:rFonts w:eastAsia="Calibri"/>
          <w:b/>
        </w:rPr>
        <w:t xml:space="preserve"> legal support, as well as translation assistance and interpretation services</w:t>
      </w:r>
      <w:r w:rsidR="0078242E">
        <w:rPr>
          <w:rFonts w:eastAsia="Calibri"/>
          <w:b/>
        </w:rPr>
        <w:t>,</w:t>
      </w:r>
      <w:r w:rsidR="00B751D5" w:rsidRPr="00F743C5">
        <w:rPr>
          <w:rFonts w:eastAsia="Calibri"/>
          <w:b/>
        </w:rPr>
        <w:t xml:space="preserve"> in accordance with </w:t>
      </w:r>
      <w:r w:rsidR="00F3058D">
        <w:rPr>
          <w:rFonts w:eastAsia="Calibri"/>
          <w:b/>
        </w:rPr>
        <w:t>article </w:t>
      </w:r>
      <w:r w:rsidR="00B751D5" w:rsidRPr="00F743C5">
        <w:rPr>
          <w:rFonts w:eastAsia="Calibri"/>
          <w:b/>
        </w:rPr>
        <w:t xml:space="preserve">6 (6) of the </w:t>
      </w:r>
      <w:r w:rsidR="00714EA7">
        <w:rPr>
          <w:rFonts w:eastAsia="Calibri"/>
          <w:b/>
        </w:rPr>
        <w:t>Trafficking in Persons</w:t>
      </w:r>
      <w:r w:rsidR="00714EA7" w:rsidRPr="00F743C5">
        <w:rPr>
          <w:rFonts w:eastAsia="Calibri"/>
          <w:b/>
        </w:rPr>
        <w:t xml:space="preserve"> </w:t>
      </w:r>
      <w:r w:rsidR="00B751D5" w:rsidRPr="00F743C5">
        <w:rPr>
          <w:rFonts w:eastAsia="Calibri"/>
          <w:b/>
        </w:rPr>
        <w:t>Protocol in shelters. Ensure victims inside shelters have freedom of movement, access to employment and legal stay in the country</w:t>
      </w:r>
      <w:r w:rsidR="005E53F2">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(c)</w:t>
      </w:r>
      <w:r w:rsidR="005B5A9F" w:rsidRPr="00F743C5">
        <w:rPr>
          <w:rFonts w:eastAsia="Calibri"/>
          <w:b/>
        </w:rPr>
        <w:tab/>
      </w:r>
      <w:r w:rsidR="00B751D5" w:rsidRPr="00F743C5">
        <w:rPr>
          <w:rFonts w:eastAsia="Calibri"/>
          <w:b/>
        </w:rPr>
        <w:t>Amend the existing legal framework to enable adequately funded service providers and organizations working on trafficking in persons to provide comprehensive assistance, such as social, psychological, medical and legal support, as well as translation and interpretation services, for victims of trafficking;</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(d)</w:t>
      </w:r>
      <w:r w:rsidR="005B5A9F" w:rsidRPr="00F743C5">
        <w:rPr>
          <w:rFonts w:eastAsia="Calibri"/>
          <w:b/>
        </w:rPr>
        <w:tab/>
      </w:r>
      <w:r w:rsidR="00B751D5" w:rsidRPr="00F743C5">
        <w:rPr>
          <w:rFonts w:eastAsia="Calibri"/>
          <w:b/>
        </w:rPr>
        <w:t xml:space="preserve">Provide victims of trafficking who do not wish to return to their countries </w:t>
      </w:r>
      <w:r w:rsidR="00327CAC">
        <w:rPr>
          <w:rFonts w:eastAsia="Calibri"/>
          <w:b/>
        </w:rPr>
        <w:t>owing</w:t>
      </w:r>
      <w:r w:rsidR="00327CAC" w:rsidRPr="00F743C5">
        <w:rPr>
          <w:rFonts w:eastAsia="Calibri"/>
          <w:b/>
        </w:rPr>
        <w:t xml:space="preserve"> </w:t>
      </w:r>
      <w:r w:rsidR="00B751D5" w:rsidRPr="00F743C5">
        <w:rPr>
          <w:rFonts w:eastAsia="Calibri"/>
          <w:b/>
        </w:rPr>
        <w:t>to fear of retribution, hardship or re-trafficking viable alternatives to remain and work legally in Malaysia, including through granting special work permits and employment visa</w:t>
      </w:r>
      <w:r w:rsidR="00327CAC">
        <w:rPr>
          <w:rFonts w:eastAsia="Calibri"/>
          <w:b/>
        </w:rPr>
        <w:t>s</w:t>
      </w:r>
      <w:r w:rsidR="00142296">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lastRenderedPageBreak/>
        <w:t>(e)</w:t>
      </w:r>
      <w:r w:rsidR="005B5A9F" w:rsidRPr="00F743C5">
        <w:rPr>
          <w:rFonts w:eastAsia="Calibri"/>
          <w:b/>
        </w:rPr>
        <w:tab/>
      </w:r>
      <w:r w:rsidR="00B751D5" w:rsidRPr="00F743C5">
        <w:rPr>
          <w:rFonts w:eastAsia="Calibri"/>
          <w:b/>
        </w:rPr>
        <w:t>Ensure that the free 24-hour hotlines are accessible in the languages that may be the only ones that potential victims speak and are serviced by multilingual staff who have received specialized training on trafficking in persons;</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(f)</w:t>
      </w:r>
      <w:r w:rsidR="005B5A9F" w:rsidRPr="00F743C5">
        <w:rPr>
          <w:rFonts w:eastAsia="Calibri"/>
          <w:b/>
        </w:rPr>
        <w:tab/>
      </w:r>
      <w:r w:rsidR="00B751D5" w:rsidRPr="00F743C5">
        <w:rPr>
          <w:rFonts w:eastAsia="Calibri"/>
          <w:b/>
        </w:rPr>
        <w:t>Maintain close cooperation with international and regional organi</w:t>
      </w:r>
      <w:r w:rsidR="00FD3265">
        <w:rPr>
          <w:rFonts w:eastAsia="Calibri"/>
          <w:b/>
        </w:rPr>
        <w:t>z</w:t>
      </w:r>
      <w:r w:rsidR="00B751D5" w:rsidRPr="00F743C5">
        <w:rPr>
          <w:rFonts w:eastAsia="Calibri"/>
          <w:b/>
        </w:rPr>
        <w:t xml:space="preserve">ations, particularly the International Organization for Migration and the Office of the United Nations High Commissioner for Refugees as well as diplomatic missions for the safe return of trafficked victims to their country of origin, having due regard to the need, if any, </w:t>
      </w:r>
      <w:r w:rsidR="00FD3265">
        <w:rPr>
          <w:rFonts w:eastAsia="Calibri"/>
          <w:b/>
        </w:rPr>
        <w:t>for</w:t>
      </w:r>
      <w:r w:rsidR="00FD3265" w:rsidRPr="00F743C5">
        <w:rPr>
          <w:rFonts w:eastAsia="Calibri"/>
          <w:b/>
        </w:rPr>
        <w:t xml:space="preserve"> </w:t>
      </w:r>
      <w:r w:rsidR="00B751D5" w:rsidRPr="00F743C5">
        <w:rPr>
          <w:rFonts w:eastAsia="Calibri"/>
          <w:b/>
        </w:rPr>
        <w:t>international protection of the victims and the application of the principle of non-</w:t>
      </w:r>
      <w:proofErr w:type="spellStart"/>
      <w:r w:rsidR="00B751D5" w:rsidRPr="00F743C5">
        <w:rPr>
          <w:rFonts w:eastAsia="Calibri"/>
          <w:b/>
        </w:rPr>
        <w:t>refoulement</w:t>
      </w:r>
      <w:proofErr w:type="spellEnd"/>
      <w:r w:rsidR="00B751D5" w:rsidRPr="00F743C5">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(g)</w:t>
      </w:r>
      <w:r w:rsidR="005B5A9F" w:rsidRPr="00F743C5">
        <w:rPr>
          <w:rFonts w:eastAsia="Calibri"/>
          <w:b/>
        </w:rPr>
        <w:tab/>
      </w:r>
      <w:r w:rsidR="00B751D5" w:rsidRPr="00F743C5">
        <w:rPr>
          <w:rFonts w:eastAsia="Calibri"/>
          <w:b/>
        </w:rPr>
        <w:t>Establish a fund that will provide for a comprehensive national compensation scheme for victims of trafficking</w:t>
      </w:r>
      <w:r w:rsidR="00FD52D3">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(h)</w:t>
      </w:r>
      <w:r w:rsidR="005B5A9F" w:rsidRPr="005B38A5">
        <w:rPr>
          <w:rFonts w:eastAsia="Calibri"/>
          <w:bCs/>
        </w:rPr>
        <w:tab/>
      </w:r>
      <w:r w:rsidR="00B751D5" w:rsidRPr="00F743C5">
        <w:rPr>
          <w:rFonts w:eastAsia="Calibri"/>
          <w:b/>
        </w:rPr>
        <w:t>Ensure that appropriate procedures are in place to evaluate the best interest</w:t>
      </w:r>
      <w:r w:rsidR="00FD3265">
        <w:rPr>
          <w:rFonts w:eastAsia="Calibri"/>
          <w:b/>
        </w:rPr>
        <w:t>s</w:t>
      </w:r>
      <w:r w:rsidR="00B751D5" w:rsidRPr="00F743C5">
        <w:rPr>
          <w:rFonts w:eastAsia="Calibri"/>
          <w:b/>
        </w:rPr>
        <w:t xml:space="preserve"> of the child during the stage of identification, protection and assistance and before making any decision on the eventual repatriation of the child. </w:t>
      </w:r>
    </w:p>
    <w:p w:rsidR="00B751D5" w:rsidRPr="00FF47BB" w:rsidRDefault="0023396D" w:rsidP="0023396D">
      <w:pPr>
        <w:pStyle w:val="SingleTxtG"/>
        <w:keepNext/>
        <w:rPr>
          <w:b/>
          <w:bCs/>
        </w:rPr>
      </w:pPr>
      <w:r w:rsidRPr="00FF47BB">
        <w:rPr>
          <w:iCs/>
        </w:rPr>
        <w:t>95.</w:t>
      </w:r>
      <w:r w:rsidRPr="00FF47BB">
        <w:rPr>
          <w:iCs/>
        </w:rPr>
        <w:tab/>
      </w:r>
      <w:r w:rsidR="00B751D5" w:rsidRPr="00FF47BB">
        <w:rPr>
          <w:b/>
          <w:bCs/>
        </w:rPr>
        <w:t>With respect to prosecution, the Special Rapporteur recommends that the Government: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(a)</w:t>
      </w:r>
      <w:r w:rsidR="005B5A9F" w:rsidRPr="00F743C5">
        <w:rPr>
          <w:rFonts w:eastAsia="Calibri"/>
          <w:b/>
        </w:rPr>
        <w:tab/>
      </w:r>
      <w:r w:rsidR="00B751D5" w:rsidRPr="00F743C5">
        <w:rPr>
          <w:rFonts w:eastAsia="Calibri"/>
          <w:b/>
        </w:rPr>
        <w:t>Improve the justice delivery system to ensure speedy adjudication of cases of trafficking while guaranteeing fair-trial rights consistent with a human rights-based approach to criminal justice responses;</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(b)</w:t>
      </w:r>
      <w:r w:rsidR="005B5A9F" w:rsidRPr="00F743C5">
        <w:rPr>
          <w:rFonts w:eastAsia="Calibri"/>
          <w:b/>
        </w:rPr>
        <w:tab/>
      </w:r>
      <w:r w:rsidR="00B751D5" w:rsidRPr="00F743C5">
        <w:rPr>
          <w:rFonts w:eastAsia="Calibri"/>
          <w:b/>
        </w:rPr>
        <w:t>Ensure that in the prosecution of cases of trafficking, victim/witness protection before, during and after the trial is duly implemented to avoid reprisal</w:t>
      </w:r>
      <w:r w:rsidR="00142296">
        <w:rPr>
          <w:rFonts w:eastAsia="Calibri"/>
          <w:b/>
        </w:rPr>
        <w: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(c)</w:t>
      </w:r>
      <w:r w:rsidR="005B5A9F" w:rsidRPr="00F743C5">
        <w:rPr>
          <w:rFonts w:eastAsia="Calibri"/>
          <w:b/>
        </w:rPr>
        <w:tab/>
      </w:r>
      <w:r w:rsidR="00B751D5" w:rsidRPr="00F743C5">
        <w:rPr>
          <w:rFonts w:eastAsia="Calibri"/>
          <w:b/>
        </w:rPr>
        <w:t>Ensure that the best interest of the child is at the heart of the criminal justice response</w:t>
      </w:r>
      <w:r w:rsidR="0078242E">
        <w:rPr>
          <w:rFonts w:eastAsia="Calibri"/>
          <w:b/>
        </w:rPr>
        <w:t>.</w:t>
      </w:r>
    </w:p>
    <w:p w:rsidR="00B751D5" w:rsidRPr="00F743C5" w:rsidRDefault="0023396D" w:rsidP="0023396D">
      <w:pPr>
        <w:pStyle w:val="SingleTxtG"/>
        <w:keepNext/>
        <w:rPr>
          <w:rFonts w:eastAsia="Calibri"/>
          <w:b/>
        </w:rPr>
      </w:pPr>
      <w:r w:rsidRPr="00F743C5">
        <w:rPr>
          <w:rFonts w:eastAsia="Calibri"/>
          <w:iCs/>
        </w:rPr>
        <w:t>96.</w:t>
      </w:r>
      <w:r w:rsidRPr="00F743C5">
        <w:rPr>
          <w:rFonts w:eastAsia="Calibri"/>
          <w:iCs/>
        </w:rPr>
        <w:tab/>
      </w:r>
      <w:r w:rsidR="00B751D5" w:rsidRPr="00F743C5">
        <w:rPr>
          <w:rFonts w:eastAsia="Calibri"/>
          <w:b/>
        </w:rPr>
        <w:t>With respect to prevention, the Special Rapporteur recommends that the Government:</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w:t>
      </w:r>
      <w:r w:rsidR="00D24B34">
        <w:rPr>
          <w:rFonts w:eastAsia="Calibri"/>
          <w:bCs/>
        </w:rPr>
        <w:t>a</w:t>
      </w:r>
      <w:r w:rsidRPr="005B38A5">
        <w:rPr>
          <w:rFonts w:eastAsia="Calibri"/>
          <w:bCs/>
        </w:rPr>
        <w:t>)</w:t>
      </w:r>
      <w:r w:rsidR="005B5A9F" w:rsidRPr="00F743C5">
        <w:rPr>
          <w:rFonts w:eastAsia="Calibri"/>
          <w:b/>
        </w:rPr>
        <w:tab/>
      </w:r>
      <w:r w:rsidR="00B751D5" w:rsidRPr="00F743C5">
        <w:rPr>
          <w:rFonts w:eastAsia="Calibri"/>
          <w:b/>
        </w:rPr>
        <w:t>Step up efforts to raise awareness about all forms of trafficking in persons, including for domestic servitude, forced labour and sexual exploitation, in order to promote understanding of what constitutes trafficking among the general population, the foreign community, employers and employment agencies;</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w:t>
      </w:r>
      <w:r w:rsidR="00D24B34">
        <w:rPr>
          <w:rFonts w:eastAsia="Calibri"/>
          <w:bCs/>
        </w:rPr>
        <w:t>b</w:t>
      </w:r>
      <w:r w:rsidRPr="005B38A5">
        <w:rPr>
          <w:rFonts w:eastAsia="Calibri"/>
          <w:bCs/>
        </w:rPr>
        <w:t>)</w:t>
      </w:r>
      <w:r w:rsidR="005B5A9F" w:rsidRPr="00F743C5">
        <w:rPr>
          <w:rFonts w:eastAsia="Calibri"/>
          <w:b/>
        </w:rPr>
        <w:tab/>
      </w:r>
      <w:r w:rsidR="00B751D5" w:rsidRPr="00F743C5">
        <w:rPr>
          <w:rFonts w:eastAsia="Calibri"/>
          <w:b/>
        </w:rPr>
        <w:t>Conduct surveys to assess the impact of the awareness-raising campaigns, which should be extended to the whole country and especially to areas where there is a high concentration of persons in vulnerable positions. Moreover, the language factors must be taken into account when developing public</w:t>
      </w:r>
      <w:r w:rsidR="00FD3265">
        <w:rPr>
          <w:rFonts w:eastAsia="Calibri"/>
          <w:b/>
        </w:rPr>
        <w:t xml:space="preserve"> </w:t>
      </w:r>
      <w:r w:rsidR="00B751D5" w:rsidRPr="00F743C5">
        <w:rPr>
          <w:rFonts w:eastAsia="Calibri"/>
          <w:b/>
        </w:rPr>
        <w:t>awareness tools;</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w:t>
      </w:r>
      <w:r w:rsidR="00D24B34">
        <w:rPr>
          <w:rFonts w:eastAsia="Calibri"/>
          <w:bCs/>
        </w:rPr>
        <w:t>c</w:t>
      </w:r>
      <w:r w:rsidRPr="005B38A5">
        <w:rPr>
          <w:rFonts w:eastAsia="Calibri"/>
          <w:bCs/>
        </w:rPr>
        <w:t>)</w:t>
      </w:r>
      <w:r w:rsidR="005B5A9F" w:rsidRPr="00F743C5">
        <w:rPr>
          <w:rFonts w:eastAsia="Calibri"/>
          <w:b/>
        </w:rPr>
        <w:tab/>
      </w:r>
      <w:r w:rsidR="00B751D5" w:rsidRPr="00F743C5">
        <w:rPr>
          <w:rFonts w:eastAsia="Calibri"/>
          <w:b/>
        </w:rPr>
        <w:t>Empower non-governmental organizations, including through increased interaction and the provision of funds, to conduct sensitization on trafficking and to handle complaints related to trafficking;</w:t>
      </w:r>
    </w:p>
    <w:p w:rsidR="00B751D5" w:rsidRPr="00F743C5" w:rsidRDefault="00F743C5" w:rsidP="005B38A5">
      <w:pPr>
        <w:pStyle w:val="Bullet1G"/>
        <w:numPr>
          <w:ilvl w:val="0"/>
          <w:numId w:val="0"/>
        </w:numPr>
        <w:ind w:left="1134" w:firstLine="567"/>
        <w:rPr>
          <w:rFonts w:eastAsia="Calibri"/>
          <w:b/>
        </w:rPr>
      </w:pPr>
      <w:r w:rsidRPr="005B38A5">
        <w:rPr>
          <w:rFonts w:eastAsia="Calibri"/>
          <w:bCs/>
        </w:rPr>
        <w:t>(</w:t>
      </w:r>
      <w:r w:rsidR="00D24B34">
        <w:rPr>
          <w:rFonts w:eastAsia="Calibri"/>
          <w:bCs/>
        </w:rPr>
        <w:t>d</w:t>
      </w:r>
      <w:r w:rsidRPr="005B38A5">
        <w:rPr>
          <w:rFonts w:eastAsia="Calibri"/>
          <w:bCs/>
        </w:rPr>
        <w:t>)</w:t>
      </w:r>
      <w:r w:rsidR="005B5A9F" w:rsidRPr="00F743C5">
        <w:rPr>
          <w:rFonts w:eastAsia="Calibri"/>
          <w:b/>
        </w:rPr>
        <w:tab/>
      </w:r>
      <w:r w:rsidR="00B751D5" w:rsidRPr="00F743C5">
        <w:rPr>
          <w:rFonts w:eastAsia="Calibri"/>
          <w:b/>
        </w:rPr>
        <w:t>Sensiti</w:t>
      </w:r>
      <w:r w:rsidR="00FD3265">
        <w:rPr>
          <w:rFonts w:eastAsia="Calibri"/>
          <w:b/>
        </w:rPr>
        <w:t>z</w:t>
      </w:r>
      <w:r w:rsidR="00B751D5" w:rsidRPr="00F743C5">
        <w:rPr>
          <w:rFonts w:eastAsia="Calibri"/>
          <w:b/>
        </w:rPr>
        <w:t>e businesses about human trafficking and encourage them to make and maintain a supply chain free from trafficking</w:t>
      </w:r>
      <w:r w:rsidR="00FD3265">
        <w:rPr>
          <w:rFonts w:eastAsia="Calibri"/>
          <w:b/>
        </w:rPr>
        <w:t>,</w:t>
      </w:r>
      <w:r w:rsidR="00B751D5" w:rsidRPr="00F743C5">
        <w:rPr>
          <w:rFonts w:eastAsia="Calibri"/>
          <w:b/>
        </w:rPr>
        <w:t xml:space="preserve"> including through the establishment of self-regulatory mechanisms and tools.</w:t>
      </w:r>
    </w:p>
    <w:p w:rsidR="00B751D5" w:rsidRPr="0035152F" w:rsidRDefault="00B751D5" w:rsidP="00B751D5">
      <w:pPr>
        <w:pStyle w:val="SingleTxtG"/>
        <w:autoSpaceDE w:val="0"/>
        <w:autoSpaceDN w:val="0"/>
        <w:adjustRightInd w:val="0"/>
        <w:spacing w:before="240" w:after="0"/>
        <w:jc w:val="center"/>
        <w:rPr>
          <w:u w:val="single"/>
        </w:rPr>
      </w:pPr>
      <w:r>
        <w:rPr>
          <w:rFonts w:eastAsia="Calibri"/>
          <w:u w:val="single"/>
        </w:rPr>
        <w:tab/>
      </w:r>
      <w:r>
        <w:rPr>
          <w:rFonts w:eastAsia="Calibri"/>
          <w:u w:val="single"/>
        </w:rPr>
        <w:tab/>
      </w:r>
      <w:r>
        <w:rPr>
          <w:rFonts w:eastAsia="Calibri"/>
          <w:u w:val="single"/>
        </w:rPr>
        <w:tab/>
      </w:r>
    </w:p>
    <w:sectPr w:rsidR="00B751D5" w:rsidRPr="0035152F" w:rsidSect="00BA7B8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06" w:rsidRDefault="00313806"/>
  </w:endnote>
  <w:endnote w:type="continuationSeparator" w:id="0">
    <w:p w:rsidR="00313806" w:rsidRDefault="00313806"/>
  </w:endnote>
  <w:endnote w:type="continuationNotice" w:id="1">
    <w:p w:rsidR="00313806" w:rsidRDefault="0031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0E" w:rsidRPr="00394E5E" w:rsidRDefault="00BA2E0E" w:rsidP="00394E5E">
    <w:pPr>
      <w:pStyle w:val="Footer"/>
      <w:tabs>
        <w:tab w:val="right" w:pos="9638"/>
      </w:tabs>
    </w:pPr>
    <w:r w:rsidRPr="00394E5E">
      <w:rPr>
        <w:b/>
        <w:sz w:val="18"/>
      </w:rPr>
      <w:fldChar w:fldCharType="begin"/>
    </w:r>
    <w:r w:rsidRPr="00394E5E">
      <w:rPr>
        <w:b/>
        <w:sz w:val="18"/>
      </w:rPr>
      <w:instrText xml:space="preserve"> PAGE  \* MERGEFORMAT </w:instrText>
    </w:r>
    <w:r w:rsidRPr="00394E5E">
      <w:rPr>
        <w:b/>
        <w:sz w:val="18"/>
      </w:rPr>
      <w:fldChar w:fldCharType="separate"/>
    </w:r>
    <w:r w:rsidR="0082660B">
      <w:rPr>
        <w:b/>
        <w:noProof/>
        <w:sz w:val="18"/>
      </w:rPr>
      <w:t>22</w:t>
    </w:r>
    <w:r w:rsidRPr="00394E5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0E" w:rsidRPr="00394E5E" w:rsidRDefault="00BA2E0E" w:rsidP="00394E5E">
    <w:pPr>
      <w:pStyle w:val="Footer"/>
      <w:tabs>
        <w:tab w:val="right" w:pos="9638"/>
      </w:tabs>
      <w:rPr>
        <w:b/>
        <w:sz w:val="18"/>
      </w:rPr>
    </w:pPr>
    <w:r>
      <w:tab/>
    </w:r>
    <w:r w:rsidRPr="00394E5E">
      <w:rPr>
        <w:b/>
        <w:sz w:val="18"/>
      </w:rPr>
      <w:fldChar w:fldCharType="begin"/>
    </w:r>
    <w:r w:rsidRPr="00394E5E">
      <w:rPr>
        <w:b/>
        <w:sz w:val="18"/>
      </w:rPr>
      <w:instrText xml:space="preserve"> PAGE  \* MERGEFORMAT </w:instrText>
    </w:r>
    <w:r w:rsidRPr="00394E5E">
      <w:rPr>
        <w:b/>
        <w:sz w:val="18"/>
      </w:rPr>
      <w:fldChar w:fldCharType="separate"/>
    </w:r>
    <w:r w:rsidR="0082660B">
      <w:rPr>
        <w:b/>
        <w:noProof/>
        <w:sz w:val="18"/>
      </w:rPr>
      <w:t>23</w:t>
    </w:r>
    <w:r w:rsidRPr="00394E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0E" w:rsidRPr="00394E5E" w:rsidRDefault="00521F48" w:rsidP="00542574">
    <w:r>
      <w:rPr>
        <w:noProof/>
        <w:lang w:eastAsia="zh-CN"/>
      </w:rPr>
      <w:drawing>
        <wp:anchor distT="0" distB="0" distL="114300" distR="114300" simplePos="0" relativeHeight="251659264" behindDoc="0" locked="0" layoutInCell="1" allowOverlap="1" wp14:anchorId="4101B657" wp14:editId="79BCEF02">
          <wp:simplePos x="0" y="0"/>
          <wp:positionH relativeFrom="margin">
            <wp:posOffset>4283710</wp:posOffset>
          </wp:positionH>
          <wp:positionV relativeFrom="margin">
            <wp:posOffset>8207375</wp:posOffset>
          </wp:positionV>
          <wp:extent cx="935665" cy="233916"/>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65" cy="233916"/>
                  </a:xfrm>
                  <a:prstGeom prst="rect">
                    <a:avLst/>
                  </a:prstGeom>
                  <a:noFill/>
                </pic:spPr>
              </pic:pic>
            </a:graphicData>
          </a:graphic>
          <wp14:sizeRelH relativeFrom="page">
            <wp14:pctWidth>0</wp14:pctWidth>
          </wp14:sizeRelH>
          <wp14:sizeRelV relativeFrom="page">
            <wp14:pctHeight>0</wp14:pctHeight>
          </wp14:sizeRelV>
        </wp:anchor>
      </w:drawing>
    </w:r>
    <w:r w:rsidR="00BA2E0E">
      <w:t>GE.15-</w:t>
    </w:r>
    <w:r w:rsidR="00791AFB">
      <w:t>09758</w:t>
    </w:r>
    <w:r>
      <w:t xml:space="preserve">  (E)</w:t>
    </w:r>
    <w:r>
      <w:br/>
    </w:r>
    <w:r w:rsidRPr="00521F48">
      <w:rPr>
        <w:rFonts w:ascii="C39T30Lfz" w:hAnsi="C39T30Lfz"/>
        <w:sz w:val="56"/>
      </w:rPr>
      <w:t></w:t>
    </w:r>
    <w:r w:rsidRPr="00521F48">
      <w:rPr>
        <w:rFonts w:ascii="C39T30Lfz" w:hAnsi="C39T30Lfz"/>
        <w:sz w:val="56"/>
      </w:rPr>
      <w:t></w:t>
    </w:r>
    <w:r w:rsidRPr="00521F48">
      <w:rPr>
        <w:rFonts w:ascii="C39T30Lfz" w:hAnsi="C39T30Lfz"/>
        <w:sz w:val="56"/>
      </w:rPr>
      <w:t></w:t>
    </w:r>
    <w:r w:rsidRPr="00521F48">
      <w:rPr>
        <w:rFonts w:ascii="C39T30Lfz" w:hAnsi="C39T30Lfz"/>
        <w:sz w:val="56"/>
      </w:rPr>
      <w:t></w:t>
    </w:r>
    <w:r w:rsidRPr="00521F48">
      <w:rPr>
        <w:rFonts w:ascii="C39T30Lfz" w:hAnsi="C39T30Lfz"/>
        <w:sz w:val="56"/>
      </w:rPr>
      <w:t></w:t>
    </w:r>
    <w:r w:rsidRPr="00521F48">
      <w:rPr>
        <w:rFonts w:ascii="C39T30Lfz" w:hAnsi="C39T30Lfz"/>
        <w:sz w:val="56"/>
      </w:rPr>
      <w:t></w:t>
    </w:r>
    <w:r w:rsidRPr="00521F48">
      <w:rPr>
        <w:rFonts w:ascii="C39T30Lfz" w:hAnsi="C39T30Lfz"/>
        <w:sz w:val="56"/>
      </w:rPr>
      <w:t></w:t>
    </w:r>
    <w:r w:rsidRPr="00521F48">
      <w:rPr>
        <w:rFonts w:ascii="C39T30Lfz" w:hAnsi="C39T30Lfz"/>
        <w:sz w:val="56"/>
      </w:rPr>
      <w:t></w:t>
    </w:r>
    <w:r w:rsidRPr="00521F4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06" w:rsidRPr="000B175B" w:rsidRDefault="00313806" w:rsidP="000B175B">
      <w:pPr>
        <w:tabs>
          <w:tab w:val="right" w:pos="2155"/>
        </w:tabs>
        <w:spacing w:after="80"/>
        <w:ind w:left="680"/>
        <w:rPr>
          <w:u w:val="single"/>
        </w:rPr>
      </w:pPr>
      <w:r>
        <w:rPr>
          <w:u w:val="single"/>
        </w:rPr>
        <w:tab/>
      </w:r>
    </w:p>
  </w:footnote>
  <w:footnote w:type="continuationSeparator" w:id="0">
    <w:p w:rsidR="00313806" w:rsidRPr="00FC68B7" w:rsidRDefault="00313806" w:rsidP="00FC68B7">
      <w:pPr>
        <w:tabs>
          <w:tab w:val="left" w:pos="2155"/>
        </w:tabs>
        <w:spacing w:after="80"/>
        <w:ind w:left="680"/>
        <w:rPr>
          <w:u w:val="single"/>
        </w:rPr>
      </w:pPr>
      <w:r>
        <w:rPr>
          <w:u w:val="single"/>
        </w:rPr>
        <w:tab/>
      </w:r>
    </w:p>
  </w:footnote>
  <w:footnote w:type="continuationNotice" w:id="1">
    <w:p w:rsidR="00313806" w:rsidRDefault="00313806"/>
  </w:footnote>
  <w:footnote w:id="2">
    <w:p w:rsidR="00BA2E0E" w:rsidRPr="00965BDD" w:rsidRDefault="00BA2E0E">
      <w:pPr>
        <w:pStyle w:val="FootnoteText"/>
      </w:pPr>
      <w:r w:rsidRPr="0030384D">
        <w:rPr>
          <w:rStyle w:val="FootnoteReference"/>
          <w:vertAlign w:val="baseline"/>
        </w:rPr>
        <w:tab/>
      </w:r>
      <w:r w:rsidRPr="00693021">
        <w:rPr>
          <w:rStyle w:val="FootnoteReference"/>
          <w:szCs w:val="18"/>
          <w:vertAlign w:val="baseline"/>
        </w:rPr>
        <w:t>*</w:t>
      </w:r>
      <w:r>
        <w:rPr>
          <w:rStyle w:val="FootnoteReference"/>
          <w:sz w:val="20"/>
          <w:vertAlign w:val="baseline"/>
        </w:rPr>
        <w:tab/>
      </w:r>
      <w:r>
        <w:t>Late submission.</w:t>
      </w:r>
    </w:p>
  </w:footnote>
  <w:footnote w:id="3">
    <w:p w:rsidR="00BA2E0E" w:rsidRPr="004507B5" w:rsidRDefault="00BA2E0E" w:rsidP="004507B5">
      <w:pPr>
        <w:pStyle w:val="FootnoteText"/>
      </w:pPr>
      <w:r w:rsidRPr="005B38A5">
        <w:rPr>
          <w:rStyle w:val="FootnoteReference"/>
          <w:sz w:val="20"/>
          <w:vertAlign w:val="baseline"/>
        </w:rPr>
        <w:tab/>
      </w:r>
      <w:r w:rsidRPr="00693021">
        <w:rPr>
          <w:rStyle w:val="FootnoteReference"/>
          <w:szCs w:val="18"/>
          <w:vertAlign w:val="baseline"/>
        </w:rPr>
        <w:t>**</w:t>
      </w:r>
      <w:r>
        <w:rPr>
          <w:rStyle w:val="FootnoteReference"/>
          <w:vertAlign w:val="baseline"/>
        </w:rPr>
        <w:tab/>
      </w:r>
      <w:r w:rsidRPr="004507B5">
        <w:t>The summary of the present report is circulated in all the official languages. The report itself, contained in the annex to the summary, is circulated in the language of submission only.</w:t>
      </w:r>
    </w:p>
  </w:footnote>
  <w:footnote w:id="4">
    <w:p w:rsidR="00BA2E0E" w:rsidRPr="00CF713B" w:rsidRDefault="00BA2E0E" w:rsidP="00CF713B">
      <w:pPr>
        <w:pStyle w:val="FootnoteText"/>
      </w:pPr>
      <w:r>
        <w:tab/>
      </w:r>
      <w:r w:rsidRPr="00CF713B">
        <w:rPr>
          <w:rStyle w:val="FootnoteReference"/>
        </w:rPr>
        <w:footnoteRef/>
      </w:r>
      <w:r>
        <w:tab/>
      </w:r>
      <w:r w:rsidRPr="00CF713B">
        <w:t>U</w:t>
      </w:r>
      <w:r>
        <w:t xml:space="preserve">nited </w:t>
      </w:r>
      <w:r w:rsidRPr="00CF713B">
        <w:t>N</w:t>
      </w:r>
      <w:r>
        <w:t xml:space="preserve">ations </w:t>
      </w:r>
      <w:r w:rsidRPr="00CF713B">
        <w:t>D</w:t>
      </w:r>
      <w:r>
        <w:t xml:space="preserve">evelopment </w:t>
      </w:r>
      <w:proofErr w:type="spellStart"/>
      <w:r w:rsidRPr="00CF713B">
        <w:t>P</w:t>
      </w:r>
      <w:r>
        <w:t>rogramme</w:t>
      </w:r>
      <w:proofErr w:type="spellEnd"/>
      <w:r w:rsidRPr="00CF713B">
        <w:t xml:space="preserve">, Country </w:t>
      </w:r>
      <w:proofErr w:type="spellStart"/>
      <w:r w:rsidRPr="00CF713B">
        <w:t>Programme</w:t>
      </w:r>
      <w:proofErr w:type="spellEnd"/>
      <w:r w:rsidRPr="00CF713B">
        <w:t xml:space="preserve"> Action Plan 2013</w:t>
      </w:r>
      <w:r>
        <w:t>–</w:t>
      </w:r>
      <w:r w:rsidRPr="00CF713B">
        <w:t>2015, p.</w:t>
      </w:r>
      <w:r>
        <w:t> </w:t>
      </w:r>
      <w:r w:rsidRPr="00CF713B">
        <w:t>6</w:t>
      </w:r>
      <w:r>
        <w:t xml:space="preserve">. Available from </w:t>
      </w:r>
      <w:r w:rsidRPr="00D76EE1">
        <w:t>www.my.undp.org/content/dam/malaysia/docs/key_documents/CPAP%202013-2015.pdf</w:t>
      </w:r>
      <w:r>
        <w:t>.</w:t>
      </w:r>
    </w:p>
  </w:footnote>
  <w:footnote w:id="5">
    <w:p w:rsidR="00BA2E0E" w:rsidRPr="00134073" w:rsidRDefault="00BA2E0E" w:rsidP="008F1DD3">
      <w:pPr>
        <w:pStyle w:val="FootnoteText"/>
      </w:pPr>
      <w:r>
        <w:tab/>
      </w:r>
      <w:r w:rsidRPr="00CF713B">
        <w:rPr>
          <w:rStyle w:val="FootnoteReference"/>
        </w:rPr>
        <w:footnoteRef/>
      </w:r>
      <w:r>
        <w:tab/>
        <w:t>Ibid.</w:t>
      </w:r>
      <w:r w:rsidRPr="00CF713B">
        <w:t>, p.</w:t>
      </w:r>
      <w:r>
        <w:t> </w:t>
      </w:r>
      <w:r w:rsidRPr="00CF713B">
        <w:t>6</w:t>
      </w:r>
      <w:r>
        <w:t>.</w:t>
      </w:r>
    </w:p>
  </w:footnote>
  <w:footnote w:id="6">
    <w:p w:rsidR="00BA2E0E" w:rsidRPr="00134073" w:rsidRDefault="00BA2E0E" w:rsidP="00142296">
      <w:pPr>
        <w:pStyle w:val="FootnoteText"/>
        <w:rPr>
          <w:sz w:val="16"/>
          <w:szCs w:val="16"/>
        </w:rPr>
      </w:pPr>
      <w:r>
        <w:tab/>
      </w:r>
      <w:r w:rsidRPr="00CF713B">
        <w:rPr>
          <w:rStyle w:val="FootnoteReference"/>
        </w:rPr>
        <w:footnoteRef/>
      </w:r>
      <w:r>
        <w:tab/>
      </w:r>
      <w:r w:rsidRPr="00CF713B">
        <w:t xml:space="preserve">Migrant Working Group and Northern Network for Migrants and Refugees, </w:t>
      </w:r>
      <w:r>
        <w:t>j</w:t>
      </w:r>
      <w:r w:rsidRPr="00CF713B">
        <w:t xml:space="preserve">oint </w:t>
      </w:r>
      <w:r>
        <w:t>s</w:t>
      </w:r>
      <w:r w:rsidRPr="00CF713B">
        <w:t xml:space="preserve">ubmission </w:t>
      </w:r>
      <w:r>
        <w:t xml:space="preserve">to the universal periodic review of </w:t>
      </w:r>
      <w:r w:rsidRPr="00CF713B">
        <w:t>Malaysia (2009), p.</w:t>
      </w:r>
      <w:r>
        <w:t xml:space="preserve"> 1. Available from </w:t>
      </w:r>
      <w:r w:rsidRPr="009D16C0">
        <w:t>http://lib.ohchr.org/HRBodies/UPR/Documents/Session4/MY/MWG_JUMP_MYS_UPR_S4_2009_MigrationWorkingGroup_theNorthernNetworkforMigrantsandRefugees_JOINT_upr.pdf</w:t>
      </w:r>
      <w:r>
        <w:t>.</w:t>
      </w:r>
    </w:p>
  </w:footnote>
  <w:footnote w:id="7">
    <w:p w:rsidR="00BA2E0E" w:rsidRPr="00CF713B" w:rsidRDefault="00BA2E0E" w:rsidP="00CF713B">
      <w:pPr>
        <w:pStyle w:val="FootnoteText"/>
      </w:pPr>
      <w:r>
        <w:tab/>
      </w:r>
      <w:r w:rsidRPr="00130B33">
        <w:rPr>
          <w:rStyle w:val="FootnoteReference"/>
        </w:rPr>
        <w:footnoteRef/>
      </w:r>
      <w:r>
        <w:tab/>
      </w:r>
      <w:r w:rsidRPr="009A4F72">
        <w:t>Nevertheless</w:t>
      </w:r>
      <w:r>
        <w:t>,</w:t>
      </w:r>
      <w:r w:rsidRPr="009A4F72">
        <w:t xml:space="preserve"> Malaysia </w:t>
      </w:r>
      <w:r w:rsidRPr="00524109">
        <w:t xml:space="preserve">provides assistance and protection on a case-by-case basis to some refugees and asylum seekers in collaboration with </w:t>
      </w:r>
      <w:r>
        <w:t>the Office of the United Nations High Commissioner for Refugees</w:t>
      </w:r>
      <w:r w:rsidRPr="00524109">
        <w:t xml:space="preserve"> and other international organizati</w:t>
      </w:r>
      <w:r w:rsidRPr="00CF713B">
        <w:t>ons</w:t>
      </w:r>
      <w:r>
        <w:t>.</w:t>
      </w:r>
    </w:p>
  </w:footnote>
  <w:footnote w:id="8">
    <w:p w:rsidR="00BA2E0E" w:rsidRPr="00CF713B" w:rsidRDefault="00BA2E0E" w:rsidP="00CF713B">
      <w:pPr>
        <w:pStyle w:val="FootnoteText"/>
      </w:pPr>
      <w:r w:rsidRPr="00CF713B">
        <w:tab/>
      </w:r>
      <w:r w:rsidRPr="00CF713B">
        <w:rPr>
          <w:rStyle w:val="FootnoteReference"/>
        </w:rPr>
        <w:footnoteRef/>
      </w:r>
      <w:r w:rsidRPr="00CF713B">
        <w:tab/>
        <w:t xml:space="preserve">See </w:t>
      </w:r>
      <w:r>
        <w:t>the</w:t>
      </w:r>
      <w:r w:rsidRPr="00CF713B">
        <w:t xml:space="preserve"> Principles and Guidelines on Human Rights and Human Trafficking</w:t>
      </w:r>
      <w:r>
        <w:t xml:space="preserve"> recommended by the Office of the United Nations High Commissioner for Human Rights (OHCHR)</w:t>
      </w:r>
      <w:r w:rsidRPr="00CF713B">
        <w:t>.</w:t>
      </w:r>
    </w:p>
  </w:footnote>
  <w:footnote w:id="9">
    <w:p w:rsidR="00BA2E0E" w:rsidRPr="00134073" w:rsidRDefault="00BA2E0E" w:rsidP="00854165">
      <w:pPr>
        <w:pStyle w:val="FootnoteText"/>
      </w:pPr>
      <w:r>
        <w:tab/>
      </w:r>
      <w:r w:rsidRPr="00B8476E">
        <w:rPr>
          <w:rStyle w:val="FootnoteReference"/>
          <w:sz w:val="16"/>
          <w:szCs w:val="16"/>
        </w:rPr>
        <w:footnoteRef/>
      </w:r>
      <w:r>
        <w:tab/>
      </w:r>
      <w:r w:rsidR="00B03178">
        <w:t>See ASEAN</w:t>
      </w:r>
      <w:r w:rsidRPr="00854165">
        <w:t xml:space="preserve">, </w:t>
      </w:r>
      <w:r w:rsidRPr="00315D83">
        <w:rPr>
          <w:i/>
          <w:iCs/>
        </w:rPr>
        <w:t>Progress Report on Criminal Justice Responses to Trafficking in Persons in the ASEAN Region</w:t>
      </w:r>
      <w:r w:rsidRPr="00854165">
        <w:t xml:space="preserve"> (201</w:t>
      </w:r>
      <w:r w:rsidR="00B03178">
        <w:t>1</w:t>
      </w:r>
      <w:r w:rsidRPr="00854165">
        <w:t>), p. 17.</w:t>
      </w:r>
    </w:p>
  </w:footnote>
  <w:footnote w:id="10">
    <w:p w:rsidR="00BA2E0E" w:rsidRPr="00CF713B" w:rsidRDefault="00BA2E0E" w:rsidP="00CF713B">
      <w:pPr>
        <w:pStyle w:val="FootnoteText"/>
      </w:pPr>
      <w:r>
        <w:tab/>
      </w:r>
      <w:r w:rsidRPr="00CF713B">
        <w:rPr>
          <w:rStyle w:val="FootnoteReference"/>
        </w:rPr>
        <w:footnoteRef/>
      </w:r>
      <w:r>
        <w:tab/>
      </w:r>
      <w:r w:rsidRPr="00CF713B">
        <w:t xml:space="preserve">Royal Malaysian Police, </w:t>
      </w:r>
      <w:r w:rsidR="007456EB">
        <w:t>s</w:t>
      </w:r>
      <w:r w:rsidRPr="00CF713B">
        <w:t>tatistic</w:t>
      </w:r>
      <w:r w:rsidR="007456EB">
        <w:t>s</w:t>
      </w:r>
      <w:r w:rsidRPr="00CF713B">
        <w:t xml:space="preserve"> provided during the visit of the Special Rapporteur</w:t>
      </w:r>
      <w:r>
        <w:t>.</w:t>
      </w:r>
    </w:p>
  </w:footnote>
  <w:footnote w:id="11">
    <w:p w:rsidR="00BA2E0E" w:rsidRPr="00134073" w:rsidRDefault="00BA2E0E" w:rsidP="00854165">
      <w:pPr>
        <w:pStyle w:val="FootnoteText"/>
      </w:pPr>
      <w:r>
        <w:tab/>
      </w:r>
      <w:r w:rsidRPr="00CF713B">
        <w:rPr>
          <w:rStyle w:val="FootnoteReference"/>
        </w:rPr>
        <w:footnoteRef/>
      </w:r>
      <w:r>
        <w:tab/>
      </w:r>
      <w:r w:rsidR="00854165" w:rsidRPr="007D3D1A">
        <w:t>See Council for Anti-Trafficking in Persons and Anti-Smuggling of Migrants</w:t>
      </w:r>
      <w:r w:rsidRPr="007D3D1A">
        <w:t xml:space="preserve">, </w:t>
      </w:r>
      <w:r w:rsidR="00854165" w:rsidRPr="007D3D1A">
        <w:t>“</w:t>
      </w:r>
      <w:r w:rsidRPr="007D3D1A">
        <w:t xml:space="preserve">Progress </w:t>
      </w:r>
      <w:r w:rsidR="00854165" w:rsidRPr="00D22C48">
        <w:t>R</w:t>
      </w:r>
      <w:r w:rsidRPr="00BA5E5F">
        <w:t>eport 2014/2015</w:t>
      </w:r>
      <w:r w:rsidR="00854165" w:rsidRPr="002C4A84">
        <w:t>”</w:t>
      </w:r>
      <w:r w:rsidRPr="00FC3B60">
        <w:t>, p</w:t>
      </w:r>
      <w:r w:rsidR="007D3D1A">
        <w:t>p</w:t>
      </w:r>
      <w:r w:rsidRPr="007D3D1A">
        <w:t>. iii</w:t>
      </w:r>
      <w:r w:rsidR="007D3D1A">
        <w:t>–iv</w:t>
      </w:r>
      <w:r w:rsidRPr="007D3D1A">
        <w:t>.</w:t>
      </w:r>
    </w:p>
  </w:footnote>
  <w:footnote w:id="12">
    <w:p w:rsidR="00BA2E0E" w:rsidRPr="00CF713B" w:rsidRDefault="00BA2E0E" w:rsidP="00CF713B">
      <w:pPr>
        <w:pStyle w:val="FootnoteText"/>
      </w:pPr>
      <w:r>
        <w:tab/>
      </w:r>
      <w:r w:rsidRPr="00CF713B">
        <w:rPr>
          <w:rStyle w:val="FootnoteReference"/>
        </w:rPr>
        <w:footnoteRef/>
      </w:r>
      <w:r>
        <w:tab/>
      </w:r>
      <w:r w:rsidRPr="00CF713B">
        <w:t>See</w:t>
      </w:r>
      <w:r w:rsidR="003D0917">
        <w:t>,</w:t>
      </w:r>
      <w:r w:rsidRPr="00CF713B">
        <w:t xml:space="preserve"> for example</w:t>
      </w:r>
      <w:r w:rsidR="003D0917">
        <w:t>,</w:t>
      </w:r>
      <w:r w:rsidRPr="00CF713B">
        <w:t xml:space="preserve"> section 94 of the Penal Code which provides general exceptions for acts to which a person is compelled by threats</w:t>
      </w:r>
      <w:r>
        <w:t xml:space="preserve"> to commit</w:t>
      </w:r>
      <w:r w:rsidRPr="00CF713B">
        <w:t xml:space="preserve">. </w:t>
      </w:r>
    </w:p>
  </w:footnote>
  <w:footnote w:id="13">
    <w:p w:rsidR="00BA2E0E" w:rsidRPr="00CF713B" w:rsidRDefault="00BA2E0E" w:rsidP="00854165">
      <w:pPr>
        <w:pStyle w:val="FootnoteText"/>
      </w:pPr>
      <w:r>
        <w:tab/>
      </w:r>
      <w:r w:rsidRPr="00CF713B">
        <w:rPr>
          <w:rStyle w:val="FootnoteReference"/>
        </w:rPr>
        <w:footnoteRef/>
      </w:r>
      <w:r>
        <w:tab/>
      </w:r>
      <w:r w:rsidR="00714EA7" w:rsidRPr="00854165">
        <w:t xml:space="preserve">Trafficking in Persons </w:t>
      </w:r>
      <w:r w:rsidRPr="00854165">
        <w:t>Protocol art.6</w:t>
      </w:r>
      <w:r w:rsidR="005A1C70" w:rsidRPr="00854165">
        <w:t xml:space="preserve"> </w:t>
      </w:r>
      <w:r w:rsidRPr="00854165">
        <w:t xml:space="preserve">(6) and </w:t>
      </w:r>
      <w:r w:rsidR="00B03178">
        <w:t>the</w:t>
      </w:r>
      <w:r w:rsidRPr="00854165">
        <w:t xml:space="preserve"> principles and guidelines on human rights and human trafficking, guideline 9.</w:t>
      </w:r>
    </w:p>
  </w:footnote>
  <w:footnote w:id="14">
    <w:p w:rsidR="00BA2E0E" w:rsidRPr="00CF713B" w:rsidRDefault="00BA2E0E" w:rsidP="0013571C">
      <w:pPr>
        <w:pStyle w:val="FootnoteText"/>
      </w:pPr>
      <w:r>
        <w:tab/>
      </w:r>
      <w:r w:rsidRPr="00CF713B">
        <w:rPr>
          <w:rStyle w:val="FootnoteReference"/>
        </w:rPr>
        <w:footnoteRef/>
      </w:r>
      <w:r>
        <w:tab/>
      </w:r>
      <w:r w:rsidRPr="0013571C">
        <w:t>Amnesty International</w:t>
      </w:r>
      <w:r w:rsidR="0013571C">
        <w:t>,</w:t>
      </w:r>
      <w:r w:rsidRPr="0013571C">
        <w:t xml:space="preserve"> </w:t>
      </w:r>
      <w:r w:rsidRPr="00315D83">
        <w:rPr>
          <w:i/>
          <w:iCs/>
        </w:rPr>
        <w:t>Trapped: The Exploitation of Migrant Workers in Malaysia</w:t>
      </w:r>
      <w:r w:rsidRPr="0013571C">
        <w:t xml:space="preserve"> (2010), p</w:t>
      </w:r>
      <w:r w:rsidR="0013571C">
        <w:t>p</w:t>
      </w:r>
      <w:r w:rsidRPr="0013571C">
        <w:t>. 67–69.</w:t>
      </w:r>
    </w:p>
  </w:footnote>
  <w:footnote w:id="15">
    <w:p w:rsidR="00BA2E0E" w:rsidRPr="00315D83" w:rsidRDefault="00BA2E0E" w:rsidP="00315D83">
      <w:pPr>
        <w:pStyle w:val="FootnoteText"/>
        <w:rPr>
          <w:highlight w:val="yellow"/>
        </w:rPr>
      </w:pPr>
      <w:r w:rsidRPr="0013571C">
        <w:tab/>
      </w:r>
      <w:r w:rsidRPr="0013571C">
        <w:rPr>
          <w:rStyle w:val="FootnoteReference"/>
        </w:rPr>
        <w:footnoteRef/>
      </w:r>
      <w:r w:rsidRPr="0013571C">
        <w:tab/>
      </w:r>
      <w:r w:rsidR="0013571C">
        <w:t xml:space="preserve">See </w:t>
      </w:r>
      <w:r w:rsidRPr="0013571C">
        <w:t>Chairman of the Council</w:t>
      </w:r>
      <w:r w:rsidR="0013571C" w:rsidRPr="00315D83">
        <w:t xml:space="preserve"> </w:t>
      </w:r>
      <w:r w:rsidR="0013571C" w:rsidRPr="0013571C">
        <w:t>for Anti-Trafficking in Persons and Anti-Smuggling of Migrants</w:t>
      </w:r>
      <w:r w:rsidRPr="0013571C">
        <w:t xml:space="preserve">, </w:t>
      </w:r>
      <w:r w:rsidR="0013571C">
        <w:t>m</w:t>
      </w:r>
      <w:r w:rsidRPr="0013571C">
        <w:t xml:space="preserve">edia </w:t>
      </w:r>
      <w:r w:rsidR="0013571C">
        <w:t>s</w:t>
      </w:r>
      <w:r w:rsidRPr="0013571C">
        <w:t>tatement</w:t>
      </w:r>
      <w:r w:rsidR="0013571C">
        <w:t xml:space="preserve"> entitled “</w:t>
      </w:r>
      <w:r w:rsidRPr="0013571C">
        <w:t xml:space="preserve">Permission to Work for </w:t>
      </w:r>
      <w:proofErr w:type="spellStart"/>
      <w:r w:rsidRPr="0013571C">
        <w:t>Labour</w:t>
      </w:r>
      <w:proofErr w:type="spellEnd"/>
      <w:r w:rsidRPr="0013571C">
        <w:t xml:space="preserve"> Trafficking Victims</w:t>
      </w:r>
      <w:r w:rsidR="0013571C">
        <w:t>”</w:t>
      </w:r>
      <w:r w:rsidRPr="0013571C">
        <w:t xml:space="preserve">, </w:t>
      </w:r>
      <w:r w:rsidR="0078242E">
        <w:t>delivered</w:t>
      </w:r>
      <w:r w:rsidR="0013571C">
        <w:t xml:space="preserve"> on 5 </w:t>
      </w:r>
      <w:r w:rsidRPr="0013571C">
        <w:t>Mar</w:t>
      </w:r>
      <w:r w:rsidR="0013571C">
        <w:t>ch</w:t>
      </w:r>
      <w:r w:rsidRPr="0013571C">
        <w:t xml:space="preserve"> 2014.</w:t>
      </w:r>
    </w:p>
  </w:footnote>
  <w:footnote w:id="16">
    <w:p w:rsidR="00BA2E0E" w:rsidRPr="00134073" w:rsidRDefault="00BA2E0E" w:rsidP="0078242E">
      <w:pPr>
        <w:pStyle w:val="FootnoteText"/>
      </w:pPr>
      <w:r w:rsidRPr="0078242E">
        <w:tab/>
      </w:r>
      <w:r w:rsidRPr="0078242E">
        <w:rPr>
          <w:rStyle w:val="FootnoteReference"/>
        </w:rPr>
        <w:footnoteRef/>
      </w:r>
      <w:r w:rsidRPr="0078242E">
        <w:tab/>
      </w:r>
      <w:r w:rsidR="0013571C" w:rsidRPr="00315D83">
        <w:t xml:space="preserve">See </w:t>
      </w:r>
      <w:r w:rsidRPr="00315D83">
        <w:t>Council</w:t>
      </w:r>
      <w:r w:rsidR="0013571C" w:rsidRPr="00315D83">
        <w:t xml:space="preserve"> </w:t>
      </w:r>
      <w:r w:rsidR="0013571C" w:rsidRPr="0078242E">
        <w:t>for Anti-Trafficking in Persons and Anti-Smuggling of Migrants</w:t>
      </w:r>
      <w:r w:rsidRPr="00315D83">
        <w:t xml:space="preserve">, </w:t>
      </w:r>
      <w:r w:rsidR="00FC3B60">
        <w:t>“</w:t>
      </w:r>
      <w:r w:rsidRPr="0078242E">
        <w:t>Progr</w:t>
      </w:r>
      <w:r w:rsidRPr="00315D83">
        <w:t>ess report</w:t>
      </w:r>
      <w:r w:rsidR="00FC3B60">
        <w:t xml:space="preserve"> </w:t>
      </w:r>
      <w:r w:rsidRPr="00315D83">
        <w:t>2014/2015</w:t>
      </w:r>
      <w:r w:rsidR="00FC3B60">
        <w:t>”</w:t>
      </w:r>
      <w:r w:rsidRPr="0078242E">
        <w:t>, p. iii.</w:t>
      </w:r>
    </w:p>
  </w:footnote>
  <w:footnote w:id="17">
    <w:p w:rsidR="00BA2E0E" w:rsidRPr="00CF713B" w:rsidRDefault="00BA2E0E" w:rsidP="00854165">
      <w:pPr>
        <w:pStyle w:val="FootnoteText"/>
      </w:pPr>
      <w:r>
        <w:tab/>
      </w:r>
      <w:r w:rsidRPr="00CF713B">
        <w:rPr>
          <w:rStyle w:val="FootnoteReference"/>
        </w:rPr>
        <w:footnoteRef/>
      </w:r>
      <w:r>
        <w:tab/>
      </w:r>
      <w:r w:rsidRPr="00CF713B">
        <w:t>Information provided</w:t>
      </w:r>
      <w:r w:rsidR="00B36366">
        <w:t xml:space="preserve"> by the </w:t>
      </w:r>
      <w:r w:rsidR="00B36366" w:rsidRPr="0013571C">
        <w:t>Council</w:t>
      </w:r>
      <w:r w:rsidR="0013571C">
        <w:t xml:space="preserve"> </w:t>
      </w:r>
      <w:r w:rsidR="0013571C" w:rsidRPr="001A5CC1">
        <w:t>for Anti-Trafficking in Persons and Anti-Smuggling of Migrants</w:t>
      </w:r>
      <w:r w:rsidRPr="00CF713B">
        <w:t xml:space="preserve"> during the visit of the Special Rapporteur</w:t>
      </w:r>
      <w:r>
        <w:t>.</w:t>
      </w:r>
    </w:p>
  </w:footnote>
  <w:footnote w:id="18">
    <w:p w:rsidR="00BA2E0E" w:rsidRPr="00134073" w:rsidRDefault="00BA2E0E" w:rsidP="0078242E">
      <w:pPr>
        <w:pStyle w:val="FootnoteText"/>
      </w:pPr>
      <w:r>
        <w:tab/>
      </w:r>
      <w:r w:rsidRPr="00CF713B">
        <w:rPr>
          <w:rStyle w:val="FootnoteReference"/>
        </w:rPr>
        <w:footnoteRef/>
      </w:r>
      <w:r>
        <w:tab/>
      </w:r>
      <w:r w:rsidR="0013571C" w:rsidRPr="00315D83">
        <w:t>See</w:t>
      </w:r>
      <w:r w:rsidR="0013571C" w:rsidRPr="0078242E">
        <w:t xml:space="preserve"> </w:t>
      </w:r>
      <w:r w:rsidRPr="00315D83">
        <w:t>Council</w:t>
      </w:r>
      <w:r w:rsidR="0013571C" w:rsidRPr="00315D83">
        <w:t xml:space="preserve"> for Anti-Trafficking in Persons and Anti-Smuggling of Migrants</w:t>
      </w:r>
      <w:r w:rsidRPr="00315D83">
        <w:t xml:space="preserve">, </w:t>
      </w:r>
      <w:r w:rsidR="00FC3B60">
        <w:t>“</w:t>
      </w:r>
      <w:r w:rsidRPr="0078242E">
        <w:t>Progress report</w:t>
      </w:r>
      <w:r w:rsidRPr="00315D83">
        <w:t xml:space="preserve"> 2014/2015</w:t>
      </w:r>
      <w:r w:rsidR="00FC3B60">
        <w:t>”</w:t>
      </w:r>
      <w:r w:rsidRPr="0078242E">
        <w:t>, p. iv and viii.</w:t>
      </w:r>
    </w:p>
  </w:footnote>
  <w:footnote w:id="19">
    <w:p w:rsidR="00BA2E0E" w:rsidRPr="00D14378" w:rsidRDefault="00BA2E0E" w:rsidP="00F743C5">
      <w:pPr>
        <w:pStyle w:val="FootnoteText"/>
      </w:pPr>
      <w:r>
        <w:tab/>
      </w:r>
      <w:r w:rsidRPr="00F743C5">
        <w:rPr>
          <w:vertAlign w:val="superscript"/>
        </w:rPr>
        <w:footnoteRef/>
      </w:r>
      <w:r>
        <w:t xml:space="preserve"> </w:t>
      </w:r>
      <w:r>
        <w:tab/>
      </w:r>
      <w:r w:rsidRPr="0013571C">
        <w:t>See OHCHR, Human Rights and Human Trafficking Fact Sheet No. 36, p</w:t>
      </w:r>
      <w:r w:rsidR="0078242E">
        <w:t>p</w:t>
      </w:r>
      <w:r w:rsidRPr="0013571C">
        <w:t xml:space="preserve">. 18–19, and </w:t>
      </w:r>
      <w:r w:rsidR="0013571C">
        <w:t>r</w:t>
      </w:r>
      <w:r w:rsidRPr="0013571C">
        <w:t>eport of the Working Group on Arbitrary Detention (A/HRC/22/44), paras. 55 and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0E" w:rsidRPr="00394E5E" w:rsidRDefault="00BA2E0E">
    <w:pPr>
      <w:pStyle w:val="Header"/>
    </w:pPr>
    <w:r>
      <w:t>A/HRC/29/38/Add.1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0E" w:rsidRPr="00394E5E" w:rsidRDefault="00BA2E0E" w:rsidP="00394E5E">
    <w:pPr>
      <w:pStyle w:val="Header"/>
      <w:jc w:val="right"/>
    </w:pPr>
    <w:r>
      <w:t>A/HRC/29/38/Add.1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83"/>
    <w:multiLevelType w:val="singleLevel"/>
    <w:tmpl w:val="3E20B83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AB3B7F"/>
    <w:multiLevelType w:val="hybridMultilevel"/>
    <w:tmpl w:val="702CCC24"/>
    <w:lvl w:ilvl="0" w:tplc="08090017">
      <w:start w:val="1"/>
      <w:numFmt w:val="lowerLetter"/>
      <w:lvlText w:val="%1)"/>
      <w:lvlJc w:val="left"/>
      <w:pPr>
        <w:ind w:left="720" w:hanging="360"/>
      </w:pPr>
      <w:rPr>
        <w:rFonts w:hint="default"/>
      </w:rPr>
    </w:lvl>
    <w:lvl w:ilvl="1" w:tplc="41D60368">
      <w:numFmt w:val="bullet"/>
      <w:lvlText w:val="•"/>
      <w:lvlJc w:val="left"/>
      <w:pPr>
        <w:ind w:left="1440" w:hanging="360"/>
      </w:pPr>
      <w:rPr>
        <w:rFonts w:ascii="Verdana" w:eastAsia="Times New Roman" w:hAnsi="Verdana" w:cs="Aria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F22FD9"/>
    <w:multiLevelType w:val="hybridMultilevel"/>
    <w:tmpl w:val="CF2206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81B146B"/>
    <w:multiLevelType w:val="hybridMultilevel"/>
    <w:tmpl w:val="54442DD8"/>
    <w:lvl w:ilvl="0" w:tplc="08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8513417"/>
    <w:multiLevelType w:val="hybridMultilevel"/>
    <w:tmpl w:val="0B4CB5CE"/>
    <w:lvl w:ilvl="0" w:tplc="08090017">
      <w:start w:val="1"/>
      <w:numFmt w:val="lowerLetter"/>
      <w:lvlText w:val="%1)"/>
      <w:lvlJc w:val="left"/>
      <w:pPr>
        <w:tabs>
          <w:tab w:val="num" w:pos="1701"/>
        </w:tabs>
        <w:ind w:left="1701" w:hanging="17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FD3566"/>
    <w:multiLevelType w:val="hybridMultilevel"/>
    <w:tmpl w:val="B63234C4"/>
    <w:lvl w:ilvl="0" w:tplc="BE7EA0DC">
      <w:start w:val="1"/>
      <w:numFmt w:val="decimal"/>
      <w:lvlText w:val="%1."/>
      <w:lvlJc w:val="left"/>
      <w:pPr>
        <w:tabs>
          <w:tab w:val="num" w:pos="1560"/>
        </w:tabs>
        <w:ind w:left="993"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0957FB"/>
    <w:multiLevelType w:val="hybridMultilevel"/>
    <w:tmpl w:val="0B60AF4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CA47B34"/>
    <w:multiLevelType w:val="hybridMultilevel"/>
    <w:tmpl w:val="0B4CB5CE"/>
    <w:lvl w:ilvl="0" w:tplc="08090017">
      <w:start w:val="1"/>
      <w:numFmt w:val="lowerLetter"/>
      <w:lvlText w:val="%1)"/>
      <w:lvlJc w:val="left"/>
      <w:pPr>
        <w:tabs>
          <w:tab w:val="num" w:pos="1701"/>
        </w:tabs>
        <w:ind w:left="1701" w:hanging="17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852BE3"/>
    <w:multiLevelType w:val="hybridMultilevel"/>
    <w:tmpl w:val="D58022D8"/>
    <w:lvl w:ilvl="0" w:tplc="08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123B92"/>
    <w:multiLevelType w:val="hybridMultilevel"/>
    <w:tmpl w:val="12721CC2"/>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323CB0"/>
    <w:multiLevelType w:val="hybridMultilevel"/>
    <w:tmpl w:val="7F404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32984"/>
    <w:multiLevelType w:val="hybridMultilevel"/>
    <w:tmpl w:val="0B4CB5CE"/>
    <w:lvl w:ilvl="0" w:tplc="08090017">
      <w:start w:val="1"/>
      <w:numFmt w:val="lowerLetter"/>
      <w:lvlText w:val="%1)"/>
      <w:lvlJc w:val="left"/>
      <w:pPr>
        <w:tabs>
          <w:tab w:val="num" w:pos="1701"/>
        </w:tabs>
        <w:ind w:left="1701" w:hanging="17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B40841"/>
    <w:multiLevelType w:val="hybridMultilevel"/>
    <w:tmpl w:val="3BF6DDF8"/>
    <w:lvl w:ilvl="0" w:tplc="0444EAAE">
      <w:start w:val="1"/>
      <w:numFmt w:val="decimal"/>
      <w:lvlText w:val="%1."/>
      <w:lvlJc w:val="left"/>
      <w:pPr>
        <w:ind w:left="1854" w:hanging="360"/>
      </w:pPr>
      <w:rPr>
        <w:b w:val="0"/>
        <w:bCs w:val="0"/>
        <w:i w:val="0"/>
        <w:iCs/>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D256D72"/>
    <w:multiLevelType w:val="hybridMultilevel"/>
    <w:tmpl w:val="F5F6672A"/>
    <w:lvl w:ilvl="0" w:tplc="28ACC57A">
      <w:start w:val="1"/>
      <w:numFmt w:val="bullet"/>
      <w:lvlText w:val="•"/>
      <w:lvlJc w:val="left"/>
      <w:pPr>
        <w:tabs>
          <w:tab w:val="num" w:pos="720"/>
        </w:tabs>
        <w:ind w:left="720" w:hanging="360"/>
      </w:pPr>
      <w:rPr>
        <w:rFonts w:ascii="Georgia" w:hAnsi="Georgia" w:hint="default"/>
      </w:rPr>
    </w:lvl>
    <w:lvl w:ilvl="1" w:tplc="6CF43D8E" w:tentative="1">
      <w:start w:val="1"/>
      <w:numFmt w:val="bullet"/>
      <w:lvlText w:val="•"/>
      <w:lvlJc w:val="left"/>
      <w:pPr>
        <w:tabs>
          <w:tab w:val="num" w:pos="1440"/>
        </w:tabs>
        <w:ind w:left="1440" w:hanging="360"/>
      </w:pPr>
      <w:rPr>
        <w:rFonts w:ascii="Georgia" w:hAnsi="Georgia" w:hint="default"/>
      </w:rPr>
    </w:lvl>
    <w:lvl w:ilvl="2" w:tplc="00BECF48" w:tentative="1">
      <w:start w:val="1"/>
      <w:numFmt w:val="bullet"/>
      <w:lvlText w:val="•"/>
      <w:lvlJc w:val="left"/>
      <w:pPr>
        <w:tabs>
          <w:tab w:val="num" w:pos="2160"/>
        </w:tabs>
        <w:ind w:left="2160" w:hanging="360"/>
      </w:pPr>
      <w:rPr>
        <w:rFonts w:ascii="Georgia" w:hAnsi="Georgia" w:hint="default"/>
      </w:rPr>
    </w:lvl>
    <w:lvl w:ilvl="3" w:tplc="AD5668DC" w:tentative="1">
      <w:start w:val="1"/>
      <w:numFmt w:val="bullet"/>
      <w:lvlText w:val="•"/>
      <w:lvlJc w:val="left"/>
      <w:pPr>
        <w:tabs>
          <w:tab w:val="num" w:pos="2880"/>
        </w:tabs>
        <w:ind w:left="2880" w:hanging="360"/>
      </w:pPr>
      <w:rPr>
        <w:rFonts w:ascii="Georgia" w:hAnsi="Georgia" w:hint="default"/>
      </w:rPr>
    </w:lvl>
    <w:lvl w:ilvl="4" w:tplc="2410F15C" w:tentative="1">
      <w:start w:val="1"/>
      <w:numFmt w:val="bullet"/>
      <w:lvlText w:val="•"/>
      <w:lvlJc w:val="left"/>
      <w:pPr>
        <w:tabs>
          <w:tab w:val="num" w:pos="3600"/>
        </w:tabs>
        <w:ind w:left="3600" w:hanging="360"/>
      </w:pPr>
      <w:rPr>
        <w:rFonts w:ascii="Georgia" w:hAnsi="Georgia" w:hint="default"/>
      </w:rPr>
    </w:lvl>
    <w:lvl w:ilvl="5" w:tplc="0748B67C" w:tentative="1">
      <w:start w:val="1"/>
      <w:numFmt w:val="bullet"/>
      <w:lvlText w:val="•"/>
      <w:lvlJc w:val="left"/>
      <w:pPr>
        <w:tabs>
          <w:tab w:val="num" w:pos="4320"/>
        </w:tabs>
        <w:ind w:left="4320" w:hanging="360"/>
      </w:pPr>
      <w:rPr>
        <w:rFonts w:ascii="Georgia" w:hAnsi="Georgia" w:hint="default"/>
      </w:rPr>
    </w:lvl>
    <w:lvl w:ilvl="6" w:tplc="6212CC52" w:tentative="1">
      <w:start w:val="1"/>
      <w:numFmt w:val="bullet"/>
      <w:lvlText w:val="•"/>
      <w:lvlJc w:val="left"/>
      <w:pPr>
        <w:tabs>
          <w:tab w:val="num" w:pos="5040"/>
        </w:tabs>
        <w:ind w:left="5040" w:hanging="360"/>
      </w:pPr>
      <w:rPr>
        <w:rFonts w:ascii="Georgia" w:hAnsi="Georgia" w:hint="default"/>
      </w:rPr>
    </w:lvl>
    <w:lvl w:ilvl="7" w:tplc="188AD1B2" w:tentative="1">
      <w:start w:val="1"/>
      <w:numFmt w:val="bullet"/>
      <w:lvlText w:val="•"/>
      <w:lvlJc w:val="left"/>
      <w:pPr>
        <w:tabs>
          <w:tab w:val="num" w:pos="5760"/>
        </w:tabs>
        <w:ind w:left="5760" w:hanging="360"/>
      </w:pPr>
      <w:rPr>
        <w:rFonts w:ascii="Georgia" w:hAnsi="Georgia" w:hint="default"/>
      </w:rPr>
    </w:lvl>
    <w:lvl w:ilvl="8" w:tplc="452284C8" w:tentative="1">
      <w:start w:val="1"/>
      <w:numFmt w:val="bullet"/>
      <w:lvlText w:val="•"/>
      <w:lvlJc w:val="left"/>
      <w:pPr>
        <w:tabs>
          <w:tab w:val="num" w:pos="6480"/>
        </w:tabs>
        <w:ind w:left="6480" w:hanging="360"/>
      </w:pPr>
      <w:rPr>
        <w:rFonts w:ascii="Georgia" w:hAnsi="Georgia" w:hint="default"/>
      </w:rPr>
    </w:lvl>
  </w:abstractNum>
  <w:abstractNum w:abstractNumId="22">
    <w:nsid w:val="3E2F55FD"/>
    <w:multiLevelType w:val="hybridMultilevel"/>
    <w:tmpl w:val="11D8E206"/>
    <w:lvl w:ilvl="0" w:tplc="2FD4384C">
      <w:numFmt w:val="bullet"/>
      <w:lvlText w:val="•"/>
      <w:lvlJc w:val="left"/>
      <w:pPr>
        <w:ind w:left="1080" w:hanging="720"/>
      </w:pPr>
      <w:rPr>
        <w:rFonts w:ascii="Calibri" w:eastAsia="Times New Roman" w:hAnsi="Calibri"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4059548A"/>
    <w:multiLevelType w:val="hybridMultilevel"/>
    <w:tmpl w:val="11207094"/>
    <w:lvl w:ilvl="0" w:tplc="3EC0A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3C5FA8"/>
    <w:multiLevelType w:val="hybridMultilevel"/>
    <w:tmpl w:val="E544E71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6A325D"/>
    <w:multiLevelType w:val="hybridMultilevel"/>
    <w:tmpl w:val="9D4293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9771FA9"/>
    <w:multiLevelType w:val="hybridMultilevel"/>
    <w:tmpl w:val="AD40E8D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nsid w:val="4E3B6AB3"/>
    <w:multiLevelType w:val="hybridMultilevel"/>
    <w:tmpl w:val="F9AA8EA4"/>
    <w:lvl w:ilvl="0" w:tplc="39C4A34A">
      <w:start w:val="1"/>
      <w:numFmt w:val="lowerLetter"/>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8">
    <w:nsid w:val="54947C7F"/>
    <w:multiLevelType w:val="hybridMultilevel"/>
    <w:tmpl w:val="F0A68F2A"/>
    <w:lvl w:ilvl="0" w:tplc="E0FCDDFC">
      <w:start w:val="1"/>
      <w:numFmt w:val="bullet"/>
      <w:lvlText w:val="•"/>
      <w:lvlJc w:val="left"/>
      <w:pPr>
        <w:tabs>
          <w:tab w:val="num" w:pos="720"/>
        </w:tabs>
        <w:ind w:left="720" w:hanging="360"/>
      </w:pPr>
      <w:rPr>
        <w:rFonts w:ascii="Georgia" w:hAnsi="Georgia" w:hint="default"/>
      </w:rPr>
    </w:lvl>
    <w:lvl w:ilvl="1" w:tplc="C0FE53EE" w:tentative="1">
      <w:start w:val="1"/>
      <w:numFmt w:val="bullet"/>
      <w:lvlText w:val="•"/>
      <w:lvlJc w:val="left"/>
      <w:pPr>
        <w:tabs>
          <w:tab w:val="num" w:pos="1440"/>
        </w:tabs>
        <w:ind w:left="1440" w:hanging="360"/>
      </w:pPr>
      <w:rPr>
        <w:rFonts w:ascii="Georgia" w:hAnsi="Georgia" w:hint="default"/>
      </w:rPr>
    </w:lvl>
    <w:lvl w:ilvl="2" w:tplc="59D01AF0" w:tentative="1">
      <w:start w:val="1"/>
      <w:numFmt w:val="bullet"/>
      <w:lvlText w:val="•"/>
      <w:lvlJc w:val="left"/>
      <w:pPr>
        <w:tabs>
          <w:tab w:val="num" w:pos="2160"/>
        </w:tabs>
        <w:ind w:left="2160" w:hanging="360"/>
      </w:pPr>
      <w:rPr>
        <w:rFonts w:ascii="Georgia" w:hAnsi="Georgia" w:hint="default"/>
      </w:rPr>
    </w:lvl>
    <w:lvl w:ilvl="3" w:tplc="AEE4FF68" w:tentative="1">
      <w:start w:val="1"/>
      <w:numFmt w:val="bullet"/>
      <w:lvlText w:val="•"/>
      <w:lvlJc w:val="left"/>
      <w:pPr>
        <w:tabs>
          <w:tab w:val="num" w:pos="2880"/>
        </w:tabs>
        <w:ind w:left="2880" w:hanging="360"/>
      </w:pPr>
      <w:rPr>
        <w:rFonts w:ascii="Georgia" w:hAnsi="Georgia" w:hint="default"/>
      </w:rPr>
    </w:lvl>
    <w:lvl w:ilvl="4" w:tplc="D4847C1E" w:tentative="1">
      <w:start w:val="1"/>
      <w:numFmt w:val="bullet"/>
      <w:lvlText w:val="•"/>
      <w:lvlJc w:val="left"/>
      <w:pPr>
        <w:tabs>
          <w:tab w:val="num" w:pos="3600"/>
        </w:tabs>
        <w:ind w:left="3600" w:hanging="360"/>
      </w:pPr>
      <w:rPr>
        <w:rFonts w:ascii="Georgia" w:hAnsi="Georgia" w:hint="default"/>
      </w:rPr>
    </w:lvl>
    <w:lvl w:ilvl="5" w:tplc="0F2A2682" w:tentative="1">
      <w:start w:val="1"/>
      <w:numFmt w:val="bullet"/>
      <w:lvlText w:val="•"/>
      <w:lvlJc w:val="left"/>
      <w:pPr>
        <w:tabs>
          <w:tab w:val="num" w:pos="4320"/>
        </w:tabs>
        <w:ind w:left="4320" w:hanging="360"/>
      </w:pPr>
      <w:rPr>
        <w:rFonts w:ascii="Georgia" w:hAnsi="Georgia" w:hint="default"/>
      </w:rPr>
    </w:lvl>
    <w:lvl w:ilvl="6" w:tplc="948A1924" w:tentative="1">
      <w:start w:val="1"/>
      <w:numFmt w:val="bullet"/>
      <w:lvlText w:val="•"/>
      <w:lvlJc w:val="left"/>
      <w:pPr>
        <w:tabs>
          <w:tab w:val="num" w:pos="5040"/>
        </w:tabs>
        <w:ind w:left="5040" w:hanging="360"/>
      </w:pPr>
      <w:rPr>
        <w:rFonts w:ascii="Georgia" w:hAnsi="Georgia" w:hint="default"/>
      </w:rPr>
    </w:lvl>
    <w:lvl w:ilvl="7" w:tplc="B96E5F88" w:tentative="1">
      <w:start w:val="1"/>
      <w:numFmt w:val="bullet"/>
      <w:lvlText w:val="•"/>
      <w:lvlJc w:val="left"/>
      <w:pPr>
        <w:tabs>
          <w:tab w:val="num" w:pos="5760"/>
        </w:tabs>
        <w:ind w:left="5760" w:hanging="360"/>
      </w:pPr>
      <w:rPr>
        <w:rFonts w:ascii="Georgia" w:hAnsi="Georgia" w:hint="default"/>
      </w:rPr>
    </w:lvl>
    <w:lvl w:ilvl="8" w:tplc="76841164" w:tentative="1">
      <w:start w:val="1"/>
      <w:numFmt w:val="bullet"/>
      <w:lvlText w:val="•"/>
      <w:lvlJc w:val="left"/>
      <w:pPr>
        <w:tabs>
          <w:tab w:val="num" w:pos="6480"/>
        </w:tabs>
        <w:ind w:left="6480" w:hanging="360"/>
      </w:pPr>
      <w:rPr>
        <w:rFonts w:ascii="Georgia" w:hAnsi="Georgia" w:hint="default"/>
      </w:rPr>
    </w:lvl>
  </w:abstractNum>
  <w:abstractNum w:abstractNumId="29">
    <w:nsid w:val="57094259"/>
    <w:multiLevelType w:val="hybridMultilevel"/>
    <w:tmpl w:val="2912FABE"/>
    <w:lvl w:ilvl="0" w:tplc="08090017">
      <w:start w:val="1"/>
      <w:numFmt w:val="lowerLetter"/>
      <w:lvlText w:val="%1)"/>
      <w:lvlJc w:val="left"/>
      <w:pPr>
        <w:tabs>
          <w:tab w:val="num" w:pos="1701"/>
        </w:tabs>
        <w:ind w:left="1701" w:hanging="17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C6243D"/>
    <w:multiLevelType w:val="hybridMultilevel"/>
    <w:tmpl w:val="833E8946"/>
    <w:lvl w:ilvl="0" w:tplc="2FD4384C">
      <w:numFmt w:val="bullet"/>
      <w:lvlText w:val="•"/>
      <w:lvlJc w:val="left"/>
      <w:pPr>
        <w:ind w:left="1080" w:hanging="720"/>
      </w:pPr>
      <w:rPr>
        <w:rFonts w:ascii="Calibri" w:eastAsia="Times New Roman" w:hAnsi="Calibri"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5E715F1F"/>
    <w:multiLevelType w:val="hybridMultilevel"/>
    <w:tmpl w:val="5F049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B83AC7"/>
    <w:multiLevelType w:val="hybridMultilevel"/>
    <w:tmpl w:val="C89C7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F8F01AA"/>
    <w:multiLevelType w:val="hybridMultilevel"/>
    <w:tmpl w:val="160891C6"/>
    <w:lvl w:ilvl="0" w:tplc="AE96280A">
      <w:start w:val="1"/>
      <w:numFmt w:val="lowerLetter"/>
      <w:lvlText w:val="(%1)"/>
      <w:lvlJc w:val="left"/>
      <w:pPr>
        <w:tabs>
          <w:tab w:val="num" w:pos="1701"/>
        </w:tabs>
        <w:ind w:left="1701" w:hanging="17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1244986"/>
    <w:multiLevelType w:val="hybridMultilevel"/>
    <w:tmpl w:val="BDCAA9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nsid w:val="71744DF8"/>
    <w:multiLevelType w:val="hybridMultilevel"/>
    <w:tmpl w:val="F91A204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340271F"/>
    <w:multiLevelType w:val="hybridMultilevel"/>
    <w:tmpl w:val="391094A8"/>
    <w:lvl w:ilvl="0" w:tplc="EE2EFA98">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0">
    <w:nsid w:val="75D4271E"/>
    <w:multiLevelType w:val="hybridMultilevel"/>
    <w:tmpl w:val="BA9CA4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nsid w:val="76711E1D"/>
    <w:multiLevelType w:val="hybridMultilevel"/>
    <w:tmpl w:val="D0468E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nsid w:val="788B36CA"/>
    <w:multiLevelType w:val="hybridMultilevel"/>
    <w:tmpl w:val="0B4CB5CE"/>
    <w:lvl w:ilvl="0" w:tplc="08090017">
      <w:start w:val="1"/>
      <w:numFmt w:val="lowerLetter"/>
      <w:lvlText w:val="%1)"/>
      <w:lvlJc w:val="left"/>
      <w:pPr>
        <w:tabs>
          <w:tab w:val="num" w:pos="1701"/>
        </w:tabs>
        <w:ind w:left="1701" w:hanging="17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971000"/>
    <w:multiLevelType w:val="hybridMultilevel"/>
    <w:tmpl w:val="0EBE0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B2616"/>
    <w:multiLevelType w:val="hybridMultilevel"/>
    <w:tmpl w:val="E3A23F72"/>
    <w:lvl w:ilvl="0" w:tplc="0409000B">
      <w:start w:val="1"/>
      <w:numFmt w:val="bullet"/>
      <w:lvlText w:val=""/>
      <w:lvlJc w:val="left"/>
      <w:pPr>
        <w:ind w:left="720" w:hanging="360"/>
      </w:pPr>
      <w:rPr>
        <w:rFonts w:ascii="Wingdings" w:hAnsi="Wingdings" w:hint="default"/>
      </w:rPr>
    </w:lvl>
    <w:lvl w:ilvl="1" w:tplc="41D60368">
      <w:numFmt w:val="bullet"/>
      <w:lvlText w:val="•"/>
      <w:lvlJc w:val="left"/>
      <w:pPr>
        <w:ind w:left="1440" w:hanging="360"/>
      </w:pPr>
      <w:rPr>
        <w:rFonts w:ascii="Verdana" w:eastAsia="Times New Roman" w:hAnsi="Verdana" w:cs="Aria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5"/>
  </w:num>
  <w:num w:numId="4">
    <w:abstractNumId w:val="9"/>
  </w:num>
  <w:num w:numId="5">
    <w:abstractNumId w:val="3"/>
  </w:num>
  <w:num w:numId="6">
    <w:abstractNumId w:val="4"/>
  </w:num>
  <w:num w:numId="7">
    <w:abstractNumId w:val="33"/>
  </w:num>
  <w:num w:numId="8">
    <w:abstractNumId w:val="32"/>
  </w:num>
  <w:num w:numId="9">
    <w:abstractNumId w:val="11"/>
  </w:num>
  <w:num w:numId="10">
    <w:abstractNumId w:val="1"/>
  </w:num>
  <w:num w:numId="11">
    <w:abstractNumId w:val="0"/>
  </w:num>
  <w:num w:numId="12">
    <w:abstractNumId w:val="39"/>
  </w:num>
  <w:num w:numId="13">
    <w:abstractNumId w:val="2"/>
  </w:num>
  <w:num w:numId="14">
    <w:abstractNumId w:val="43"/>
  </w:num>
  <w:num w:numId="15">
    <w:abstractNumId w:val="44"/>
  </w:num>
  <w:num w:numId="16">
    <w:abstractNumId w:val="31"/>
  </w:num>
  <w:num w:numId="17">
    <w:abstractNumId w:val="18"/>
  </w:num>
  <w:num w:numId="18">
    <w:abstractNumId w:val="34"/>
  </w:num>
  <w:num w:numId="19">
    <w:abstractNumId w:val="7"/>
  </w:num>
  <w:num w:numId="20">
    <w:abstractNumId w:val="15"/>
  </w:num>
  <w:num w:numId="21">
    <w:abstractNumId w:val="24"/>
  </w:num>
  <w:num w:numId="22">
    <w:abstractNumId w:val="12"/>
  </w:num>
  <w:num w:numId="23">
    <w:abstractNumId w:val="37"/>
  </w:num>
  <w:num w:numId="24">
    <w:abstractNumId w:val="40"/>
  </w:num>
  <w:num w:numId="25">
    <w:abstractNumId w:val="10"/>
  </w:num>
  <w:num w:numId="26">
    <w:abstractNumId w:val="30"/>
  </w:num>
  <w:num w:numId="27">
    <w:abstractNumId w:val="38"/>
  </w:num>
  <w:num w:numId="28">
    <w:abstractNumId w:val="5"/>
  </w:num>
  <w:num w:numId="29">
    <w:abstractNumId w:val="25"/>
  </w:num>
  <w:num w:numId="30">
    <w:abstractNumId w:val="23"/>
  </w:num>
  <w:num w:numId="31">
    <w:abstractNumId w:val="6"/>
  </w:num>
  <w:num w:numId="32">
    <w:abstractNumId w:val="34"/>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2"/>
  </w:num>
  <w:num w:numId="36">
    <w:abstractNumId w:val="36"/>
  </w:num>
  <w:num w:numId="37">
    <w:abstractNumId w:val="26"/>
  </w:num>
  <w:num w:numId="38">
    <w:abstractNumId w:val="27"/>
  </w:num>
  <w:num w:numId="39">
    <w:abstractNumId w:val="30"/>
  </w:num>
  <w:num w:numId="40">
    <w:abstractNumId w:val="28"/>
  </w:num>
  <w:num w:numId="41">
    <w:abstractNumId w:val="21"/>
  </w:num>
  <w:num w:numId="42">
    <w:abstractNumId w:val="20"/>
  </w:num>
  <w:num w:numId="43">
    <w:abstractNumId w:val="29"/>
  </w:num>
  <w:num w:numId="44">
    <w:abstractNumId w:val="42"/>
  </w:num>
  <w:num w:numId="45">
    <w:abstractNumId w:val="8"/>
  </w:num>
  <w:num w:numId="46">
    <w:abstractNumId w:val="19"/>
  </w:num>
  <w:num w:numId="47">
    <w:abstractNumId w:val="13"/>
  </w:num>
  <w:num w:numId="48">
    <w:abstractNumId w:val="16"/>
  </w:num>
  <w:num w:numId="49">
    <w:abstractNumId w:val="33"/>
  </w:num>
  <w:num w:numId="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5E"/>
    <w:rsid w:val="00007F7F"/>
    <w:rsid w:val="00020F34"/>
    <w:rsid w:val="00022DB5"/>
    <w:rsid w:val="000403D1"/>
    <w:rsid w:val="000444BF"/>
    <w:rsid w:val="000449AA"/>
    <w:rsid w:val="00050F6B"/>
    <w:rsid w:val="00064AC1"/>
    <w:rsid w:val="00072C8C"/>
    <w:rsid w:val="00073E70"/>
    <w:rsid w:val="000769EB"/>
    <w:rsid w:val="00077379"/>
    <w:rsid w:val="000876EB"/>
    <w:rsid w:val="00091419"/>
    <w:rsid w:val="000931C0"/>
    <w:rsid w:val="00093BD6"/>
    <w:rsid w:val="00094DDA"/>
    <w:rsid w:val="0009588D"/>
    <w:rsid w:val="00097221"/>
    <w:rsid w:val="000A0F39"/>
    <w:rsid w:val="000B175B"/>
    <w:rsid w:val="000B3A0F"/>
    <w:rsid w:val="000B4A3B"/>
    <w:rsid w:val="000B5864"/>
    <w:rsid w:val="000D1414"/>
    <w:rsid w:val="000D1851"/>
    <w:rsid w:val="000E0415"/>
    <w:rsid w:val="000F4207"/>
    <w:rsid w:val="000F5600"/>
    <w:rsid w:val="00104C18"/>
    <w:rsid w:val="00114BF3"/>
    <w:rsid w:val="001205A5"/>
    <w:rsid w:val="00127AC5"/>
    <w:rsid w:val="00130B33"/>
    <w:rsid w:val="001331FD"/>
    <w:rsid w:val="0013571C"/>
    <w:rsid w:val="0013669B"/>
    <w:rsid w:val="00142296"/>
    <w:rsid w:val="00146D32"/>
    <w:rsid w:val="001509BA"/>
    <w:rsid w:val="00155468"/>
    <w:rsid w:val="00156390"/>
    <w:rsid w:val="001722A9"/>
    <w:rsid w:val="00177CDA"/>
    <w:rsid w:val="0018169C"/>
    <w:rsid w:val="001834E1"/>
    <w:rsid w:val="001A2EE4"/>
    <w:rsid w:val="001A5CC1"/>
    <w:rsid w:val="001B4B04"/>
    <w:rsid w:val="001C48C0"/>
    <w:rsid w:val="001C6663"/>
    <w:rsid w:val="001C7895"/>
    <w:rsid w:val="001D0371"/>
    <w:rsid w:val="001D26DF"/>
    <w:rsid w:val="001E2790"/>
    <w:rsid w:val="001E63C0"/>
    <w:rsid w:val="001E73EE"/>
    <w:rsid w:val="001F5D4F"/>
    <w:rsid w:val="00210ACE"/>
    <w:rsid w:val="00211E0B"/>
    <w:rsid w:val="00211E72"/>
    <w:rsid w:val="00214047"/>
    <w:rsid w:val="0022130F"/>
    <w:rsid w:val="0023396D"/>
    <w:rsid w:val="00237785"/>
    <w:rsid w:val="002410DD"/>
    <w:rsid w:val="00241219"/>
    <w:rsid w:val="00241466"/>
    <w:rsid w:val="002422F1"/>
    <w:rsid w:val="00253D58"/>
    <w:rsid w:val="00257C5E"/>
    <w:rsid w:val="00264073"/>
    <w:rsid w:val="0026726A"/>
    <w:rsid w:val="00267831"/>
    <w:rsid w:val="00272798"/>
    <w:rsid w:val="0027725F"/>
    <w:rsid w:val="0028181D"/>
    <w:rsid w:val="00283DC1"/>
    <w:rsid w:val="002A4353"/>
    <w:rsid w:val="002A7349"/>
    <w:rsid w:val="002B7AE7"/>
    <w:rsid w:val="002C21F0"/>
    <w:rsid w:val="002C4A84"/>
    <w:rsid w:val="002D15FB"/>
    <w:rsid w:val="0030384D"/>
    <w:rsid w:val="00304916"/>
    <w:rsid w:val="003107FA"/>
    <w:rsid w:val="00313806"/>
    <w:rsid w:val="00313868"/>
    <w:rsid w:val="00315D83"/>
    <w:rsid w:val="00317977"/>
    <w:rsid w:val="00320F8B"/>
    <w:rsid w:val="003229D8"/>
    <w:rsid w:val="00327CAC"/>
    <w:rsid w:val="003314D1"/>
    <w:rsid w:val="00335A2F"/>
    <w:rsid w:val="00335F56"/>
    <w:rsid w:val="00341937"/>
    <w:rsid w:val="003538F5"/>
    <w:rsid w:val="00357BD7"/>
    <w:rsid w:val="00382A29"/>
    <w:rsid w:val="0039277A"/>
    <w:rsid w:val="00394E5E"/>
    <w:rsid w:val="003972E0"/>
    <w:rsid w:val="003975ED"/>
    <w:rsid w:val="003A7931"/>
    <w:rsid w:val="003C1292"/>
    <w:rsid w:val="003C2CC4"/>
    <w:rsid w:val="003C5128"/>
    <w:rsid w:val="003D0917"/>
    <w:rsid w:val="003D4B23"/>
    <w:rsid w:val="003D50C5"/>
    <w:rsid w:val="003E0D32"/>
    <w:rsid w:val="003F3F32"/>
    <w:rsid w:val="003F6E41"/>
    <w:rsid w:val="00417A5B"/>
    <w:rsid w:val="00424C80"/>
    <w:rsid w:val="004325CB"/>
    <w:rsid w:val="00433419"/>
    <w:rsid w:val="0044503A"/>
    <w:rsid w:val="00446DE4"/>
    <w:rsid w:val="00447761"/>
    <w:rsid w:val="004507B5"/>
    <w:rsid w:val="00451EC3"/>
    <w:rsid w:val="004575D8"/>
    <w:rsid w:val="004615AC"/>
    <w:rsid w:val="0046517C"/>
    <w:rsid w:val="00465B2E"/>
    <w:rsid w:val="004721B1"/>
    <w:rsid w:val="004859EC"/>
    <w:rsid w:val="0048675D"/>
    <w:rsid w:val="00496A15"/>
    <w:rsid w:val="004A2AD7"/>
    <w:rsid w:val="004B4881"/>
    <w:rsid w:val="004B75D2"/>
    <w:rsid w:val="004D1140"/>
    <w:rsid w:val="004E5DB9"/>
    <w:rsid w:val="004F55ED"/>
    <w:rsid w:val="00501B89"/>
    <w:rsid w:val="0052176C"/>
    <w:rsid w:val="00521F48"/>
    <w:rsid w:val="00524109"/>
    <w:rsid w:val="005261E5"/>
    <w:rsid w:val="00531B38"/>
    <w:rsid w:val="005332AB"/>
    <w:rsid w:val="005420F2"/>
    <w:rsid w:val="00542574"/>
    <w:rsid w:val="005436AB"/>
    <w:rsid w:val="00546DBF"/>
    <w:rsid w:val="00553D76"/>
    <w:rsid w:val="005545C9"/>
    <w:rsid w:val="005552B5"/>
    <w:rsid w:val="0056117B"/>
    <w:rsid w:val="005616F6"/>
    <w:rsid w:val="00571365"/>
    <w:rsid w:val="005A1C70"/>
    <w:rsid w:val="005B38A5"/>
    <w:rsid w:val="005B3DB3"/>
    <w:rsid w:val="005B5A9F"/>
    <w:rsid w:val="005B6E48"/>
    <w:rsid w:val="005D512A"/>
    <w:rsid w:val="005E1712"/>
    <w:rsid w:val="005E53F2"/>
    <w:rsid w:val="005F01C6"/>
    <w:rsid w:val="00602183"/>
    <w:rsid w:val="006057C4"/>
    <w:rsid w:val="0060627E"/>
    <w:rsid w:val="00611FC4"/>
    <w:rsid w:val="006176FB"/>
    <w:rsid w:val="006207C2"/>
    <w:rsid w:val="00640B26"/>
    <w:rsid w:val="006426DD"/>
    <w:rsid w:val="006519A9"/>
    <w:rsid w:val="00660A0D"/>
    <w:rsid w:val="006644A5"/>
    <w:rsid w:val="00670741"/>
    <w:rsid w:val="0067577B"/>
    <w:rsid w:val="00675A20"/>
    <w:rsid w:val="0068536A"/>
    <w:rsid w:val="00693021"/>
    <w:rsid w:val="00696BD6"/>
    <w:rsid w:val="00697E3F"/>
    <w:rsid w:val="006A5302"/>
    <w:rsid w:val="006A6B9D"/>
    <w:rsid w:val="006A7392"/>
    <w:rsid w:val="006B3189"/>
    <w:rsid w:val="006B7D65"/>
    <w:rsid w:val="006C282F"/>
    <w:rsid w:val="006C4BDC"/>
    <w:rsid w:val="006D350A"/>
    <w:rsid w:val="006D6DA6"/>
    <w:rsid w:val="006E564B"/>
    <w:rsid w:val="006F0957"/>
    <w:rsid w:val="006F13F0"/>
    <w:rsid w:val="006F5035"/>
    <w:rsid w:val="006F5B7D"/>
    <w:rsid w:val="007065EB"/>
    <w:rsid w:val="007120DE"/>
    <w:rsid w:val="00714EA7"/>
    <w:rsid w:val="0071549A"/>
    <w:rsid w:val="00720183"/>
    <w:rsid w:val="0072632A"/>
    <w:rsid w:val="00730E2B"/>
    <w:rsid w:val="0074200B"/>
    <w:rsid w:val="00743B3A"/>
    <w:rsid w:val="00743D45"/>
    <w:rsid w:val="007456EB"/>
    <w:rsid w:val="00746B8F"/>
    <w:rsid w:val="00752ABC"/>
    <w:rsid w:val="00763088"/>
    <w:rsid w:val="0077427A"/>
    <w:rsid w:val="00775C20"/>
    <w:rsid w:val="0078242E"/>
    <w:rsid w:val="00786AEC"/>
    <w:rsid w:val="00791AFB"/>
    <w:rsid w:val="007A6296"/>
    <w:rsid w:val="007B47CF"/>
    <w:rsid w:val="007B6BA5"/>
    <w:rsid w:val="007C1429"/>
    <w:rsid w:val="007C1B62"/>
    <w:rsid w:val="007C3390"/>
    <w:rsid w:val="007C4F4B"/>
    <w:rsid w:val="007D2CDC"/>
    <w:rsid w:val="007D3D1A"/>
    <w:rsid w:val="007D5327"/>
    <w:rsid w:val="007E0AEE"/>
    <w:rsid w:val="007F6611"/>
    <w:rsid w:val="008048F9"/>
    <w:rsid w:val="008155C3"/>
    <w:rsid w:val="008175E9"/>
    <w:rsid w:val="008205C0"/>
    <w:rsid w:val="0082243E"/>
    <w:rsid w:val="008242D7"/>
    <w:rsid w:val="0082660B"/>
    <w:rsid w:val="00836273"/>
    <w:rsid w:val="00840317"/>
    <w:rsid w:val="008514C5"/>
    <w:rsid w:val="00854165"/>
    <w:rsid w:val="00856CD2"/>
    <w:rsid w:val="00857E8A"/>
    <w:rsid w:val="00860879"/>
    <w:rsid w:val="00861BC6"/>
    <w:rsid w:val="00871FD5"/>
    <w:rsid w:val="00891497"/>
    <w:rsid w:val="00894F5B"/>
    <w:rsid w:val="008979B1"/>
    <w:rsid w:val="008A6B25"/>
    <w:rsid w:val="008A6C4F"/>
    <w:rsid w:val="008B088B"/>
    <w:rsid w:val="008B1235"/>
    <w:rsid w:val="008C0095"/>
    <w:rsid w:val="008C1E4D"/>
    <w:rsid w:val="008C4057"/>
    <w:rsid w:val="008C55AB"/>
    <w:rsid w:val="008C72AD"/>
    <w:rsid w:val="008E0E46"/>
    <w:rsid w:val="008E35CB"/>
    <w:rsid w:val="008F1DD3"/>
    <w:rsid w:val="008F2696"/>
    <w:rsid w:val="0090452C"/>
    <w:rsid w:val="0090636F"/>
    <w:rsid w:val="00907C3F"/>
    <w:rsid w:val="00920AAD"/>
    <w:rsid w:val="0092237C"/>
    <w:rsid w:val="00927678"/>
    <w:rsid w:val="00931A37"/>
    <w:rsid w:val="0093406A"/>
    <w:rsid w:val="0093707B"/>
    <w:rsid w:val="009400EB"/>
    <w:rsid w:val="009427E3"/>
    <w:rsid w:val="00947175"/>
    <w:rsid w:val="00956D9B"/>
    <w:rsid w:val="00963CBA"/>
    <w:rsid w:val="009654B7"/>
    <w:rsid w:val="00965BDD"/>
    <w:rsid w:val="00972723"/>
    <w:rsid w:val="00991261"/>
    <w:rsid w:val="009A0B83"/>
    <w:rsid w:val="009A11FA"/>
    <w:rsid w:val="009A4F72"/>
    <w:rsid w:val="009A7F1B"/>
    <w:rsid w:val="009B3800"/>
    <w:rsid w:val="009B38CF"/>
    <w:rsid w:val="009D16C0"/>
    <w:rsid w:val="009D22AC"/>
    <w:rsid w:val="009D3F2D"/>
    <w:rsid w:val="009D50DB"/>
    <w:rsid w:val="009E0C88"/>
    <w:rsid w:val="009E1C4E"/>
    <w:rsid w:val="009E7EF4"/>
    <w:rsid w:val="00A05E0B"/>
    <w:rsid w:val="00A1427D"/>
    <w:rsid w:val="00A16A99"/>
    <w:rsid w:val="00A21BE6"/>
    <w:rsid w:val="00A22DCE"/>
    <w:rsid w:val="00A30078"/>
    <w:rsid w:val="00A30655"/>
    <w:rsid w:val="00A30C6B"/>
    <w:rsid w:val="00A3638A"/>
    <w:rsid w:val="00A4634F"/>
    <w:rsid w:val="00A51CF3"/>
    <w:rsid w:val="00A6569E"/>
    <w:rsid w:val="00A72F22"/>
    <w:rsid w:val="00A748A6"/>
    <w:rsid w:val="00A879A4"/>
    <w:rsid w:val="00A87E95"/>
    <w:rsid w:val="00A92E29"/>
    <w:rsid w:val="00A966CB"/>
    <w:rsid w:val="00AA737D"/>
    <w:rsid w:val="00AC10DF"/>
    <w:rsid w:val="00AD09E9"/>
    <w:rsid w:val="00AD1F07"/>
    <w:rsid w:val="00AD6A2A"/>
    <w:rsid w:val="00AD6D0E"/>
    <w:rsid w:val="00AE47CD"/>
    <w:rsid w:val="00AF0576"/>
    <w:rsid w:val="00AF1D97"/>
    <w:rsid w:val="00AF3829"/>
    <w:rsid w:val="00B03178"/>
    <w:rsid w:val="00B037F0"/>
    <w:rsid w:val="00B06F83"/>
    <w:rsid w:val="00B15DD3"/>
    <w:rsid w:val="00B2327D"/>
    <w:rsid w:val="00B2718F"/>
    <w:rsid w:val="00B30179"/>
    <w:rsid w:val="00B3317B"/>
    <w:rsid w:val="00B334DC"/>
    <w:rsid w:val="00B3631A"/>
    <w:rsid w:val="00B36366"/>
    <w:rsid w:val="00B3773D"/>
    <w:rsid w:val="00B53013"/>
    <w:rsid w:val="00B67F5E"/>
    <w:rsid w:val="00B73E65"/>
    <w:rsid w:val="00B743C1"/>
    <w:rsid w:val="00B751D5"/>
    <w:rsid w:val="00B80166"/>
    <w:rsid w:val="00B81E12"/>
    <w:rsid w:val="00B87110"/>
    <w:rsid w:val="00B940F1"/>
    <w:rsid w:val="00B97FA8"/>
    <w:rsid w:val="00BA2E0E"/>
    <w:rsid w:val="00BA5E5F"/>
    <w:rsid w:val="00BA7B8B"/>
    <w:rsid w:val="00BB50A5"/>
    <w:rsid w:val="00BC1385"/>
    <w:rsid w:val="00BC74E9"/>
    <w:rsid w:val="00BE2FDB"/>
    <w:rsid w:val="00BE618E"/>
    <w:rsid w:val="00BE668C"/>
    <w:rsid w:val="00BF237B"/>
    <w:rsid w:val="00BF78A1"/>
    <w:rsid w:val="00C14A86"/>
    <w:rsid w:val="00C24693"/>
    <w:rsid w:val="00C35F0B"/>
    <w:rsid w:val="00C463DD"/>
    <w:rsid w:val="00C52E92"/>
    <w:rsid w:val="00C64458"/>
    <w:rsid w:val="00C745C3"/>
    <w:rsid w:val="00C959D5"/>
    <w:rsid w:val="00C9760C"/>
    <w:rsid w:val="00CA27BC"/>
    <w:rsid w:val="00CA2A58"/>
    <w:rsid w:val="00CA331E"/>
    <w:rsid w:val="00CA5432"/>
    <w:rsid w:val="00CC0B55"/>
    <w:rsid w:val="00CD6995"/>
    <w:rsid w:val="00CE4A8F"/>
    <w:rsid w:val="00CF0214"/>
    <w:rsid w:val="00CF0AFC"/>
    <w:rsid w:val="00CF586F"/>
    <w:rsid w:val="00CF713B"/>
    <w:rsid w:val="00CF7D43"/>
    <w:rsid w:val="00D11129"/>
    <w:rsid w:val="00D177C1"/>
    <w:rsid w:val="00D2031B"/>
    <w:rsid w:val="00D22332"/>
    <w:rsid w:val="00D226FD"/>
    <w:rsid w:val="00D22C48"/>
    <w:rsid w:val="00D24B34"/>
    <w:rsid w:val="00D25FE2"/>
    <w:rsid w:val="00D31BF5"/>
    <w:rsid w:val="00D3305F"/>
    <w:rsid w:val="00D37099"/>
    <w:rsid w:val="00D37DC2"/>
    <w:rsid w:val="00D43252"/>
    <w:rsid w:val="00D550F9"/>
    <w:rsid w:val="00D555EC"/>
    <w:rsid w:val="00D572B0"/>
    <w:rsid w:val="00D62E90"/>
    <w:rsid w:val="00D65642"/>
    <w:rsid w:val="00D75D81"/>
    <w:rsid w:val="00D76BE5"/>
    <w:rsid w:val="00D76EE1"/>
    <w:rsid w:val="00D95305"/>
    <w:rsid w:val="00D95D52"/>
    <w:rsid w:val="00D978C6"/>
    <w:rsid w:val="00DA5CF9"/>
    <w:rsid w:val="00DA67AD"/>
    <w:rsid w:val="00DA7959"/>
    <w:rsid w:val="00DB18CE"/>
    <w:rsid w:val="00DC5FD7"/>
    <w:rsid w:val="00DE3EC0"/>
    <w:rsid w:val="00E00923"/>
    <w:rsid w:val="00E11593"/>
    <w:rsid w:val="00E12B6B"/>
    <w:rsid w:val="00E130AB"/>
    <w:rsid w:val="00E35FEA"/>
    <w:rsid w:val="00E438D9"/>
    <w:rsid w:val="00E44995"/>
    <w:rsid w:val="00E50D3F"/>
    <w:rsid w:val="00E5644E"/>
    <w:rsid w:val="00E7260F"/>
    <w:rsid w:val="00E806EE"/>
    <w:rsid w:val="00E848CA"/>
    <w:rsid w:val="00E90E06"/>
    <w:rsid w:val="00E94720"/>
    <w:rsid w:val="00E96630"/>
    <w:rsid w:val="00EA5165"/>
    <w:rsid w:val="00EA7139"/>
    <w:rsid w:val="00EB0FB9"/>
    <w:rsid w:val="00ED0CA9"/>
    <w:rsid w:val="00ED7A2A"/>
    <w:rsid w:val="00EF1D7F"/>
    <w:rsid w:val="00EF5BDB"/>
    <w:rsid w:val="00F07BB6"/>
    <w:rsid w:val="00F07FD9"/>
    <w:rsid w:val="00F12801"/>
    <w:rsid w:val="00F23933"/>
    <w:rsid w:val="00F23AB9"/>
    <w:rsid w:val="00F24119"/>
    <w:rsid w:val="00F3058D"/>
    <w:rsid w:val="00F35A5F"/>
    <w:rsid w:val="00F403C2"/>
    <w:rsid w:val="00F40E75"/>
    <w:rsid w:val="00F41E35"/>
    <w:rsid w:val="00F42CD9"/>
    <w:rsid w:val="00F464BA"/>
    <w:rsid w:val="00F47F5C"/>
    <w:rsid w:val="00F52936"/>
    <w:rsid w:val="00F54505"/>
    <w:rsid w:val="00F677CB"/>
    <w:rsid w:val="00F67E29"/>
    <w:rsid w:val="00F743C5"/>
    <w:rsid w:val="00F74CFA"/>
    <w:rsid w:val="00F86314"/>
    <w:rsid w:val="00F87ED7"/>
    <w:rsid w:val="00F93171"/>
    <w:rsid w:val="00FA0418"/>
    <w:rsid w:val="00FA7DF3"/>
    <w:rsid w:val="00FC3B60"/>
    <w:rsid w:val="00FC5491"/>
    <w:rsid w:val="00FC68B7"/>
    <w:rsid w:val="00FD3265"/>
    <w:rsid w:val="00FD4DAA"/>
    <w:rsid w:val="00FD52D3"/>
    <w:rsid w:val="00FD7C12"/>
    <w:rsid w:val="00FE23AE"/>
    <w:rsid w:val="00FF5AB7"/>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0384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038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394E5E"/>
    <w:rPr>
      <w:rFonts w:eastAsia="SimSun"/>
      <w:sz w:val="18"/>
    </w:rPr>
  </w:style>
  <w:style w:type="character" w:customStyle="1" w:styleId="H1GChar">
    <w:name w:val="_ H_1_G Char"/>
    <w:link w:val="H1G"/>
    <w:rsid w:val="00394E5E"/>
    <w:rPr>
      <w:b/>
      <w:sz w:val="24"/>
      <w:lang w:eastAsia="en-US"/>
    </w:rPr>
  </w:style>
  <w:style w:type="character" w:customStyle="1" w:styleId="HChGChar">
    <w:name w:val="_ H _Ch_G Char"/>
    <w:link w:val="HChG"/>
    <w:rsid w:val="00394E5E"/>
    <w:rPr>
      <w:b/>
      <w:sz w:val="28"/>
      <w:lang w:eastAsia="en-US"/>
    </w:rPr>
  </w:style>
  <w:style w:type="paragraph" w:customStyle="1" w:styleId="ParaNoG">
    <w:name w:val="_ParaNo._G"/>
    <w:basedOn w:val="SingleTxtG"/>
    <w:rsid w:val="00B751D5"/>
    <w:pPr>
      <w:tabs>
        <w:tab w:val="num" w:pos="0"/>
      </w:tabs>
    </w:pPr>
    <w:rPr>
      <w:rFonts w:eastAsia="MS Mincho"/>
    </w:rPr>
  </w:style>
  <w:style w:type="paragraph" w:styleId="ListNumber4">
    <w:name w:val="List Number 4"/>
    <w:basedOn w:val="Normal"/>
    <w:rsid w:val="00B751D5"/>
    <w:pPr>
      <w:numPr>
        <w:numId w:val="10"/>
      </w:numPr>
    </w:pPr>
    <w:rPr>
      <w:rFonts w:eastAsia="MS Mincho"/>
    </w:rPr>
  </w:style>
  <w:style w:type="paragraph" w:styleId="ListNumber5">
    <w:name w:val="List Number 5"/>
    <w:basedOn w:val="Normal"/>
    <w:rsid w:val="00B751D5"/>
    <w:pPr>
      <w:numPr>
        <w:numId w:val="11"/>
      </w:numPr>
    </w:pPr>
    <w:rPr>
      <w:rFonts w:eastAsia="MS Mincho"/>
    </w:rPr>
  </w:style>
  <w:style w:type="character" w:customStyle="1" w:styleId="SingleTxtGChar">
    <w:name w:val="_ Single Txt_G Char"/>
    <w:link w:val="SingleTxtG"/>
    <w:rsid w:val="00B751D5"/>
    <w:rPr>
      <w:lang w:eastAsia="en-US"/>
    </w:rPr>
  </w:style>
  <w:style w:type="paragraph" w:styleId="BalloonText">
    <w:name w:val="Balloon Text"/>
    <w:basedOn w:val="Normal"/>
    <w:link w:val="BalloonTextChar"/>
    <w:uiPriority w:val="99"/>
    <w:unhideWhenUsed/>
    <w:rsid w:val="00B751D5"/>
    <w:pPr>
      <w:spacing w:line="240" w:lineRule="auto"/>
    </w:pPr>
    <w:rPr>
      <w:rFonts w:ascii="Tahoma" w:eastAsia="MS Mincho" w:hAnsi="Tahoma"/>
      <w:sz w:val="16"/>
      <w:szCs w:val="16"/>
      <w:lang w:eastAsia="x-none"/>
    </w:rPr>
  </w:style>
  <w:style w:type="character" w:customStyle="1" w:styleId="BalloonTextChar">
    <w:name w:val="Balloon Text Char"/>
    <w:link w:val="BalloonText"/>
    <w:uiPriority w:val="99"/>
    <w:rsid w:val="00B751D5"/>
    <w:rPr>
      <w:rFonts w:ascii="Tahoma" w:eastAsia="MS Mincho" w:hAnsi="Tahoma"/>
      <w:sz w:val="16"/>
      <w:szCs w:val="16"/>
      <w:lang w:eastAsia="x-none"/>
    </w:rPr>
  </w:style>
  <w:style w:type="numbering" w:styleId="111111">
    <w:name w:val="Outline List 2"/>
    <w:basedOn w:val="NoList"/>
    <w:rsid w:val="00B751D5"/>
    <w:pPr>
      <w:numPr>
        <w:numId w:val="8"/>
      </w:numPr>
    </w:pPr>
  </w:style>
  <w:style w:type="numbering" w:styleId="1ai">
    <w:name w:val="Outline List 1"/>
    <w:basedOn w:val="NoList"/>
    <w:rsid w:val="00B751D5"/>
    <w:pPr>
      <w:numPr>
        <w:numId w:val="9"/>
      </w:numPr>
    </w:pPr>
  </w:style>
  <w:style w:type="character" w:styleId="CommentReference">
    <w:name w:val="annotation reference"/>
    <w:rsid w:val="00B751D5"/>
    <w:rPr>
      <w:sz w:val="16"/>
      <w:szCs w:val="16"/>
    </w:rPr>
  </w:style>
  <w:style w:type="paragraph" w:styleId="CommentText">
    <w:name w:val="annotation text"/>
    <w:basedOn w:val="Normal"/>
    <w:link w:val="CommentTextChar"/>
    <w:rsid w:val="00B751D5"/>
    <w:rPr>
      <w:rFonts w:eastAsia="MS Mincho"/>
    </w:rPr>
  </w:style>
  <w:style w:type="character" w:customStyle="1" w:styleId="CommentTextChar">
    <w:name w:val="Comment Text Char"/>
    <w:link w:val="CommentText"/>
    <w:rsid w:val="00B751D5"/>
    <w:rPr>
      <w:rFonts w:eastAsia="MS Mincho"/>
      <w:lang w:eastAsia="en-US"/>
    </w:rPr>
  </w:style>
  <w:style w:type="paragraph" w:styleId="CommentSubject">
    <w:name w:val="annotation subject"/>
    <w:basedOn w:val="CommentText"/>
    <w:next w:val="CommentText"/>
    <w:link w:val="CommentSubjectChar"/>
    <w:rsid w:val="00B751D5"/>
    <w:rPr>
      <w:b/>
      <w:bCs/>
    </w:rPr>
  </w:style>
  <w:style w:type="character" w:customStyle="1" w:styleId="CommentSubjectChar">
    <w:name w:val="Comment Subject Char"/>
    <w:link w:val="CommentSubject"/>
    <w:rsid w:val="00B751D5"/>
    <w:rPr>
      <w:rFonts w:eastAsia="MS Mincho"/>
      <w:b/>
      <w:bCs/>
      <w:lang w:eastAsia="en-US"/>
    </w:rPr>
  </w:style>
  <w:style w:type="paragraph" w:customStyle="1" w:styleId="HCh">
    <w:name w:val="_ H _Ch"/>
    <w:basedOn w:val="Normal"/>
    <w:next w:val="Normal"/>
    <w:rsid w:val="00B751D5"/>
    <w:pPr>
      <w:keepNext/>
      <w:keepLines/>
      <w:spacing w:line="300" w:lineRule="exact"/>
      <w:outlineLvl w:val="0"/>
    </w:pPr>
    <w:rPr>
      <w:rFonts w:eastAsia="MS Mincho"/>
      <w:b/>
      <w:spacing w:val="-2"/>
      <w:w w:val="103"/>
      <w:kern w:val="14"/>
      <w:sz w:val="28"/>
      <w:lang w:eastAsia="en-GB"/>
    </w:rPr>
  </w:style>
  <w:style w:type="character" w:customStyle="1" w:styleId="5GCharChar">
    <w:name w:val="5_G Char Char"/>
    <w:rsid w:val="00B751D5"/>
    <w:rPr>
      <w:sz w:val="18"/>
      <w:lang w:val="en-GB" w:eastAsia="en-US" w:bidi="ar-SA"/>
    </w:rPr>
  </w:style>
  <w:style w:type="paragraph" w:customStyle="1" w:styleId="a">
    <w:name w:val="_"/>
    <w:basedOn w:val="Normal"/>
    <w:rsid w:val="00B751D5"/>
    <w:pPr>
      <w:widowControl w:val="0"/>
      <w:suppressAutoHyphens w:val="0"/>
      <w:snapToGrid w:val="0"/>
      <w:spacing w:line="240" w:lineRule="auto"/>
      <w:ind w:left="720" w:hanging="720"/>
    </w:pPr>
    <w:rPr>
      <w:rFonts w:eastAsia="MS Mincho"/>
      <w:sz w:val="24"/>
      <w:lang w:val="en-US"/>
    </w:rPr>
  </w:style>
  <w:style w:type="paragraph" w:customStyle="1" w:styleId="Default">
    <w:name w:val="Default"/>
    <w:rsid w:val="00B751D5"/>
    <w:pPr>
      <w:autoSpaceDE w:val="0"/>
      <w:autoSpaceDN w:val="0"/>
      <w:adjustRightInd w:val="0"/>
    </w:pPr>
    <w:rPr>
      <w:rFonts w:eastAsia="SimSun"/>
      <w:color w:val="000000"/>
      <w:sz w:val="24"/>
      <w:szCs w:val="24"/>
      <w:lang w:val="en-US" w:eastAsia="zh-CN"/>
    </w:rPr>
  </w:style>
  <w:style w:type="character" w:styleId="Emphasis">
    <w:name w:val="Emphasis"/>
    <w:qFormat/>
    <w:rsid w:val="00B751D5"/>
    <w:rPr>
      <w:i/>
      <w:iCs/>
    </w:rPr>
  </w:style>
  <w:style w:type="paragraph" w:styleId="EnvelopeReturn">
    <w:name w:val="envelope return"/>
    <w:basedOn w:val="Normal"/>
    <w:rsid w:val="00B751D5"/>
    <w:rPr>
      <w:rFonts w:ascii="Arial" w:eastAsia="MS Mincho" w:hAnsi="Arial" w:cs="Arial"/>
    </w:rPr>
  </w:style>
  <w:style w:type="character" w:customStyle="1" w:styleId="lblnewstitle1">
    <w:name w:val="lblnewstitle1"/>
    <w:rsid w:val="00B751D5"/>
    <w:rPr>
      <w:b/>
      <w:bCs/>
      <w:sz w:val="29"/>
      <w:szCs w:val="29"/>
    </w:rPr>
  </w:style>
  <w:style w:type="character" w:styleId="HTMLAcronym">
    <w:name w:val="HTML Acronym"/>
    <w:rsid w:val="00B751D5"/>
  </w:style>
  <w:style w:type="character" w:customStyle="1" w:styleId="Caractresdenotedebasdepage">
    <w:name w:val="Caractères de note de bas de page"/>
    <w:rsid w:val="00B751D5"/>
    <w:rPr>
      <w:vertAlign w:val="superscript"/>
    </w:rPr>
  </w:style>
  <w:style w:type="character" w:customStyle="1" w:styleId="Verwijzingopmerking">
    <w:name w:val="Verwijzing opmerking"/>
    <w:rsid w:val="00B751D5"/>
    <w:rPr>
      <w:sz w:val="16"/>
    </w:rPr>
  </w:style>
  <w:style w:type="paragraph" w:customStyle="1" w:styleId="ColorfulList-Accent11">
    <w:name w:val="Colorful List - Accent 11"/>
    <w:basedOn w:val="Normal"/>
    <w:qFormat/>
    <w:rsid w:val="00B751D5"/>
    <w:pPr>
      <w:suppressAutoHyphens w:val="0"/>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B751D5"/>
    <w:rPr>
      <w:rFonts w:eastAsia="MS Mincho"/>
      <w:lang w:eastAsia="en-US"/>
    </w:rPr>
  </w:style>
  <w:style w:type="paragraph" w:styleId="BodyText">
    <w:name w:val="Body Text"/>
    <w:basedOn w:val="Normal"/>
    <w:link w:val="BodyTextChar"/>
    <w:unhideWhenUsed/>
    <w:qFormat/>
    <w:rsid w:val="00B751D5"/>
    <w:pPr>
      <w:suppressAutoHyphens w:val="0"/>
      <w:spacing w:line="240" w:lineRule="auto"/>
    </w:pPr>
    <w:rPr>
      <w:rFonts w:ascii="Garamond" w:eastAsia="MS Mincho" w:hAnsi="Garamond"/>
      <w:sz w:val="22"/>
      <w:szCs w:val="24"/>
      <w:lang w:val="en-US"/>
    </w:rPr>
  </w:style>
  <w:style w:type="character" w:customStyle="1" w:styleId="BodyTextChar">
    <w:name w:val="Body Text Char"/>
    <w:link w:val="BodyText"/>
    <w:rsid w:val="00B751D5"/>
    <w:rPr>
      <w:rFonts w:ascii="Garamond" w:eastAsia="MS Mincho" w:hAnsi="Garamond"/>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B751D5"/>
    <w:rPr>
      <w:rFonts w:ascii="Garamond" w:eastAsia="Cambria" w:hAnsi="Garamond"/>
      <w:sz w:val="22"/>
    </w:rPr>
  </w:style>
  <w:style w:type="paragraph" w:styleId="ListParagraph">
    <w:name w:val="List Paragraph"/>
    <w:basedOn w:val="Normal"/>
    <w:uiPriority w:val="34"/>
    <w:qFormat/>
    <w:rsid w:val="00B751D5"/>
    <w:pPr>
      <w:suppressAutoHyphens w:val="0"/>
      <w:spacing w:line="240" w:lineRule="auto"/>
      <w:ind w:left="720"/>
      <w:contextualSpacing/>
    </w:pPr>
    <w:rPr>
      <w:rFonts w:ascii="Cambria" w:eastAsia="MS Mincho" w:hAnsi="Cambria"/>
      <w:sz w:val="24"/>
      <w:szCs w:val="24"/>
      <w:lang w:val="en-US"/>
    </w:rPr>
  </w:style>
  <w:style w:type="paragraph" w:styleId="ListBullet2">
    <w:name w:val="List Bullet 2"/>
    <w:basedOn w:val="Normal"/>
    <w:rsid w:val="00B751D5"/>
    <w:pPr>
      <w:numPr>
        <w:numId w:val="13"/>
      </w:numPr>
      <w:suppressAutoHyphens w:val="0"/>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B751D5"/>
    <w:rPr>
      <w:rFonts w:cs="Adobe Garamond Pro"/>
      <w:color w:val="000000"/>
      <w:sz w:val="14"/>
      <w:szCs w:val="14"/>
    </w:rPr>
  </w:style>
  <w:style w:type="character" w:customStyle="1" w:styleId="A13">
    <w:name w:val="A13"/>
    <w:uiPriority w:val="99"/>
    <w:rsid w:val="00B751D5"/>
    <w:rPr>
      <w:rFonts w:cs="Franklin Gothic Book"/>
      <w:color w:val="000000"/>
      <w:sz w:val="10"/>
      <w:szCs w:val="10"/>
    </w:rPr>
  </w:style>
  <w:style w:type="character" w:customStyle="1" w:styleId="HeaderChar">
    <w:name w:val="Header Char"/>
    <w:aliases w:val="6_G Char"/>
    <w:link w:val="Header"/>
    <w:rsid w:val="00B751D5"/>
    <w:rPr>
      <w:b/>
      <w:sz w:val="18"/>
      <w:lang w:eastAsia="en-US"/>
    </w:rPr>
  </w:style>
  <w:style w:type="paragraph" w:styleId="EnvelopeAddress">
    <w:name w:val="envelope address"/>
    <w:basedOn w:val="Normal"/>
    <w:rsid w:val="00B751D5"/>
    <w:pPr>
      <w:framePr w:w="7920" w:h="1980" w:hRule="exact" w:hSpace="180" w:wrap="auto" w:hAnchor="page" w:xAlign="center" w:yAlign="bottom"/>
      <w:ind w:left="2880"/>
    </w:pPr>
    <w:rPr>
      <w:rFonts w:ascii="Arial" w:eastAsia="MS Mincho"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0384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038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394E5E"/>
    <w:rPr>
      <w:rFonts w:eastAsia="SimSun"/>
      <w:sz w:val="18"/>
    </w:rPr>
  </w:style>
  <w:style w:type="character" w:customStyle="1" w:styleId="H1GChar">
    <w:name w:val="_ H_1_G Char"/>
    <w:link w:val="H1G"/>
    <w:rsid w:val="00394E5E"/>
    <w:rPr>
      <w:b/>
      <w:sz w:val="24"/>
      <w:lang w:eastAsia="en-US"/>
    </w:rPr>
  </w:style>
  <w:style w:type="character" w:customStyle="1" w:styleId="HChGChar">
    <w:name w:val="_ H _Ch_G Char"/>
    <w:link w:val="HChG"/>
    <w:rsid w:val="00394E5E"/>
    <w:rPr>
      <w:b/>
      <w:sz w:val="28"/>
      <w:lang w:eastAsia="en-US"/>
    </w:rPr>
  </w:style>
  <w:style w:type="paragraph" w:customStyle="1" w:styleId="ParaNoG">
    <w:name w:val="_ParaNo._G"/>
    <w:basedOn w:val="SingleTxtG"/>
    <w:rsid w:val="00B751D5"/>
    <w:pPr>
      <w:tabs>
        <w:tab w:val="num" w:pos="0"/>
      </w:tabs>
    </w:pPr>
    <w:rPr>
      <w:rFonts w:eastAsia="MS Mincho"/>
    </w:rPr>
  </w:style>
  <w:style w:type="paragraph" w:styleId="ListNumber4">
    <w:name w:val="List Number 4"/>
    <w:basedOn w:val="Normal"/>
    <w:rsid w:val="00B751D5"/>
    <w:pPr>
      <w:numPr>
        <w:numId w:val="10"/>
      </w:numPr>
    </w:pPr>
    <w:rPr>
      <w:rFonts w:eastAsia="MS Mincho"/>
    </w:rPr>
  </w:style>
  <w:style w:type="paragraph" w:styleId="ListNumber5">
    <w:name w:val="List Number 5"/>
    <w:basedOn w:val="Normal"/>
    <w:rsid w:val="00B751D5"/>
    <w:pPr>
      <w:numPr>
        <w:numId w:val="11"/>
      </w:numPr>
    </w:pPr>
    <w:rPr>
      <w:rFonts w:eastAsia="MS Mincho"/>
    </w:rPr>
  </w:style>
  <w:style w:type="character" w:customStyle="1" w:styleId="SingleTxtGChar">
    <w:name w:val="_ Single Txt_G Char"/>
    <w:link w:val="SingleTxtG"/>
    <w:rsid w:val="00B751D5"/>
    <w:rPr>
      <w:lang w:eastAsia="en-US"/>
    </w:rPr>
  </w:style>
  <w:style w:type="paragraph" w:styleId="BalloonText">
    <w:name w:val="Balloon Text"/>
    <w:basedOn w:val="Normal"/>
    <w:link w:val="BalloonTextChar"/>
    <w:uiPriority w:val="99"/>
    <w:unhideWhenUsed/>
    <w:rsid w:val="00B751D5"/>
    <w:pPr>
      <w:spacing w:line="240" w:lineRule="auto"/>
    </w:pPr>
    <w:rPr>
      <w:rFonts w:ascii="Tahoma" w:eastAsia="MS Mincho" w:hAnsi="Tahoma"/>
      <w:sz w:val="16"/>
      <w:szCs w:val="16"/>
      <w:lang w:eastAsia="x-none"/>
    </w:rPr>
  </w:style>
  <w:style w:type="character" w:customStyle="1" w:styleId="BalloonTextChar">
    <w:name w:val="Balloon Text Char"/>
    <w:link w:val="BalloonText"/>
    <w:uiPriority w:val="99"/>
    <w:rsid w:val="00B751D5"/>
    <w:rPr>
      <w:rFonts w:ascii="Tahoma" w:eastAsia="MS Mincho" w:hAnsi="Tahoma"/>
      <w:sz w:val="16"/>
      <w:szCs w:val="16"/>
      <w:lang w:eastAsia="x-none"/>
    </w:rPr>
  </w:style>
  <w:style w:type="numbering" w:styleId="111111">
    <w:name w:val="Outline List 2"/>
    <w:basedOn w:val="NoList"/>
    <w:rsid w:val="00B751D5"/>
    <w:pPr>
      <w:numPr>
        <w:numId w:val="8"/>
      </w:numPr>
    </w:pPr>
  </w:style>
  <w:style w:type="numbering" w:styleId="1ai">
    <w:name w:val="Outline List 1"/>
    <w:basedOn w:val="NoList"/>
    <w:rsid w:val="00B751D5"/>
    <w:pPr>
      <w:numPr>
        <w:numId w:val="9"/>
      </w:numPr>
    </w:pPr>
  </w:style>
  <w:style w:type="character" w:styleId="CommentReference">
    <w:name w:val="annotation reference"/>
    <w:rsid w:val="00B751D5"/>
    <w:rPr>
      <w:sz w:val="16"/>
      <w:szCs w:val="16"/>
    </w:rPr>
  </w:style>
  <w:style w:type="paragraph" w:styleId="CommentText">
    <w:name w:val="annotation text"/>
    <w:basedOn w:val="Normal"/>
    <w:link w:val="CommentTextChar"/>
    <w:rsid w:val="00B751D5"/>
    <w:rPr>
      <w:rFonts w:eastAsia="MS Mincho"/>
    </w:rPr>
  </w:style>
  <w:style w:type="character" w:customStyle="1" w:styleId="CommentTextChar">
    <w:name w:val="Comment Text Char"/>
    <w:link w:val="CommentText"/>
    <w:rsid w:val="00B751D5"/>
    <w:rPr>
      <w:rFonts w:eastAsia="MS Mincho"/>
      <w:lang w:eastAsia="en-US"/>
    </w:rPr>
  </w:style>
  <w:style w:type="paragraph" w:styleId="CommentSubject">
    <w:name w:val="annotation subject"/>
    <w:basedOn w:val="CommentText"/>
    <w:next w:val="CommentText"/>
    <w:link w:val="CommentSubjectChar"/>
    <w:rsid w:val="00B751D5"/>
    <w:rPr>
      <w:b/>
      <w:bCs/>
    </w:rPr>
  </w:style>
  <w:style w:type="character" w:customStyle="1" w:styleId="CommentSubjectChar">
    <w:name w:val="Comment Subject Char"/>
    <w:link w:val="CommentSubject"/>
    <w:rsid w:val="00B751D5"/>
    <w:rPr>
      <w:rFonts w:eastAsia="MS Mincho"/>
      <w:b/>
      <w:bCs/>
      <w:lang w:eastAsia="en-US"/>
    </w:rPr>
  </w:style>
  <w:style w:type="paragraph" w:customStyle="1" w:styleId="HCh">
    <w:name w:val="_ H _Ch"/>
    <w:basedOn w:val="Normal"/>
    <w:next w:val="Normal"/>
    <w:rsid w:val="00B751D5"/>
    <w:pPr>
      <w:keepNext/>
      <w:keepLines/>
      <w:spacing w:line="300" w:lineRule="exact"/>
      <w:outlineLvl w:val="0"/>
    </w:pPr>
    <w:rPr>
      <w:rFonts w:eastAsia="MS Mincho"/>
      <w:b/>
      <w:spacing w:val="-2"/>
      <w:w w:val="103"/>
      <w:kern w:val="14"/>
      <w:sz w:val="28"/>
      <w:lang w:eastAsia="en-GB"/>
    </w:rPr>
  </w:style>
  <w:style w:type="character" w:customStyle="1" w:styleId="5GCharChar">
    <w:name w:val="5_G Char Char"/>
    <w:rsid w:val="00B751D5"/>
    <w:rPr>
      <w:sz w:val="18"/>
      <w:lang w:val="en-GB" w:eastAsia="en-US" w:bidi="ar-SA"/>
    </w:rPr>
  </w:style>
  <w:style w:type="paragraph" w:customStyle="1" w:styleId="a">
    <w:name w:val="_"/>
    <w:basedOn w:val="Normal"/>
    <w:rsid w:val="00B751D5"/>
    <w:pPr>
      <w:widowControl w:val="0"/>
      <w:suppressAutoHyphens w:val="0"/>
      <w:snapToGrid w:val="0"/>
      <w:spacing w:line="240" w:lineRule="auto"/>
      <w:ind w:left="720" w:hanging="720"/>
    </w:pPr>
    <w:rPr>
      <w:rFonts w:eastAsia="MS Mincho"/>
      <w:sz w:val="24"/>
      <w:lang w:val="en-US"/>
    </w:rPr>
  </w:style>
  <w:style w:type="paragraph" w:customStyle="1" w:styleId="Default">
    <w:name w:val="Default"/>
    <w:rsid w:val="00B751D5"/>
    <w:pPr>
      <w:autoSpaceDE w:val="0"/>
      <w:autoSpaceDN w:val="0"/>
      <w:adjustRightInd w:val="0"/>
    </w:pPr>
    <w:rPr>
      <w:rFonts w:eastAsia="SimSun"/>
      <w:color w:val="000000"/>
      <w:sz w:val="24"/>
      <w:szCs w:val="24"/>
      <w:lang w:val="en-US" w:eastAsia="zh-CN"/>
    </w:rPr>
  </w:style>
  <w:style w:type="character" w:styleId="Emphasis">
    <w:name w:val="Emphasis"/>
    <w:qFormat/>
    <w:rsid w:val="00B751D5"/>
    <w:rPr>
      <w:i/>
      <w:iCs/>
    </w:rPr>
  </w:style>
  <w:style w:type="paragraph" w:styleId="EnvelopeReturn">
    <w:name w:val="envelope return"/>
    <w:basedOn w:val="Normal"/>
    <w:rsid w:val="00B751D5"/>
    <w:rPr>
      <w:rFonts w:ascii="Arial" w:eastAsia="MS Mincho" w:hAnsi="Arial" w:cs="Arial"/>
    </w:rPr>
  </w:style>
  <w:style w:type="character" w:customStyle="1" w:styleId="lblnewstitle1">
    <w:name w:val="lblnewstitle1"/>
    <w:rsid w:val="00B751D5"/>
    <w:rPr>
      <w:b/>
      <w:bCs/>
      <w:sz w:val="29"/>
      <w:szCs w:val="29"/>
    </w:rPr>
  </w:style>
  <w:style w:type="character" w:styleId="HTMLAcronym">
    <w:name w:val="HTML Acronym"/>
    <w:rsid w:val="00B751D5"/>
  </w:style>
  <w:style w:type="character" w:customStyle="1" w:styleId="Caractresdenotedebasdepage">
    <w:name w:val="Caractères de note de bas de page"/>
    <w:rsid w:val="00B751D5"/>
    <w:rPr>
      <w:vertAlign w:val="superscript"/>
    </w:rPr>
  </w:style>
  <w:style w:type="character" w:customStyle="1" w:styleId="Verwijzingopmerking">
    <w:name w:val="Verwijzing opmerking"/>
    <w:rsid w:val="00B751D5"/>
    <w:rPr>
      <w:sz w:val="16"/>
    </w:rPr>
  </w:style>
  <w:style w:type="paragraph" w:customStyle="1" w:styleId="ColorfulList-Accent11">
    <w:name w:val="Colorful List - Accent 11"/>
    <w:basedOn w:val="Normal"/>
    <w:qFormat/>
    <w:rsid w:val="00B751D5"/>
    <w:pPr>
      <w:suppressAutoHyphens w:val="0"/>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B751D5"/>
    <w:rPr>
      <w:rFonts w:eastAsia="MS Mincho"/>
      <w:lang w:eastAsia="en-US"/>
    </w:rPr>
  </w:style>
  <w:style w:type="paragraph" w:styleId="BodyText">
    <w:name w:val="Body Text"/>
    <w:basedOn w:val="Normal"/>
    <w:link w:val="BodyTextChar"/>
    <w:unhideWhenUsed/>
    <w:qFormat/>
    <w:rsid w:val="00B751D5"/>
    <w:pPr>
      <w:suppressAutoHyphens w:val="0"/>
      <w:spacing w:line="240" w:lineRule="auto"/>
    </w:pPr>
    <w:rPr>
      <w:rFonts w:ascii="Garamond" w:eastAsia="MS Mincho" w:hAnsi="Garamond"/>
      <w:sz w:val="22"/>
      <w:szCs w:val="24"/>
      <w:lang w:val="en-US"/>
    </w:rPr>
  </w:style>
  <w:style w:type="character" w:customStyle="1" w:styleId="BodyTextChar">
    <w:name w:val="Body Text Char"/>
    <w:link w:val="BodyText"/>
    <w:rsid w:val="00B751D5"/>
    <w:rPr>
      <w:rFonts w:ascii="Garamond" w:eastAsia="MS Mincho" w:hAnsi="Garamond"/>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B751D5"/>
    <w:rPr>
      <w:rFonts w:ascii="Garamond" w:eastAsia="Cambria" w:hAnsi="Garamond"/>
      <w:sz w:val="22"/>
    </w:rPr>
  </w:style>
  <w:style w:type="paragraph" w:styleId="ListParagraph">
    <w:name w:val="List Paragraph"/>
    <w:basedOn w:val="Normal"/>
    <w:uiPriority w:val="34"/>
    <w:qFormat/>
    <w:rsid w:val="00B751D5"/>
    <w:pPr>
      <w:suppressAutoHyphens w:val="0"/>
      <w:spacing w:line="240" w:lineRule="auto"/>
      <w:ind w:left="720"/>
      <w:contextualSpacing/>
    </w:pPr>
    <w:rPr>
      <w:rFonts w:ascii="Cambria" w:eastAsia="MS Mincho" w:hAnsi="Cambria"/>
      <w:sz w:val="24"/>
      <w:szCs w:val="24"/>
      <w:lang w:val="en-US"/>
    </w:rPr>
  </w:style>
  <w:style w:type="paragraph" w:styleId="ListBullet2">
    <w:name w:val="List Bullet 2"/>
    <w:basedOn w:val="Normal"/>
    <w:rsid w:val="00B751D5"/>
    <w:pPr>
      <w:numPr>
        <w:numId w:val="13"/>
      </w:numPr>
      <w:suppressAutoHyphens w:val="0"/>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B751D5"/>
    <w:rPr>
      <w:rFonts w:cs="Adobe Garamond Pro"/>
      <w:color w:val="000000"/>
      <w:sz w:val="14"/>
      <w:szCs w:val="14"/>
    </w:rPr>
  </w:style>
  <w:style w:type="character" w:customStyle="1" w:styleId="A13">
    <w:name w:val="A13"/>
    <w:uiPriority w:val="99"/>
    <w:rsid w:val="00B751D5"/>
    <w:rPr>
      <w:rFonts w:cs="Franklin Gothic Book"/>
      <w:color w:val="000000"/>
      <w:sz w:val="10"/>
      <w:szCs w:val="10"/>
    </w:rPr>
  </w:style>
  <w:style w:type="character" w:customStyle="1" w:styleId="HeaderChar">
    <w:name w:val="Header Char"/>
    <w:aliases w:val="6_G Char"/>
    <w:link w:val="Header"/>
    <w:rsid w:val="00B751D5"/>
    <w:rPr>
      <w:b/>
      <w:sz w:val="18"/>
      <w:lang w:eastAsia="en-US"/>
    </w:rPr>
  </w:style>
  <w:style w:type="paragraph" w:styleId="EnvelopeAddress">
    <w:name w:val="envelope address"/>
    <w:basedOn w:val="Normal"/>
    <w:rsid w:val="00B751D5"/>
    <w:pPr>
      <w:framePr w:w="7920" w:h="1980" w:hRule="exact" w:hSpace="180" w:wrap="auto" w:hAnchor="page" w:xAlign="center" w:yAlign="bottom"/>
      <w:ind w:left="2880"/>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2703">
      <w:bodyDiv w:val="1"/>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
        <w:div w:id="120163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E7FA-67F2-4EFF-951E-739A716A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23</Pages>
  <Words>10725</Words>
  <Characters>61133</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Hassam Tarik Kurdi</dc:creator>
  <cp:lastModifiedBy>cg</cp:lastModifiedBy>
  <cp:revision>3</cp:revision>
  <cp:lastPrinted>2015-06-16T07:20:00Z</cp:lastPrinted>
  <dcterms:created xsi:type="dcterms:W3CDTF">2015-06-16T07:20:00Z</dcterms:created>
  <dcterms:modified xsi:type="dcterms:W3CDTF">2015-06-16T07:20:00Z</dcterms:modified>
</cp:coreProperties>
</file>