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16CE8" w:rsidRPr="00B6681B">
        <w:trPr>
          <w:trHeight w:val="851"/>
        </w:trPr>
        <w:tc>
          <w:tcPr>
            <w:tcW w:w="1259" w:type="dxa"/>
            <w:tcBorders>
              <w:top w:val="nil"/>
              <w:left w:val="nil"/>
              <w:bottom w:val="single" w:sz="4" w:space="0" w:color="auto"/>
              <w:right w:val="nil"/>
            </w:tcBorders>
          </w:tcPr>
          <w:p w:rsidR="00C16CE8" w:rsidRPr="00EC3976" w:rsidRDefault="00C16CE8" w:rsidP="00EC3976">
            <w:pPr>
              <w:pStyle w:val="Heading2"/>
              <w:spacing w:line="20" w:lineRule="exact"/>
              <w:rPr>
                <w:sz w:val="2"/>
              </w:rPr>
            </w:pPr>
            <w:bookmarkStart w:id="0" w:name="_GoBack"/>
            <w:bookmarkEnd w:id="0"/>
          </w:p>
          <w:p w:rsidR="00EC3976" w:rsidRPr="00EC3976" w:rsidRDefault="00EC3976" w:rsidP="00EC3976"/>
        </w:tc>
        <w:tc>
          <w:tcPr>
            <w:tcW w:w="2236" w:type="dxa"/>
            <w:tcBorders>
              <w:top w:val="nil"/>
              <w:left w:val="nil"/>
              <w:bottom w:val="single" w:sz="4" w:space="0" w:color="auto"/>
              <w:right w:val="nil"/>
            </w:tcBorders>
            <w:vAlign w:val="bottom"/>
          </w:tcPr>
          <w:p w:rsidR="00C16CE8" w:rsidRPr="00D55058" w:rsidRDefault="00EB51F0" w:rsidP="00C16CE8">
            <w:pPr>
              <w:spacing w:after="80" w:line="300" w:lineRule="exact"/>
              <w:rPr>
                <w:sz w:val="28"/>
                <w:szCs w:val="28"/>
              </w:rPr>
            </w:pPr>
            <w:r w:rsidRPr="006324BD">
              <w:rPr>
                <w:sz w:val="28"/>
                <w:szCs w:val="28"/>
              </w:rPr>
              <w:t>United Nations</w:t>
            </w:r>
          </w:p>
        </w:tc>
        <w:tc>
          <w:tcPr>
            <w:tcW w:w="6144" w:type="dxa"/>
            <w:gridSpan w:val="2"/>
            <w:tcBorders>
              <w:top w:val="nil"/>
              <w:left w:val="nil"/>
              <w:bottom w:val="single" w:sz="4" w:space="0" w:color="auto"/>
              <w:right w:val="nil"/>
            </w:tcBorders>
            <w:vAlign w:val="bottom"/>
          </w:tcPr>
          <w:p w:rsidR="00C16CE8" w:rsidRPr="00B6681B" w:rsidRDefault="00C16CE8" w:rsidP="00A44C8A">
            <w:pPr>
              <w:jc w:val="right"/>
            </w:pPr>
            <w:r w:rsidRPr="00B6681B">
              <w:rPr>
                <w:sz w:val="40"/>
              </w:rPr>
              <w:t>A</w:t>
            </w:r>
            <w:r w:rsidRPr="00B6681B">
              <w:t>/HRC/</w:t>
            </w:r>
            <w:r w:rsidR="00625AD7" w:rsidRPr="00B6681B">
              <w:t>30</w:t>
            </w:r>
            <w:r w:rsidR="00EF3F87" w:rsidRPr="00B6681B">
              <w:t>/</w:t>
            </w:r>
            <w:r w:rsidR="00337DBE" w:rsidRPr="00B6681B">
              <w:t>34/</w:t>
            </w:r>
            <w:r w:rsidR="00625AD7" w:rsidRPr="00B6681B">
              <w:t>Add.1</w:t>
            </w:r>
            <w:r w:rsidRPr="00B6681B">
              <w:t xml:space="preserve"> </w:t>
            </w:r>
          </w:p>
        </w:tc>
      </w:tr>
      <w:tr w:rsidR="00EB51F0" w:rsidRPr="00B6681B">
        <w:trPr>
          <w:trHeight w:val="2835"/>
        </w:trPr>
        <w:tc>
          <w:tcPr>
            <w:tcW w:w="1259" w:type="dxa"/>
            <w:tcBorders>
              <w:top w:val="single" w:sz="4" w:space="0" w:color="auto"/>
              <w:left w:val="nil"/>
              <w:bottom w:val="single" w:sz="12" w:space="0" w:color="auto"/>
              <w:right w:val="nil"/>
            </w:tcBorders>
          </w:tcPr>
          <w:p w:rsidR="00EB51F0" w:rsidRPr="006324BD" w:rsidRDefault="00EB51F0" w:rsidP="00EB51F0">
            <w:pPr>
              <w:spacing w:before="120"/>
              <w:jc w:val="center"/>
            </w:pPr>
            <w:r>
              <w:rPr>
                <w:noProof/>
                <w:lang w:eastAsia="en-GB"/>
              </w:rPr>
              <w:drawing>
                <wp:inline distT="0" distB="0" distL="0" distR="0" wp14:anchorId="7D577B4C" wp14:editId="202205DA">
                  <wp:extent cx="714375" cy="590550"/>
                  <wp:effectExtent l="0" t="0" r="9525" b="0"/>
                  <wp:docPr id="4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B51F0" w:rsidRPr="006324BD" w:rsidRDefault="00EB51F0" w:rsidP="00EB51F0">
            <w:pPr>
              <w:spacing w:before="120" w:line="420" w:lineRule="exact"/>
              <w:rPr>
                <w:b/>
                <w:sz w:val="40"/>
                <w:szCs w:val="40"/>
              </w:rPr>
            </w:pPr>
            <w:r w:rsidRPr="006324BD">
              <w:rPr>
                <w:b/>
                <w:sz w:val="40"/>
                <w:szCs w:val="40"/>
              </w:rPr>
              <w:t>General Assembly</w:t>
            </w:r>
          </w:p>
        </w:tc>
        <w:tc>
          <w:tcPr>
            <w:tcW w:w="2930" w:type="dxa"/>
            <w:tcBorders>
              <w:top w:val="single" w:sz="4" w:space="0" w:color="auto"/>
              <w:left w:val="nil"/>
              <w:bottom w:val="single" w:sz="12" w:space="0" w:color="auto"/>
              <w:right w:val="nil"/>
            </w:tcBorders>
          </w:tcPr>
          <w:p w:rsidR="00EB51F0" w:rsidRPr="00B6681B" w:rsidRDefault="00EB51F0" w:rsidP="00EB51F0">
            <w:pPr>
              <w:spacing w:before="240" w:line="240" w:lineRule="exact"/>
            </w:pPr>
            <w:r w:rsidRPr="00B6681B">
              <w:t>Distr.: General</w:t>
            </w:r>
          </w:p>
          <w:p w:rsidR="00EB51F0" w:rsidRPr="00B6681B" w:rsidRDefault="00804D0A" w:rsidP="00EB51F0">
            <w:pPr>
              <w:spacing w:line="240" w:lineRule="exact"/>
            </w:pPr>
            <w:r>
              <w:t>1</w:t>
            </w:r>
            <w:r w:rsidR="006A534A">
              <w:t>7</w:t>
            </w:r>
            <w:r w:rsidR="00EB51F0">
              <w:t xml:space="preserve"> August</w:t>
            </w:r>
            <w:r w:rsidR="00EB51F0" w:rsidRPr="00B6681B">
              <w:t xml:space="preserve"> 2015</w:t>
            </w:r>
          </w:p>
          <w:p w:rsidR="00EB51F0" w:rsidRPr="00B6681B" w:rsidRDefault="00EB51F0" w:rsidP="00EB51F0">
            <w:pPr>
              <w:spacing w:line="240" w:lineRule="exact"/>
            </w:pPr>
          </w:p>
          <w:p w:rsidR="00EB51F0" w:rsidRPr="00B6681B" w:rsidRDefault="00EB51F0" w:rsidP="00EB51F0">
            <w:pPr>
              <w:spacing w:line="240" w:lineRule="exact"/>
            </w:pPr>
            <w:r w:rsidRPr="00B6681B">
              <w:t>Original: English</w:t>
            </w:r>
          </w:p>
        </w:tc>
      </w:tr>
    </w:tbl>
    <w:p w:rsidR="00C16CE8" w:rsidRPr="00B6681B" w:rsidRDefault="00C16CE8" w:rsidP="00C16CE8">
      <w:pPr>
        <w:spacing w:before="120"/>
        <w:rPr>
          <w:b/>
          <w:bCs/>
          <w:szCs w:val="24"/>
        </w:rPr>
      </w:pPr>
      <w:r w:rsidRPr="00B6681B">
        <w:rPr>
          <w:b/>
          <w:bCs/>
          <w:sz w:val="24"/>
          <w:szCs w:val="24"/>
        </w:rPr>
        <w:t xml:space="preserve">Human Rights Council </w:t>
      </w:r>
      <w:r w:rsidRPr="00B6681B">
        <w:br/>
      </w:r>
      <w:r w:rsidRPr="00B6681B">
        <w:rPr>
          <w:b/>
          <w:bCs/>
          <w:szCs w:val="24"/>
        </w:rPr>
        <w:t>T</w:t>
      </w:r>
      <w:r w:rsidR="00625AD7" w:rsidRPr="00B6681B">
        <w:rPr>
          <w:b/>
          <w:bCs/>
          <w:szCs w:val="24"/>
        </w:rPr>
        <w:t>hirtieth</w:t>
      </w:r>
      <w:r w:rsidRPr="00B6681B">
        <w:rPr>
          <w:b/>
          <w:bCs/>
          <w:szCs w:val="24"/>
        </w:rPr>
        <w:t xml:space="preserve"> session</w:t>
      </w:r>
    </w:p>
    <w:p w:rsidR="00C16CE8" w:rsidRPr="00B6681B" w:rsidRDefault="00C16CE8" w:rsidP="00C16CE8">
      <w:pPr>
        <w:rPr>
          <w:szCs w:val="24"/>
        </w:rPr>
      </w:pPr>
      <w:r w:rsidRPr="00B6681B">
        <w:rPr>
          <w:szCs w:val="24"/>
        </w:rPr>
        <w:t>Agenda item 3</w:t>
      </w:r>
    </w:p>
    <w:p w:rsidR="00C16CE8" w:rsidRPr="00B6681B" w:rsidRDefault="00C16CE8" w:rsidP="00C16CE8">
      <w:pPr>
        <w:rPr>
          <w:b/>
          <w:bCs/>
        </w:rPr>
      </w:pPr>
      <w:r w:rsidRPr="00B6681B">
        <w:rPr>
          <w:b/>
          <w:bCs/>
        </w:rPr>
        <w:t xml:space="preserve">Promotion and protection of all human rights, civil, </w:t>
      </w:r>
      <w:r w:rsidRPr="00B6681B">
        <w:rPr>
          <w:b/>
          <w:bCs/>
        </w:rPr>
        <w:br/>
        <w:t xml:space="preserve">political, economic, social and cultural rights, </w:t>
      </w:r>
      <w:r w:rsidRPr="00B6681B">
        <w:rPr>
          <w:b/>
          <w:bCs/>
        </w:rPr>
        <w:br/>
        <w:t>including the right to development</w:t>
      </w:r>
    </w:p>
    <w:p w:rsidR="00D729DE" w:rsidRPr="00B6681B" w:rsidRDefault="00C16CE8" w:rsidP="00F14D66">
      <w:pPr>
        <w:pStyle w:val="HChG"/>
        <w:spacing w:before="240"/>
      </w:pPr>
      <w:r w:rsidRPr="00B6681B">
        <w:tab/>
      </w:r>
      <w:r w:rsidRPr="00B6681B">
        <w:tab/>
      </w:r>
      <w:r w:rsidR="00F14D66" w:rsidRPr="00B6681B">
        <w:t>R</w:t>
      </w:r>
      <w:r w:rsidR="009F66A5" w:rsidRPr="00B6681B">
        <w:t xml:space="preserve">eport of </w:t>
      </w:r>
      <w:r w:rsidR="005557FD" w:rsidRPr="00B6681B">
        <w:t>the Working Group on the use of</w:t>
      </w:r>
      <w:r w:rsidR="008C1265" w:rsidRPr="00B6681B">
        <w:t xml:space="preserve"> </w:t>
      </w:r>
      <w:r w:rsidR="009F66A5" w:rsidRPr="00B6681B">
        <w:t xml:space="preserve">mercenaries </w:t>
      </w:r>
      <w:r w:rsidR="00D729DE" w:rsidRPr="00B6681B">
        <w:t>as a mean</w:t>
      </w:r>
      <w:r w:rsidR="005557FD" w:rsidRPr="00B6681B">
        <w:t>s of violating human rights and </w:t>
      </w:r>
      <w:r w:rsidR="00D729DE" w:rsidRPr="00B6681B">
        <w:t xml:space="preserve">impeding the exercise of the right of peoples </w:t>
      </w:r>
      <w:r w:rsidR="005557FD" w:rsidRPr="00B6681B">
        <w:br/>
      </w:r>
      <w:proofErr w:type="gramStart"/>
      <w:r w:rsidR="00D729DE" w:rsidRPr="00B6681B">
        <w:t>to</w:t>
      </w:r>
      <w:proofErr w:type="gramEnd"/>
      <w:r w:rsidR="00D729DE" w:rsidRPr="00B6681B">
        <w:t xml:space="preserve"> self-determination</w:t>
      </w:r>
    </w:p>
    <w:p w:rsidR="00625AD7" w:rsidRPr="00B6681B" w:rsidRDefault="00337DBE" w:rsidP="00337DBE">
      <w:pPr>
        <w:pStyle w:val="H23G"/>
      </w:pPr>
      <w:r w:rsidRPr="00B6681B">
        <w:tab/>
      </w:r>
      <w:r w:rsidRPr="00B6681B">
        <w:tab/>
      </w:r>
      <w:r w:rsidR="00625AD7" w:rsidRPr="00B6681B">
        <w:t>Addendum</w:t>
      </w:r>
    </w:p>
    <w:p w:rsidR="00625AD7" w:rsidRPr="004F7CAA" w:rsidRDefault="00337DBE" w:rsidP="00D043BE">
      <w:pPr>
        <w:pStyle w:val="H1G"/>
        <w:rPr>
          <w:sz w:val="20"/>
        </w:rPr>
      </w:pPr>
      <w:r w:rsidRPr="00B6681B">
        <w:tab/>
      </w:r>
      <w:r w:rsidRPr="00B6681B">
        <w:tab/>
      </w:r>
      <w:r w:rsidR="00625AD7" w:rsidRPr="00B6681B">
        <w:t>Mission to Côte d’Ivoire (7–10 October 2014</w:t>
      </w:r>
      <w:r w:rsidR="00625AD7" w:rsidRPr="004F7CAA">
        <w:rPr>
          <w:sz w:val="20"/>
        </w:rPr>
        <w:t>)</w:t>
      </w:r>
      <w:r w:rsidR="00EB51F0" w:rsidRPr="00E77465">
        <w:rPr>
          <w:rStyle w:val="FootnoteReference"/>
          <w:b w:val="0"/>
          <w:sz w:val="20"/>
          <w:lang w:val="en-US"/>
        </w:rPr>
        <w:footnoteReference w:customMarkFollows="1" w:id="2"/>
        <w:t>*</w:t>
      </w:r>
      <w:r w:rsidR="004D637C">
        <w:rPr>
          <w:rStyle w:val="FootnoteReference"/>
          <w:b w:val="0"/>
          <w:sz w:val="20"/>
          <w:lang w:val="en-US"/>
        </w:rPr>
        <w:t xml:space="preserve"> </w:t>
      </w:r>
      <w:r w:rsidR="004D637C">
        <w:rPr>
          <w:rStyle w:val="FootnoteReference"/>
          <w:b w:val="0"/>
          <w:lang w:val="en-US"/>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F07B4" w:rsidRPr="00B6681B" w:rsidTr="00EA5CBF">
        <w:trPr>
          <w:cantSplit/>
          <w:jc w:val="center"/>
        </w:trPr>
        <w:tc>
          <w:tcPr>
            <w:tcW w:w="9637" w:type="dxa"/>
            <w:shd w:val="clear" w:color="auto" w:fill="auto"/>
          </w:tcPr>
          <w:p w:rsidR="00BF07B4" w:rsidRPr="00B6681B" w:rsidRDefault="00BF07B4" w:rsidP="00EA5CBF">
            <w:pPr>
              <w:spacing w:before="240" w:after="120"/>
              <w:ind w:left="255"/>
              <w:rPr>
                <w:i/>
                <w:sz w:val="24"/>
              </w:rPr>
            </w:pPr>
            <w:r w:rsidRPr="00B6681B">
              <w:rPr>
                <w:i/>
                <w:sz w:val="24"/>
              </w:rPr>
              <w:t>Summary</w:t>
            </w:r>
          </w:p>
        </w:tc>
      </w:tr>
      <w:tr w:rsidR="00BF07B4" w:rsidRPr="00B6681B" w:rsidTr="00EA5CBF">
        <w:trPr>
          <w:cantSplit/>
          <w:jc w:val="center"/>
        </w:trPr>
        <w:tc>
          <w:tcPr>
            <w:tcW w:w="9637" w:type="dxa"/>
            <w:tcBorders>
              <w:bottom w:val="nil"/>
            </w:tcBorders>
            <w:shd w:val="clear" w:color="auto" w:fill="auto"/>
          </w:tcPr>
          <w:p w:rsidR="00BF07B4" w:rsidRPr="00B6681B" w:rsidRDefault="00BF07B4" w:rsidP="006C1DAB">
            <w:pPr>
              <w:pStyle w:val="SingleTxtG"/>
              <w:ind w:firstLine="566"/>
            </w:pPr>
            <w:r w:rsidRPr="00B6681B">
              <w:t xml:space="preserve">The Working Group on the use of mercenaries as a means of violating human rights and impeding the exercise of the right of </w:t>
            </w:r>
            <w:r w:rsidR="00674F3E" w:rsidRPr="00B6681B">
              <w:t xml:space="preserve">peoples </w:t>
            </w:r>
            <w:r w:rsidRPr="00B6681B">
              <w:t>to self-determination visited Côte d’Ivoire from 7 to 10 October 2014 at the invitation of the Government. In accordance with its mandate, the Working Group gathered information on mercenaries and mercenary-related activities as well as the effects of the activities of private military and security companies on the enjoyment of human rights. It met with the Ivorian authorities</w:t>
            </w:r>
            <w:r w:rsidR="00B6681B">
              <w:t>,</w:t>
            </w:r>
            <w:r w:rsidRPr="00B6681B">
              <w:t xml:space="preserve"> </w:t>
            </w:r>
            <w:r w:rsidR="00B6681B">
              <w:t xml:space="preserve">as well as </w:t>
            </w:r>
            <w:r w:rsidR="00B6681B" w:rsidRPr="00625AD7">
              <w:t xml:space="preserve">representatives from </w:t>
            </w:r>
            <w:r w:rsidR="00B6681B">
              <w:t xml:space="preserve">foreign embassies and </w:t>
            </w:r>
            <w:r w:rsidR="00B6681B" w:rsidRPr="00625AD7">
              <w:t>civil society organi</w:t>
            </w:r>
            <w:r w:rsidR="00B6681B">
              <w:t>z</w:t>
            </w:r>
            <w:r w:rsidR="00B6681B" w:rsidRPr="00625AD7">
              <w:t>ations</w:t>
            </w:r>
            <w:r w:rsidR="00B6681B">
              <w:t>,</w:t>
            </w:r>
            <w:r w:rsidR="00B6681B" w:rsidRPr="00625AD7">
              <w:t xml:space="preserve"> </w:t>
            </w:r>
            <w:r w:rsidRPr="00B6681B">
              <w:t xml:space="preserve">to discuss the positive initiatives that </w:t>
            </w:r>
            <w:r w:rsidR="00BB6034" w:rsidRPr="00B6681B">
              <w:t>had</w:t>
            </w:r>
            <w:r w:rsidRPr="00B6681B">
              <w:t xml:space="preserve"> taken place since the 2002 armed conflict and the post-election crisis in 2010.</w:t>
            </w:r>
          </w:p>
        </w:tc>
      </w:tr>
      <w:tr w:rsidR="00BF07B4" w:rsidRPr="00B6681B" w:rsidTr="00EA5CBF">
        <w:trPr>
          <w:cantSplit/>
          <w:jc w:val="center"/>
        </w:trPr>
        <w:tc>
          <w:tcPr>
            <w:tcW w:w="9637" w:type="dxa"/>
            <w:tcBorders>
              <w:top w:val="nil"/>
              <w:bottom w:val="nil"/>
            </w:tcBorders>
            <w:shd w:val="clear" w:color="auto" w:fill="auto"/>
          </w:tcPr>
          <w:p w:rsidR="00BF07B4" w:rsidRPr="00B6681B" w:rsidRDefault="00BF07B4" w:rsidP="001D2EBE">
            <w:pPr>
              <w:pStyle w:val="SingleTxtG"/>
              <w:ind w:firstLine="566"/>
            </w:pPr>
            <w:r w:rsidRPr="00B6681B">
              <w:lastRenderedPageBreak/>
              <w:t xml:space="preserve">The Working Group commends the Ivorian authorities for the number of positive initiatives that have been undertaken to help move the country forward and to deal with security threats such as mercenarism. </w:t>
            </w:r>
            <w:r w:rsidR="00F46B8F" w:rsidRPr="00B6681B">
              <w:t>V</w:t>
            </w:r>
            <w:r w:rsidRPr="00B6681B">
              <w:t xml:space="preserve">arious reforms </w:t>
            </w:r>
            <w:r w:rsidR="00F46B8F" w:rsidRPr="00B6681B">
              <w:t xml:space="preserve">have been made </w:t>
            </w:r>
            <w:r w:rsidRPr="00B6681B">
              <w:t>to strengthen the security institutions</w:t>
            </w:r>
            <w:r w:rsidR="00F46B8F" w:rsidRPr="00B6681B">
              <w:t>,</w:t>
            </w:r>
            <w:r w:rsidRPr="00B6681B">
              <w:t xml:space="preserve"> </w:t>
            </w:r>
            <w:r w:rsidR="00B46B05" w:rsidRPr="00B6681B">
              <w:t xml:space="preserve">and </w:t>
            </w:r>
            <w:r w:rsidR="00BB6034" w:rsidRPr="00B6681B">
              <w:t xml:space="preserve">the </w:t>
            </w:r>
            <w:r w:rsidRPr="00B6681B">
              <w:t xml:space="preserve">Dialogue, Truth and Reconciliation Commission, </w:t>
            </w:r>
            <w:r w:rsidR="00BB6034" w:rsidRPr="00B6681B">
              <w:t xml:space="preserve">the </w:t>
            </w:r>
            <w:r w:rsidRPr="00B6681B">
              <w:t>National Commission of Inquiry and a special investigation unit focusing on receiving complaints related to the post-election crisis</w:t>
            </w:r>
            <w:r w:rsidR="00F46B8F" w:rsidRPr="00B6681B">
              <w:t xml:space="preserve"> have been established</w:t>
            </w:r>
            <w:r w:rsidRPr="00B6681B">
              <w:t xml:space="preserve">. The creation of the National Human Rights Commission has also been positive. </w:t>
            </w:r>
            <w:r w:rsidR="00BB6034" w:rsidRPr="00B6681B">
              <w:t xml:space="preserve">Furthermore, considerable efforts have been made to harmonize </w:t>
            </w:r>
            <w:r w:rsidRPr="00B6681B">
              <w:t xml:space="preserve">national legislation </w:t>
            </w:r>
            <w:r w:rsidR="00BB6034" w:rsidRPr="00B6681B">
              <w:t xml:space="preserve">in order to bring </w:t>
            </w:r>
            <w:r w:rsidR="00F46B8F" w:rsidRPr="00B6681B">
              <w:t>it</w:t>
            </w:r>
            <w:r w:rsidR="00BB6034" w:rsidRPr="00B6681B">
              <w:t xml:space="preserve"> into compliance with </w:t>
            </w:r>
            <w:r w:rsidRPr="00B6681B">
              <w:t>international human rights standards</w:t>
            </w:r>
            <w:r w:rsidR="00BB6034" w:rsidRPr="00B6681B">
              <w:t>,</w:t>
            </w:r>
            <w:r w:rsidRPr="00B6681B">
              <w:t xml:space="preserve"> including the ratification of the Rome Statute </w:t>
            </w:r>
            <w:r w:rsidR="00BB6034" w:rsidRPr="00B6681B">
              <w:t xml:space="preserve">of the International Criminal Court </w:t>
            </w:r>
            <w:r w:rsidRPr="00B6681B">
              <w:t xml:space="preserve">to strengthen </w:t>
            </w:r>
            <w:r w:rsidR="00BB6034" w:rsidRPr="00B6681B">
              <w:t xml:space="preserve">the </w:t>
            </w:r>
            <w:r w:rsidRPr="00B6681B">
              <w:t xml:space="preserve">investigation and prosecution of perpetrators </w:t>
            </w:r>
            <w:r w:rsidR="00751E50" w:rsidRPr="00B6681B">
              <w:t xml:space="preserve">of violations </w:t>
            </w:r>
            <w:r w:rsidR="00F46B8F" w:rsidRPr="00B6681B">
              <w:t>during</w:t>
            </w:r>
            <w:r w:rsidRPr="00B6681B">
              <w:t xml:space="preserve"> the post-election crisis. Efforts have also been made to address the proliferation of arms in the public </w:t>
            </w:r>
            <w:r w:rsidR="00AC6374" w:rsidRPr="00B6681B">
              <w:t>domain</w:t>
            </w:r>
            <w:r w:rsidRPr="00B6681B">
              <w:t>.</w:t>
            </w:r>
          </w:p>
        </w:tc>
      </w:tr>
      <w:tr w:rsidR="00BF07B4" w:rsidRPr="00B6681B" w:rsidTr="00EA5CBF">
        <w:trPr>
          <w:cantSplit/>
          <w:jc w:val="center"/>
        </w:trPr>
        <w:tc>
          <w:tcPr>
            <w:tcW w:w="9637" w:type="dxa"/>
            <w:tcBorders>
              <w:top w:val="nil"/>
              <w:bottom w:val="nil"/>
            </w:tcBorders>
            <w:shd w:val="clear" w:color="auto" w:fill="auto"/>
          </w:tcPr>
          <w:p w:rsidR="00BF07B4" w:rsidRPr="00B6681B" w:rsidRDefault="00BF07B4" w:rsidP="00B46B05">
            <w:pPr>
              <w:pStyle w:val="SingleTxtG"/>
              <w:ind w:firstLine="566"/>
            </w:pPr>
            <w:r w:rsidRPr="00B6681B">
              <w:t xml:space="preserve">Notwithstanding the positive initiatives made, serious human rights challenges remain. The Working Group is concerned </w:t>
            </w:r>
            <w:r w:rsidR="00B46B05" w:rsidRPr="00B6681B">
              <w:t>about</w:t>
            </w:r>
            <w:r w:rsidR="00203EA9" w:rsidRPr="00B6681B">
              <w:t xml:space="preserve"> </w:t>
            </w:r>
            <w:r w:rsidRPr="00B6681B">
              <w:t xml:space="preserve">the widespread lack of confidence in the justice system and the prevalent culture of impunity for perpetrators of human rights violations. During </w:t>
            </w:r>
            <w:r w:rsidR="00F46B8F" w:rsidRPr="00B6681B">
              <w:t>its</w:t>
            </w:r>
            <w:r w:rsidRPr="00B6681B">
              <w:t xml:space="preserve"> visit, the Working Group was informed that mercenaries </w:t>
            </w:r>
            <w:r w:rsidR="00BB6034" w:rsidRPr="00B6681B">
              <w:t xml:space="preserve">had been </w:t>
            </w:r>
            <w:r w:rsidRPr="00B6681B">
              <w:t xml:space="preserve">recruited by both sides </w:t>
            </w:r>
            <w:r w:rsidR="00F46B8F" w:rsidRPr="00B6681B">
              <w:t>to</w:t>
            </w:r>
            <w:r w:rsidRPr="00B6681B">
              <w:t xml:space="preserve"> the conflicts and </w:t>
            </w:r>
            <w:r w:rsidR="00BB6034" w:rsidRPr="00B6681B">
              <w:t xml:space="preserve">had been </w:t>
            </w:r>
            <w:r w:rsidRPr="00B6681B">
              <w:t>responsible for grave violations</w:t>
            </w:r>
            <w:r w:rsidR="00BB6034" w:rsidRPr="00B6681B">
              <w:t>,</w:t>
            </w:r>
            <w:r w:rsidRPr="00B6681B">
              <w:t xml:space="preserve"> including mass killing, rape, torture, enforced disappearance and abduction. Child</w:t>
            </w:r>
            <w:r w:rsidR="00F46B8F" w:rsidRPr="00B6681B">
              <w:t>ren</w:t>
            </w:r>
            <w:r w:rsidRPr="00B6681B">
              <w:t xml:space="preserve"> </w:t>
            </w:r>
            <w:r w:rsidR="00683D36" w:rsidRPr="00B6681B">
              <w:t>ha</w:t>
            </w:r>
            <w:r w:rsidR="00F46B8F" w:rsidRPr="00B6681B">
              <w:t>d</w:t>
            </w:r>
            <w:r w:rsidR="00683D36" w:rsidRPr="00B6681B">
              <w:t xml:space="preserve"> been </w:t>
            </w:r>
            <w:r w:rsidRPr="00B6681B">
              <w:t xml:space="preserve">recruited to fight </w:t>
            </w:r>
            <w:r w:rsidR="00BB6034" w:rsidRPr="00B6681B">
              <w:t xml:space="preserve">alongside </w:t>
            </w:r>
            <w:r w:rsidRPr="00B6681B">
              <w:t xml:space="preserve">mercenaries. Other armed perpetrators </w:t>
            </w:r>
            <w:r w:rsidR="00F46B8F" w:rsidRPr="00B6681B">
              <w:t xml:space="preserve">of violations </w:t>
            </w:r>
            <w:r w:rsidR="00683D36" w:rsidRPr="00B6681B">
              <w:t xml:space="preserve">have included </w:t>
            </w:r>
            <w:r w:rsidRPr="00B6681B">
              <w:t xml:space="preserve">local militia </w:t>
            </w:r>
            <w:r w:rsidR="00683D36" w:rsidRPr="00B6681B">
              <w:t xml:space="preserve">on </w:t>
            </w:r>
            <w:r w:rsidRPr="00B6681B">
              <w:t xml:space="preserve">both sides and </w:t>
            </w:r>
            <w:r w:rsidR="00842139" w:rsidRPr="000E16A8">
              <w:rPr>
                <w:i/>
                <w:iCs/>
                <w:lang w:val="en-US"/>
              </w:rPr>
              <w:t>dozos</w:t>
            </w:r>
            <w:r w:rsidR="00842139" w:rsidRPr="00B6681B">
              <w:rPr>
                <w:lang w:val="en-US"/>
              </w:rPr>
              <w:t xml:space="preserve"> </w:t>
            </w:r>
            <w:r w:rsidR="00B46B05" w:rsidRPr="00B6681B">
              <w:t>(</w:t>
            </w:r>
            <w:r w:rsidRPr="00B6681B">
              <w:t>traditional hunters</w:t>
            </w:r>
            <w:r w:rsidR="00B46B05" w:rsidRPr="00B6681B">
              <w:t>)</w:t>
            </w:r>
            <w:r w:rsidR="00842139" w:rsidRPr="00B6681B">
              <w:t>,</w:t>
            </w:r>
            <w:r w:rsidRPr="00B6681B">
              <w:t xml:space="preserve"> who </w:t>
            </w:r>
            <w:r w:rsidR="00683D36" w:rsidRPr="00B6681B">
              <w:t xml:space="preserve">have fought </w:t>
            </w:r>
            <w:r w:rsidRPr="00B6681B">
              <w:t xml:space="preserve">in support of the current regime. </w:t>
            </w:r>
          </w:p>
        </w:tc>
      </w:tr>
      <w:tr w:rsidR="00BF07B4" w:rsidRPr="00B6681B" w:rsidTr="00EA5CBF">
        <w:trPr>
          <w:cantSplit/>
          <w:jc w:val="center"/>
        </w:trPr>
        <w:tc>
          <w:tcPr>
            <w:tcW w:w="9637" w:type="dxa"/>
            <w:tcBorders>
              <w:top w:val="nil"/>
            </w:tcBorders>
            <w:shd w:val="clear" w:color="auto" w:fill="auto"/>
          </w:tcPr>
          <w:p w:rsidR="00BF07B4" w:rsidRPr="00B6681B" w:rsidRDefault="00BF07B4" w:rsidP="006C1DAB">
            <w:pPr>
              <w:pStyle w:val="SingleTxtG"/>
              <w:ind w:firstLine="566"/>
            </w:pPr>
            <w:r w:rsidRPr="00B6681B">
              <w:t xml:space="preserve">Despite widespread information on violations, there has been little progress in the prosecution of mercenaries or other armed actors in Côte d’Ivoire </w:t>
            </w:r>
            <w:r w:rsidR="00683D36" w:rsidRPr="00B6681B">
              <w:t xml:space="preserve">or </w:t>
            </w:r>
            <w:r w:rsidRPr="00B6681B">
              <w:t xml:space="preserve">in their countries of origin. Those </w:t>
            </w:r>
            <w:r w:rsidR="00F46B8F" w:rsidRPr="00B6681B">
              <w:t>who</w:t>
            </w:r>
            <w:r w:rsidRPr="00B6681B">
              <w:t xml:space="preserve"> have been convicted have mostly been associated with the former regime</w:t>
            </w:r>
            <w:r w:rsidR="00F46B8F" w:rsidRPr="00B6681B">
              <w:t xml:space="preserve">; </w:t>
            </w:r>
            <w:r w:rsidR="00683D36" w:rsidRPr="00B6681B">
              <w:t xml:space="preserve">there have been no </w:t>
            </w:r>
            <w:r w:rsidRPr="00B6681B">
              <w:t>convictions of perpetrators close to the current regime. The Working Group emphasi</w:t>
            </w:r>
            <w:r w:rsidR="00D61831" w:rsidRPr="00B6681B">
              <w:t>z</w:t>
            </w:r>
            <w:r w:rsidRPr="00B6681B">
              <w:t>ed the need to combat impunity and strengthen access to effective legal assistance and remedies for victims in order to achieve lasting stability and reconciliation. Political divi</w:t>
            </w:r>
            <w:r w:rsidR="00F46B8F" w:rsidRPr="00B6681B">
              <w:t>sions</w:t>
            </w:r>
            <w:r w:rsidRPr="00B6681B">
              <w:t xml:space="preserve"> and polari</w:t>
            </w:r>
            <w:r w:rsidR="00D61831" w:rsidRPr="00B6681B">
              <w:t>z</w:t>
            </w:r>
            <w:r w:rsidRPr="00B6681B">
              <w:t>ation have continued to hinder successful reconciliation and nation-building efforts.</w:t>
            </w:r>
          </w:p>
        </w:tc>
      </w:tr>
      <w:tr w:rsidR="00BF07B4" w:rsidRPr="00B6681B" w:rsidTr="00EA5CBF">
        <w:trPr>
          <w:cantSplit/>
          <w:jc w:val="center"/>
        </w:trPr>
        <w:tc>
          <w:tcPr>
            <w:tcW w:w="9637" w:type="dxa"/>
            <w:shd w:val="clear" w:color="auto" w:fill="auto"/>
          </w:tcPr>
          <w:p w:rsidR="00BF07B4" w:rsidRPr="00B6681B" w:rsidRDefault="00BF07B4" w:rsidP="001D2EBE">
            <w:pPr>
              <w:pStyle w:val="SingleTxtG"/>
              <w:ind w:firstLine="566"/>
            </w:pPr>
            <w:r w:rsidRPr="00B6681B">
              <w:t xml:space="preserve">The Working Group also looked into the activities of private security companies </w:t>
            </w:r>
            <w:r w:rsidR="00683D36" w:rsidRPr="00B6681B">
              <w:t xml:space="preserve">and </w:t>
            </w:r>
            <w:r w:rsidRPr="00B6681B">
              <w:t xml:space="preserve">the role </w:t>
            </w:r>
            <w:r w:rsidR="00683D36" w:rsidRPr="00B6681B">
              <w:t xml:space="preserve">they </w:t>
            </w:r>
            <w:r w:rsidRPr="00B6681B">
              <w:t xml:space="preserve">played during the conflicts. It noted the huge increase </w:t>
            </w:r>
            <w:r w:rsidR="001D2EBE" w:rsidRPr="00B6681B">
              <w:t>in</w:t>
            </w:r>
            <w:r w:rsidRPr="00B6681B">
              <w:t xml:space="preserve"> </w:t>
            </w:r>
            <w:r w:rsidR="00683D36" w:rsidRPr="00B6681B">
              <w:t xml:space="preserve">private security companies </w:t>
            </w:r>
            <w:r w:rsidRPr="00B6681B">
              <w:t xml:space="preserve">after the conflicts and the existence of hundreds of </w:t>
            </w:r>
            <w:r w:rsidR="003265E0" w:rsidRPr="00B6681B">
              <w:t xml:space="preserve">such companies </w:t>
            </w:r>
            <w:r w:rsidRPr="00B6681B">
              <w:t xml:space="preserve">operating </w:t>
            </w:r>
            <w:r w:rsidR="003265E0" w:rsidRPr="00B6681B">
              <w:t xml:space="preserve">illegally </w:t>
            </w:r>
            <w:r w:rsidRPr="00B6681B">
              <w:t xml:space="preserve">in the country. The proliferation of arms and the </w:t>
            </w:r>
            <w:r w:rsidR="001D2EBE" w:rsidRPr="00B6681B">
              <w:t>fact that</w:t>
            </w:r>
            <w:r w:rsidR="003265E0" w:rsidRPr="00B6681B">
              <w:t xml:space="preserve"> private security personnel </w:t>
            </w:r>
            <w:r w:rsidR="001D2EBE" w:rsidRPr="00B6681B">
              <w:t xml:space="preserve">have access </w:t>
            </w:r>
            <w:r w:rsidR="003265E0" w:rsidRPr="00B6681B">
              <w:t xml:space="preserve">to weapons are </w:t>
            </w:r>
            <w:r w:rsidR="001D2EBE" w:rsidRPr="00B6681B">
              <w:t xml:space="preserve">issues of </w:t>
            </w:r>
            <w:r w:rsidR="003265E0" w:rsidRPr="00B6681B">
              <w:t>concern</w:t>
            </w:r>
            <w:r w:rsidR="001D2EBE" w:rsidRPr="00B6681B">
              <w:t>. Weapons</w:t>
            </w:r>
            <w:r w:rsidRPr="00B6681B">
              <w:t xml:space="preserve"> need to be effectively controlled and managed. </w:t>
            </w:r>
          </w:p>
        </w:tc>
      </w:tr>
      <w:tr w:rsidR="00BF07B4" w:rsidRPr="00B6681B" w:rsidTr="00EA5CBF">
        <w:trPr>
          <w:cantSplit/>
          <w:jc w:val="center"/>
        </w:trPr>
        <w:tc>
          <w:tcPr>
            <w:tcW w:w="9637" w:type="dxa"/>
            <w:shd w:val="clear" w:color="auto" w:fill="auto"/>
          </w:tcPr>
          <w:p w:rsidR="00BF07B4" w:rsidRPr="00B6681B" w:rsidRDefault="00BF07B4" w:rsidP="006C1DAB">
            <w:pPr>
              <w:pStyle w:val="SingleTxtG"/>
              <w:ind w:firstLine="566"/>
            </w:pPr>
            <w:r w:rsidRPr="00B6681B">
              <w:t xml:space="preserve">The Working Group made recommendations, </w:t>
            </w:r>
            <w:r w:rsidR="003265E0" w:rsidRPr="00B6681B">
              <w:t xml:space="preserve">including </w:t>
            </w:r>
            <w:r w:rsidRPr="00B6681B">
              <w:t xml:space="preserve">to improve access to effective justice and remedies for victims and to end the culture of impunity by bringing perpetrators to justice regardless of their political affiliations. It urged the Government to ensure </w:t>
            </w:r>
            <w:r w:rsidR="00461CD7" w:rsidRPr="00B6681B">
              <w:t xml:space="preserve">the </w:t>
            </w:r>
            <w:r w:rsidRPr="00B6681B">
              <w:t xml:space="preserve">protection of victims and witnesses who wish to engage in the judicial process concerning the past conflicts. It recommended </w:t>
            </w:r>
            <w:r w:rsidR="00214E93" w:rsidRPr="00B6681B">
              <w:t xml:space="preserve">that the Government </w:t>
            </w:r>
            <w:r w:rsidRPr="00B6681B">
              <w:t>urgently adopt the law on human rights defenders and the law on the protection of victims and witnesses</w:t>
            </w:r>
            <w:r w:rsidR="00214E93" w:rsidRPr="00B6681B">
              <w:t>,</w:t>
            </w:r>
            <w:r w:rsidRPr="00B6681B">
              <w:t xml:space="preserve"> and </w:t>
            </w:r>
            <w:r w:rsidR="00214E93" w:rsidRPr="00B6681B">
              <w:t xml:space="preserve">that it </w:t>
            </w:r>
            <w:r w:rsidRPr="00B6681B">
              <w:t xml:space="preserve">address and counter the disturbing violence in the country involving gangs </w:t>
            </w:r>
            <w:r w:rsidR="00203EA9" w:rsidRPr="00B6681B">
              <w:t xml:space="preserve">of young people </w:t>
            </w:r>
            <w:r w:rsidRPr="00B6681B">
              <w:t xml:space="preserve">and against women and children. Regarding </w:t>
            </w:r>
            <w:r w:rsidR="00214E93" w:rsidRPr="00B6681B">
              <w:t>private security companies</w:t>
            </w:r>
            <w:r w:rsidRPr="00B6681B">
              <w:t xml:space="preserve">, </w:t>
            </w:r>
            <w:r w:rsidR="00214E93" w:rsidRPr="00B6681B">
              <w:t xml:space="preserve">the Working Group </w:t>
            </w:r>
            <w:r w:rsidRPr="00B6681B">
              <w:t>made several recommendations</w:t>
            </w:r>
            <w:r w:rsidR="00214E93" w:rsidRPr="00B6681B">
              <w:t>,</w:t>
            </w:r>
            <w:r w:rsidRPr="00B6681B">
              <w:t xml:space="preserve"> including the strengthening of oversight of operations and the establishment of redress mechanisms for victims of human rights violations. </w:t>
            </w:r>
          </w:p>
        </w:tc>
      </w:tr>
      <w:tr w:rsidR="00BF07B4" w:rsidRPr="00B6681B" w:rsidTr="00EA5CBF">
        <w:trPr>
          <w:cantSplit/>
          <w:jc w:val="center"/>
        </w:trPr>
        <w:tc>
          <w:tcPr>
            <w:tcW w:w="9637" w:type="dxa"/>
            <w:shd w:val="clear" w:color="auto" w:fill="auto"/>
          </w:tcPr>
          <w:p w:rsidR="00BF07B4" w:rsidRPr="00B6681B" w:rsidRDefault="00BF07B4" w:rsidP="00BF07B4"/>
        </w:tc>
      </w:tr>
    </w:tbl>
    <w:p w:rsidR="00337DBE" w:rsidRDefault="00370019" w:rsidP="00F14D66">
      <w:pPr>
        <w:pStyle w:val="HChG"/>
        <w:rPr>
          <w:lang w:val="en-US"/>
        </w:rPr>
      </w:pPr>
      <w:r w:rsidRPr="00B6681B">
        <w:rPr>
          <w:lang w:val="en-US"/>
        </w:rPr>
        <w:br w:type="page"/>
      </w:r>
      <w:r w:rsidR="00337DBE" w:rsidRPr="00B6681B">
        <w:rPr>
          <w:lang w:val="en-US"/>
        </w:rPr>
        <w:lastRenderedPageBreak/>
        <w:t>Annex</w:t>
      </w:r>
    </w:p>
    <w:p w:rsidR="007F66FA" w:rsidRPr="00E77465" w:rsidRDefault="007F66FA" w:rsidP="007F66FA">
      <w:pPr>
        <w:pStyle w:val="H4G"/>
        <w:tabs>
          <w:tab w:val="left" w:pos="8505"/>
          <w:tab w:val="left" w:pos="9072"/>
        </w:tabs>
        <w:ind w:right="0"/>
        <w:jc w:val="right"/>
        <w:rPr>
          <w:iCs/>
          <w:lang w:val="en-US"/>
        </w:rPr>
      </w:pPr>
      <w:r w:rsidRPr="00E77465">
        <w:rPr>
          <w:iCs/>
          <w:lang w:val="en-US"/>
        </w:rPr>
        <w:t>[English and French only]</w:t>
      </w:r>
    </w:p>
    <w:p w:rsidR="00337DBE" w:rsidRPr="00B6681B" w:rsidRDefault="00337DBE" w:rsidP="006F2CC3">
      <w:pPr>
        <w:pStyle w:val="HChG"/>
        <w:rPr>
          <w:i/>
          <w:lang w:val="en-US"/>
        </w:rPr>
      </w:pPr>
      <w:r w:rsidRPr="00B6681B">
        <w:tab/>
      </w:r>
      <w:r w:rsidRPr="00B6681B">
        <w:tab/>
      </w:r>
      <w:r w:rsidR="00D043BE" w:rsidRPr="00B6681B">
        <w:t>R</w:t>
      </w:r>
      <w:r w:rsidRPr="00B6681B">
        <w:t>eport of the Working Group on the use of mercenaries as a means of violating human rights and impeding the exercise of the right of peoples</w:t>
      </w:r>
      <w:r w:rsidR="006F2CC3" w:rsidRPr="00B6681B">
        <w:t xml:space="preserve"> </w:t>
      </w:r>
      <w:r w:rsidRPr="00B6681B">
        <w:t>to self-determination</w:t>
      </w:r>
      <w:r w:rsidR="00D043BE" w:rsidRPr="00B6681B">
        <w:t xml:space="preserve"> on its mission to Côte d’Ivoire (7–10 October 2014)</w:t>
      </w:r>
    </w:p>
    <w:p w:rsidR="00370019" w:rsidRPr="004F7CAA" w:rsidRDefault="00370019" w:rsidP="00370019">
      <w:pPr>
        <w:spacing w:after="120"/>
        <w:rPr>
          <w:sz w:val="28"/>
        </w:rPr>
      </w:pPr>
      <w:r w:rsidRPr="004F7CAA">
        <w:rPr>
          <w:sz w:val="28"/>
        </w:rPr>
        <w:t>Contents</w:t>
      </w:r>
    </w:p>
    <w:p w:rsidR="00452615" w:rsidRPr="004F7CAA" w:rsidRDefault="00452615" w:rsidP="00F14D66">
      <w:pPr>
        <w:tabs>
          <w:tab w:val="right" w:pos="8929"/>
          <w:tab w:val="right" w:pos="9638"/>
        </w:tabs>
        <w:spacing w:after="120"/>
        <w:ind w:left="283"/>
      </w:pPr>
      <w:r w:rsidRPr="004F7CAA">
        <w:rPr>
          <w:i/>
          <w:sz w:val="18"/>
        </w:rPr>
        <w:tab/>
      </w:r>
      <w:r w:rsidRPr="004F7CAA">
        <w:rPr>
          <w:i/>
          <w:sz w:val="18"/>
        </w:rPr>
        <w:tab/>
        <w:t>Page</w:t>
      </w:r>
    </w:p>
    <w:p w:rsidR="00452615" w:rsidRPr="004F7CAA" w:rsidRDefault="00452615" w:rsidP="00EB51F0">
      <w:pPr>
        <w:tabs>
          <w:tab w:val="right" w:pos="850"/>
          <w:tab w:val="left" w:pos="1134"/>
          <w:tab w:val="left" w:pos="1559"/>
          <w:tab w:val="left" w:pos="1984"/>
          <w:tab w:val="left" w:leader="dot" w:pos="8931"/>
          <w:tab w:val="right" w:pos="9638"/>
        </w:tabs>
        <w:spacing w:after="120"/>
      </w:pPr>
      <w:r w:rsidRPr="004F7CAA">
        <w:tab/>
        <w:t>I.</w:t>
      </w:r>
      <w:r w:rsidRPr="004F7CAA">
        <w:tab/>
        <w:t>Introduction</w:t>
      </w:r>
      <w:r w:rsidRPr="004F7CAA">
        <w:tab/>
      </w:r>
      <w:r w:rsidRPr="004F7CAA">
        <w:tab/>
        <w:t>4</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4F7CAA">
        <w:tab/>
      </w:r>
      <w:r w:rsidRPr="00EB51F0">
        <w:t>II.</w:t>
      </w:r>
      <w:r w:rsidRPr="00EB51F0">
        <w:tab/>
        <w:t>Legal framework</w:t>
      </w:r>
      <w:r w:rsidRPr="00EB51F0">
        <w:tab/>
      </w:r>
      <w:r w:rsidRPr="00EB51F0">
        <w:tab/>
        <w:t>5</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III.</w:t>
      </w:r>
      <w:r w:rsidRPr="00EB51F0">
        <w:tab/>
        <w:t>Historical context: 2002 and 2010 armed conflicts</w:t>
      </w:r>
      <w:r w:rsidRPr="00EB51F0">
        <w:tab/>
      </w:r>
      <w:r w:rsidRPr="00EB51F0">
        <w:tab/>
        <w:t>5</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IV.</w:t>
      </w:r>
      <w:r w:rsidRPr="00EB51F0">
        <w:tab/>
        <w:t>Mercenarism and human rights violations</w:t>
      </w:r>
      <w:r w:rsidRPr="00EB51F0">
        <w:tab/>
      </w:r>
      <w:r w:rsidRPr="00EB51F0">
        <w:tab/>
        <w:t>6</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V.</w:t>
      </w:r>
      <w:r w:rsidRPr="00EB51F0">
        <w:tab/>
        <w:t>Positive initiatives</w:t>
      </w:r>
      <w:r w:rsidRPr="00EB51F0">
        <w:tab/>
      </w:r>
      <w:r w:rsidRPr="00EB51F0">
        <w:tab/>
        <w:t>7</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VI.</w:t>
      </w:r>
      <w:r w:rsidRPr="00EB51F0">
        <w:tab/>
        <w:t>Ongoing challenge</w:t>
      </w:r>
      <w:r w:rsidR="007F66FA" w:rsidRPr="00EB51F0">
        <w:t>s to national stability</w:t>
      </w:r>
      <w:r w:rsidR="007F66FA" w:rsidRPr="00EB51F0">
        <w:tab/>
      </w:r>
      <w:r w:rsidR="007F66FA" w:rsidRPr="00EB51F0">
        <w:tab/>
        <w:t>7</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r>
      <w:r w:rsidRPr="00EB51F0">
        <w:tab/>
        <w:t>A.</w:t>
      </w:r>
      <w:r w:rsidRPr="00EB51F0">
        <w:tab/>
        <w:t>Impunity and lack of accountability</w:t>
      </w:r>
      <w:r w:rsidRPr="00EB51F0">
        <w:tab/>
      </w:r>
      <w:r w:rsidRPr="00EB51F0">
        <w:tab/>
        <w:t>8</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r>
      <w:r w:rsidRPr="00EB51F0">
        <w:tab/>
        <w:t>B.</w:t>
      </w:r>
      <w:r w:rsidRPr="00EB51F0">
        <w:tab/>
        <w:t>Lack of access to justice and remedies for victims</w:t>
      </w:r>
      <w:r w:rsidRPr="00EB51F0">
        <w:tab/>
      </w:r>
      <w:r w:rsidRPr="00EB51F0">
        <w:tab/>
        <w:t>9</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r>
      <w:r w:rsidRPr="00EB51F0">
        <w:tab/>
        <w:t>C.</w:t>
      </w:r>
      <w:r w:rsidRPr="00EB51F0">
        <w:tab/>
        <w:t xml:space="preserve">Threats to lasting </w:t>
      </w:r>
      <w:r w:rsidR="00D61831" w:rsidRPr="00EB51F0">
        <w:t xml:space="preserve">national </w:t>
      </w:r>
      <w:r w:rsidRPr="00EB51F0">
        <w:t>reconciliation and security</w:t>
      </w:r>
      <w:r w:rsidRPr="00EB51F0">
        <w:tab/>
      </w:r>
      <w:r w:rsidRPr="00EB51F0">
        <w:tab/>
        <w:t>10</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VII.</w:t>
      </w:r>
      <w:r w:rsidRPr="00EB51F0">
        <w:tab/>
        <w:t>Private security companies</w:t>
      </w:r>
      <w:r w:rsidRPr="00EB51F0">
        <w:tab/>
      </w:r>
      <w:r w:rsidRPr="00EB51F0">
        <w:tab/>
        <w:t>14</w:t>
      </w:r>
    </w:p>
    <w:p w:rsidR="00452615" w:rsidRPr="00EB51F0" w:rsidRDefault="00452615" w:rsidP="00EB51F0">
      <w:pPr>
        <w:tabs>
          <w:tab w:val="right" w:pos="850"/>
          <w:tab w:val="left" w:pos="1134"/>
          <w:tab w:val="left" w:pos="1559"/>
          <w:tab w:val="left" w:pos="1984"/>
          <w:tab w:val="left" w:leader="dot" w:pos="8931"/>
          <w:tab w:val="right" w:pos="9638"/>
        </w:tabs>
        <w:spacing w:after="120"/>
      </w:pPr>
      <w:r w:rsidRPr="00EB51F0">
        <w:tab/>
        <w:t>VIII.</w:t>
      </w:r>
      <w:r w:rsidRPr="00EB51F0">
        <w:tab/>
        <w:t>Conclusion and recommendations</w:t>
      </w:r>
      <w:r w:rsidRPr="00EB51F0">
        <w:tab/>
      </w:r>
      <w:r w:rsidRPr="00EB51F0">
        <w:tab/>
        <w:t>16</w:t>
      </w:r>
    </w:p>
    <w:p w:rsidR="00C16CE8" w:rsidRPr="00B6681B" w:rsidRDefault="00337DBE" w:rsidP="00337DBE">
      <w:pPr>
        <w:pStyle w:val="HChG"/>
        <w:rPr>
          <w:lang w:val="en-US"/>
        </w:rPr>
      </w:pPr>
      <w:r w:rsidRPr="00B6681B">
        <w:rPr>
          <w:sz w:val="24"/>
          <w:szCs w:val="24"/>
        </w:rPr>
        <w:br w:type="page"/>
      </w:r>
      <w:r w:rsidR="00D74298" w:rsidRPr="00B6681B">
        <w:rPr>
          <w:lang w:val="en-US"/>
        </w:rPr>
        <w:tab/>
      </w:r>
      <w:r w:rsidR="00C16CE8" w:rsidRPr="00B6681B">
        <w:rPr>
          <w:lang w:val="en-US"/>
        </w:rPr>
        <w:t>I.</w:t>
      </w:r>
      <w:r w:rsidR="00C16CE8" w:rsidRPr="00B6681B">
        <w:rPr>
          <w:lang w:val="en-US"/>
        </w:rPr>
        <w:tab/>
        <w:t>Introduction</w:t>
      </w:r>
    </w:p>
    <w:p w:rsidR="00625AD7" w:rsidRPr="00B6681B" w:rsidRDefault="00625AD7" w:rsidP="000E16A8">
      <w:pPr>
        <w:pStyle w:val="SingleTxtG"/>
        <w:numPr>
          <w:ilvl w:val="0"/>
          <w:numId w:val="24"/>
        </w:numPr>
        <w:ind w:left="1134" w:firstLine="0"/>
      </w:pPr>
      <w:r w:rsidRPr="00B6681B">
        <w:t xml:space="preserve">The Working Group on the use of mercenaries as a means of violating human rights and impeding the exercise of the right of </w:t>
      </w:r>
      <w:r w:rsidR="00674F3E" w:rsidRPr="00B6681B">
        <w:t xml:space="preserve">peoples </w:t>
      </w:r>
      <w:r w:rsidRPr="00B6681B">
        <w:t>to self-determination visited Côte d’Ivoire from 7 to 10 October 2014. The visit was conducted at the invitation of the Government. In accordance with its general practice, the visit</w:t>
      </w:r>
      <w:r w:rsidR="006C1DAB" w:rsidRPr="00B6681B">
        <w:t>ing</w:t>
      </w:r>
      <w:r w:rsidRPr="00B6681B">
        <w:t xml:space="preserve"> delegation </w:t>
      </w:r>
      <w:r w:rsidR="006C1DAB" w:rsidRPr="00B6681B">
        <w:t>comprised</w:t>
      </w:r>
      <w:r w:rsidRPr="00B6681B">
        <w:t xml:space="preserve"> two members of the Working Group </w:t>
      </w:r>
      <w:r w:rsidR="006C1DAB" w:rsidRPr="00B6681B">
        <w:t>(</w:t>
      </w:r>
      <w:r w:rsidRPr="00B6681B">
        <w:t>Patricia Arias</w:t>
      </w:r>
      <w:r w:rsidR="006C1DAB" w:rsidRPr="00B6681B">
        <w:t>,</w:t>
      </w:r>
      <w:r w:rsidRPr="00B6681B">
        <w:t xml:space="preserve"> </w:t>
      </w:r>
      <w:r w:rsidR="006C1DAB" w:rsidRPr="00B6681B">
        <w:t xml:space="preserve">as </w:t>
      </w:r>
      <w:r w:rsidRPr="00B6681B">
        <w:t>Chairperson-Rapporteur for 2014</w:t>
      </w:r>
      <w:r w:rsidR="006C1DAB" w:rsidRPr="00B6681B">
        <w:t>,</w:t>
      </w:r>
      <w:r w:rsidRPr="00B6681B">
        <w:t xml:space="preserve"> and Anton Katz</w:t>
      </w:r>
      <w:r w:rsidR="006C1DAB" w:rsidRPr="00B6681B">
        <w:t xml:space="preserve">), as well as </w:t>
      </w:r>
      <w:r w:rsidRPr="00B6681B">
        <w:t xml:space="preserve">staff of the Office of the </w:t>
      </w:r>
      <w:r w:rsidR="00674F3E" w:rsidRPr="00B6681B">
        <w:t xml:space="preserve">United Nations </w:t>
      </w:r>
      <w:r w:rsidRPr="00B6681B">
        <w:t>High Commissioner for Human Rights and United Nations interpreters. The visit was organi</w:t>
      </w:r>
      <w:r w:rsidR="00D61831" w:rsidRPr="00B6681B">
        <w:t>z</w:t>
      </w:r>
      <w:r w:rsidRPr="00B6681B">
        <w:t xml:space="preserve">ed with the assistance and support </w:t>
      </w:r>
      <w:r w:rsidR="00203EA9" w:rsidRPr="00B6681B">
        <w:t xml:space="preserve">of </w:t>
      </w:r>
      <w:r w:rsidRPr="00B6681B">
        <w:t xml:space="preserve">staff of the United Nations </w:t>
      </w:r>
      <w:r w:rsidR="00674F3E" w:rsidRPr="00B6681B">
        <w:t xml:space="preserve">Operation in </w:t>
      </w:r>
      <w:r w:rsidRPr="00B6681B">
        <w:t>Côte d’Ivoire (UNOCI).</w:t>
      </w:r>
    </w:p>
    <w:p w:rsidR="00625AD7" w:rsidRPr="00B6681B" w:rsidRDefault="00625AD7" w:rsidP="000E16A8">
      <w:pPr>
        <w:pStyle w:val="SingleTxtG"/>
        <w:numPr>
          <w:ilvl w:val="0"/>
          <w:numId w:val="24"/>
        </w:numPr>
        <w:ind w:left="1134" w:firstLine="0"/>
      </w:pPr>
      <w:r w:rsidRPr="00B6681B">
        <w:t>Pursuant to Commission on Human Rights resolution 2005/2 and Human Rights Council resolutions 24/13 and 27/17, the Working Group monitor</w:t>
      </w:r>
      <w:r w:rsidR="006C1DAB" w:rsidRPr="00B6681B">
        <w:t>s</w:t>
      </w:r>
      <w:r w:rsidRPr="00B6681B">
        <w:t xml:space="preserve"> mercenaries and mercenary-related activities in all their forms and manifestations in different parts of the world </w:t>
      </w:r>
      <w:r w:rsidR="00674F3E" w:rsidRPr="00B6681B">
        <w:t xml:space="preserve">and </w:t>
      </w:r>
      <w:r w:rsidRPr="00B6681B">
        <w:t>stud</w:t>
      </w:r>
      <w:r w:rsidR="006C1DAB" w:rsidRPr="00B6681B">
        <w:t>ies</w:t>
      </w:r>
      <w:r w:rsidRPr="00B6681B">
        <w:t xml:space="preserve"> the effects of the activities of private companies offering military assistance, </w:t>
      </w:r>
      <w:r w:rsidR="00674F3E" w:rsidRPr="00B6681B">
        <w:t xml:space="preserve">consulting </w:t>
      </w:r>
      <w:r w:rsidRPr="00B6681B">
        <w:t>and security services on the international market on the enjoyment of human rights, particularly the right to self-determination.</w:t>
      </w:r>
      <w:r w:rsidR="007474E8" w:rsidRPr="00B6681B">
        <w:t xml:space="preserve"> </w:t>
      </w:r>
    </w:p>
    <w:p w:rsidR="00625AD7" w:rsidRPr="00B6681B" w:rsidRDefault="00625AD7" w:rsidP="000E16A8">
      <w:pPr>
        <w:pStyle w:val="SingleTxtG"/>
        <w:numPr>
          <w:ilvl w:val="0"/>
          <w:numId w:val="24"/>
        </w:numPr>
        <w:ind w:left="1134" w:firstLine="0"/>
      </w:pPr>
      <w:r w:rsidRPr="00B6681B">
        <w:t xml:space="preserve">In the present report, the Working Group uses the term “mercenary” as </w:t>
      </w:r>
      <w:r w:rsidR="004A3BA8" w:rsidRPr="00B6681B">
        <w:t xml:space="preserve">it is </w:t>
      </w:r>
      <w:r w:rsidRPr="00B6681B">
        <w:t>defined in article</w:t>
      </w:r>
      <w:r w:rsidR="00BB6034" w:rsidRPr="00B6681B">
        <w:t> </w:t>
      </w:r>
      <w:r w:rsidRPr="00B6681B">
        <w:t xml:space="preserve">1 of the International Convention against the Recruitment, Use, Financing and Training of Mercenaries, namely, </w:t>
      </w:r>
      <w:r w:rsidR="004A3BA8" w:rsidRPr="00B6681B">
        <w:t xml:space="preserve">to describe </w:t>
      </w:r>
      <w:r w:rsidRPr="00B6681B">
        <w:t>any person who</w:t>
      </w:r>
      <w:r w:rsidR="004A3BA8" w:rsidRPr="00B6681B">
        <w:t>:</w:t>
      </w:r>
      <w:r w:rsidRPr="00B6681B">
        <w:t xml:space="preserve"> (a)</w:t>
      </w:r>
      <w:r w:rsidR="00BF07B4" w:rsidRPr="00B6681B">
        <w:t> </w:t>
      </w:r>
      <w:r w:rsidRPr="00B6681B">
        <w:t xml:space="preserve">is </w:t>
      </w:r>
      <w:r w:rsidR="00674F3E" w:rsidRPr="00B6681B">
        <w:t xml:space="preserve">specially </w:t>
      </w:r>
      <w:r w:rsidRPr="00B6681B">
        <w:t>recruited locally or abroad in order to fight in an armed conflict; (b)</w:t>
      </w:r>
      <w:r w:rsidR="00BF07B4" w:rsidRPr="00B6681B">
        <w:t> </w:t>
      </w:r>
      <w:r w:rsidRPr="00B6681B">
        <w:t>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 (c)</w:t>
      </w:r>
      <w:r w:rsidR="00BF07B4" w:rsidRPr="00B6681B">
        <w:t> </w:t>
      </w:r>
      <w:r w:rsidRPr="00B6681B">
        <w:t>is neither a national of a party to the conflict nor a resident of territory controlled by a party to the conflict; (d)</w:t>
      </w:r>
      <w:r w:rsidR="00BF07B4" w:rsidRPr="00B6681B">
        <w:t> </w:t>
      </w:r>
      <w:r w:rsidRPr="00B6681B">
        <w:t>is not a member of the armed forces of a party to the conflict; and (e)</w:t>
      </w:r>
      <w:r w:rsidR="00BF07B4" w:rsidRPr="00B6681B">
        <w:t> </w:t>
      </w:r>
      <w:r w:rsidRPr="00B6681B">
        <w:t>has not been sent by a State which is not a party to the conflict on official duty as a member of its armed forces.</w:t>
      </w:r>
    </w:p>
    <w:p w:rsidR="00625AD7" w:rsidRPr="00B6681B" w:rsidRDefault="00625AD7" w:rsidP="000E16A8">
      <w:pPr>
        <w:pStyle w:val="SingleTxtG"/>
        <w:numPr>
          <w:ilvl w:val="0"/>
          <w:numId w:val="24"/>
        </w:numPr>
        <w:ind w:left="1134" w:firstLine="0"/>
      </w:pPr>
      <w:r w:rsidRPr="00B6681B">
        <w:t>The right to self-determination is recogni</w:t>
      </w:r>
      <w:r w:rsidR="00D61831" w:rsidRPr="00B6681B">
        <w:t>z</w:t>
      </w:r>
      <w:r w:rsidRPr="00B6681B">
        <w:t>ed in Article</w:t>
      </w:r>
      <w:r w:rsidR="00BB6034" w:rsidRPr="00B6681B">
        <w:t> </w:t>
      </w:r>
      <w:r w:rsidRPr="00B6681B">
        <w:t>1</w:t>
      </w:r>
      <w:r w:rsidR="008E66C3" w:rsidRPr="00B6681B">
        <w:t xml:space="preserve"> </w:t>
      </w:r>
      <w:r w:rsidR="004A3BA8" w:rsidRPr="00B6681B">
        <w:t>(</w:t>
      </w:r>
      <w:r w:rsidRPr="00B6681B">
        <w:t>2</w:t>
      </w:r>
      <w:r w:rsidR="004A3BA8" w:rsidRPr="00B6681B">
        <w:t>)</w:t>
      </w:r>
      <w:r w:rsidRPr="00B6681B">
        <w:t xml:space="preserve"> of the </w:t>
      </w:r>
      <w:r w:rsidR="00BB6034" w:rsidRPr="00B6681B">
        <w:t xml:space="preserve">Charter of the United Nations </w:t>
      </w:r>
      <w:r w:rsidRPr="00B6681B">
        <w:t xml:space="preserve">as a fundamental principle and necessary for the achievement of universal peace. </w:t>
      </w:r>
      <w:r w:rsidR="00041C33" w:rsidRPr="00B6681B">
        <w:t>The International Covenant on Civil and Political Rights and the International Covenant on Economic, Social and Cultural Rights,</w:t>
      </w:r>
      <w:r w:rsidRPr="00B6681B">
        <w:t xml:space="preserve"> which Côte d’Ivoire has ratified</w:t>
      </w:r>
      <w:r w:rsidR="00041C33" w:rsidRPr="00B6681B">
        <w:t>,</w:t>
      </w:r>
      <w:r w:rsidRPr="00B6681B">
        <w:t xml:space="preserve"> also </w:t>
      </w:r>
      <w:r w:rsidR="00041C33" w:rsidRPr="00B6681B">
        <w:t xml:space="preserve">recognize </w:t>
      </w:r>
      <w:r w:rsidRPr="00B6681B">
        <w:t xml:space="preserve">that all peoples have the right to self-determination and </w:t>
      </w:r>
      <w:r w:rsidR="00041C33" w:rsidRPr="00B6681B">
        <w:t xml:space="preserve">that, </w:t>
      </w:r>
      <w:r w:rsidRPr="00B6681B">
        <w:t xml:space="preserve">by virtue of that right, </w:t>
      </w:r>
      <w:r w:rsidR="00041C33" w:rsidRPr="00B6681B">
        <w:t xml:space="preserve">they </w:t>
      </w:r>
      <w:r w:rsidRPr="00B6681B">
        <w:t>freely determine their political status and freely purs</w:t>
      </w:r>
      <w:r w:rsidR="004A3BA8" w:rsidRPr="00B6681B">
        <w:t>u</w:t>
      </w:r>
      <w:r w:rsidRPr="00B6681B">
        <w:t xml:space="preserve">e their economic, social and cultural development. The African Charter </w:t>
      </w:r>
      <w:r w:rsidR="00041C33" w:rsidRPr="00B6681B">
        <w:t xml:space="preserve">on </w:t>
      </w:r>
      <w:r w:rsidRPr="00B6681B">
        <w:t xml:space="preserve">Human </w:t>
      </w:r>
      <w:r w:rsidR="00041C33" w:rsidRPr="00B6681B">
        <w:t xml:space="preserve">and Peoplesʼ </w:t>
      </w:r>
      <w:r w:rsidRPr="00B6681B">
        <w:t>Rights refers to the right to self-determination as “unquestionable and inalienable”</w:t>
      </w:r>
      <w:r w:rsidR="00041C33" w:rsidRPr="00B6681B">
        <w:t>.</w:t>
      </w:r>
      <w:r w:rsidRPr="00B6681B">
        <w:t xml:space="preserve"> The Working Group has consistently recogni</w:t>
      </w:r>
      <w:r w:rsidR="00D61831" w:rsidRPr="00B6681B">
        <w:t>z</w:t>
      </w:r>
      <w:r w:rsidRPr="00B6681B">
        <w:t xml:space="preserve">ed that mercenarism and mercenary-related activities pose grave threats to the right of peoples </w:t>
      </w:r>
      <w:r w:rsidR="00041C33" w:rsidRPr="00B6681B">
        <w:t xml:space="preserve">to self-determination and to </w:t>
      </w:r>
      <w:r w:rsidRPr="00B6681B">
        <w:t>the peace and security of developing countries</w:t>
      </w:r>
      <w:r w:rsidR="00041C33" w:rsidRPr="00B6681B">
        <w:t>,</w:t>
      </w:r>
      <w:r w:rsidRPr="00B6681B">
        <w:t xml:space="preserve"> particularly in Africa and in small States.</w:t>
      </w:r>
      <w:r w:rsidR="007474E8" w:rsidRPr="00B6681B">
        <w:t xml:space="preserve"> </w:t>
      </w:r>
    </w:p>
    <w:p w:rsidR="00625AD7" w:rsidRPr="00B6681B" w:rsidRDefault="00625AD7" w:rsidP="000E16A8">
      <w:pPr>
        <w:pStyle w:val="SingleTxtG"/>
        <w:numPr>
          <w:ilvl w:val="0"/>
          <w:numId w:val="24"/>
        </w:numPr>
        <w:ind w:left="1134" w:firstLine="0"/>
      </w:pPr>
      <w:r w:rsidRPr="00B6681B">
        <w:t xml:space="preserve">In the present report, a private military and/or security company is understood </w:t>
      </w:r>
      <w:r w:rsidR="008E684A" w:rsidRPr="00B6681B">
        <w:t xml:space="preserve">to be </w:t>
      </w:r>
      <w:r w:rsidRPr="00B6681B">
        <w:t xml:space="preserve">a corporate entity </w:t>
      </w:r>
      <w:r w:rsidR="008E684A" w:rsidRPr="00B6681B">
        <w:t xml:space="preserve">that </w:t>
      </w:r>
      <w:r w:rsidRPr="00B6681B">
        <w:t>provides</w:t>
      </w:r>
      <w:r w:rsidR="004A3BA8" w:rsidRPr="00B6681B">
        <w:t>,</w:t>
      </w:r>
      <w:r w:rsidRPr="00B6681B">
        <w:t xml:space="preserve"> on a compensatory basis</w:t>
      </w:r>
      <w:r w:rsidR="004A3BA8" w:rsidRPr="00B6681B">
        <w:t>,</w:t>
      </w:r>
      <w:r w:rsidRPr="00B6681B">
        <w:t xml:space="preserve"> military and/or security services by physical persons and/or legal entities</w:t>
      </w:r>
      <w:r w:rsidR="00BF07B4" w:rsidRPr="00B6681B">
        <w:t>.</w:t>
      </w:r>
    </w:p>
    <w:p w:rsidR="00625AD7" w:rsidRPr="00B6681B" w:rsidRDefault="00625AD7" w:rsidP="000E16A8">
      <w:pPr>
        <w:pStyle w:val="SingleTxtG"/>
        <w:numPr>
          <w:ilvl w:val="0"/>
          <w:numId w:val="24"/>
        </w:numPr>
        <w:ind w:left="1134" w:firstLine="0"/>
      </w:pPr>
      <w:r w:rsidRPr="00B6681B">
        <w:t xml:space="preserve">During its visit, the Working Group was not able to travel outside of Abidjan to the </w:t>
      </w:r>
      <w:r w:rsidR="008E684A" w:rsidRPr="00B6681B">
        <w:t xml:space="preserve">areas bordering </w:t>
      </w:r>
      <w:r w:rsidRPr="00B6681B">
        <w:t xml:space="preserve">Liberia </w:t>
      </w:r>
      <w:r w:rsidR="008E684A" w:rsidRPr="00B6681B">
        <w:t xml:space="preserve">or to </w:t>
      </w:r>
      <w:r w:rsidRPr="00B6681B">
        <w:t>other provinces where armed attacks by mercenaries had taken place</w:t>
      </w:r>
      <w:r w:rsidR="008E684A" w:rsidRPr="00B6681B">
        <w:t>,</w:t>
      </w:r>
      <w:r w:rsidRPr="00B6681B">
        <w:t xml:space="preserve"> </w:t>
      </w:r>
      <w:r w:rsidR="008E684A" w:rsidRPr="00B6681B">
        <w:t xml:space="preserve">owing </w:t>
      </w:r>
      <w:r w:rsidRPr="00B6681B">
        <w:t xml:space="preserve">to the </w:t>
      </w:r>
      <w:r w:rsidR="008E684A" w:rsidRPr="00B6681B">
        <w:t>E</w:t>
      </w:r>
      <w:r w:rsidRPr="00B6681B">
        <w:t xml:space="preserve">bola crisis in the </w:t>
      </w:r>
      <w:r w:rsidR="00A219C4" w:rsidRPr="00B6681B">
        <w:t>region</w:t>
      </w:r>
      <w:r w:rsidRPr="00B6681B">
        <w:t xml:space="preserve">. </w:t>
      </w:r>
    </w:p>
    <w:p w:rsidR="00625AD7" w:rsidRPr="00B6681B" w:rsidRDefault="00625AD7" w:rsidP="000E16A8">
      <w:pPr>
        <w:pStyle w:val="SingleTxtG"/>
        <w:numPr>
          <w:ilvl w:val="0"/>
          <w:numId w:val="24"/>
        </w:numPr>
        <w:ind w:left="1134" w:firstLine="0"/>
      </w:pPr>
      <w:r w:rsidRPr="00B6681B">
        <w:t xml:space="preserve">In Abidjan, the delegation was able to meet with the following representatives from the executive, legislative and judiciary branches of the State: </w:t>
      </w:r>
      <w:r w:rsidR="008E684A" w:rsidRPr="00B6681B">
        <w:t xml:space="preserve">the </w:t>
      </w:r>
      <w:r w:rsidRPr="00B6681B">
        <w:t xml:space="preserve">Minister to the President in charge of defence; the Minister of </w:t>
      </w:r>
      <w:r w:rsidR="008E684A" w:rsidRPr="00B6681B">
        <w:t xml:space="preserve">the </w:t>
      </w:r>
      <w:r w:rsidRPr="00B6681B">
        <w:t xml:space="preserve">Interior; </w:t>
      </w:r>
      <w:r w:rsidR="008E684A" w:rsidRPr="00B6681B">
        <w:t xml:space="preserve">the </w:t>
      </w:r>
      <w:r w:rsidRPr="00B6681B">
        <w:t xml:space="preserve">Director of Security within the Ministry of </w:t>
      </w:r>
      <w:r w:rsidR="008E684A" w:rsidRPr="00B6681B">
        <w:t xml:space="preserve">the </w:t>
      </w:r>
      <w:r w:rsidRPr="00B6681B">
        <w:t xml:space="preserve">Interior; staff from the Ministry of Foreign Affairs and the Ministry of Justice, Human Rights and Public Freedoms; </w:t>
      </w:r>
      <w:r w:rsidR="008E684A" w:rsidRPr="00B6681B">
        <w:t xml:space="preserve">the </w:t>
      </w:r>
      <w:r w:rsidRPr="00B6681B">
        <w:t xml:space="preserve">Prosecutor of the Court of </w:t>
      </w:r>
      <w:r w:rsidR="004A3BA8" w:rsidRPr="00B6681B">
        <w:t xml:space="preserve">First Instance of </w:t>
      </w:r>
      <w:r w:rsidRPr="00B6681B">
        <w:t xml:space="preserve">Abidjan; </w:t>
      </w:r>
      <w:r w:rsidR="008E684A" w:rsidRPr="00B6681B">
        <w:t xml:space="preserve">the </w:t>
      </w:r>
      <w:r w:rsidRPr="00B6681B">
        <w:t xml:space="preserve">Prosecutor General at the Court of Appeal of Abidjan; representatives of the National Assembly; </w:t>
      </w:r>
      <w:r w:rsidR="008E684A" w:rsidRPr="00B6681B">
        <w:t xml:space="preserve">the </w:t>
      </w:r>
      <w:r w:rsidRPr="00B6681B">
        <w:t xml:space="preserve">Director of the Authority </w:t>
      </w:r>
      <w:r w:rsidR="00C6564C" w:rsidRPr="00B6681B">
        <w:t xml:space="preserve">on </w:t>
      </w:r>
      <w:r w:rsidRPr="00B6681B">
        <w:t xml:space="preserve">Disarmament, Demobilization and Reintegration of former combatants; </w:t>
      </w:r>
      <w:r w:rsidR="008E684A" w:rsidRPr="00B6681B">
        <w:t xml:space="preserve">the </w:t>
      </w:r>
      <w:r w:rsidRPr="00B6681B">
        <w:t xml:space="preserve">General Controller of the </w:t>
      </w:r>
      <w:r w:rsidR="00C20943" w:rsidRPr="000E16A8">
        <w:t>National Commission to Combat the Proliferation and Illegal Movement of Small Arms and Light Weapons</w:t>
      </w:r>
      <w:r w:rsidRPr="00B6681B">
        <w:t xml:space="preserve">; </w:t>
      </w:r>
      <w:r w:rsidR="008E684A" w:rsidRPr="00B6681B">
        <w:t xml:space="preserve">the </w:t>
      </w:r>
      <w:r w:rsidRPr="00B6681B">
        <w:t xml:space="preserve">Division Commissioner responsible for the </w:t>
      </w:r>
      <w:r w:rsidR="008E684A" w:rsidRPr="00B6681B">
        <w:t>d</w:t>
      </w:r>
      <w:r w:rsidRPr="00B6681B">
        <w:t xml:space="preserve">ecisions </w:t>
      </w:r>
      <w:r w:rsidR="008E684A" w:rsidRPr="00B6681B">
        <w:t>c</w:t>
      </w:r>
      <w:r w:rsidRPr="00B6681B">
        <w:t xml:space="preserve">oordination </w:t>
      </w:r>
      <w:r w:rsidR="008E684A" w:rsidRPr="00B6681B">
        <w:t>o</w:t>
      </w:r>
      <w:r w:rsidRPr="00B6681B">
        <w:t xml:space="preserve">perational </w:t>
      </w:r>
      <w:r w:rsidR="008E684A" w:rsidRPr="00B6681B">
        <w:t>c</w:t>
      </w:r>
      <w:r w:rsidRPr="00B6681B">
        <w:t xml:space="preserve">entre; </w:t>
      </w:r>
      <w:r w:rsidR="008E684A" w:rsidRPr="00B6681B">
        <w:t xml:space="preserve">the </w:t>
      </w:r>
      <w:r w:rsidRPr="00B6681B">
        <w:t xml:space="preserve">Director General of the National Police; </w:t>
      </w:r>
      <w:r w:rsidR="008E684A" w:rsidRPr="00B6681B">
        <w:t xml:space="preserve">the </w:t>
      </w:r>
      <w:r w:rsidRPr="00B6681B">
        <w:t>Senior Commander of the National Police;</w:t>
      </w:r>
      <w:r w:rsidR="008E684A" w:rsidRPr="00B6681B">
        <w:t xml:space="preserve"> </w:t>
      </w:r>
      <w:r w:rsidRPr="00B6681B">
        <w:t xml:space="preserve">the Commissioner of the Military Court; the Chief of the </w:t>
      </w:r>
      <w:r w:rsidR="008E684A" w:rsidRPr="00B6681B">
        <w:t>A</w:t>
      </w:r>
      <w:r w:rsidRPr="00B6681B">
        <w:t>rmy</w:t>
      </w:r>
      <w:r w:rsidR="008E684A" w:rsidRPr="00B6681B">
        <w:t>;</w:t>
      </w:r>
      <w:r w:rsidRPr="00B6681B">
        <w:t xml:space="preserve"> and the Chief of the Gendarmerie. The Working Group also met with </w:t>
      </w:r>
      <w:r w:rsidR="008E684A" w:rsidRPr="00B6681B">
        <w:t xml:space="preserve">representatives of </w:t>
      </w:r>
      <w:r w:rsidRPr="00B6681B">
        <w:t>the National Human Rights Commission.</w:t>
      </w:r>
      <w:r w:rsidR="007474E8" w:rsidRPr="00B6681B">
        <w:t xml:space="preserve"> </w:t>
      </w:r>
    </w:p>
    <w:p w:rsidR="00625AD7" w:rsidRPr="00B6681B" w:rsidRDefault="00625AD7" w:rsidP="000E16A8">
      <w:pPr>
        <w:pStyle w:val="SingleTxtG"/>
        <w:numPr>
          <w:ilvl w:val="0"/>
          <w:numId w:val="24"/>
        </w:numPr>
        <w:ind w:left="1134" w:firstLine="0"/>
      </w:pPr>
      <w:r w:rsidRPr="00B6681B">
        <w:t xml:space="preserve">The Working Group was able to meet with </w:t>
      </w:r>
      <w:r w:rsidR="008E684A" w:rsidRPr="00B6681B">
        <w:t xml:space="preserve">members of </w:t>
      </w:r>
      <w:r w:rsidRPr="00B6681B">
        <w:t xml:space="preserve">staff of various United Nations agencies, </w:t>
      </w:r>
      <w:r w:rsidR="00B65C88" w:rsidRPr="00B6681B">
        <w:t xml:space="preserve">as well as </w:t>
      </w:r>
      <w:r w:rsidRPr="00B6681B">
        <w:t xml:space="preserve">representatives </w:t>
      </w:r>
      <w:r w:rsidR="004A3BA8" w:rsidRPr="00B6681B">
        <w:t xml:space="preserve">of </w:t>
      </w:r>
      <w:r w:rsidRPr="00B6681B">
        <w:t>the diplomatic community, civil society organizations and private security companies operating in the country.</w:t>
      </w:r>
      <w:r w:rsidR="007474E8" w:rsidRPr="00B6681B">
        <w:t xml:space="preserve"> </w:t>
      </w:r>
    </w:p>
    <w:p w:rsidR="00625AD7" w:rsidRPr="00B6681B" w:rsidRDefault="00625AD7" w:rsidP="000E16A8">
      <w:pPr>
        <w:pStyle w:val="SingleTxtG"/>
        <w:numPr>
          <w:ilvl w:val="0"/>
          <w:numId w:val="24"/>
        </w:numPr>
        <w:ind w:left="1134" w:firstLine="0"/>
      </w:pPr>
      <w:r w:rsidRPr="00B6681B">
        <w:t xml:space="preserve">The Working Group would like to thank the Government of Côte d’Ivoire and the staff of UNOCI for the valuable </w:t>
      </w:r>
      <w:r w:rsidR="00B65C88" w:rsidRPr="00B6681B">
        <w:t>cooperation</w:t>
      </w:r>
      <w:r w:rsidRPr="00B6681B">
        <w:t xml:space="preserve"> and support given </w:t>
      </w:r>
      <w:r w:rsidR="00203EA9" w:rsidRPr="00B6681B">
        <w:t xml:space="preserve">during </w:t>
      </w:r>
      <w:r w:rsidRPr="00B6681B">
        <w:t xml:space="preserve">the visit. It also wishes to thank all of those who </w:t>
      </w:r>
      <w:r w:rsidR="00D93CD8" w:rsidRPr="00B6681B">
        <w:t xml:space="preserve">gave </w:t>
      </w:r>
      <w:r w:rsidRPr="00B6681B">
        <w:t xml:space="preserve">their time and made the effort to meet with the delegation. </w:t>
      </w:r>
    </w:p>
    <w:p w:rsidR="00C16CE8" w:rsidRPr="00B6681B" w:rsidRDefault="00122FD5" w:rsidP="00337DBE">
      <w:pPr>
        <w:pStyle w:val="HChG"/>
      </w:pPr>
      <w:r w:rsidRPr="00B6681B">
        <w:rPr>
          <w:lang w:val="en-US"/>
        </w:rPr>
        <w:tab/>
      </w:r>
      <w:r w:rsidR="00C16CE8" w:rsidRPr="00B6681B">
        <w:t>II.</w:t>
      </w:r>
      <w:r w:rsidR="00C16CE8" w:rsidRPr="00B6681B">
        <w:tab/>
      </w:r>
      <w:r w:rsidR="00625AD7" w:rsidRPr="00B6681B">
        <w:t>Legal framework</w:t>
      </w:r>
    </w:p>
    <w:p w:rsidR="00625AD7" w:rsidRPr="00B6681B" w:rsidRDefault="00625AD7" w:rsidP="000E16A8">
      <w:pPr>
        <w:pStyle w:val="SingleTxtG"/>
        <w:numPr>
          <w:ilvl w:val="0"/>
          <w:numId w:val="24"/>
        </w:numPr>
        <w:ind w:left="1134" w:firstLine="0"/>
      </w:pPr>
      <w:bookmarkStart w:id="1" w:name="_Toc325369047"/>
      <w:r w:rsidRPr="00B6681B">
        <w:t>Despite its turbulent past, Côte d’Ivoire has made considerable efforts to harmoni</w:t>
      </w:r>
      <w:r w:rsidR="00D61831" w:rsidRPr="00B6681B">
        <w:t>z</w:t>
      </w:r>
      <w:r w:rsidRPr="00B6681B">
        <w:t>e its national legislation with international human rights agreements. It has ratified several of the core international human rights treaties</w:t>
      </w:r>
      <w:r w:rsidR="00BD7B75" w:rsidRPr="00B6681B">
        <w:t>,</w:t>
      </w:r>
      <w:r w:rsidRPr="00B6681B">
        <w:t xml:space="preserve"> including the International Covenant on Civil and Political Rights and the Rome Statute </w:t>
      </w:r>
      <w:r w:rsidR="00BD7B75" w:rsidRPr="00B6681B">
        <w:t xml:space="preserve">of the International Criminal Court, </w:t>
      </w:r>
      <w:r w:rsidRPr="00B6681B">
        <w:t xml:space="preserve">thus undertaking </w:t>
      </w:r>
      <w:r w:rsidR="00BD7B75" w:rsidRPr="00B6681B">
        <w:t xml:space="preserve">to uphold </w:t>
      </w:r>
      <w:r w:rsidRPr="00B6681B">
        <w:t xml:space="preserve">international obligations in respect of international crimes.  It has also ratified the African Charter </w:t>
      </w:r>
      <w:r w:rsidR="00BD7B75" w:rsidRPr="00B6681B">
        <w:t xml:space="preserve">on </w:t>
      </w:r>
      <w:r w:rsidRPr="00B6681B">
        <w:t xml:space="preserve">Human </w:t>
      </w:r>
      <w:r w:rsidR="00BD7B75" w:rsidRPr="00B6681B">
        <w:t xml:space="preserve">and Peoplesʼ </w:t>
      </w:r>
      <w:r w:rsidRPr="00B6681B">
        <w:t xml:space="preserve">Rights. </w:t>
      </w:r>
    </w:p>
    <w:p w:rsidR="00625AD7" w:rsidRPr="00B6681B" w:rsidRDefault="00625AD7" w:rsidP="000E16A8">
      <w:pPr>
        <w:pStyle w:val="SingleTxtG"/>
        <w:numPr>
          <w:ilvl w:val="0"/>
          <w:numId w:val="24"/>
        </w:numPr>
        <w:ind w:left="1134" w:firstLine="0"/>
      </w:pPr>
      <w:r w:rsidRPr="00B6681B">
        <w:t xml:space="preserve">The Constitution of Côte d’Ivoire gives supremacy to ratified international agreements and gives due regard to human rights. </w:t>
      </w:r>
      <w:r w:rsidR="00BD7B75" w:rsidRPr="00B6681B">
        <w:t xml:space="preserve">However, it </w:t>
      </w:r>
      <w:r w:rsidRPr="00B6681B">
        <w:t xml:space="preserve">has yet to ratify the International Convention </w:t>
      </w:r>
      <w:r w:rsidR="00BD7B75" w:rsidRPr="00B6681B">
        <w:t xml:space="preserve">against the Recruitment, Use, Financing and Training of Mercenaries </w:t>
      </w:r>
      <w:r w:rsidRPr="00B6681B">
        <w:t xml:space="preserve">and is only a signatory to the African Union Convention </w:t>
      </w:r>
      <w:r w:rsidR="00BD7B75" w:rsidRPr="00B6681B">
        <w:t xml:space="preserve">for </w:t>
      </w:r>
      <w:r w:rsidRPr="00B6681B">
        <w:t xml:space="preserve">the </w:t>
      </w:r>
      <w:r w:rsidR="00BD7B75" w:rsidRPr="00B6681B">
        <w:t>E</w:t>
      </w:r>
      <w:r w:rsidRPr="00B6681B">
        <w:t xml:space="preserve">limination of </w:t>
      </w:r>
      <w:r w:rsidR="00BD7B75" w:rsidRPr="00B6681B">
        <w:t>M</w:t>
      </w:r>
      <w:r w:rsidRPr="00B6681B">
        <w:t xml:space="preserve">ercenarism in Africa. </w:t>
      </w:r>
    </w:p>
    <w:p w:rsidR="006B455C" w:rsidRPr="00B6681B" w:rsidRDefault="006B455C" w:rsidP="006B455C">
      <w:pPr>
        <w:pStyle w:val="HChG"/>
        <w:rPr>
          <w:lang w:val="en-US"/>
        </w:rPr>
      </w:pPr>
      <w:r w:rsidRPr="00B6681B">
        <w:rPr>
          <w:lang w:val="en-US"/>
        </w:rPr>
        <w:tab/>
        <w:t>III.</w:t>
      </w:r>
      <w:r w:rsidRPr="00B6681B">
        <w:rPr>
          <w:lang w:val="en-US"/>
        </w:rPr>
        <w:tab/>
        <w:t xml:space="preserve">Historical context: 2002 and 2010 armed conflicts </w:t>
      </w:r>
    </w:p>
    <w:p w:rsidR="006B455C" w:rsidRPr="00B6681B" w:rsidRDefault="004A3BA8" w:rsidP="000E16A8">
      <w:pPr>
        <w:pStyle w:val="SingleTxtG"/>
        <w:numPr>
          <w:ilvl w:val="0"/>
          <w:numId w:val="24"/>
        </w:numPr>
        <w:ind w:left="1134" w:firstLine="0"/>
      </w:pPr>
      <w:r w:rsidRPr="00B6681B">
        <w:t xml:space="preserve">After gaining independence in 1960, </w:t>
      </w:r>
      <w:r w:rsidR="006B455C" w:rsidRPr="00B6681B">
        <w:t xml:space="preserve">Côte </w:t>
      </w:r>
      <w:r w:rsidR="001E4338" w:rsidRPr="00B6681B">
        <w:t xml:space="preserve">d’Ivoire </w:t>
      </w:r>
      <w:r w:rsidR="006B455C" w:rsidRPr="00B6681B">
        <w:t xml:space="preserve">enjoyed a period of peace and economic progress under the leadership of Félix Houphouët-Boigny. It became a popular destination </w:t>
      </w:r>
      <w:r w:rsidR="00BD7B75" w:rsidRPr="00B6681B">
        <w:t xml:space="preserve">for migrants </w:t>
      </w:r>
      <w:r w:rsidR="006B455C" w:rsidRPr="00B6681B">
        <w:t>from neighbouring countries</w:t>
      </w:r>
      <w:r w:rsidR="00BD7B75" w:rsidRPr="00B6681B">
        <w:t>,</w:t>
      </w:r>
      <w:r w:rsidR="006B455C" w:rsidRPr="00B6681B">
        <w:t xml:space="preserve"> such as Burkina Faso and Mali. After </w:t>
      </w:r>
      <w:r w:rsidR="00BD7B75" w:rsidRPr="00B6681B">
        <w:t>the death of Houphouët-Boigny</w:t>
      </w:r>
      <w:r w:rsidR="006B455C" w:rsidRPr="00B6681B">
        <w:t xml:space="preserve"> in 1993, intense rivalry for power within political circles began to affect national stability.</w:t>
      </w:r>
    </w:p>
    <w:p w:rsidR="006B455C" w:rsidRPr="00B6681B" w:rsidRDefault="006B455C" w:rsidP="000E16A8">
      <w:pPr>
        <w:pStyle w:val="SingleTxtG"/>
        <w:numPr>
          <w:ilvl w:val="0"/>
          <w:numId w:val="24"/>
        </w:numPr>
        <w:ind w:left="1134" w:firstLine="0"/>
      </w:pPr>
      <w:r w:rsidRPr="00B6681B">
        <w:t xml:space="preserve">In 1999, the country experienced its first coup d’état. In 2000, a constitutional referendum was held </w:t>
      </w:r>
      <w:r w:rsidR="00BD7B75" w:rsidRPr="00B6681B">
        <w:t xml:space="preserve">to bring about changes that would require </w:t>
      </w:r>
      <w:r w:rsidRPr="00B6681B">
        <w:t>both parents of presidential candidates to be born in Côte d’Ivoire, effectively disqualifying candidates such as Alassane Ouattara</w:t>
      </w:r>
      <w:r w:rsidR="00BD7B75" w:rsidRPr="00B6681B">
        <w:t>,</w:t>
      </w:r>
      <w:r w:rsidRPr="00B6681B">
        <w:t xml:space="preserve"> who hailed from the north of the country and who had famil</w:t>
      </w:r>
      <w:r w:rsidR="0091042D" w:rsidRPr="00B6681B">
        <w:t>y</w:t>
      </w:r>
      <w:r w:rsidRPr="00B6681B">
        <w:t xml:space="preserve"> ties to Burkina Faso. The controversial referendum politici</w:t>
      </w:r>
      <w:r w:rsidR="00D61831" w:rsidRPr="00B6681B">
        <w:t>z</w:t>
      </w:r>
      <w:r w:rsidRPr="00B6681B">
        <w:t xml:space="preserve">ed ethnic identity under nationalist and xenophobic slogans such as </w:t>
      </w:r>
      <w:r w:rsidRPr="00B6681B">
        <w:rPr>
          <w:i/>
        </w:rPr>
        <w:t>Ivoirité</w:t>
      </w:r>
      <w:r w:rsidR="00BD7B75" w:rsidRPr="000E16A8">
        <w:rPr>
          <w:iCs/>
        </w:rPr>
        <w:t>,</w:t>
      </w:r>
      <w:r w:rsidRPr="00B6681B">
        <w:t xml:space="preserve"> supported by politicians such as Henri Bédié and</w:t>
      </w:r>
      <w:r w:rsidR="0091042D" w:rsidRPr="00B6681B">
        <w:t>,</w:t>
      </w:r>
      <w:r w:rsidRPr="00B6681B">
        <w:t xml:space="preserve"> later</w:t>
      </w:r>
      <w:r w:rsidR="0091042D" w:rsidRPr="00B6681B">
        <w:t>,</w:t>
      </w:r>
      <w:r w:rsidRPr="00B6681B">
        <w:t xml:space="preserve"> Laurent Gbagbo. </w:t>
      </w:r>
      <w:r w:rsidRPr="00B6681B">
        <w:rPr>
          <w:i/>
        </w:rPr>
        <w:t>Ivoirité</w:t>
      </w:r>
      <w:r w:rsidRPr="00B6681B">
        <w:t xml:space="preserve"> and continuous discrimination against immigrants such as </w:t>
      </w:r>
      <w:r w:rsidR="00203EA9" w:rsidRPr="00B6681B">
        <w:t xml:space="preserve">those from Burkina Faso </w:t>
      </w:r>
      <w:r w:rsidRPr="00B6681B">
        <w:t xml:space="preserve">contributed to the growing tensions that triggered the conflict of 2002. </w:t>
      </w:r>
    </w:p>
    <w:p w:rsidR="006B455C" w:rsidRPr="00B6681B" w:rsidRDefault="006B455C" w:rsidP="00D504CC">
      <w:pPr>
        <w:pStyle w:val="SingleTxtG"/>
        <w:numPr>
          <w:ilvl w:val="0"/>
          <w:numId w:val="24"/>
        </w:numPr>
        <w:ind w:left="1134" w:firstLine="0"/>
        <w:rPr>
          <w:rStyle w:val="Emphasis"/>
          <w:i w:val="0"/>
          <w:iCs w:val="0"/>
        </w:rPr>
      </w:pPr>
      <w:r w:rsidRPr="00B6681B">
        <w:rPr>
          <w:rStyle w:val="Emphasis"/>
          <w:i w:val="0"/>
          <w:iCs w:val="0"/>
        </w:rPr>
        <w:t>In 2002, wa</w:t>
      </w:r>
      <w:r w:rsidR="00EE2BFD" w:rsidRPr="00B6681B">
        <w:rPr>
          <w:rStyle w:val="Emphasis"/>
          <w:i w:val="0"/>
          <w:iCs w:val="0"/>
        </w:rPr>
        <w:t>r broke out and violent attacks occurred in major cities. The country became divided between north and south. Government forces headed by Laurent Gbagbo were mostly situated in the south of the country</w:t>
      </w:r>
      <w:r w:rsidR="007474E8" w:rsidRPr="00B6681B">
        <w:rPr>
          <w:rStyle w:val="Emphasis"/>
          <w:i w:val="0"/>
          <w:iCs w:val="0"/>
        </w:rPr>
        <w:t>,</w:t>
      </w:r>
      <w:r w:rsidR="00EE2BFD" w:rsidRPr="00B6681B">
        <w:rPr>
          <w:rStyle w:val="Emphasis"/>
          <w:i w:val="0"/>
          <w:iCs w:val="0"/>
        </w:rPr>
        <w:t xml:space="preserve"> while the rebel forces supporting Ouattara, </w:t>
      </w:r>
      <w:r w:rsidR="007474E8" w:rsidRPr="00B6681B">
        <w:rPr>
          <w:rStyle w:val="Emphasis"/>
          <w:i w:val="0"/>
          <w:iCs w:val="0"/>
        </w:rPr>
        <w:t xml:space="preserve">which aimed </w:t>
      </w:r>
      <w:r w:rsidR="00EE2BFD" w:rsidRPr="00B6681B">
        <w:rPr>
          <w:rStyle w:val="Emphasis"/>
          <w:i w:val="0"/>
          <w:iCs w:val="0"/>
        </w:rPr>
        <w:t xml:space="preserve">to occupy various cities, </w:t>
      </w:r>
      <w:proofErr w:type="gramStart"/>
      <w:r w:rsidR="00EE2BFD" w:rsidRPr="00B6681B">
        <w:rPr>
          <w:rStyle w:val="Emphasis"/>
          <w:i w:val="0"/>
          <w:iCs w:val="0"/>
        </w:rPr>
        <w:t>were</w:t>
      </w:r>
      <w:proofErr w:type="gramEnd"/>
      <w:r w:rsidR="00EE2BFD" w:rsidRPr="00B6681B">
        <w:rPr>
          <w:rStyle w:val="Emphasis"/>
          <w:i w:val="0"/>
          <w:iCs w:val="0"/>
        </w:rPr>
        <w:t xml:space="preserve"> mostly based in the north. </w:t>
      </w:r>
      <w:r w:rsidRPr="00B6681B">
        <w:rPr>
          <w:rStyle w:val="Emphasis"/>
          <w:i w:val="0"/>
          <w:iCs w:val="0"/>
        </w:rPr>
        <w:t>Forces involved in the conflict included the national army</w:t>
      </w:r>
      <w:r w:rsidR="007474E8" w:rsidRPr="00B6681B">
        <w:rPr>
          <w:rStyle w:val="Emphasis"/>
          <w:i w:val="0"/>
          <w:iCs w:val="0"/>
        </w:rPr>
        <w:t>,</w:t>
      </w:r>
      <w:r w:rsidRPr="00B6681B">
        <w:rPr>
          <w:rStyle w:val="Emphasis"/>
          <w:i w:val="0"/>
          <w:iCs w:val="0"/>
        </w:rPr>
        <w:t xml:space="preserve"> youth organi</w:t>
      </w:r>
      <w:r w:rsidR="00D61831" w:rsidRPr="00B6681B">
        <w:rPr>
          <w:rStyle w:val="Emphasis"/>
          <w:i w:val="0"/>
          <w:iCs w:val="0"/>
        </w:rPr>
        <w:t>z</w:t>
      </w:r>
      <w:r w:rsidRPr="00B6681B">
        <w:rPr>
          <w:rStyle w:val="Emphasis"/>
          <w:i w:val="0"/>
          <w:iCs w:val="0"/>
        </w:rPr>
        <w:t>ations and other nationalist groups siding with Gbagbo</w:t>
      </w:r>
      <w:r w:rsidR="007474E8" w:rsidRPr="00B6681B">
        <w:rPr>
          <w:rStyle w:val="Emphasis"/>
          <w:i w:val="0"/>
          <w:iCs w:val="0"/>
        </w:rPr>
        <w:t>,</w:t>
      </w:r>
      <w:r w:rsidRPr="00B6681B">
        <w:rPr>
          <w:rStyle w:val="Emphasis"/>
          <w:i w:val="0"/>
          <w:iCs w:val="0"/>
        </w:rPr>
        <w:t xml:space="preserve"> while the </w:t>
      </w:r>
      <w:r w:rsidR="00096CC1" w:rsidRPr="00B46C41">
        <w:rPr>
          <w:rStyle w:val="Emphasis"/>
          <w:i w:val="0"/>
        </w:rPr>
        <w:t xml:space="preserve">Forces </w:t>
      </w:r>
      <w:r w:rsidR="00096CC1" w:rsidRPr="00573C4D">
        <w:rPr>
          <w:iCs/>
        </w:rPr>
        <w:t>armées de</w:t>
      </w:r>
      <w:r w:rsidR="00096CC1">
        <w:rPr>
          <w:iCs/>
        </w:rPr>
        <w:t>s</w:t>
      </w:r>
      <w:r w:rsidR="00096CC1" w:rsidRPr="00573C4D">
        <w:rPr>
          <w:iCs/>
        </w:rPr>
        <w:t xml:space="preserve"> </w:t>
      </w:r>
      <w:r w:rsidR="00096CC1">
        <w:rPr>
          <w:iCs/>
        </w:rPr>
        <w:t xml:space="preserve">Forces </w:t>
      </w:r>
      <w:r w:rsidR="00096CC1" w:rsidRPr="00B46C41">
        <w:rPr>
          <w:rStyle w:val="Emphasis"/>
          <w:i w:val="0"/>
        </w:rPr>
        <w:t>nouvelles</w:t>
      </w:r>
      <w:r w:rsidRPr="00B6681B">
        <w:rPr>
          <w:rStyle w:val="Emphasis"/>
          <w:i w:val="0"/>
          <w:iCs w:val="0"/>
        </w:rPr>
        <w:t xml:space="preserve"> were part of the rebel group</w:t>
      </w:r>
      <w:r w:rsidR="007474E8" w:rsidRPr="00B6681B">
        <w:rPr>
          <w:rStyle w:val="Emphasis"/>
          <w:i w:val="0"/>
          <w:iCs w:val="0"/>
        </w:rPr>
        <w:t>,</w:t>
      </w:r>
      <w:r w:rsidRPr="00B6681B">
        <w:rPr>
          <w:rStyle w:val="Emphasis"/>
          <w:i w:val="0"/>
          <w:iCs w:val="0"/>
        </w:rPr>
        <w:t xml:space="preserve"> along with </w:t>
      </w:r>
      <w:r w:rsidR="00842139" w:rsidRPr="000E16A8">
        <w:rPr>
          <w:i/>
          <w:iCs/>
          <w:lang w:val="en-US"/>
        </w:rPr>
        <w:t>dozos</w:t>
      </w:r>
      <w:r w:rsidR="00842139" w:rsidRPr="00B6681B">
        <w:rPr>
          <w:lang w:val="en-US"/>
        </w:rPr>
        <w:t xml:space="preserve"> </w:t>
      </w:r>
      <w:r w:rsidR="00B46B05" w:rsidRPr="00B6681B">
        <w:rPr>
          <w:lang w:val="en-US"/>
        </w:rPr>
        <w:t>(</w:t>
      </w:r>
      <w:r w:rsidRPr="00B6681B">
        <w:rPr>
          <w:rStyle w:val="Emphasis"/>
          <w:i w:val="0"/>
          <w:iCs w:val="0"/>
        </w:rPr>
        <w:t xml:space="preserve">traditional </w:t>
      </w:r>
      <w:r w:rsidR="00B46B05" w:rsidRPr="00B6681B">
        <w:rPr>
          <w:rStyle w:val="Emphasis"/>
          <w:i w:val="0"/>
          <w:iCs w:val="0"/>
        </w:rPr>
        <w:t>hunters)</w:t>
      </w:r>
      <w:r w:rsidRPr="00B6681B">
        <w:rPr>
          <w:rStyle w:val="Emphasis"/>
          <w:i w:val="0"/>
          <w:iCs w:val="0"/>
        </w:rPr>
        <w:t xml:space="preserve">. Mercenaries from neighbouring </w:t>
      </w:r>
      <w:r w:rsidR="0091042D" w:rsidRPr="00B6681B">
        <w:rPr>
          <w:rStyle w:val="Emphasis"/>
          <w:i w:val="0"/>
          <w:iCs w:val="0"/>
        </w:rPr>
        <w:t xml:space="preserve">and other </w:t>
      </w:r>
      <w:r w:rsidRPr="00B6681B">
        <w:rPr>
          <w:rStyle w:val="Emphasis"/>
          <w:i w:val="0"/>
          <w:iCs w:val="0"/>
        </w:rPr>
        <w:t xml:space="preserve">countries were recruited by both sides </w:t>
      </w:r>
      <w:r w:rsidR="0091042D" w:rsidRPr="00B6681B">
        <w:rPr>
          <w:rStyle w:val="Emphasis"/>
          <w:i w:val="0"/>
          <w:iCs w:val="0"/>
        </w:rPr>
        <w:t xml:space="preserve">to </w:t>
      </w:r>
      <w:r w:rsidRPr="00B6681B">
        <w:rPr>
          <w:rStyle w:val="Emphasis"/>
          <w:i w:val="0"/>
          <w:iCs w:val="0"/>
        </w:rPr>
        <w:t>the conflict</w:t>
      </w:r>
      <w:r w:rsidR="007474E8" w:rsidRPr="00B6681B">
        <w:rPr>
          <w:rStyle w:val="Emphasis"/>
          <w:i w:val="0"/>
          <w:iCs w:val="0"/>
        </w:rPr>
        <w:t>,</w:t>
      </w:r>
      <w:r w:rsidRPr="00B6681B">
        <w:rPr>
          <w:rStyle w:val="Emphasis"/>
          <w:i w:val="0"/>
          <w:iCs w:val="0"/>
        </w:rPr>
        <w:t xml:space="preserve"> along with local militia or civilian combatants</w:t>
      </w:r>
      <w:r w:rsidR="007474E8" w:rsidRPr="00B6681B">
        <w:rPr>
          <w:rStyle w:val="Emphasis"/>
          <w:i w:val="0"/>
          <w:iCs w:val="0"/>
        </w:rPr>
        <w:t>,</w:t>
      </w:r>
      <w:r w:rsidRPr="00B6681B">
        <w:rPr>
          <w:rStyle w:val="Emphasis"/>
          <w:i w:val="0"/>
          <w:iCs w:val="0"/>
        </w:rPr>
        <w:t xml:space="preserve"> to fight in the war.</w:t>
      </w:r>
      <w:r w:rsidR="00EE2BFD" w:rsidRPr="00B6681B">
        <w:rPr>
          <w:rStyle w:val="Emphasis"/>
          <w:i w:val="0"/>
          <w:iCs w:val="0"/>
        </w:rPr>
        <w:t xml:space="preserve"> Scores of human rights violations were perpetrated by these mercenaries</w:t>
      </w:r>
      <w:r w:rsidR="00284B00" w:rsidRPr="00B6681B">
        <w:rPr>
          <w:rStyle w:val="Emphasis"/>
          <w:i w:val="0"/>
          <w:iCs w:val="0"/>
        </w:rPr>
        <w:t>,</w:t>
      </w:r>
      <w:r w:rsidR="00EE2BFD" w:rsidRPr="00B6681B">
        <w:rPr>
          <w:rStyle w:val="Emphasis"/>
          <w:i w:val="0"/>
          <w:iCs w:val="0"/>
        </w:rPr>
        <w:t xml:space="preserve"> including summary executions, abductions, torture and </w:t>
      </w:r>
      <w:r w:rsidR="00284B00" w:rsidRPr="00B6681B">
        <w:rPr>
          <w:rStyle w:val="Emphasis"/>
          <w:i w:val="0"/>
          <w:iCs w:val="0"/>
        </w:rPr>
        <w:t>sexual violence against women.</w:t>
      </w:r>
      <w:r w:rsidR="007474E8" w:rsidRPr="00B6681B">
        <w:rPr>
          <w:rStyle w:val="Emphasis"/>
          <w:i w:val="0"/>
          <w:iCs w:val="0"/>
        </w:rPr>
        <w:t xml:space="preserve"> </w:t>
      </w:r>
      <w:r w:rsidRPr="00B6681B">
        <w:rPr>
          <w:rStyle w:val="Emphasis"/>
          <w:i w:val="0"/>
          <w:iCs w:val="0"/>
        </w:rPr>
        <w:t xml:space="preserve">After a series of violent clashes, the conflict finally came to a standstill in 2007 with the signing of the Ouagadougou </w:t>
      </w:r>
      <w:r w:rsidR="007474E8" w:rsidRPr="00B6681B">
        <w:rPr>
          <w:rStyle w:val="Emphasis"/>
          <w:i w:val="0"/>
          <w:iCs w:val="0"/>
        </w:rPr>
        <w:t>P</w:t>
      </w:r>
      <w:r w:rsidR="004F2494">
        <w:rPr>
          <w:rStyle w:val="Emphasis"/>
          <w:i w:val="0"/>
          <w:iCs w:val="0"/>
        </w:rPr>
        <w:t>eace</w:t>
      </w:r>
      <w:r w:rsidR="007474E8" w:rsidRPr="00B6681B">
        <w:rPr>
          <w:rStyle w:val="Emphasis"/>
          <w:i w:val="0"/>
          <w:iCs w:val="0"/>
        </w:rPr>
        <w:t xml:space="preserve"> Agreement</w:t>
      </w:r>
      <w:r w:rsidRPr="00B6681B">
        <w:rPr>
          <w:rStyle w:val="Emphasis"/>
          <w:i w:val="0"/>
          <w:iCs w:val="0"/>
        </w:rPr>
        <w:t xml:space="preserve">. </w:t>
      </w:r>
    </w:p>
    <w:p w:rsidR="006B455C" w:rsidRPr="00B6681B" w:rsidRDefault="006B455C" w:rsidP="000E16A8">
      <w:pPr>
        <w:pStyle w:val="SingleTxtG"/>
        <w:numPr>
          <w:ilvl w:val="0"/>
          <w:numId w:val="24"/>
        </w:numPr>
        <w:ind w:left="1134" w:firstLine="0"/>
        <w:rPr>
          <w:rStyle w:val="Emphasis"/>
          <w:i w:val="0"/>
          <w:iCs w:val="0"/>
        </w:rPr>
      </w:pPr>
      <w:r w:rsidRPr="00B6681B">
        <w:t>Peace for the country</w:t>
      </w:r>
      <w:r w:rsidR="00047FE8" w:rsidRPr="00B6681B">
        <w:t>,</w:t>
      </w:r>
      <w:r w:rsidRPr="00B6681B">
        <w:t xml:space="preserve"> however, was short</w:t>
      </w:r>
      <w:r w:rsidR="00047FE8" w:rsidRPr="00B6681B">
        <w:t xml:space="preserve"> </w:t>
      </w:r>
      <w:r w:rsidRPr="00B6681B">
        <w:t xml:space="preserve">lived. </w:t>
      </w:r>
      <w:r w:rsidR="00047FE8" w:rsidRPr="00B6681B">
        <w:rPr>
          <w:rStyle w:val="Emphasis"/>
          <w:i w:val="0"/>
          <w:iCs w:val="0"/>
        </w:rPr>
        <w:t xml:space="preserve">After </w:t>
      </w:r>
      <w:r w:rsidRPr="00B6681B">
        <w:rPr>
          <w:rStyle w:val="Emphasis"/>
          <w:i w:val="0"/>
          <w:iCs w:val="0"/>
        </w:rPr>
        <w:t xml:space="preserve">the </w:t>
      </w:r>
      <w:r w:rsidR="00047FE8" w:rsidRPr="00B6681B">
        <w:rPr>
          <w:rStyle w:val="Emphasis"/>
          <w:i w:val="0"/>
          <w:iCs w:val="0"/>
        </w:rPr>
        <w:t>2010</w:t>
      </w:r>
      <w:r w:rsidR="00EE7583" w:rsidRPr="00B6681B">
        <w:rPr>
          <w:rStyle w:val="Emphasis"/>
          <w:i w:val="0"/>
          <w:iCs w:val="0"/>
        </w:rPr>
        <w:t xml:space="preserve"> </w:t>
      </w:r>
      <w:r w:rsidRPr="00B6681B">
        <w:rPr>
          <w:rStyle w:val="Emphasis"/>
          <w:i w:val="0"/>
          <w:iCs w:val="0"/>
        </w:rPr>
        <w:t xml:space="preserve">presidential elections, clashes between </w:t>
      </w:r>
      <w:r w:rsidR="00047FE8" w:rsidRPr="00B6681B">
        <w:rPr>
          <w:rStyle w:val="Emphasis"/>
          <w:i w:val="0"/>
          <w:iCs w:val="0"/>
        </w:rPr>
        <w:t xml:space="preserve">Gbagbo and Ouattara supporters </w:t>
      </w:r>
      <w:r w:rsidRPr="00B6681B">
        <w:rPr>
          <w:rStyle w:val="Emphasis"/>
          <w:i w:val="0"/>
          <w:iCs w:val="0"/>
        </w:rPr>
        <w:t>broke out in various parts of the country</w:t>
      </w:r>
      <w:r w:rsidR="00047FE8" w:rsidRPr="00B6681B">
        <w:rPr>
          <w:rStyle w:val="Emphasis"/>
          <w:i w:val="0"/>
          <w:iCs w:val="0"/>
        </w:rPr>
        <w:t>,</w:t>
      </w:r>
      <w:r w:rsidRPr="00B6681B">
        <w:rPr>
          <w:rStyle w:val="Emphasis"/>
          <w:i w:val="0"/>
          <w:iCs w:val="0"/>
        </w:rPr>
        <w:t xml:space="preserve"> leading to a second civil war.</w:t>
      </w:r>
      <w:r w:rsidR="007474E8" w:rsidRPr="00B6681B">
        <w:rPr>
          <w:rStyle w:val="Emphasis"/>
          <w:i w:val="0"/>
          <w:iCs w:val="0"/>
        </w:rPr>
        <w:t xml:space="preserve"> </w:t>
      </w:r>
      <w:r w:rsidRPr="00B6681B">
        <w:rPr>
          <w:rStyle w:val="Emphasis"/>
          <w:i w:val="0"/>
          <w:iCs w:val="0"/>
        </w:rPr>
        <w:t xml:space="preserve">The main cause </w:t>
      </w:r>
      <w:r w:rsidR="00EE7583" w:rsidRPr="00B6681B">
        <w:rPr>
          <w:rStyle w:val="Emphasis"/>
          <w:i w:val="0"/>
          <w:iCs w:val="0"/>
        </w:rPr>
        <w:t xml:space="preserve">of </w:t>
      </w:r>
      <w:r w:rsidRPr="00B6681B">
        <w:rPr>
          <w:rStyle w:val="Emphasis"/>
          <w:i w:val="0"/>
          <w:iCs w:val="0"/>
        </w:rPr>
        <w:t xml:space="preserve">the conflict was </w:t>
      </w:r>
      <w:r w:rsidR="00EE7583" w:rsidRPr="00B6681B">
        <w:rPr>
          <w:rStyle w:val="Emphasis"/>
          <w:i w:val="0"/>
          <w:iCs w:val="0"/>
        </w:rPr>
        <w:t xml:space="preserve">the </w:t>
      </w:r>
      <w:r w:rsidRPr="00B6681B">
        <w:rPr>
          <w:rStyle w:val="Emphasis"/>
          <w:i w:val="0"/>
          <w:iCs w:val="0"/>
        </w:rPr>
        <w:t xml:space="preserve">refusal </w:t>
      </w:r>
      <w:r w:rsidR="00EE7583" w:rsidRPr="00B6681B">
        <w:rPr>
          <w:rStyle w:val="Emphasis"/>
          <w:i w:val="0"/>
          <w:iCs w:val="0"/>
        </w:rPr>
        <w:t xml:space="preserve">of Gbagbo </w:t>
      </w:r>
      <w:r w:rsidRPr="00B6681B">
        <w:rPr>
          <w:rStyle w:val="Emphasis"/>
          <w:i w:val="0"/>
          <w:iCs w:val="0"/>
        </w:rPr>
        <w:t xml:space="preserve">to concede victory to Ouattara. Once again, mercenaries were recruited to engage in the second conflict. Like </w:t>
      </w:r>
      <w:r w:rsidR="00EE7583" w:rsidRPr="00B6681B">
        <w:rPr>
          <w:rStyle w:val="Emphasis"/>
          <w:i w:val="0"/>
          <w:iCs w:val="0"/>
        </w:rPr>
        <w:t xml:space="preserve">in </w:t>
      </w:r>
      <w:r w:rsidRPr="00B6681B">
        <w:rPr>
          <w:rStyle w:val="Emphasis"/>
          <w:i w:val="0"/>
          <w:iCs w:val="0"/>
        </w:rPr>
        <w:t>the first conflict, mass murders and widespread human rights violations were committed by both sides</w:t>
      </w:r>
      <w:r w:rsidR="00EE7583" w:rsidRPr="00B6681B">
        <w:rPr>
          <w:rStyle w:val="Emphasis"/>
          <w:i w:val="0"/>
          <w:iCs w:val="0"/>
        </w:rPr>
        <w:t>,</w:t>
      </w:r>
      <w:r w:rsidRPr="00B6681B">
        <w:rPr>
          <w:rStyle w:val="Emphasis"/>
          <w:i w:val="0"/>
          <w:iCs w:val="0"/>
        </w:rPr>
        <w:t xml:space="preserve"> resulting in hundreds of killings and other atrocities.</w:t>
      </w:r>
      <w:r w:rsidR="007474E8" w:rsidRPr="00B6681B">
        <w:rPr>
          <w:rStyle w:val="Emphasis"/>
          <w:i w:val="0"/>
          <w:iCs w:val="0"/>
        </w:rPr>
        <w:t xml:space="preserve"> </w:t>
      </w:r>
      <w:r w:rsidRPr="00B6681B">
        <w:rPr>
          <w:rStyle w:val="Emphasis"/>
          <w:i w:val="0"/>
          <w:iCs w:val="0"/>
        </w:rPr>
        <w:t>The conflict came to an end in April 2011 with the arrest of Gbagbo. An estimated 3</w:t>
      </w:r>
      <w:r w:rsidR="0080309C" w:rsidRPr="00B6681B">
        <w:rPr>
          <w:rStyle w:val="Emphasis"/>
          <w:i w:val="0"/>
          <w:iCs w:val="0"/>
        </w:rPr>
        <w:t>,</w:t>
      </w:r>
      <w:r w:rsidRPr="00B6681B">
        <w:rPr>
          <w:rStyle w:val="Emphasis"/>
          <w:i w:val="0"/>
          <w:iCs w:val="0"/>
        </w:rPr>
        <w:t>000 people died</w:t>
      </w:r>
      <w:r w:rsidR="00A965D6" w:rsidRPr="00B6681B">
        <w:rPr>
          <w:rStyle w:val="Emphasis"/>
          <w:i w:val="0"/>
          <w:iCs w:val="0"/>
        </w:rPr>
        <w:t xml:space="preserve"> </w:t>
      </w:r>
      <w:r w:rsidR="00EE7583" w:rsidRPr="00B6681B">
        <w:rPr>
          <w:rStyle w:val="Emphasis"/>
          <w:i w:val="0"/>
          <w:iCs w:val="0"/>
        </w:rPr>
        <w:t xml:space="preserve">in </w:t>
      </w:r>
      <w:r w:rsidRPr="00B6681B">
        <w:rPr>
          <w:rStyle w:val="Emphasis"/>
          <w:i w:val="0"/>
          <w:iCs w:val="0"/>
        </w:rPr>
        <w:t>the violent clashes that took place</w:t>
      </w:r>
      <w:r w:rsidR="00EE7583" w:rsidRPr="00B6681B">
        <w:rPr>
          <w:rStyle w:val="Emphasis"/>
          <w:i w:val="0"/>
          <w:iCs w:val="0"/>
        </w:rPr>
        <w:t xml:space="preserve"> over a period of five months</w:t>
      </w:r>
      <w:r w:rsidRPr="00B6681B">
        <w:rPr>
          <w:rStyle w:val="Emphasis"/>
          <w:i w:val="0"/>
          <w:iCs w:val="0"/>
        </w:rPr>
        <w:t>.</w:t>
      </w:r>
      <w:r w:rsidR="007474E8" w:rsidRPr="00B6681B">
        <w:rPr>
          <w:rStyle w:val="Emphasis"/>
          <w:i w:val="0"/>
          <w:iCs w:val="0"/>
        </w:rPr>
        <w:t xml:space="preserve"> </w:t>
      </w:r>
    </w:p>
    <w:p w:rsidR="006B455C" w:rsidRPr="00B6681B" w:rsidRDefault="006B455C" w:rsidP="007474E8">
      <w:pPr>
        <w:pStyle w:val="HChG"/>
        <w:rPr>
          <w:lang w:val="en-US"/>
        </w:rPr>
      </w:pPr>
      <w:r w:rsidRPr="00B6681B">
        <w:rPr>
          <w:lang w:val="en-US"/>
        </w:rPr>
        <w:tab/>
        <w:t>IV.</w:t>
      </w:r>
      <w:r w:rsidRPr="00B6681B">
        <w:rPr>
          <w:lang w:val="en-US"/>
        </w:rPr>
        <w:tab/>
        <w:t>Mercenarism and human rights violations</w:t>
      </w:r>
      <w:r w:rsidR="007474E8" w:rsidRPr="00B6681B">
        <w:rPr>
          <w:lang w:val="en-US"/>
        </w:rPr>
        <w:t xml:space="preserve"> </w:t>
      </w:r>
    </w:p>
    <w:p w:rsidR="006B455C" w:rsidRPr="00B6681B" w:rsidRDefault="006B455C" w:rsidP="000E16A8">
      <w:pPr>
        <w:pStyle w:val="SingleTxtG"/>
        <w:numPr>
          <w:ilvl w:val="0"/>
          <w:numId w:val="24"/>
        </w:numPr>
        <w:ind w:left="1134" w:firstLine="0"/>
      </w:pPr>
      <w:r w:rsidRPr="00B6681B">
        <w:t>The Working Group met with various interlocutors who spoke of the involvement of mercenaries during both conflicts. The porous</w:t>
      </w:r>
      <w:r w:rsidR="0091042D" w:rsidRPr="00B6681B">
        <w:t>ness of the</w:t>
      </w:r>
      <w:r w:rsidRPr="00B6681B">
        <w:t xml:space="preserve"> borders </w:t>
      </w:r>
      <w:r w:rsidR="0091042D" w:rsidRPr="00B6681B">
        <w:t xml:space="preserve">of </w:t>
      </w:r>
      <w:r w:rsidRPr="00B6681B">
        <w:t xml:space="preserve">Côte d’Ivoire </w:t>
      </w:r>
      <w:r w:rsidR="0091042D" w:rsidRPr="00B6681B">
        <w:t>facilitated</w:t>
      </w:r>
      <w:r w:rsidRPr="00B6681B">
        <w:t xml:space="preserve"> the recruitment and use of mercenaries in the conflicts. An estimated 4,500 mercenaries </w:t>
      </w:r>
      <w:r w:rsidR="00EE7583" w:rsidRPr="00B6681B">
        <w:t xml:space="preserve">were reportedly </w:t>
      </w:r>
      <w:r w:rsidRPr="00B6681B">
        <w:t xml:space="preserve">recruited to fight in both conflicts in Côte d’Ivoire, with a large number coming from the </w:t>
      </w:r>
      <w:r w:rsidR="00EE7583" w:rsidRPr="00B6681B">
        <w:t>west</w:t>
      </w:r>
      <w:r w:rsidR="0091042D" w:rsidRPr="00B6681B">
        <w:t>, where</w:t>
      </w:r>
      <w:r w:rsidR="00EE7583" w:rsidRPr="00B6681B">
        <w:t xml:space="preserve"> the country border</w:t>
      </w:r>
      <w:r w:rsidR="0091042D" w:rsidRPr="00B6681B">
        <w:t>s</w:t>
      </w:r>
      <w:r w:rsidR="00EE7583" w:rsidRPr="00B6681B">
        <w:t xml:space="preserve"> </w:t>
      </w:r>
      <w:r w:rsidRPr="00B6681B">
        <w:t>Liberia</w:t>
      </w:r>
      <w:r w:rsidR="0091042D" w:rsidRPr="00B6681B">
        <w:t>,</w:t>
      </w:r>
      <w:r w:rsidRPr="00B6681B">
        <w:t xml:space="preserve"> and from other countries</w:t>
      </w:r>
      <w:r w:rsidR="00EE7583" w:rsidRPr="00B6681B">
        <w:t>,</w:t>
      </w:r>
      <w:r w:rsidRPr="00B6681B">
        <w:t xml:space="preserve"> such as Burkina Faso and Angola.</w:t>
      </w:r>
      <w:r w:rsidR="001E4338" w:rsidRPr="00B6681B">
        <w:t xml:space="preserve"> </w:t>
      </w:r>
    </w:p>
    <w:p w:rsidR="006B455C" w:rsidRPr="00B6681B" w:rsidRDefault="006B455C" w:rsidP="000E16A8">
      <w:pPr>
        <w:pStyle w:val="SingleTxtG"/>
        <w:numPr>
          <w:ilvl w:val="0"/>
          <w:numId w:val="24"/>
        </w:numPr>
        <w:ind w:left="1134" w:firstLine="0"/>
      </w:pPr>
      <w:r w:rsidRPr="00B6681B">
        <w:t>The recruitment of a large number of mercenaries has been mostly associated with the pro-Gbagbo side.</w:t>
      </w:r>
      <w:r w:rsidR="007474E8" w:rsidRPr="00B6681B">
        <w:t xml:space="preserve"> </w:t>
      </w:r>
      <w:r w:rsidRPr="00B6681B">
        <w:t xml:space="preserve">Gbagbo was reportedly using government funds to </w:t>
      </w:r>
      <w:r w:rsidR="00D80CAA" w:rsidRPr="00B6681B">
        <w:t xml:space="preserve">bring in </w:t>
      </w:r>
      <w:r w:rsidRPr="00B6681B">
        <w:t>mercenaries and local milit</w:t>
      </w:r>
      <w:r w:rsidR="005E4857">
        <w:t>iamen</w:t>
      </w:r>
      <w:r w:rsidRPr="00B6681B">
        <w:t xml:space="preserve"> to bolster the</w:t>
      </w:r>
      <w:r w:rsidR="0091042D" w:rsidRPr="00B6681B">
        <w:t xml:space="preserve"> national armed forces</w:t>
      </w:r>
      <w:r w:rsidRPr="00B6681B">
        <w:t xml:space="preserve"> and </w:t>
      </w:r>
      <w:r w:rsidR="00203EA9" w:rsidRPr="00B6681B">
        <w:t>the Y</w:t>
      </w:r>
      <w:r w:rsidRPr="00B6681B">
        <w:t xml:space="preserve">oung </w:t>
      </w:r>
      <w:r w:rsidR="00203EA9" w:rsidRPr="00B6681B">
        <w:t>P</w:t>
      </w:r>
      <w:r w:rsidRPr="00B6681B">
        <w:t>atriots</w:t>
      </w:r>
      <w:r w:rsidR="00D80CAA" w:rsidRPr="00B6681B">
        <w:t>,</w:t>
      </w:r>
      <w:r w:rsidRPr="00B6681B">
        <w:t xml:space="preserve"> </w:t>
      </w:r>
      <w:r w:rsidR="00D80CAA" w:rsidRPr="00B6681B">
        <w:t xml:space="preserve">to fight </w:t>
      </w:r>
      <w:r w:rsidRPr="00B6681B">
        <w:t xml:space="preserve">together against the rebels </w:t>
      </w:r>
      <w:r w:rsidR="00D80CAA" w:rsidRPr="00B6681B">
        <w:t xml:space="preserve">from </w:t>
      </w:r>
      <w:r w:rsidRPr="00B6681B">
        <w:t>the north. The Working Group was informed that mercenaries from Belarus</w:t>
      </w:r>
      <w:r w:rsidR="0091042D" w:rsidRPr="00B6681B">
        <w:t xml:space="preserve"> were</w:t>
      </w:r>
      <w:r w:rsidRPr="00B6681B">
        <w:t xml:space="preserve"> hired by Gbagbo for training purposes and </w:t>
      </w:r>
      <w:r w:rsidR="0091042D" w:rsidRPr="00B6681B">
        <w:t xml:space="preserve">to carry out </w:t>
      </w:r>
      <w:r w:rsidRPr="00B6681B">
        <w:t xml:space="preserve">technical functions. In addition to </w:t>
      </w:r>
      <w:r w:rsidR="0091042D" w:rsidRPr="00B6681B">
        <w:t xml:space="preserve">receiving </w:t>
      </w:r>
      <w:r w:rsidRPr="00B6681B">
        <w:t xml:space="preserve">financial payments, mercenaries were also reportedly supplied with armour and weapons. </w:t>
      </w:r>
    </w:p>
    <w:p w:rsidR="006B455C" w:rsidRPr="00B6681B" w:rsidRDefault="006B455C" w:rsidP="000E16A8">
      <w:pPr>
        <w:pStyle w:val="SingleTxtG"/>
        <w:numPr>
          <w:ilvl w:val="0"/>
          <w:numId w:val="24"/>
        </w:numPr>
        <w:ind w:left="1134" w:firstLine="0"/>
      </w:pPr>
      <w:r w:rsidRPr="00B6681B">
        <w:t xml:space="preserve">The rebel forces comprised the </w:t>
      </w:r>
      <w:r w:rsidR="00096CC1" w:rsidRPr="00B46C41">
        <w:rPr>
          <w:rStyle w:val="Emphasis"/>
          <w:i w:val="0"/>
        </w:rPr>
        <w:t xml:space="preserve">Forces </w:t>
      </w:r>
      <w:r w:rsidR="00096CC1" w:rsidRPr="00573C4D">
        <w:rPr>
          <w:iCs/>
        </w:rPr>
        <w:t>armées de</w:t>
      </w:r>
      <w:r w:rsidR="00096CC1">
        <w:rPr>
          <w:iCs/>
        </w:rPr>
        <w:t>s</w:t>
      </w:r>
      <w:r w:rsidR="00096CC1" w:rsidRPr="00573C4D">
        <w:rPr>
          <w:iCs/>
        </w:rPr>
        <w:t xml:space="preserve"> </w:t>
      </w:r>
      <w:r w:rsidR="00096CC1">
        <w:rPr>
          <w:iCs/>
        </w:rPr>
        <w:t xml:space="preserve">Forces </w:t>
      </w:r>
      <w:r w:rsidR="00096CC1" w:rsidRPr="00B46C41">
        <w:rPr>
          <w:rStyle w:val="Emphasis"/>
          <w:i w:val="0"/>
        </w:rPr>
        <w:t>nouvelles</w:t>
      </w:r>
      <w:r w:rsidR="00D80CAA" w:rsidRPr="00B6681B">
        <w:rPr>
          <w:iCs/>
        </w:rPr>
        <w:t xml:space="preserve"> </w:t>
      </w:r>
      <w:r w:rsidRPr="00B6681B">
        <w:t xml:space="preserve">and </w:t>
      </w:r>
      <w:r w:rsidRPr="000E16A8">
        <w:rPr>
          <w:i/>
          <w:iCs/>
        </w:rPr>
        <w:t>dozos</w:t>
      </w:r>
      <w:r w:rsidR="00D80CAA" w:rsidRPr="00B6681B">
        <w:t>,</w:t>
      </w:r>
      <w:r w:rsidRPr="00B6681B">
        <w:t xml:space="preserve"> who fought against Gbagbo troops. The Working Group was informed that the rebel forces </w:t>
      </w:r>
      <w:r w:rsidR="00D80CAA" w:rsidRPr="00B6681B">
        <w:t xml:space="preserve">had </w:t>
      </w:r>
      <w:r w:rsidRPr="00B6681B">
        <w:t>also recruited mercenaries from neighbouring countries</w:t>
      </w:r>
      <w:r w:rsidR="00D80CAA" w:rsidRPr="00B6681B">
        <w:t>,</w:t>
      </w:r>
      <w:r w:rsidRPr="00B6681B">
        <w:t xml:space="preserve"> such as Burkina Faso and Liberia. In March 2011, President Ouattara established the </w:t>
      </w:r>
      <w:r w:rsidR="00D80CAA" w:rsidRPr="000E16A8">
        <w:rPr>
          <w:iCs/>
        </w:rPr>
        <w:t>Forces républicaines de Côte d’Ivoire</w:t>
      </w:r>
      <w:r w:rsidR="00D80CAA" w:rsidRPr="00B6681B">
        <w:rPr>
          <w:iCs/>
        </w:rPr>
        <w:t xml:space="preserve"> </w:t>
      </w:r>
      <w:r w:rsidRPr="00B6681B">
        <w:t xml:space="preserve">by merging the national army and the </w:t>
      </w:r>
      <w:r w:rsidR="00096CC1" w:rsidRPr="00B46C41">
        <w:rPr>
          <w:rStyle w:val="Emphasis"/>
          <w:i w:val="0"/>
        </w:rPr>
        <w:t xml:space="preserve">Forces </w:t>
      </w:r>
      <w:r w:rsidR="00096CC1" w:rsidRPr="00573C4D">
        <w:rPr>
          <w:iCs/>
        </w:rPr>
        <w:t>armées de</w:t>
      </w:r>
      <w:r w:rsidR="00096CC1">
        <w:rPr>
          <w:iCs/>
        </w:rPr>
        <w:t>s</w:t>
      </w:r>
      <w:r w:rsidR="00096CC1" w:rsidRPr="00573C4D">
        <w:rPr>
          <w:iCs/>
        </w:rPr>
        <w:t xml:space="preserve"> </w:t>
      </w:r>
      <w:r w:rsidR="00096CC1">
        <w:rPr>
          <w:iCs/>
        </w:rPr>
        <w:t xml:space="preserve">Forces </w:t>
      </w:r>
      <w:r w:rsidR="00096CC1" w:rsidRPr="00B46C41">
        <w:rPr>
          <w:rStyle w:val="Emphasis"/>
          <w:i w:val="0"/>
        </w:rPr>
        <w:t>nouvelles</w:t>
      </w:r>
      <w:r w:rsidRPr="00B6681B">
        <w:t>.</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At the onset of the post-election crisis, clashes between Gbagbo </w:t>
      </w:r>
      <w:r w:rsidR="00D80CAA" w:rsidRPr="00B6681B">
        <w:t xml:space="preserve">troops </w:t>
      </w:r>
      <w:r w:rsidRPr="00B6681B">
        <w:t xml:space="preserve">and the </w:t>
      </w:r>
      <w:r w:rsidR="00096CC1" w:rsidRPr="00B46C41">
        <w:rPr>
          <w:rStyle w:val="Emphasis"/>
          <w:i w:val="0"/>
        </w:rPr>
        <w:t xml:space="preserve">Forces </w:t>
      </w:r>
      <w:r w:rsidR="00096CC1" w:rsidRPr="00573C4D">
        <w:rPr>
          <w:iCs/>
        </w:rPr>
        <w:t>armées de</w:t>
      </w:r>
      <w:r w:rsidR="00096CC1">
        <w:rPr>
          <w:iCs/>
        </w:rPr>
        <w:t>s</w:t>
      </w:r>
      <w:r w:rsidR="00096CC1" w:rsidRPr="00573C4D">
        <w:rPr>
          <w:iCs/>
        </w:rPr>
        <w:t xml:space="preserve"> </w:t>
      </w:r>
      <w:r w:rsidR="00096CC1">
        <w:rPr>
          <w:iCs/>
        </w:rPr>
        <w:t xml:space="preserve">Forces </w:t>
      </w:r>
      <w:r w:rsidR="00096CC1" w:rsidRPr="00B46C41">
        <w:rPr>
          <w:rStyle w:val="Emphasis"/>
          <w:i w:val="0"/>
        </w:rPr>
        <w:t>nouvelles</w:t>
      </w:r>
      <w:r w:rsidRPr="00B6681B">
        <w:t xml:space="preserve"> rebels took place in the western province of the country and made </w:t>
      </w:r>
      <w:r w:rsidR="00D80CAA" w:rsidRPr="00B6681B">
        <w:t xml:space="preserve">their </w:t>
      </w:r>
      <w:r w:rsidRPr="00B6681B">
        <w:t xml:space="preserve">way to Abidjan, Yamoussoukro and other towns. Youpougon was a Gbagbo stronghold </w:t>
      </w:r>
      <w:r w:rsidR="00D80CAA" w:rsidRPr="00B6681B">
        <w:t xml:space="preserve">where </w:t>
      </w:r>
      <w:r w:rsidRPr="00B6681B">
        <w:t xml:space="preserve">mercenaries were involved in intense fighting between the two sides </w:t>
      </w:r>
      <w:r w:rsidR="0091042D" w:rsidRPr="00B6681B">
        <w:t xml:space="preserve">to </w:t>
      </w:r>
      <w:r w:rsidRPr="00B6681B">
        <w:t xml:space="preserve">the conflict around April 2011. </w:t>
      </w:r>
      <w:r w:rsidRPr="00B6681B">
        <w:rPr>
          <w:rFonts w:eastAsia="Cambria"/>
        </w:rPr>
        <w:t xml:space="preserve">From April onwards, and particularly after the arrest of Gbagbo, the Yopougon district became a principal place of warfare between the two camps. </w:t>
      </w:r>
      <w:r w:rsidRPr="00B6681B">
        <w:t>Large numbers of mercenaries also attacked communities in various areas</w:t>
      </w:r>
      <w:r w:rsidR="00D80CAA" w:rsidRPr="00B6681B">
        <w:t>,</w:t>
      </w:r>
      <w:r w:rsidRPr="00B6681B">
        <w:t xml:space="preserve"> such as Duékoué and Toulépleu </w:t>
      </w:r>
      <w:r w:rsidR="00D80CAA" w:rsidRPr="00B6681B">
        <w:t xml:space="preserve">in the west, </w:t>
      </w:r>
      <w:r w:rsidRPr="00B6681B">
        <w:t xml:space="preserve">where mass killings of people occurred as a result of the confrontations between pro-Gbagbo forces and the </w:t>
      </w:r>
      <w:r w:rsidR="00D80CAA" w:rsidRPr="00B6681B">
        <w:rPr>
          <w:iCs/>
        </w:rPr>
        <w:t>Forces républicaines</w:t>
      </w:r>
      <w:r w:rsidRPr="00B6681B">
        <w:t>.</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Working Group received </w:t>
      </w:r>
      <w:r w:rsidR="00224CD5" w:rsidRPr="00B6681B">
        <w:t xml:space="preserve">much </w:t>
      </w:r>
      <w:r w:rsidRPr="00B6681B">
        <w:t>information on the human rights violations committed by mercenaries and other armed groups</w:t>
      </w:r>
      <w:r w:rsidR="00224CD5" w:rsidRPr="00B6681B">
        <w:t>,</w:t>
      </w:r>
      <w:r w:rsidRPr="00B6681B">
        <w:t xml:space="preserve"> including </w:t>
      </w:r>
      <w:r w:rsidR="00224CD5" w:rsidRPr="00B6681B">
        <w:t xml:space="preserve">extrajudicial </w:t>
      </w:r>
      <w:r w:rsidRPr="00B6681B">
        <w:t>killings, rape, torture, enforced disappearance and abductions as well as pillaging and arbitrary arrest and detention. Other accounts also highlighted the high number of gross violations against women and children, including sexual violence</w:t>
      </w:r>
      <w:r w:rsidR="00224CD5" w:rsidRPr="00B6681B">
        <w:t>,</w:t>
      </w:r>
      <w:r w:rsidRPr="00B6681B">
        <w:t xml:space="preserve"> such as female genital mutilations. The use of child soldiers by both sides of the conflict also took place in huge numbers. Violence was instigated against </w:t>
      </w:r>
      <w:r w:rsidR="00224CD5" w:rsidRPr="00B6681B">
        <w:t xml:space="preserve">United Nations </w:t>
      </w:r>
      <w:r w:rsidRPr="00B6681B">
        <w:t>officials and foreign nationals residing in the country. In the aftermath of the crisis, hundreds of thousands of people were internally displaced and could not return to their homes. Properties were also occupied by hostile persons</w:t>
      </w:r>
      <w:r w:rsidR="00224CD5" w:rsidRPr="00B6681B">
        <w:t>,</w:t>
      </w:r>
      <w:r w:rsidRPr="00B6681B">
        <w:t xml:space="preserve"> including security forces. </w:t>
      </w:r>
    </w:p>
    <w:p w:rsidR="006B455C" w:rsidRPr="00B6681B" w:rsidRDefault="006B455C" w:rsidP="007474E8">
      <w:pPr>
        <w:pStyle w:val="HChG"/>
        <w:rPr>
          <w:lang w:val="en-US"/>
        </w:rPr>
      </w:pPr>
      <w:r w:rsidRPr="00B6681B">
        <w:rPr>
          <w:lang w:val="en-US"/>
        </w:rPr>
        <w:tab/>
        <w:t>V.</w:t>
      </w:r>
      <w:r w:rsidRPr="00B6681B">
        <w:rPr>
          <w:lang w:val="en-US"/>
        </w:rPr>
        <w:tab/>
        <w:t>Positive initiatives</w:t>
      </w:r>
      <w:r w:rsidR="007474E8" w:rsidRPr="00B6681B">
        <w:rPr>
          <w:lang w:val="en-US"/>
        </w:rPr>
        <w:t xml:space="preserve"> </w:t>
      </w:r>
    </w:p>
    <w:p w:rsidR="006B455C" w:rsidRPr="00B6681B" w:rsidRDefault="006B455C" w:rsidP="000E16A8">
      <w:pPr>
        <w:pStyle w:val="SingleTxtG"/>
        <w:numPr>
          <w:ilvl w:val="0"/>
          <w:numId w:val="24"/>
        </w:numPr>
        <w:ind w:left="1134" w:firstLine="0"/>
      </w:pPr>
      <w:r w:rsidRPr="00B6681B">
        <w:t xml:space="preserve">In spite of its difficult past with two civil wars in just over a decade, the Ivorian authorities have made significant progress in reinstating the rule of law and </w:t>
      </w:r>
      <w:r w:rsidR="00FF7F56" w:rsidRPr="00B6681B">
        <w:t>S</w:t>
      </w:r>
      <w:r w:rsidRPr="00B6681B">
        <w:t xml:space="preserve">tate institutions and mechanisms to address the challenging aftermath of the conflicts. </w:t>
      </w:r>
    </w:p>
    <w:p w:rsidR="006B455C" w:rsidRPr="00B6681B" w:rsidRDefault="006B455C" w:rsidP="000E16A8">
      <w:pPr>
        <w:pStyle w:val="SingleTxtG"/>
        <w:numPr>
          <w:ilvl w:val="0"/>
          <w:numId w:val="24"/>
        </w:numPr>
        <w:ind w:left="1134" w:firstLine="0"/>
      </w:pPr>
      <w:r w:rsidRPr="00B6681B">
        <w:t xml:space="preserve">At the forefront of the initiatives is the establishment of the Dialogue, Truth and Reconciliation Commission to assist in achieving reconciliation for Ivorians, as well as </w:t>
      </w:r>
      <w:r w:rsidR="00BB6034" w:rsidRPr="00B6681B">
        <w:t xml:space="preserve">the </w:t>
      </w:r>
      <w:r w:rsidRPr="00B6681B">
        <w:t xml:space="preserve">National Commission of Inquiry to aid in receiving complaints on violations that took place during the conflicts. The Working Group was informed that over 65,000 victims of the Ivorian conflicts </w:t>
      </w:r>
      <w:r w:rsidR="0024213A" w:rsidRPr="00B6681B">
        <w:t xml:space="preserve">had been </w:t>
      </w:r>
      <w:r w:rsidRPr="00B6681B">
        <w:t xml:space="preserve">heard by the 37 local commissions of the </w:t>
      </w:r>
      <w:r w:rsidR="008222E2" w:rsidRPr="00B6681B">
        <w:t>Dialogue, Truth and Reconciliation Commission</w:t>
      </w:r>
      <w:r w:rsidRPr="00B6681B">
        <w:t>. The reinstatement of judicial structures has been gradual but</w:t>
      </w:r>
      <w:r w:rsidR="008222E2" w:rsidRPr="00B6681B">
        <w:t>,</w:t>
      </w:r>
      <w:r w:rsidRPr="00B6681B">
        <w:t xml:space="preserve"> given that most of </w:t>
      </w:r>
      <w:r w:rsidR="008222E2" w:rsidRPr="00B6681B">
        <w:t xml:space="preserve">those </w:t>
      </w:r>
      <w:r w:rsidRPr="00B6681B">
        <w:t>structures were destroyed during the post-election conflict, this is a welcoming work</w:t>
      </w:r>
      <w:r w:rsidR="008222E2" w:rsidRPr="00B6681B">
        <w:t>-</w:t>
      </w:r>
      <w:r w:rsidRPr="00B6681B">
        <w:t>in</w:t>
      </w:r>
      <w:r w:rsidR="008222E2" w:rsidRPr="00B6681B">
        <w:t>-</w:t>
      </w:r>
      <w:r w:rsidRPr="00B6681B">
        <w:t xml:space="preserve">progress. The ratification of the Rome Statute to allow for referrals to the </w:t>
      </w:r>
      <w:r w:rsidR="00C6564C" w:rsidRPr="00B6681B">
        <w:t>International Criminal Court</w:t>
      </w:r>
      <w:r w:rsidRPr="00B6681B">
        <w:t xml:space="preserve"> where necessary has also been a positive step in bolstering the judicial mechanisms to deal with the past conflicts.</w:t>
      </w:r>
      <w:r w:rsidR="007474E8" w:rsidRPr="00B6681B">
        <w:t xml:space="preserve"> </w:t>
      </w:r>
    </w:p>
    <w:p w:rsidR="006B455C" w:rsidRPr="00B6681B" w:rsidRDefault="006B455C" w:rsidP="000E16A8">
      <w:pPr>
        <w:pStyle w:val="SingleTxtG"/>
        <w:numPr>
          <w:ilvl w:val="0"/>
          <w:numId w:val="24"/>
        </w:numPr>
        <w:ind w:left="1134" w:firstLine="0"/>
      </w:pPr>
      <w:r w:rsidRPr="00B6681B">
        <w:t>Progress ha</w:t>
      </w:r>
      <w:r w:rsidR="0024213A" w:rsidRPr="00B6681B">
        <w:t>s</w:t>
      </w:r>
      <w:r w:rsidRPr="00B6681B">
        <w:t xml:space="preserve"> also been </w:t>
      </w:r>
      <w:r w:rsidR="0024213A" w:rsidRPr="00B6681B">
        <w:t xml:space="preserve">made </w:t>
      </w:r>
      <w:r w:rsidRPr="00B6681B">
        <w:t xml:space="preserve">by the Government in the establishment of the Authority </w:t>
      </w:r>
      <w:r w:rsidR="00C6564C" w:rsidRPr="00B6681B">
        <w:t xml:space="preserve">on </w:t>
      </w:r>
      <w:r w:rsidRPr="00B6681B">
        <w:t xml:space="preserve">Disarmament, Demobilization and Reintegration of </w:t>
      </w:r>
      <w:r w:rsidR="00C6564C" w:rsidRPr="00B6681B">
        <w:t xml:space="preserve">former </w:t>
      </w:r>
      <w:r w:rsidRPr="00B6681B">
        <w:t xml:space="preserve">combatants, which is supported by UNOCI. This programme assists with the disarmament, </w:t>
      </w:r>
      <w:r w:rsidR="00882A7D" w:rsidRPr="00B6681B">
        <w:t xml:space="preserve">resocialization and training of former combatants and their reinsertion </w:t>
      </w:r>
      <w:r w:rsidRPr="00B6681B">
        <w:t xml:space="preserve">into society. The </w:t>
      </w:r>
      <w:r w:rsidR="00F76DE0" w:rsidRPr="00B6681B">
        <w:t xml:space="preserve">creation of the </w:t>
      </w:r>
      <w:r w:rsidR="00C20943" w:rsidRPr="00B6681B">
        <w:t>National Commission to Combat the Proliferation and Illegal Movement of Small Arms and Light Weapons</w:t>
      </w:r>
      <w:r w:rsidR="00F76DE0" w:rsidRPr="00B6681B">
        <w:t xml:space="preserve"> </w:t>
      </w:r>
      <w:r w:rsidRPr="00B6681B">
        <w:t xml:space="preserve">is also a significant step in strengthening the control of small arms and light weapons and is a positive effort towards disarming civilians and collecting light </w:t>
      </w:r>
      <w:r w:rsidR="007766E4" w:rsidRPr="00B6681B">
        <w:t xml:space="preserve">weapons in the public </w:t>
      </w:r>
      <w:r w:rsidR="001A5A2F" w:rsidRPr="00B6681B">
        <w:t>domain</w:t>
      </w:r>
      <w:r w:rsidR="007766E4" w:rsidRPr="00B6681B">
        <w:t>.</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Working Group commends the Government for the establishment of the National Human Rights </w:t>
      </w:r>
      <w:r w:rsidR="00F76DE0" w:rsidRPr="00B6681B">
        <w:t>Commission</w:t>
      </w:r>
      <w:r w:rsidR="00AC6374" w:rsidRPr="00B6681B">
        <w:t>,</w:t>
      </w:r>
      <w:r w:rsidRPr="00B6681B">
        <w:t xml:space="preserve"> </w:t>
      </w:r>
      <w:r w:rsidR="00AC6374" w:rsidRPr="00B6681B">
        <w:t xml:space="preserve">which has </w:t>
      </w:r>
      <w:r w:rsidRPr="00B6681B">
        <w:t xml:space="preserve">the mandate to promote, protect and defend human rights in the country, </w:t>
      </w:r>
      <w:r w:rsidR="00AC6374" w:rsidRPr="00B6681B">
        <w:t xml:space="preserve">but </w:t>
      </w:r>
      <w:r w:rsidRPr="00B6681B">
        <w:t xml:space="preserve">notes </w:t>
      </w:r>
      <w:r w:rsidR="00AC6374" w:rsidRPr="00B6681B">
        <w:t>that</w:t>
      </w:r>
      <w:r w:rsidRPr="00B6681B">
        <w:t xml:space="preserve"> the independence of </w:t>
      </w:r>
      <w:r w:rsidR="00F76DE0" w:rsidRPr="00B6681B">
        <w:t xml:space="preserve">that </w:t>
      </w:r>
      <w:r w:rsidRPr="00B6681B">
        <w:t xml:space="preserve">institution </w:t>
      </w:r>
      <w:r w:rsidR="00AC6374" w:rsidRPr="00B6681B">
        <w:t xml:space="preserve">needs to </w:t>
      </w:r>
      <w:r w:rsidR="00574D3B" w:rsidRPr="00B6681B">
        <w:t xml:space="preserve">be </w:t>
      </w:r>
      <w:r w:rsidR="00AC6374" w:rsidRPr="00B6681B">
        <w:t>strengthened and that adequate</w:t>
      </w:r>
      <w:r w:rsidRPr="00B6681B">
        <w:t xml:space="preserve"> resources </w:t>
      </w:r>
      <w:r w:rsidR="00AC6374" w:rsidRPr="00B6681B">
        <w:t xml:space="preserve">need to be provided for the Commission </w:t>
      </w:r>
      <w:r w:rsidRPr="00B6681B">
        <w:t>to fully carry out its functions.</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Working Group was informed of the creation of a special investigation unit under the Ministry of Justice to look into the violations that </w:t>
      </w:r>
      <w:r w:rsidR="00AC6374" w:rsidRPr="00B6681B">
        <w:t xml:space="preserve">had taken </w:t>
      </w:r>
      <w:r w:rsidRPr="00B6681B">
        <w:t xml:space="preserve">place during the post-election crisis. </w:t>
      </w:r>
      <w:r w:rsidR="009A6C9D" w:rsidRPr="00B6681B">
        <w:t xml:space="preserve">The </w:t>
      </w:r>
      <w:r w:rsidRPr="00B6681B">
        <w:t>special unit comprises various entities</w:t>
      </w:r>
      <w:r w:rsidR="009A6C9D" w:rsidRPr="00B6681B">
        <w:t>,</w:t>
      </w:r>
      <w:r w:rsidRPr="00B6681B">
        <w:t xml:space="preserve"> including from the police and gendarmerie, and can bring </w:t>
      </w:r>
      <w:r w:rsidR="00203EA9" w:rsidRPr="00B6681B">
        <w:t xml:space="preserve">about </w:t>
      </w:r>
      <w:r w:rsidRPr="00B6681B">
        <w:t xml:space="preserve">proceedings and carry out specific missions </w:t>
      </w:r>
      <w:r w:rsidR="009A6C9D" w:rsidRPr="00B6681B">
        <w:t xml:space="preserve">in </w:t>
      </w:r>
      <w:r w:rsidRPr="00B6681B">
        <w:t xml:space="preserve">the field </w:t>
      </w:r>
      <w:r w:rsidR="009A6C9D" w:rsidRPr="00B6681B">
        <w:t xml:space="preserve">as part of </w:t>
      </w:r>
      <w:r w:rsidRPr="00B6681B">
        <w:t xml:space="preserve">its investigation procedure. It also maintains a database </w:t>
      </w:r>
      <w:r w:rsidR="00AC6374" w:rsidRPr="00B6681B">
        <w:t xml:space="preserve">of </w:t>
      </w:r>
      <w:r w:rsidRPr="00B6681B">
        <w:t xml:space="preserve">cases of violations. Approximately 100 cases relating to mercenaries </w:t>
      </w:r>
      <w:r w:rsidR="009A6C9D" w:rsidRPr="00B6681B">
        <w:t xml:space="preserve">have been </w:t>
      </w:r>
      <w:r w:rsidRPr="00B6681B">
        <w:t>registered in the database.</w:t>
      </w:r>
    </w:p>
    <w:p w:rsidR="006B455C" w:rsidRPr="00B6681B" w:rsidRDefault="006B455C" w:rsidP="006B455C">
      <w:pPr>
        <w:pStyle w:val="HChG"/>
        <w:rPr>
          <w:lang w:val="en-US"/>
        </w:rPr>
      </w:pPr>
      <w:r w:rsidRPr="00B6681B">
        <w:rPr>
          <w:lang w:val="en-US"/>
        </w:rPr>
        <w:tab/>
        <w:t>VI.</w:t>
      </w:r>
      <w:r w:rsidRPr="00B6681B">
        <w:rPr>
          <w:lang w:val="en-US"/>
        </w:rPr>
        <w:tab/>
        <w:t xml:space="preserve">Ongoing challenges to national stability </w:t>
      </w:r>
    </w:p>
    <w:p w:rsidR="006B455C" w:rsidRPr="00B6681B" w:rsidRDefault="006B455C" w:rsidP="000E16A8">
      <w:pPr>
        <w:pStyle w:val="SingleTxtG"/>
        <w:numPr>
          <w:ilvl w:val="0"/>
          <w:numId w:val="24"/>
        </w:numPr>
        <w:ind w:left="1134" w:firstLine="0"/>
        <w:rPr>
          <w:b/>
          <w:sz w:val="24"/>
          <w:szCs w:val="24"/>
        </w:rPr>
      </w:pPr>
      <w:r w:rsidRPr="00B6681B">
        <w:t xml:space="preserve">The phenomenon of mercenarism thrives in conditions where the rule of law is weak, </w:t>
      </w:r>
      <w:r w:rsidR="00FF7F56" w:rsidRPr="00B6681B">
        <w:t>S</w:t>
      </w:r>
      <w:r w:rsidRPr="00B6681B">
        <w:t xml:space="preserve">tate institutions are fragile and political instability is rife. </w:t>
      </w:r>
      <w:r w:rsidR="00AC6374" w:rsidRPr="00B6681B">
        <w:t>Given the country’s</w:t>
      </w:r>
      <w:r w:rsidRPr="00B6681B">
        <w:t xml:space="preserve"> history of armed conflicts and the existing threats to national security, the Ivorian authorities will need to address the challenges </w:t>
      </w:r>
      <w:r w:rsidR="00377CE9" w:rsidRPr="00B6681B">
        <w:t xml:space="preserve">below </w:t>
      </w:r>
      <w:r w:rsidRPr="00B6681B">
        <w:t>in order to safeguard against the recurrence and expansion of mercenarism and mercenary</w:t>
      </w:r>
      <w:r w:rsidR="00377CE9" w:rsidRPr="00B6681B">
        <w:t>-</w:t>
      </w:r>
      <w:r w:rsidRPr="00B6681B">
        <w:t>related activities.</w:t>
      </w:r>
      <w:r w:rsidR="007474E8" w:rsidRPr="00B6681B">
        <w:t xml:space="preserve"> </w:t>
      </w:r>
    </w:p>
    <w:p w:rsidR="006B455C" w:rsidRPr="00B6681B" w:rsidRDefault="000F3460" w:rsidP="000F3460">
      <w:pPr>
        <w:pStyle w:val="H1G"/>
      </w:pPr>
      <w:r w:rsidRPr="00B6681B">
        <w:tab/>
        <w:t>A.</w:t>
      </w:r>
      <w:r w:rsidRPr="00B6681B">
        <w:tab/>
      </w:r>
      <w:r w:rsidR="006B455C" w:rsidRPr="00B6681B">
        <w:t xml:space="preserve">Impunity and lack of accountability </w:t>
      </w:r>
    </w:p>
    <w:p w:rsidR="006B455C" w:rsidRPr="00B6681B" w:rsidRDefault="006B455C" w:rsidP="000E16A8">
      <w:pPr>
        <w:pStyle w:val="SingleTxtG"/>
        <w:numPr>
          <w:ilvl w:val="0"/>
          <w:numId w:val="24"/>
        </w:numPr>
        <w:ind w:left="1134" w:firstLine="0"/>
      </w:pPr>
      <w:r w:rsidRPr="00B6681B">
        <w:t xml:space="preserve">The Working Group was repeatedly informed </w:t>
      </w:r>
      <w:r w:rsidR="00084578" w:rsidRPr="00B6681B">
        <w:t>that many Ivoirians</w:t>
      </w:r>
      <w:r w:rsidRPr="00B6681B">
        <w:t xml:space="preserve"> lack</w:t>
      </w:r>
      <w:r w:rsidR="00084578" w:rsidRPr="00B6681B">
        <w:t>ed</w:t>
      </w:r>
      <w:r w:rsidRPr="00B6681B">
        <w:t xml:space="preserve"> confidence in their justice system, particularly in relation to bringing </w:t>
      </w:r>
      <w:r w:rsidR="00377CE9" w:rsidRPr="00B6681B">
        <w:t xml:space="preserve">to justice </w:t>
      </w:r>
      <w:r w:rsidRPr="00B6681B">
        <w:t>perpetrators</w:t>
      </w:r>
      <w:r w:rsidR="00AC6374" w:rsidRPr="00B6681B">
        <w:t xml:space="preserve"> </w:t>
      </w:r>
      <w:r w:rsidR="00084578" w:rsidRPr="00B6681B">
        <w:t xml:space="preserve">of violations committed during </w:t>
      </w:r>
      <w:r w:rsidRPr="00B6681B">
        <w:t xml:space="preserve">the past conflicts and ensuring access </w:t>
      </w:r>
      <w:r w:rsidR="00377CE9" w:rsidRPr="00B6681B">
        <w:t xml:space="preserve">to </w:t>
      </w:r>
      <w:r w:rsidRPr="00B6681B">
        <w:t xml:space="preserve">remedies for </w:t>
      </w:r>
      <w:r w:rsidR="00084578" w:rsidRPr="00B6681B">
        <w:t xml:space="preserve">victims of </w:t>
      </w:r>
      <w:r w:rsidRPr="00B6681B">
        <w:t xml:space="preserve">violations. It was also perceived by many that judicial actions </w:t>
      </w:r>
      <w:r w:rsidR="00377CE9" w:rsidRPr="00B6681B">
        <w:t xml:space="preserve">had </w:t>
      </w:r>
      <w:r w:rsidRPr="00B6681B">
        <w:t xml:space="preserve">been </w:t>
      </w:r>
      <w:r w:rsidR="00AC6374" w:rsidRPr="00B6681B">
        <w:t>aimed at only</w:t>
      </w:r>
      <w:r w:rsidRPr="00B6681B">
        <w:t xml:space="preserve"> one side to the conflict</w:t>
      </w:r>
      <w:r w:rsidR="00AC6374" w:rsidRPr="00B6681B">
        <w:t xml:space="preserve"> and that the</w:t>
      </w:r>
      <w:r w:rsidRPr="00B6681B">
        <w:t xml:space="preserve"> justice system </w:t>
      </w:r>
      <w:r w:rsidR="00AC6374" w:rsidRPr="00B6681B">
        <w:t xml:space="preserve">had </w:t>
      </w:r>
      <w:r w:rsidRPr="00B6681B">
        <w:t xml:space="preserve">double standards. Regarding mercenarism, one interlocutor stated that the </w:t>
      </w:r>
      <w:r w:rsidR="00377CE9" w:rsidRPr="000E16A8">
        <w:t xml:space="preserve">question of mercenaries </w:t>
      </w:r>
      <w:r w:rsidR="00AC6374" w:rsidRPr="00B6681B">
        <w:t>was</w:t>
      </w:r>
      <w:r w:rsidR="00377CE9" w:rsidRPr="000E16A8">
        <w:t xml:space="preserve"> sometimes considered a taboo question because the issue </w:t>
      </w:r>
      <w:r w:rsidR="00084578" w:rsidRPr="00B6681B">
        <w:t>was</w:t>
      </w:r>
      <w:r w:rsidR="00377CE9" w:rsidRPr="000E16A8">
        <w:t xml:space="preserve"> caught between those who </w:t>
      </w:r>
      <w:r w:rsidR="00084578" w:rsidRPr="00B6681B">
        <w:t>were currently in</w:t>
      </w:r>
      <w:r w:rsidR="00377CE9" w:rsidRPr="000E16A8">
        <w:t xml:space="preserve"> power and those who </w:t>
      </w:r>
      <w:r w:rsidR="00084578" w:rsidRPr="00B6681B">
        <w:t>had been</w:t>
      </w:r>
      <w:r w:rsidR="00377CE9" w:rsidRPr="000E16A8">
        <w:t xml:space="preserve"> in power before</w:t>
      </w:r>
      <w:r w:rsidRPr="004F7CAA">
        <w:rPr>
          <w:sz w:val="24"/>
          <w:szCs w:val="24"/>
        </w:rPr>
        <w:t xml:space="preserve">. </w:t>
      </w:r>
      <w:r w:rsidR="00C6723C" w:rsidRPr="004F7CAA">
        <w:rPr>
          <w:rStyle w:val="hps"/>
          <w:color w:val="222222"/>
          <w:lang w:val="en"/>
        </w:rPr>
        <w:t xml:space="preserve">The </w:t>
      </w:r>
      <w:r w:rsidR="00EF183E">
        <w:rPr>
          <w:rStyle w:val="hps"/>
          <w:color w:val="222222"/>
          <w:lang w:val="en"/>
        </w:rPr>
        <w:t>G</w:t>
      </w:r>
      <w:r w:rsidR="00C6723C" w:rsidRPr="004F7CAA">
        <w:rPr>
          <w:rStyle w:val="hps"/>
          <w:color w:val="222222"/>
          <w:lang w:val="en"/>
        </w:rPr>
        <w:t>overnment</w:t>
      </w:r>
      <w:r w:rsidR="00C6723C" w:rsidRPr="004F7CAA">
        <w:rPr>
          <w:color w:val="222222"/>
          <w:lang w:val="en"/>
        </w:rPr>
        <w:t xml:space="preserve">, following </w:t>
      </w:r>
      <w:r w:rsidR="00C6723C" w:rsidRPr="004F7CAA">
        <w:rPr>
          <w:rStyle w:val="hps"/>
          <w:color w:val="222222"/>
          <w:lang w:val="en"/>
        </w:rPr>
        <w:t>the mission</w:t>
      </w:r>
      <w:r w:rsidR="00C6723C" w:rsidRPr="004F7CAA">
        <w:rPr>
          <w:color w:val="222222"/>
          <w:lang w:val="en"/>
        </w:rPr>
        <w:t xml:space="preserve"> </w:t>
      </w:r>
      <w:r w:rsidR="00C6723C" w:rsidRPr="004F7CAA">
        <w:rPr>
          <w:rStyle w:val="hps"/>
          <w:color w:val="222222"/>
          <w:lang w:val="en"/>
        </w:rPr>
        <w:t>of the Working Group</w:t>
      </w:r>
      <w:r w:rsidR="00C6723C" w:rsidRPr="004F7CAA">
        <w:rPr>
          <w:color w:val="222222"/>
          <w:lang w:val="en"/>
        </w:rPr>
        <w:t xml:space="preserve">, </w:t>
      </w:r>
      <w:r w:rsidR="00C6723C" w:rsidRPr="004F7CAA">
        <w:rPr>
          <w:rStyle w:val="hps"/>
          <w:color w:val="222222"/>
          <w:lang w:val="en"/>
        </w:rPr>
        <w:t>also stated</w:t>
      </w:r>
      <w:r w:rsidR="00C6723C" w:rsidRPr="004F7CAA">
        <w:rPr>
          <w:color w:val="222222"/>
          <w:lang w:val="en"/>
        </w:rPr>
        <w:t xml:space="preserve"> </w:t>
      </w:r>
      <w:r w:rsidR="00C6723C" w:rsidRPr="004F7CAA">
        <w:rPr>
          <w:rStyle w:val="hps"/>
          <w:color w:val="222222"/>
          <w:lang w:val="en"/>
        </w:rPr>
        <w:t xml:space="preserve">that </w:t>
      </w:r>
      <w:r w:rsidR="00EF183E">
        <w:rPr>
          <w:rStyle w:val="hps"/>
          <w:color w:val="222222"/>
          <w:lang w:val="en"/>
        </w:rPr>
        <w:t xml:space="preserve">there were two types of </w:t>
      </w:r>
      <w:r w:rsidR="00C6723C" w:rsidRPr="004F7CAA">
        <w:rPr>
          <w:rStyle w:val="hps"/>
          <w:color w:val="222222"/>
          <w:lang w:val="en"/>
        </w:rPr>
        <w:t>judicial proceedings</w:t>
      </w:r>
      <w:r w:rsidR="00C6723C" w:rsidRPr="004F7CAA">
        <w:rPr>
          <w:color w:val="222222"/>
          <w:lang w:val="en"/>
        </w:rPr>
        <w:t xml:space="preserve">: </w:t>
      </w:r>
      <w:r w:rsidR="00C6723C" w:rsidRPr="004F7CAA">
        <w:rPr>
          <w:rStyle w:val="hps"/>
          <w:color w:val="222222"/>
          <w:lang w:val="en"/>
        </w:rPr>
        <w:t>those relating to</w:t>
      </w:r>
      <w:r w:rsidR="00C6723C" w:rsidRPr="004F7CAA">
        <w:rPr>
          <w:color w:val="222222"/>
          <w:lang w:val="en"/>
        </w:rPr>
        <w:t xml:space="preserve"> </w:t>
      </w:r>
      <w:r w:rsidR="00C6723C" w:rsidRPr="004F7CAA">
        <w:rPr>
          <w:rStyle w:val="hps"/>
          <w:color w:val="222222"/>
          <w:lang w:val="en"/>
        </w:rPr>
        <w:t>economic</w:t>
      </w:r>
      <w:r w:rsidR="00C6723C" w:rsidRPr="004F7CAA">
        <w:rPr>
          <w:color w:val="222222"/>
          <w:lang w:val="en"/>
        </w:rPr>
        <w:t xml:space="preserve"> </w:t>
      </w:r>
      <w:r w:rsidR="00C6723C" w:rsidRPr="004F7CAA">
        <w:rPr>
          <w:rStyle w:val="hps"/>
          <w:color w:val="222222"/>
          <w:lang w:val="en"/>
        </w:rPr>
        <w:t>offen</w:t>
      </w:r>
      <w:r w:rsidR="00EF183E">
        <w:rPr>
          <w:rStyle w:val="hps"/>
          <w:color w:val="222222"/>
          <w:lang w:val="en"/>
        </w:rPr>
        <w:t>c</w:t>
      </w:r>
      <w:r w:rsidR="00C6723C" w:rsidRPr="004F7CAA">
        <w:rPr>
          <w:rStyle w:val="hps"/>
          <w:color w:val="222222"/>
          <w:lang w:val="en"/>
        </w:rPr>
        <w:t>es</w:t>
      </w:r>
      <w:r w:rsidR="00EF183E">
        <w:rPr>
          <w:rStyle w:val="hps"/>
          <w:color w:val="222222"/>
          <w:lang w:val="en"/>
        </w:rPr>
        <w:t>,</w:t>
      </w:r>
      <w:r w:rsidR="00C6723C" w:rsidRPr="004F7CAA">
        <w:rPr>
          <w:rStyle w:val="hps"/>
          <w:color w:val="222222"/>
          <w:lang w:val="en"/>
        </w:rPr>
        <w:t xml:space="preserve"> and</w:t>
      </w:r>
      <w:r w:rsidR="00C6723C" w:rsidRPr="004F7CAA">
        <w:rPr>
          <w:color w:val="222222"/>
          <w:lang w:val="en"/>
        </w:rPr>
        <w:t xml:space="preserve"> </w:t>
      </w:r>
      <w:r w:rsidR="00C6723C" w:rsidRPr="004F7CAA">
        <w:rPr>
          <w:rStyle w:val="hps"/>
          <w:color w:val="222222"/>
          <w:lang w:val="en"/>
        </w:rPr>
        <w:t>those for</w:t>
      </w:r>
      <w:r w:rsidR="00C6723C" w:rsidRPr="004F7CAA">
        <w:rPr>
          <w:color w:val="222222"/>
          <w:lang w:val="en"/>
        </w:rPr>
        <w:t xml:space="preserve"> </w:t>
      </w:r>
      <w:r w:rsidR="00C6723C" w:rsidRPr="004F7CAA">
        <w:rPr>
          <w:rStyle w:val="hps"/>
          <w:color w:val="222222"/>
          <w:lang w:val="en"/>
        </w:rPr>
        <w:t>blood crimes</w:t>
      </w:r>
      <w:r w:rsidR="00C6723C" w:rsidRPr="005748A8">
        <w:rPr>
          <w:rFonts w:ascii="Arial" w:hAnsi="Arial" w:cs="Arial"/>
          <w:color w:val="222222"/>
          <w:lang w:val="en"/>
        </w:rPr>
        <w:t>.</w:t>
      </w:r>
      <w:r w:rsidR="005748A8">
        <w:t xml:space="preserve"> </w:t>
      </w:r>
      <w:r w:rsidR="00377CE9" w:rsidRPr="00B6681B">
        <w:t xml:space="preserve">In its 2012 report, the </w:t>
      </w:r>
      <w:r w:rsidRPr="00B6681B">
        <w:t xml:space="preserve">National Commission of Inquiry stated that both sides </w:t>
      </w:r>
      <w:r w:rsidR="00084578" w:rsidRPr="00B6681B">
        <w:t xml:space="preserve">to </w:t>
      </w:r>
      <w:r w:rsidRPr="00B6681B">
        <w:t xml:space="preserve">the conflicts </w:t>
      </w:r>
      <w:r w:rsidR="00377CE9" w:rsidRPr="00B6681B">
        <w:t xml:space="preserve">had </w:t>
      </w:r>
      <w:r w:rsidRPr="00B6681B">
        <w:t>committed serious human rights violations.</w:t>
      </w:r>
      <w:r w:rsidR="007474E8" w:rsidRPr="00B6681B">
        <w:t xml:space="preserve"> </w:t>
      </w:r>
      <w:r w:rsidRPr="00B6681B">
        <w:t xml:space="preserve">Despite this, </w:t>
      </w:r>
      <w:r w:rsidR="00284B00" w:rsidRPr="00B6681B">
        <w:t xml:space="preserve">the focus has been on </w:t>
      </w:r>
      <w:r w:rsidR="00084578" w:rsidRPr="00B6681B">
        <w:t>convicting perpetrators</w:t>
      </w:r>
      <w:r w:rsidR="00084578" w:rsidRPr="00B6681B" w:rsidDel="00084578">
        <w:t xml:space="preserve"> </w:t>
      </w:r>
      <w:r w:rsidR="00284B00" w:rsidRPr="00B6681B">
        <w:t xml:space="preserve">who supported the </w:t>
      </w:r>
      <w:r w:rsidRPr="00B6681B">
        <w:t>former Gbagbo regime.</w:t>
      </w:r>
      <w:r w:rsidR="00284B00" w:rsidRPr="00B6681B">
        <w:t xml:space="preserve"> The Working Group was not informed of any</w:t>
      </w:r>
      <w:r w:rsidRPr="00B6681B">
        <w:t xml:space="preserve"> </w:t>
      </w:r>
      <w:r w:rsidR="00284B00" w:rsidRPr="00B6681B">
        <w:t>judi</w:t>
      </w:r>
      <w:r w:rsidRPr="00B6681B">
        <w:t>cial processes or prosecutions relating to perpetrators who supported the current regime</w:t>
      </w:r>
      <w:r w:rsidR="00284B00" w:rsidRPr="00B6681B">
        <w:t xml:space="preserve">. </w:t>
      </w:r>
      <w:r w:rsidRPr="00B6681B">
        <w:t xml:space="preserve">In fact, former combatants close to the current regime have been given positions of authority in the </w:t>
      </w:r>
      <w:r w:rsidR="00377CE9" w:rsidRPr="00B6681B">
        <w:t>G</w:t>
      </w:r>
      <w:r w:rsidRPr="00B6681B">
        <w:t xml:space="preserve">overnment, thus worsening the problem of impunity. </w:t>
      </w:r>
    </w:p>
    <w:p w:rsidR="006B455C" w:rsidRPr="00B6681B" w:rsidRDefault="006B455C" w:rsidP="000E16A8">
      <w:pPr>
        <w:pStyle w:val="SingleTxtG"/>
        <w:numPr>
          <w:ilvl w:val="0"/>
          <w:numId w:val="24"/>
        </w:numPr>
        <w:ind w:left="1134" w:firstLine="0"/>
      </w:pPr>
      <w:r w:rsidRPr="00B6681B">
        <w:t>The low number of prosecutions and convictions of perpetrators involved in the past conflict</w:t>
      </w:r>
      <w:r w:rsidR="00751E50" w:rsidRPr="00B6681B">
        <w:t>s</w:t>
      </w:r>
      <w:r w:rsidRPr="00B6681B">
        <w:t xml:space="preserve"> is striking. The Working Group noted that</w:t>
      </w:r>
      <w:r w:rsidR="00751E50" w:rsidRPr="00B6681B">
        <w:t>,</w:t>
      </w:r>
      <w:r w:rsidRPr="00B6681B">
        <w:t xml:space="preserve"> despite the well-known presence of mercenaries on both sides </w:t>
      </w:r>
      <w:r w:rsidR="00084578" w:rsidRPr="00B6681B">
        <w:t xml:space="preserve">to </w:t>
      </w:r>
      <w:r w:rsidRPr="00B6681B">
        <w:t>the conflicts, very little headway ha</w:t>
      </w:r>
      <w:r w:rsidR="00084578" w:rsidRPr="00B6681B">
        <w:t>d</w:t>
      </w:r>
      <w:r w:rsidRPr="00B6681B">
        <w:t xml:space="preserve"> been made in bringing </w:t>
      </w:r>
      <w:r w:rsidR="00084578" w:rsidRPr="00B6681B">
        <w:t xml:space="preserve">them </w:t>
      </w:r>
      <w:r w:rsidRPr="00B6681B">
        <w:t>or those who were responsible for their recruitment</w:t>
      </w:r>
      <w:r w:rsidR="00084578" w:rsidRPr="00B6681B">
        <w:t xml:space="preserve"> to justice</w:t>
      </w:r>
      <w:r w:rsidRPr="00B6681B">
        <w:t xml:space="preserve">. Judicial processes have been slow in dealing with complaints of human rights violations, and the independence of </w:t>
      </w:r>
      <w:r w:rsidR="00FF7F56" w:rsidRPr="00B6681B">
        <w:t>S</w:t>
      </w:r>
      <w:r w:rsidRPr="00B6681B">
        <w:t>tate institutions</w:t>
      </w:r>
      <w:r w:rsidR="00751E50" w:rsidRPr="00B6681B">
        <w:t>,</w:t>
      </w:r>
      <w:r w:rsidRPr="00B6681B">
        <w:t xml:space="preserve"> including the judiciary</w:t>
      </w:r>
      <w:r w:rsidR="00751E50" w:rsidRPr="00B6681B">
        <w:t>,</w:t>
      </w:r>
      <w:r w:rsidRPr="00B6681B">
        <w:t xml:space="preserve"> requires strengthening in </w:t>
      </w:r>
      <w:r w:rsidR="00751E50" w:rsidRPr="00B6681B">
        <w:t xml:space="preserve">the </w:t>
      </w:r>
      <w:r w:rsidRPr="00B6681B">
        <w:t xml:space="preserve">light of the power held by the current regime, </w:t>
      </w:r>
      <w:r w:rsidR="00203EA9" w:rsidRPr="00B6681B">
        <w:t xml:space="preserve">certain members of which </w:t>
      </w:r>
      <w:r w:rsidRPr="00B6681B">
        <w:t xml:space="preserve">were also former combatants. </w:t>
      </w:r>
    </w:p>
    <w:p w:rsidR="006B455C" w:rsidRPr="00B6681B" w:rsidRDefault="006B455C" w:rsidP="000E16A8">
      <w:pPr>
        <w:pStyle w:val="SingleTxtG"/>
        <w:numPr>
          <w:ilvl w:val="0"/>
          <w:numId w:val="24"/>
        </w:numPr>
        <w:ind w:left="1134" w:firstLine="0"/>
      </w:pPr>
      <w:r w:rsidRPr="00B6681B">
        <w:t xml:space="preserve">The special investigation </w:t>
      </w:r>
      <w:r w:rsidR="00751E50" w:rsidRPr="00B6681B">
        <w:t xml:space="preserve">unit </w:t>
      </w:r>
      <w:r w:rsidRPr="00B6681B">
        <w:t xml:space="preserve">tasked with bringing to justice perpetrators </w:t>
      </w:r>
      <w:r w:rsidR="00751E50" w:rsidRPr="00B6681B">
        <w:t>of violations</w:t>
      </w:r>
      <w:r w:rsidR="00084578" w:rsidRPr="00B6681B">
        <w:t xml:space="preserve"> committed during</w:t>
      </w:r>
      <w:r w:rsidRPr="00B6681B">
        <w:t xml:space="preserve"> the post-election crisis, </w:t>
      </w:r>
      <w:r w:rsidR="00751E50" w:rsidRPr="00B6681B">
        <w:t>al</w:t>
      </w:r>
      <w:r w:rsidRPr="00B6681B">
        <w:t xml:space="preserve">though a critical mechanism, faced problems </w:t>
      </w:r>
      <w:r w:rsidR="00751E50" w:rsidRPr="00B6681B">
        <w:t xml:space="preserve">in the form of </w:t>
      </w:r>
      <w:r w:rsidRPr="00B6681B">
        <w:t xml:space="preserve">constant changes to </w:t>
      </w:r>
      <w:r w:rsidR="00751E50" w:rsidRPr="00B6681B">
        <w:t xml:space="preserve">its presiding </w:t>
      </w:r>
      <w:r w:rsidRPr="00B6681B">
        <w:t>judges</w:t>
      </w:r>
      <w:r w:rsidR="00751E50" w:rsidRPr="00B6681B">
        <w:t>.</w:t>
      </w:r>
      <w:r w:rsidRPr="00B6681B">
        <w:t xml:space="preserve"> It was also understaffed and its investigative functions needed to be strengthened to </w:t>
      </w:r>
      <w:r w:rsidR="00084578" w:rsidRPr="00B6681B">
        <w:t>prevent</w:t>
      </w:r>
      <w:r w:rsidRPr="00B6681B">
        <w:t xml:space="preserve"> impunity. The Working Group is pleased</w:t>
      </w:r>
      <w:r w:rsidR="00084578" w:rsidRPr="00B6681B">
        <w:t>, however,</w:t>
      </w:r>
      <w:r w:rsidRPr="00B6681B">
        <w:t xml:space="preserve"> that the mandate </w:t>
      </w:r>
      <w:r w:rsidR="00751E50" w:rsidRPr="00B6681B">
        <w:t xml:space="preserve">of the </w:t>
      </w:r>
      <w:r w:rsidRPr="00B6681B">
        <w:t>unit has been extended.</w:t>
      </w:r>
    </w:p>
    <w:p w:rsidR="006B455C" w:rsidRPr="00B6681B" w:rsidRDefault="006B455C" w:rsidP="000E16A8">
      <w:pPr>
        <w:pStyle w:val="SingleTxtG"/>
        <w:numPr>
          <w:ilvl w:val="0"/>
          <w:numId w:val="24"/>
        </w:numPr>
        <w:ind w:left="1134" w:firstLine="0"/>
      </w:pPr>
      <w:r w:rsidRPr="00B6681B">
        <w:t xml:space="preserve">The Working Group was informed of </w:t>
      </w:r>
      <w:r w:rsidR="005761D3">
        <w:t xml:space="preserve">several incidents of </w:t>
      </w:r>
      <w:r w:rsidRPr="00B6681B">
        <w:t xml:space="preserve">the use of excessive force by elements of the </w:t>
      </w:r>
      <w:r w:rsidR="00D80CAA" w:rsidRPr="00B6681B">
        <w:rPr>
          <w:iCs/>
        </w:rPr>
        <w:t>Forces républicaines</w:t>
      </w:r>
      <w:r w:rsidR="00751E50" w:rsidRPr="00B6681B">
        <w:rPr>
          <w:iCs/>
        </w:rPr>
        <w:t>,</w:t>
      </w:r>
      <w:r w:rsidRPr="00B6681B">
        <w:t xml:space="preserve"> which pose</w:t>
      </w:r>
      <w:r w:rsidR="00751E50" w:rsidRPr="00B6681B">
        <w:t>s</w:t>
      </w:r>
      <w:r w:rsidRPr="00B6681B">
        <w:t xml:space="preserve"> threats to human rights</w:t>
      </w:r>
      <w:r w:rsidR="00751E50" w:rsidRPr="00B6681B">
        <w:t>,</w:t>
      </w:r>
      <w:r w:rsidRPr="00B6681B">
        <w:t xml:space="preserve"> including the right</w:t>
      </w:r>
      <w:r w:rsidR="00751E50" w:rsidRPr="00B6681B">
        <w:t>s</w:t>
      </w:r>
      <w:r w:rsidRPr="00B6681B">
        <w:t xml:space="preserve"> to life and security of civilians. </w:t>
      </w:r>
      <w:r w:rsidR="00084578" w:rsidRPr="00B6681B">
        <w:t xml:space="preserve">The number </w:t>
      </w:r>
      <w:r w:rsidRPr="00B6681B">
        <w:t xml:space="preserve">of alleged </w:t>
      </w:r>
      <w:r w:rsidR="00D80CAA" w:rsidRPr="00B6681B">
        <w:rPr>
          <w:iCs/>
        </w:rPr>
        <w:t>Forces républicaines</w:t>
      </w:r>
      <w:r w:rsidRPr="00B6681B">
        <w:t xml:space="preserve"> perpetrators</w:t>
      </w:r>
      <w:r w:rsidR="00084578" w:rsidRPr="00B6681B">
        <w:t xml:space="preserve"> facing prosecution</w:t>
      </w:r>
      <w:r w:rsidRPr="00B6681B">
        <w:t xml:space="preserve"> remain</w:t>
      </w:r>
      <w:r w:rsidR="00084578" w:rsidRPr="00B6681B">
        <w:t>s</w:t>
      </w:r>
      <w:r w:rsidRPr="00B6681B">
        <w:t xml:space="preserve"> low</w:t>
      </w:r>
      <w:r w:rsidR="00C41506" w:rsidRPr="00B6681B">
        <w:t xml:space="preserve">, contributing to impunity and </w:t>
      </w:r>
      <w:r w:rsidR="00084578" w:rsidRPr="00B6681B">
        <w:t>weakening</w:t>
      </w:r>
      <w:r w:rsidRPr="00B6681B">
        <w:t xml:space="preserve"> public confidence in the security sector. The Working Group received information that training on human rights standards ha</w:t>
      </w:r>
      <w:r w:rsidR="00084578" w:rsidRPr="00B6681B">
        <w:t>d</w:t>
      </w:r>
      <w:r w:rsidRPr="00B6681B">
        <w:t xml:space="preserve"> been undertaken by the </w:t>
      </w:r>
      <w:r w:rsidR="00D80CAA" w:rsidRPr="00B6681B">
        <w:rPr>
          <w:iCs/>
        </w:rPr>
        <w:t>Forces républicaines</w:t>
      </w:r>
      <w:r w:rsidRPr="00B6681B">
        <w:t xml:space="preserve"> to improve this problem but </w:t>
      </w:r>
      <w:r w:rsidR="00751E50" w:rsidRPr="00B6681B">
        <w:t xml:space="preserve">that it </w:t>
      </w:r>
      <w:r w:rsidRPr="00B6681B">
        <w:t>ha</w:t>
      </w:r>
      <w:r w:rsidR="00084578" w:rsidRPr="00B6681B">
        <w:t>d</w:t>
      </w:r>
      <w:r w:rsidRPr="00B6681B">
        <w:t xml:space="preserve"> not effectively addressed the overall situation.</w:t>
      </w:r>
      <w:r w:rsidR="007474E8" w:rsidRPr="00B6681B">
        <w:t xml:space="preserve"> </w:t>
      </w:r>
      <w:r w:rsidR="00D80CAA" w:rsidRPr="00B6681B">
        <w:rPr>
          <w:iCs/>
        </w:rPr>
        <w:t>Forces républicaines</w:t>
      </w:r>
      <w:r w:rsidRPr="00B6681B">
        <w:t xml:space="preserve"> elements have also been responsible for illegally occupying residential properties by force, leaving owners without homes. To date</w:t>
      </w:r>
      <w:r w:rsidR="001E534A" w:rsidRPr="00B6681B">
        <w:t>,</w:t>
      </w:r>
      <w:r w:rsidRPr="00B6681B">
        <w:t xml:space="preserve"> </w:t>
      </w:r>
      <w:r w:rsidR="001E534A" w:rsidRPr="00B6681B">
        <w:t xml:space="preserve">more than </w:t>
      </w:r>
      <w:r w:rsidRPr="00B6681B">
        <w:t xml:space="preserve">600 properties continue to be occupied. </w:t>
      </w:r>
    </w:p>
    <w:p w:rsidR="006B455C" w:rsidRPr="00B6681B" w:rsidRDefault="006B455C" w:rsidP="000E16A8">
      <w:pPr>
        <w:pStyle w:val="SingleTxtG"/>
        <w:numPr>
          <w:ilvl w:val="0"/>
          <w:numId w:val="24"/>
        </w:numPr>
        <w:ind w:left="1134" w:firstLine="0"/>
      </w:pPr>
      <w:r w:rsidRPr="00B6681B">
        <w:t xml:space="preserve">The ratification of the Rome Statute by Côte d’Ivoire after the post-election crisis is positive and has provided an avenue for the </w:t>
      </w:r>
      <w:r w:rsidR="00C6564C" w:rsidRPr="00B6681B">
        <w:t>International Criminal Court</w:t>
      </w:r>
      <w:r w:rsidRPr="00B6681B">
        <w:t xml:space="preserve"> to </w:t>
      </w:r>
      <w:r w:rsidR="00B65C88" w:rsidRPr="00B6681B">
        <w:t xml:space="preserve">cooperate </w:t>
      </w:r>
      <w:r w:rsidR="001E534A" w:rsidRPr="00B6681B">
        <w:t xml:space="preserve">closely </w:t>
      </w:r>
      <w:r w:rsidRPr="00B6681B">
        <w:t xml:space="preserve">with the Ivorian authorities in processing cases </w:t>
      </w:r>
      <w:r w:rsidR="001E534A" w:rsidRPr="00B6681B">
        <w:t xml:space="preserve">relating </w:t>
      </w:r>
      <w:r w:rsidRPr="00B6681B">
        <w:t xml:space="preserve">to the post-election crisis. The cases of Laurent Gbagbo </w:t>
      </w:r>
      <w:r w:rsidR="001E534A" w:rsidRPr="00B6681B">
        <w:t xml:space="preserve">and the </w:t>
      </w:r>
      <w:r w:rsidRPr="00B6681B">
        <w:t xml:space="preserve">Young Patriots leader Charles Blé Goudé are currently before the </w:t>
      </w:r>
      <w:r w:rsidR="00C6564C" w:rsidRPr="00B6681B">
        <w:t>International Criminal Court</w:t>
      </w:r>
      <w:r w:rsidRPr="00B6681B">
        <w:t xml:space="preserve"> tribunal at The Hague. During </w:t>
      </w:r>
      <w:r w:rsidR="00084578" w:rsidRPr="00B6681B">
        <w:t xml:space="preserve">its </w:t>
      </w:r>
      <w:r w:rsidRPr="00B6681B">
        <w:t>visit</w:t>
      </w:r>
      <w:r w:rsidR="00084578" w:rsidRPr="00B6681B">
        <w:t xml:space="preserve"> to Côte d’Ivoire</w:t>
      </w:r>
      <w:r w:rsidRPr="00B6681B">
        <w:t xml:space="preserve">, the Working Group was informed of the presence of </w:t>
      </w:r>
      <w:r w:rsidR="00C6564C" w:rsidRPr="00B6681B">
        <w:t>Court</w:t>
      </w:r>
      <w:r w:rsidRPr="00B6681B">
        <w:t xml:space="preserve"> officials in the country as part of ongoing investigations into the past conflicts and it hopes that existing collaborative efforts will assist in bringing to justice those who were responsible for human rights violations regardless of which side of the conflict they fought </w:t>
      </w:r>
      <w:r w:rsidR="00D93CD8" w:rsidRPr="00B6681B">
        <w:t>on</w:t>
      </w:r>
      <w:r w:rsidRPr="00B6681B">
        <w:t xml:space="preserve">. During the preparation of </w:t>
      </w:r>
      <w:r w:rsidR="001E534A" w:rsidRPr="00B6681B">
        <w:t xml:space="preserve">the present </w:t>
      </w:r>
      <w:r w:rsidRPr="00B6681B">
        <w:t>report, the Working Group was informed of the conviction of Simone Gbagbo for her role in the past conflict</w:t>
      </w:r>
      <w:r w:rsidR="00751E50" w:rsidRPr="00B6681B">
        <w:t>s</w:t>
      </w:r>
      <w:r w:rsidRPr="00B6681B">
        <w:t xml:space="preserve">. </w:t>
      </w:r>
      <w:r w:rsidR="00C41506" w:rsidRPr="00B6681B">
        <w:t xml:space="preserve">Seventy-nine people have also been tried for their role in the post-election </w:t>
      </w:r>
      <w:r w:rsidR="00A219C4" w:rsidRPr="00B6681B">
        <w:t>crisis. The</w:t>
      </w:r>
      <w:r w:rsidRPr="00B6681B">
        <w:t xml:space="preserve"> Working Group welcomes the continued cooperation of the authorities with the </w:t>
      </w:r>
      <w:r w:rsidR="00C6564C" w:rsidRPr="00B6681B">
        <w:t>International Criminal Court</w:t>
      </w:r>
      <w:r w:rsidRPr="00B6681B">
        <w:t xml:space="preserve"> mechanism as a step towards ending impunity. </w:t>
      </w:r>
      <w:r w:rsidR="001E534A" w:rsidRPr="00B6681B">
        <w:t>H</w:t>
      </w:r>
      <w:r w:rsidRPr="00B6681B">
        <w:t xml:space="preserve">owever, </w:t>
      </w:r>
      <w:r w:rsidR="001E534A" w:rsidRPr="00B6681B">
        <w:t xml:space="preserve">it </w:t>
      </w:r>
      <w:r w:rsidRPr="00B6681B">
        <w:t xml:space="preserve">notes the importance of ensuring that investigations and prosecutions by the </w:t>
      </w:r>
      <w:r w:rsidR="00C6564C" w:rsidRPr="00B6681B">
        <w:t>Court</w:t>
      </w:r>
      <w:r w:rsidRPr="00B6681B">
        <w:t xml:space="preserve"> also extend to perpetrators who are associated with the former regime.</w:t>
      </w:r>
      <w:r w:rsidR="007474E8" w:rsidRPr="00B6681B">
        <w:t xml:space="preserve"> </w:t>
      </w:r>
    </w:p>
    <w:p w:rsidR="006B455C" w:rsidRPr="00B6681B" w:rsidRDefault="007766E4" w:rsidP="007766E4">
      <w:pPr>
        <w:pStyle w:val="H23G"/>
      </w:pPr>
      <w:r w:rsidRPr="00B6681B">
        <w:tab/>
      </w:r>
      <w:r w:rsidRPr="00B6681B">
        <w:tab/>
      </w:r>
      <w:r w:rsidR="006B455C" w:rsidRPr="00B6681B">
        <w:t>Extraditions related to armed attack</w:t>
      </w:r>
      <w:r w:rsidR="001E534A" w:rsidRPr="00B6681B">
        <w:t>s</w:t>
      </w:r>
    </w:p>
    <w:p w:rsidR="006B455C" w:rsidRPr="00B6681B" w:rsidRDefault="006B455C" w:rsidP="000E16A8">
      <w:pPr>
        <w:pStyle w:val="SingleTxtG"/>
        <w:numPr>
          <w:ilvl w:val="0"/>
          <w:numId w:val="24"/>
        </w:numPr>
        <w:ind w:left="1134" w:firstLine="0"/>
      </w:pPr>
      <w:r w:rsidRPr="00B6681B">
        <w:t xml:space="preserve">Trials related to mercenaries in the Ivorian crisis have also been </w:t>
      </w:r>
      <w:r w:rsidR="0042740E" w:rsidRPr="00B6681B">
        <w:t xml:space="preserve">under way </w:t>
      </w:r>
      <w:r w:rsidRPr="00B6681B">
        <w:t>in neighbouring Liberia</w:t>
      </w:r>
      <w:r w:rsidR="001E534A" w:rsidRPr="00B6681B">
        <w:t>,</w:t>
      </w:r>
      <w:r w:rsidRPr="00B6681B">
        <w:t xml:space="preserve"> where the crime of mercenarism is stipulated in the Criminal Procedure Code.</w:t>
      </w:r>
      <w:r w:rsidR="007474E8" w:rsidRPr="00B6681B">
        <w:t xml:space="preserve"> </w:t>
      </w:r>
      <w:r w:rsidRPr="00B6681B">
        <w:t>Mercenarism is not specifically stipulated in the criminal laws of Côte d’Ivoire.</w:t>
      </w:r>
      <w:r w:rsidR="007474E8" w:rsidRPr="00B6681B">
        <w:t xml:space="preserve"> </w:t>
      </w:r>
    </w:p>
    <w:p w:rsidR="006B455C" w:rsidRPr="00B6681B" w:rsidRDefault="006B455C" w:rsidP="000E16A8">
      <w:pPr>
        <w:pStyle w:val="SingleTxtG"/>
        <w:numPr>
          <w:ilvl w:val="0"/>
          <w:numId w:val="24"/>
        </w:numPr>
        <w:ind w:left="1134" w:firstLine="0"/>
      </w:pPr>
      <w:r w:rsidRPr="00B6681B">
        <w:t>The Working Group was informed of former combatants who have been held in prolonged preventive detention. Most of the detainees were associated with the former regime.</w:t>
      </w:r>
      <w:r w:rsidR="007474E8" w:rsidRPr="00B6681B">
        <w:t xml:space="preserve"> </w:t>
      </w:r>
      <w:r w:rsidRPr="00B6681B">
        <w:t xml:space="preserve">The Working Group is concerned that some of the individuals have been in </w:t>
      </w:r>
      <w:r w:rsidR="001E534A" w:rsidRPr="00B6681B">
        <w:t xml:space="preserve">pretrial </w:t>
      </w:r>
      <w:r w:rsidRPr="00B6681B">
        <w:t xml:space="preserve">detention for as long as three years. Around 250 individuals were reported to the Working Group to be in </w:t>
      </w:r>
      <w:r w:rsidR="001E534A" w:rsidRPr="00B6681B">
        <w:t xml:space="preserve">pretrial </w:t>
      </w:r>
      <w:r w:rsidRPr="00B6681B">
        <w:t xml:space="preserve">detention. </w:t>
      </w:r>
    </w:p>
    <w:p w:rsidR="006B455C" w:rsidRPr="00B6681B" w:rsidRDefault="006B455C" w:rsidP="000E16A8">
      <w:pPr>
        <w:pStyle w:val="SingleTxtG"/>
        <w:numPr>
          <w:ilvl w:val="0"/>
          <w:numId w:val="24"/>
        </w:numPr>
        <w:ind w:left="1134" w:firstLine="0"/>
      </w:pPr>
      <w:r w:rsidRPr="00B6681B">
        <w:t>In June 2012, a magistrate court in Liberia authori</w:t>
      </w:r>
      <w:r w:rsidR="00D61831" w:rsidRPr="00B6681B">
        <w:t>z</w:t>
      </w:r>
      <w:r w:rsidRPr="00B6681B">
        <w:t>ed the extradition to Côte d’Ivoire of 41 Ivorian detainees who had been in detention since April 2011. The individuals were suspected of having been involved in the post-election violence and some were also accused of war crimes. The Working Group was informed of several problems concerning the extradition process between the two countries. At least 11 of the 41 detainees had apparently presented formal requests for asylum</w:t>
      </w:r>
      <w:r w:rsidR="00FE2F05" w:rsidRPr="00B6681B">
        <w:t>,</w:t>
      </w:r>
      <w:r w:rsidRPr="00B6681B">
        <w:t xml:space="preserve"> </w:t>
      </w:r>
      <w:r w:rsidR="00203EA9" w:rsidRPr="00B6681B">
        <w:t xml:space="preserve">which </w:t>
      </w:r>
      <w:r w:rsidRPr="00B6681B">
        <w:t>had to be processed by the Court before extradition could be authori</w:t>
      </w:r>
      <w:r w:rsidR="00D61831" w:rsidRPr="00B6681B">
        <w:t>z</w:t>
      </w:r>
      <w:r w:rsidRPr="00B6681B">
        <w:t>ed. An appeal was made by the detainees’ lawyer against the decision but the extradition was carried out anyway.</w:t>
      </w:r>
      <w:r w:rsidR="007474E8" w:rsidRPr="00B6681B">
        <w:t xml:space="preserve"> </w:t>
      </w:r>
      <w:r w:rsidRPr="00B6681B">
        <w:t>The detainees were charged in Abidjan with offen</w:t>
      </w:r>
      <w:r w:rsidR="0042740E" w:rsidRPr="00B6681B">
        <w:t>c</w:t>
      </w:r>
      <w:r w:rsidRPr="00B6681B">
        <w:t>es that include</w:t>
      </w:r>
      <w:r w:rsidR="00FE2F05" w:rsidRPr="00B6681B">
        <w:t>d</w:t>
      </w:r>
      <w:r w:rsidRPr="00B6681B">
        <w:t xml:space="preserve"> genocide, crimes against the civilian population, murder, assassination, crimes against prisoners of war </w:t>
      </w:r>
      <w:r w:rsidR="00FE2F05" w:rsidRPr="00B6681B">
        <w:t xml:space="preserve">and </w:t>
      </w:r>
      <w:r w:rsidRPr="00B6681B">
        <w:t xml:space="preserve">assault and battery. The detainees </w:t>
      </w:r>
      <w:r w:rsidR="00203EA9" w:rsidRPr="00B6681B">
        <w:t xml:space="preserve">were </w:t>
      </w:r>
      <w:r w:rsidRPr="00B6681B">
        <w:t xml:space="preserve">then placed in preventive detention and transferred to various locations throughout the country. </w:t>
      </w:r>
    </w:p>
    <w:p w:rsidR="006B455C" w:rsidRPr="00B6681B" w:rsidRDefault="003B2758" w:rsidP="000E16A8">
      <w:pPr>
        <w:pStyle w:val="SingleTxtG"/>
        <w:numPr>
          <w:ilvl w:val="0"/>
          <w:numId w:val="24"/>
        </w:numPr>
        <w:ind w:left="1134" w:firstLine="0"/>
      </w:pPr>
      <w:r w:rsidRPr="000F3460">
        <w:t xml:space="preserve">The </w:t>
      </w:r>
      <w:r>
        <w:t>W</w:t>
      </w:r>
      <w:r w:rsidRPr="000F3460">
        <w:t xml:space="preserve">orking Group was informed </w:t>
      </w:r>
      <w:r>
        <w:t>of s</w:t>
      </w:r>
      <w:r w:rsidRPr="000F3460">
        <w:t xml:space="preserve">ix persons </w:t>
      </w:r>
      <w:r>
        <w:t xml:space="preserve">who were </w:t>
      </w:r>
      <w:r w:rsidR="006B455C" w:rsidRPr="00B6681B">
        <w:t>arrested in Liberia in October 2012, five of who</w:t>
      </w:r>
      <w:r w:rsidR="00431971" w:rsidRPr="00B6681B">
        <w:t>m</w:t>
      </w:r>
      <w:r w:rsidR="006B455C" w:rsidRPr="00B6681B">
        <w:t xml:space="preserve"> were Ivorians. The Ivorian authorities addressed the extradition </w:t>
      </w:r>
      <w:r w:rsidR="004610BE" w:rsidRPr="00B6681B">
        <w:t xml:space="preserve">request for </w:t>
      </w:r>
      <w:r w:rsidR="006B455C" w:rsidRPr="00B6681B">
        <w:t>the six suspects</w:t>
      </w:r>
      <w:r w:rsidR="0042740E" w:rsidRPr="00B6681B">
        <w:t>, who</w:t>
      </w:r>
      <w:r w:rsidR="006B455C" w:rsidRPr="00B6681B">
        <w:t xml:space="preserve"> are currently in preventive detention in Abidjan. The cases of the individuals are being dealt with by the special investigation </w:t>
      </w:r>
      <w:r w:rsidR="00751E50" w:rsidRPr="00B6681B">
        <w:t>unit</w:t>
      </w:r>
      <w:r w:rsidR="006B455C" w:rsidRPr="00B6681B">
        <w:t>.</w:t>
      </w:r>
      <w:r w:rsidR="007474E8" w:rsidRPr="00B6681B">
        <w:t xml:space="preserve"> </w:t>
      </w:r>
    </w:p>
    <w:p w:rsidR="006B455C" w:rsidRPr="00B6681B" w:rsidRDefault="000F3460" w:rsidP="000F3460">
      <w:pPr>
        <w:pStyle w:val="H1G"/>
      </w:pPr>
      <w:r w:rsidRPr="00B6681B">
        <w:tab/>
        <w:t>B.</w:t>
      </w:r>
      <w:r w:rsidRPr="00B6681B">
        <w:tab/>
      </w:r>
      <w:r w:rsidR="006B455C" w:rsidRPr="00B6681B">
        <w:t xml:space="preserve">Lack of access to justice and remedies </w:t>
      </w:r>
      <w:r w:rsidR="00D61831" w:rsidRPr="00B6681B">
        <w:t>for victims</w:t>
      </w:r>
    </w:p>
    <w:p w:rsidR="006B455C" w:rsidRPr="00B6681B" w:rsidRDefault="006B455C" w:rsidP="000E16A8">
      <w:pPr>
        <w:pStyle w:val="SingleTxtG"/>
        <w:numPr>
          <w:ilvl w:val="0"/>
          <w:numId w:val="24"/>
        </w:numPr>
        <w:ind w:left="1134" w:firstLine="0"/>
      </w:pPr>
      <w:r w:rsidRPr="00B6681B">
        <w:t>Access to justice</w:t>
      </w:r>
      <w:r w:rsidR="0042740E" w:rsidRPr="00B6681B">
        <w:t>,</w:t>
      </w:r>
      <w:r w:rsidRPr="00B6681B">
        <w:t xml:space="preserve"> as well as </w:t>
      </w:r>
      <w:r w:rsidR="004610BE" w:rsidRPr="00B6681B">
        <w:t xml:space="preserve">remedies and </w:t>
      </w:r>
      <w:r w:rsidRPr="00B6681B">
        <w:t>effective redress</w:t>
      </w:r>
      <w:r w:rsidR="0042740E" w:rsidRPr="00B6681B">
        <w:t>,</w:t>
      </w:r>
      <w:r w:rsidRPr="00B6681B">
        <w:t xml:space="preserve"> </w:t>
      </w:r>
      <w:r w:rsidR="004610BE" w:rsidRPr="00B6681B">
        <w:t xml:space="preserve">not only </w:t>
      </w:r>
      <w:r w:rsidRPr="00B6681B">
        <w:t>remains an immense challenge for victims of the conflicts</w:t>
      </w:r>
      <w:r w:rsidR="004610BE" w:rsidRPr="00B6681B">
        <w:t>,</w:t>
      </w:r>
      <w:r w:rsidRPr="00B6681B">
        <w:t xml:space="preserve"> </w:t>
      </w:r>
      <w:r w:rsidR="004610BE" w:rsidRPr="00B6681B">
        <w:t xml:space="preserve">but also </w:t>
      </w:r>
      <w:r w:rsidRPr="00B6681B">
        <w:t>contributes to the pervasive impunity and lack of accountability associated with the justice system. The Working Group received information that many victims ha</w:t>
      </w:r>
      <w:r w:rsidR="0042740E" w:rsidRPr="00B6681B">
        <w:t>d</w:t>
      </w:r>
      <w:r w:rsidRPr="00B6681B">
        <w:t xml:space="preserve"> not </w:t>
      </w:r>
      <w:r w:rsidR="0042740E" w:rsidRPr="00B6681B">
        <w:t xml:space="preserve">been </w:t>
      </w:r>
      <w:r w:rsidRPr="00B6681B">
        <w:t xml:space="preserve">able to bring their cases to court. </w:t>
      </w:r>
    </w:p>
    <w:p w:rsidR="006B455C" w:rsidRPr="00B6681B" w:rsidRDefault="006B455C" w:rsidP="000E16A8">
      <w:pPr>
        <w:pStyle w:val="SingleTxtG"/>
        <w:numPr>
          <w:ilvl w:val="0"/>
          <w:numId w:val="24"/>
        </w:numPr>
        <w:ind w:left="1134" w:firstLine="0"/>
      </w:pPr>
      <w:r w:rsidRPr="00B6681B">
        <w:t>The Working Group observed the need to disseminate information and educate victims on their rights and the available services to facilitate access to justice. Legal aid is provided by the State but victims were not always able to access this service</w:t>
      </w:r>
      <w:r w:rsidR="004610BE" w:rsidRPr="00B6681B">
        <w:t>,</w:t>
      </w:r>
      <w:r w:rsidRPr="00B6681B">
        <w:t xml:space="preserve"> particularly if they resided in remote areas away from legal aid centres. Vulnerable victims</w:t>
      </w:r>
      <w:r w:rsidR="004610BE" w:rsidRPr="00B6681B">
        <w:t>,</w:t>
      </w:r>
      <w:r w:rsidRPr="00B6681B">
        <w:t xml:space="preserve"> such as women and children</w:t>
      </w:r>
      <w:r w:rsidR="004610BE" w:rsidRPr="00B6681B">
        <w:t>,</w:t>
      </w:r>
      <w:r w:rsidRPr="00B6681B">
        <w:t xml:space="preserve"> often faced difficulty in seeking assistance, particularly when their cases involved sexual violence. A culture of shame and silence made it extremely difficult for victims to bring their cases forward. Costs associated with trying to provide information and build a case for victims also hindered access to justice. </w:t>
      </w:r>
    </w:p>
    <w:p w:rsidR="006B455C" w:rsidRPr="00B6681B" w:rsidRDefault="006B455C" w:rsidP="000E16A8">
      <w:pPr>
        <w:pStyle w:val="SingleTxtG"/>
        <w:numPr>
          <w:ilvl w:val="0"/>
          <w:numId w:val="24"/>
        </w:numPr>
        <w:ind w:left="1134" w:firstLine="0"/>
      </w:pPr>
      <w:r w:rsidRPr="00B6681B">
        <w:t xml:space="preserve">Ensuring access to justice and remedies </w:t>
      </w:r>
      <w:r w:rsidR="004610BE" w:rsidRPr="00B6681B">
        <w:t xml:space="preserve">for </w:t>
      </w:r>
      <w:r w:rsidRPr="00B6681B">
        <w:t xml:space="preserve">victims </w:t>
      </w:r>
      <w:r w:rsidR="004610BE" w:rsidRPr="00B6681B">
        <w:t xml:space="preserve">requires that they </w:t>
      </w:r>
      <w:r w:rsidRPr="00B6681B">
        <w:t>be treated fairly and impartially irrespective of their political or ethnic affiliation. Further</w:t>
      </w:r>
      <w:r w:rsidR="004610BE" w:rsidRPr="00B6681B">
        <w:t>more</w:t>
      </w:r>
      <w:r w:rsidRPr="00B6681B">
        <w:t xml:space="preserve">, the fear of reprisals and a lack of safeguards for victims </w:t>
      </w:r>
      <w:proofErr w:type="gramStart"/>
      <w:r w:rsidR="00DE21E8" w:rsidRPr="00B6681B">
        <w:t>has</w:t>
      </w:r>
      <w:proofErr w:type="gramEnd"/>
      <w:r w:rsidR="00DE21E8" w:rsidRPr="00B6681B">
        <w:t xml:space="preserve"> </w:t>
      </w:r>
      <w:r w:rsidRPr="00B6681B">
        <w:t>made seeking redress problematic.</w:t>
      </w:r>
      <w:r w:rsidR="007474E8" w:rsidRPr="00B6681B">
        <w:t xml:space="preserve"> </w:t>
      </w:r>
      <w:r w:rsidR="00DE21E8" w:rsidRPr="00B6681B">
        <w:t>R</w:t>
      </w:r>
      <w:r w:rsidRPr="00B6681B">
        <w:t xml:space="preserve">obust protection measures for victims </w:t>
      </w:r>
      <w:r w:rsidR="004610BE" w:rsidRPr="00B6681B">
        <w:t xml:space="preserve">and </w:t>
      </w:r>
      <w:r w:rsidRPr="00B6681B">
        <w:t>witnesses</w:t>
      </w:r>
      <w:r w:rsidR="004610BE" w:rsidRPr="00B6681B">
        <w:t>,</w:t>
      </w:r>
      <w:r w:rsidRPr="00B6681B">
        <w:t xml:space="preserve"> </w:t>
      </w:r>
      <w:r w:rsidR="004610BE" w:rsidRPr="00B6681B">
        <w:t xml:space="preserve">as well as </w:t>
      </w:r>
      <w:r w:rsidRPr="00B6681B">
        <w:t>judicial officers to ensure the independence of their work</w:t>
      </w:r>
      <w:r w:rsidR="004610BE" w:rsidRPr="00B6681B">
        <w:t>,</w:t>
      </w:r>
      <w:r w:rsidRPr="00B6681B">
        <w:t xml:space="preserve"> </w:t>
      </w:r>
      <w:r w:rsidR="00DE21E8" w:rsidRPr="00B6681B">
        <w:t>are needed</w:t>
      </w:r>
      <w:r w:rsidRPr="00B6681B">
        <w:t xml:space="preserve">. The Working Group noted the need to provide appropriate and just reparation for victims as well as services to </w:t>
      </w:r>
      <w:r w:rsidR="004610BE" w:rsidRPr="00B6681B">
        <w:t xml:space="preserve">help them deal </w:t>
      </w:r>
      <w:r w:rsidRPr="00B6681B">
        <w:t xml:space="preserve">with the physical and psychological trauma they have suffered. </w:t>
      </w:r>
    </w:p>
    <w:p w:rsidR="006B455C" w:rsidRPr="00B6681B" w:rsidRDefault="006B455C" w:rsidP="000E16A8">
      <w:pPr>
        <w:pStyle w:val="SingleTxtG"/>
        <w:numPr>
          <w:ilvl w:val="0"/>
          <w:numId w:val="24"/>
        </w:numPr>
        <w:ind w:left="1134" w:firstLine="0"/>
      </w:pPr>
      <w:r w:rsidRPr="00B6681B">
        <w:t xml:space="preserve">The Working Group was informed of a critical draft law on the protection of victims and on witness protection in judicial proceedings </w:t>
      </w:r>
      <w:r w:rsidR="00DE21E8" w:rsidRPr="00B6681B">
        <w:t xml:space="preserve">that </w:t>
      </w:r>
      <w:r w:rsidRPr="00B6681B">
        <w:t>had yet to be adopted by the authorities.</w:t>
      </w:r>
      <w:r w:rsidR="007474E8" w:rsidRPr="00B6681B">
        <w:t xml:space="preserve"> </w:t>
      </w:r>
      <w:r w:rsidRPr="00B6681B">
        <w:t xml:space="preserve">In its debriefing with the Government, the Working Group urged the prompt adoption of </w:t>
      </w:r>
      <w:r w:rsidR="004610BE" w:rsidRPr="00B6681B">
        <w:t xml:space="preserve">the </w:t>
      </w:r>
      <w:r w:rsidRPr="00B6681B">
        <w:t xml:space="preserve">law to strengthen protection of victims or witnesses involved in judicial processes. </w:t>
      </w:r>
    </w:p>
    <w:p w:rsidR="006B455C" w:rsidRPr="00B6681B" w:rsidRDefault="000F3460" w:rsidP="000F3460">
      <w:pPr>
        <w:pStyle w:val="H1G"/>
      </w:pPr>
      <w:r w:rsidRPr="00B6681B">
        <w:tab/>
        <w:t>C.</w:t>
      </w:r>
      <w:r w:rsidRPr="00B6681B">
        <w:tab/>
      </w:r>
      <w:r w:rsidR="006B455C" w:rsidRPr="00B6681B">
        <w:t>Threats to lasting national reconciliation and security</w:t>
      </w:r>
    </w:p>
    <w:p w:rsidR="006B455C" w:rsidRPr="00B6681B" w:rsidRDefault="000F3460" w:rsidP="006C1DAB">
      <w:pPr>
        <w:pStyle w:val="H23G"/>
      </w:pPr>
      <w:r w:rsidRPr="00B6681B">
        <w:tab/>
        <w:t>1</w:t>
      </w:r>
      <w:r w:rsidR="007766E4" w:rsidRPr="00B6681B">
        <w:t>.</w:t>
      </w:r>
      <w:r w:rsidRPr="00B6681B">
        <w:tab/>
      </w:r>
      <w:r w:rsidR="006B455C" w:rsidRPr="00B6681B">
        <w:t>Cross</w:t>
      </w:r>
      <w:r w:rsidR="00674F3E" w:rsidRPr="00B6681B">
        <w:t>-</w:t>
      </w:r>
      <w:r w:rsidR="006B455C" w:rsidRPr="00B6681B">
        <w:t>border activities</w:t>
      </w:r>
    </w:p>
    <w:p w:rsidR="006B455C" w:rsidRPr="00B6681B" w:rsidRDefault="00DE21E8" w:rsidP="000E16A8">
      <w:pPr>
        <w:pStyle w:val="SingleTxtG"/>
        <w:numPr>
          <w:ilvl w:val="0"/>
          <w:numId w:val="24"/>
        </w:numPr>
        <w:ind w:left="1134" w:firstLine="0"/>
      </w:pPr>
      <w:r w:rsidRPr="00B6681B">
        <w:t>Having</w:t>
      </w:r>
      <w:r w:rsidR="006B455C" w:rsidRPr="00B6681B">
        <w:t xml:space="preserve"> geographical</w:t>
      </w:r>
      <w:r w:rsidR="00560C13" w:rsidRPr="00B6681B">
        <w:t>ly</w:t>
      </w:r>
      <w:r w:rsidR="006B455C" w:rsidRPr="00B6681B">
        <w:t xml:space="preserve"> delimited borders is a foreign concept in Côte d’Ivoire. Ivorians and </w:t>
      </w:r>
      <w:r w:rsidRPr="00B6681B">
        <w:t xml:space="preserve">citizens of </w:t>
      </w:r>
      <w:r w:rsidR="006B455C" w:rsidRPr="00B6681B">
        <w:t xml:space="preserve">neighbouring countries such as Liberia have traditionally moved freely </w:t>
      </w:r>
      <w:r w:rsidRPr="00B6681B">
        <w:t>in and out of Côte d’Ivoire, in part because</w:t>
      </w:r>
      <w:r w:rsidR="006B455C" w:rsidRPr="00B6681B">
        <w:t xml:space="preserve"> relatives </w:t>
      </w:r>
      <w:r w:rsidR="00560C13" w:rsidRPr="00B6681B">
        <w:t xml:space="preserve">live </w:t>
      </w:r>
      <w:r w:rsidR="006B455C" w:rsidRPr="00B6681B">
        <w:t xml:space="preserve">side by side </w:t>
      </w:r>
      <w:r w:rsidRPr="00B6681B">
        <w:t>on both sides of</w:t>
      </w:r>
      <w:r w:rsidR="006B455C" w:rsidRPr="00B6681B">
        <w:t xml:space="preserve"> the border. Despite increased attempts to strengthen </w:t>
      </w:r>
      <w:r w:rsidR="00203EA9" w:rsidRPr="00B6681B">
        <w:t xml:space="preserve">border </w:t>
      </w:r>
      <w:r w:rsidR="006B455C" w:rsidRPr="00B6681B">
        <w:t xml:space="preserve">monitoring, control and management, Ivorian authorities continue to face </w:t>
      </w:r>
      <w:r w:rsidR="00560C13" w:rsidRPr="00B6681B">
        <w:t xml:space="preserve">challenges in </w:t>
      </w:r>
      <w:r w:rsidR="006B455C" w:rsidRPr="00B6681B">
        <w:t xml:space="preserve">curbing </w:t>
      </w:r>
      <w:r w:rsidR="00560C13" w:rsidRPr="00B6681B">
        <w:t>cross-</w:t>
      </w:r>
      <w:r w:rsidR="006B455C" w:rsidRPr="00B6681B">
        <w:t>border criminal activities</w:t>
      </w:r>
      <w:r w:rsidR="00560C13" w:rsidRPr="00B6681B">
        <w:t>,</w:t>
      </w:r>
      <w:r w:rsidR="006B455C" w:rsidRPr="00B6681B">
        <w:t xml:space="preserve"> including mercenarism. The borders </w:t>
      </w:r>
      <w:r w:rsidRPr="00B6681B">
        <w:t xml:space="preserve">of </w:t>
      </w:r>
      <w:r w:rsidR="006B455C" w:rsidRPr="00B6681B">
        <w:t>the country remain porous and corruption by border control agents ha</w:t>
      </w:r>
      <w:r w:rsidR="005B70A8" w:rsidRPr="00B6681B">
        <w:t>s</w:t>
      </w:r>
      <w:r w:rsidR="006B455C" w:rsidRPr="00B6681B">
        <w:t xml:space="preserve"> been reported as a persistent problem.</w:t>
      </w:r>
    </w:p>
    <w:p w:rsidR="006B455C" w:rsidRPr="00B6681B" w:rsidRDefault="00DE21E8" w:rsidP="000E16A8">
      <w:pPr>
        <w:pStyle w:val="SingleTxtG"/>
        <w:numPr>
          <w:ilvl w:val="0"/>
          <w:numId w:val="24"/>
        </w:numPr>
        <w:ind w:left="1134" w:firstLine="0"/>
      </w:pPr>
      <w:r w:rsidRPr="00B6681B">
        <w:t>A</w:t>
      </w:r>
      <w:r w:rsidR="006B455C" w:rsidRPr="00B6681B">
        <w:t xml:space="preserve">rmed attacks </w:t>
      </w:r>
      <w:r w:rsidRPr="00B6681B">
        <w:t>took</w:t>
      </w:r>
      <w:r w:rsidR="006B455C" w:rsidRPr="00B6681B">
        <w:t xml:space="preserve"> place in 2012, 2013 and 2014</w:t>
      </w:r>
      <w:r w:rsidR="00560C13" w:rsidRPr="00B6681B">
        <w:t>,</w:t>
      </w:r>
      <w:r w:rsidR="006B455C" w:rsidRPr="00B6681B">
        <w:t xml:space="preserve"> </w:t>
      </w:r>
      <w:r w:rsidR="00560C13" w:rsidRPr="00B6681B">
        <w:t xml:space="preserve">underscoring </w:t>
      </w:r>
      <w:r w:rsidR="006B455C" w:rsidRPr="00B6681B">
        <w:t xml:space="preserve">the volatile security situation in the country. Towns </w:t>
      </w:r>
      <w:r w:rsidR="00560C13" w:rsidRPr="00B6681B">
        <w:t xml:space="preserve">located along the Liberian border </w:t>
      </w:r>
      <w:r w:rsidR="006B455C" w:rsidRPr="00B6681B">
        <w:t xml:space="preserve">such as Grabo and Fété experienced an armed attack early in 2014. Several months later, another attack </w:t>
      </w:r>
      <w:r w:rsidR="00203EA9" w:rsidRPr="00B6681B">
        <w:t xml:space="preserve">resulted in </w:t>
      </w:r>
      <w:r w:rsidR="00560C13" w:rsidRPr="00B6681B">
        <w:t xml:space="preserve">10 </w:t>
      </w:r>
      <w:r w:rsidR="006B455C" w:rsidRPr="00B6681B">
        <w:t>deaths</w:t>
      </w:r>
      <w:r w:rsidR="00560C13" w:rsidRPr="00B6681B">
        <w:t>,</w:t>
      </w:r>
      <w:r w:rsidR="006B455C" w:rsidRPr="00B6681B">
        <w:t xml:space="preserve"> including children and members of the </w:t>
      </w:r>
      <w:r w:rsidR="00D80CAA" w:rsidRPr="00B6681B">
        <w:rPr>
          <w:iCs/>
        </w:rPr>
        <w:t>Forces républicaines</w:t>
      </w:r>
      <w:r w:rsidR="006B455C" w:rsidRPr="00B6681B">
        <w:t xml:space="preserve">. Sixteen individuals from Liberia, Sierra Leone and Ghana who were allegedly involved in the attack were arrested on their way to Ghana. They were later released </w:t>
      </w:r>
      <w:r w:rsidR="00560C13" w:rsidRPr="00B6681B">
        <w:t xml:space="preserve">owing </w:t>
      </w:r>
      <w:r w:rsidR="006B455C" w:rsidRPr="00B6681B">
        <w:t>to lack of evidence.</w:t>
      </w:r>
    </w:p>
    <w:p w:rsidR="006B455C" w:rsidRPr="00B6681B" w:rsidRDefault="006B455C" w:rsidP="000E16A8">
      <w:pPr>
        <w:pStyle w:val="SingleTxtG"/>
        <w:numPr>
          <w:ilvl w:val="0"/>
          <w:numId w:val="24"/>
        </w:numPr>
        <w:ind w:left="1134" w:firstLine="0"/>
      </w:pPr>
      <w:r w:rsidRPr="00B6681B">
        <w:t>After the post-election crisis, combatants supporting the Gbagbo regime fled to neighbouring countries</w:t>
      </w:r>
      <w:r w:rsidR="00560C13" w:rsidRPr="00B6681B">
        <w:t>,</w:t>
      </w:r>
      <w:r w:rsidRPr="00B6681B">
        <w:t xml:space="preserve"> where some remain in exile. The Working Group received reports of numerous attempts to destabili</w:t>
      </w:r>
      <w:r w:rsidR="00D61831" w:rsidRPr="00B6681B">
        <w:t>z</w:t>
      </w:r>
      <w:r w:rsidRPr="00B6681B">
        <w:t>e the country by prominent Ivorian</w:t>
      </w:r>
      <w:r w:rsidR="00560C13" w:rsidRPr="00B6681B">
        <w:t>s</w:t>
      </w:r>
      <w:r w:rsidRPr="00B6681B">
        <w:t xml:space="preserve"> who supported the former regime and who reside in Ghana. This has </w:t>
      </w:r>
      <w:r w:rsidR="00560C13" w:rsidRPr="00B6681B">
        <w:t xml:space="preserve">affected </w:t>
      </w:r>
      <w:r w:rsidRPr="00B6681B">
        <w:t xml:space="preserve">the diplomatic relations between the two countries. The </w:t>
      </w:r>
      <w:r w:rsidR="00095B23" w:rsidRPr="00B6681B">
        <w:t xml:space="preserve">Working Group </w:t>
      </w:r>
      <w:r w:rsidRPr="00B6681B">
        <w:t>also received information that the Ivorian diaspora continu</w:t>
      </w:r>
      <w:r w:rsidR="00095B23" w:rsidRPr="00B6681B">
        <w:t>es</w:t>
      </w:r>
      <w:r w:rsidRPr="00B6681B">
        <w:t xml:space="preserve"> to fund and support activities such as the hiring of armed </w:t>
      </w:r>
      <w:r w:rsidR="00095B23" w:rsidRPr="00B6681B">
        <w:t>elements</w:t>
      </w:r>
      <w:r w:rsidR="00560C13" w:rsidRPr="00B6681B">
        <w:t>,</w:t>
      </w:r>
      <w:r w:rsidRPr="00B6681B">
        <w:t xml:space="preserve"> including mercenaries</w:t>
      </w:r>
      <w:r w:rsidR="00560C13" w:rsidRPr="00B6681B">
        <w:t>,</w:t>
      </w:r>
      <w:r w:rsidRPr="00B6681B">
        <w:t xml:space="preserve"> to destabili</w:t>
      </w:r>
      <w:r w:rsidR="00D61831" w:rsidRPr="00B6681B">
        <w:t>z</w:t>
      </w:r>
      <w:r w:rsidRPr="00B6681B">
        <w:t xml:space="preserve">e the current </w:t>
      </w:r>
      <w:r w:rsidR="00560C13" w:rsidRPr="00B6681B">
        <w:t>G</w:t>
      </w:r>
      <w:r w:rsidRPr="00B6681B">
        <w:t xml:space="preserve">overnment. The border between Côte d’Ivoire and Guinea also continues to pose challenges for border security forces and the </w:t>
      </w:r>
      <w:r w:rsidR="00D80CAA" w:rsidRPr="00B6681B">
        <w:rPr>
          <w:iCs/>
        </w:rPr>
        <w:t>Forces républicaines</w:t>
      </w:r>
      <w:r w:rsidRPr="00B6681B">
        <w:t xml:space="preserve">. </w:t>
      </w:r>
    </w:p>
    <w:p w:rsidR="006B455C" w:rsidRPr="00B6681B" w:rsidRDefault="006B455C" w:rsidP="000E16A8">
      <w:pPr>
        <w:pStyle w:val="SingleTxtG"/>
        <w:numPr>
          <w:ilvl w:val="0"/>
          <w:numId w:val="24"/>
        </w:numPr>
        <w:ind w:left="1134" w:firstLine="0"/>
      </w:pPr>
      <w:r w:rsidRPr="00B6681B">
        <w:t xml:space="preserve">In this respect, the Working Group discussed the need for strong regional </w:t>
      </w:r>
      <w:r w:rsidR="00B65C88" w:rsidRPr="00B6681B">
        <w:t xml:space="preserve">cooperation </w:t>
      </w:r>
      <w:r w:rsidRPr="00B6681B">
        <w:t xml:space="preserve">and continuous collaboration among countries of the Economic Community of West African States (ECOWAS) to improve oversight and control of </w:t>
      </w:r>
      <w:r w:rsidR="00674F3E" w:rsidRPr="00B6681B">
        <w:t>cross</w:t>
      </w:r>
      <w:r w:rsidRPr="00B6681B">
        <w:t>-border activities.</w:t>
      </w:r>
      <w:r w:rsidR="007474E8" w:rsidRPr="00B6681B">
        <w:t xml:space="preserve"> </w:t>
      </w:r>
      <w:r w:rsidRPr="00B6681B">
        <w:t xml:space="preserve">This is particularly required as a strategy to combat and prevent mercenarism and related activities. </w:t>
      </w:r>
    </w:p>
    <w:p w:rsidR="006B455C" w:rsidRPr="00B6681B" w:rsidRDefault="000F3460" w:rsidP="006C1DAB">
      <w:pPr>
        <w:pStyle w:val="H23G"/>
      </w:pPr>
      <w:r w:rsidRPr="00B6681B">
        <w:tab/>
        <w:t>2</w:t>
      </w:r>
      <w:r w:rsidR="007766E4" w:rsidRPr="00B6681B">
        <w:t>.</w:t>
      </w:r>
      <w:r w:rsidRPr="00B6681B">
        <w:tab/>
      </w:r>
      <w:r w:rsidR="006B455C" w:rsidRPr="00B6681B">
        <w:t xml:space="preserve">Political </w:t>
      </w:r>
      <w:r w:rsidR="00D61831" w:rsidRPr="00B6681B">
        <w:t>p</w:t>
      </w:r>
      <w:r w:rsidR="006B455C" w:rsidRPr="00B6681B">
        <w:t xml:space="preserve">artisanship </w:t>
      </w:r>
    </w:p>
    <w:p w:rsidR="006B455C" w:rsidRPr="00B6681B" w:rsidRDefault="006B455C" w:rsidP="000E16A8">
      <w:pPr>
        <w:pStyle w:val="SingleTxtG"/>
        <w:numPr>
          <w:ilvl w:val="0"/>
          <w:numId w:val="24"/>
        </w:numPr>
        <w:ind w:left="1134" w:firstLine="0"/>
      </w:pPr>
      <w:r w:rsidRPr="00B6681B">
        <w:t xml:space="preserve">The Working Group notes the continuing political divide within Côte d’Ivoire and the adverse </w:t>
      </w:r>
      <w:r w:rsidR="00D41737" w:rsidRPr="00B6681B">
        <w:t xml:space="preserve">effects </w:t>
      </w:r>
      <w:r w:rsidRPr="00B6681B">
        <w:t xml:space="preserve">this has on reconciliation efforts. The lack of real and meaningful engagement among political parties and the competition for the presidential elections to be held </w:t>
      </w:r>
      <w:r w:rsidR="00095B23" w:rsidRPr="00B6681B">
        <w:t xml:space="preserve">in 2015 </w:t>
      </w:r>
      <w:r w:rsidR="00D41737" w:rsidRPr="00B6681B">
        <w:t xml:space="preserve">have </w:t>
      </w:r>
      <w:r w:rsidRPr="00B6681B">
        <w:t>hampered rather than enhanced the reconciliation process.</w:t>
      </w:r>
      <w:r w:rsidR="007474E8" w:rsidRPr="00B6681B">
        <w:t xml:space="preserve"> </w:t>
      </w:r>
      <w:r w:rsidRPr="00B6681B">
        <w:t xml:space="preserve">Much of the political dialogue continues to centre on pro-Gbagbo or pro-Ouattara sentiments despite the many efforts to enhance reconciliation and deal with the aftermath of the past crises. </w:t>
      </w:r>
    </w:p>
    <w:p w:rsidR="006B455C" w:rsidRPr="00B6681B" w:rsidRDefault="00095B23" w:rsidP="000E16A8">
      <w:pPr>
        <w:pStyle w:val="SingleTxtG"/>
        <w:numPr>
          <w:ilvl w:val="0"/>
          <w:numId w:val="24"/>
        </w:numPr>
        <w:ind w:left="1134" w:firstLine="0"/>
      </w:pPr>
      <w:r w:rsidRPr="00B6681B">
        <w:t>T</w:t>
      </w:r>
      <w:r w:rsidR="006B455C" w:rsidRPr="00B6681B">
        <w:t>he recent armed attacks, allegedly by mercenaries, and other external attempts to destabili</w:t>
      </w:r>
      <w:r w:rsidR="00D61831" w:rsidRPr="00B6681B">
        <w:t>z</w:t>
      </w:r>
      <w:r w:rsidR="006B455C" w:rsidRPr="00B6681B">
        <w:t xml:space="preserve">e the country are also indicative of the prevalent political tension. The forthcoming presidential elections </w:t>
      </w:r>
      <w:r w:rsidR="00D41737" w:rsidRPr="00B6681B">
        <w:t xml:space="preserve">have </w:t>
      </w:r>
      <w:r w:rsidR="006B455C" w:rsidRPr="00B6681B">
        <w:t>intensified polari</w:t>
      </w:r>
      <w:r w:rsidR="00D61831" w:rsidRPr="00B6681B">
        <w:t>z</w:t>
      </w:r>
      <w:r w:rsidR="006B455C" w:rsidRPr="00B6681B">
        <w:t xml:space="preserve">ation and </w:t>
      </w:r>
      <w:r w:rsidR="00D41737" w:rsidRPr="00B6681B">
        <w:t xml:space="preserve">created </w:t>
      </w:r>
      <w:r w:rsidR="006B455C" w:rsidRPr="00B6681B">
        <w:t>fears of further instability.</w:t>
      </w:r>
      <w:r w:rsidR="007474E8" w:rsidRPr="00B6681B">
        <w:t xml:space="preserve"> </w:t>
      </w:r>
    </w:p>
    <w:p w:rsidR="006B455C" w:rsidRPr="00B6681B" w:rsidRDefault="000F3460" w:rsidP="006C1DAB">
      <w:pPr>
        <w:pStyle w:val="H23G"/>
      </w:pPr>
      <w:r w:rsidRPr="00B6681B">
        <w:tab/>
        <w:t>3</w:t>
      </w:r>
      <w:r w:rsidR="007766E4" w:rsidRPr="00B6681B">
        <w:t>.</w:t>
      </w:r>
      <w:r w:rsidRPr="00B6681B">
        <w:tab/>
      </w:r>
      <w:r w:rsidR="006B455C" w:rsidRPr="00B6681B">
        <w:t xml:space="preserve">Continuing threats of </w:t>
      </w:r>
      <w:r w:rsidR="006B455C" w:rsidRPr="000E16A8">
        <w:rPr>
          <w:i/>
          <w:iCs/>
        </w:rPr>
        <w:t>dozos</w:t>
      </w:r>
      <w:r w:rsidR="006B455C" w:rsidRPr="00B6681B">
        <w:t xml:space="preserve"> </w:t>
      </w:r>
    </w:p>
    <w:p w:rsidR="006B455C" w:rsidRPr="00B6681B" w:rsidRDefault="006B455C" w:rsidP="000E16A8">
      <w:pPr>
        <w:pStyle w:val="SingleTxtG"/>
        <w:numPr>
          <w:ilvl w:val="0"/>
          <w:numId w:val="24"/>
        </w:numPr>
        <w:ind w:left="1134" w:firstLine="0"/>
      </w:pPr>
      <w:r w:rsidRPr="00B6681B">
        <w:t xml:space="preserve">The presence of </w:t>
      </w:r>
      <w:r w:rsidRPr="000E16A8">
        <w:rPr>
          <w:i/>
          <w:iCs/>
        </w:rPr>
        <w:t>dozos</w:t>
      </w:r>
      <w:r w:rsidRPr="00B6681B">
        <w:t xml:space="preserve"> in Côte d’Ivoire after the post-election crisis continues to threaten national security. </w:t>
      </w:r>
      <w:r w:rsidR="00D41737" w:rsidRPr="000E16A8">
        <w:rPr>
          <w:i/>
          <w:iCs/>
        </w:rPr>
        <w:t>D</w:t>
      </w:r>
      <w:r w:rsidRPr="000E16A8">
        <w:rPr>
          <w:i/>
          <w:iCs/>
        </w:rPr>
        <w:t>ozos</w:t>
      </w:r>
      <w:r w:rsidRPr="00B6681B">
        <w:t xml:space="preserve"> are traditional hunters who belong to a brotherhood </w:t>
      </w:r>
      <w:r w:rsidR="00D41737" w:rsidRPr="00B6681B">
        <w:t xml:space="preserve">and are </w:t>
      </w:r>
      <w:r w:rsidRPr="00B6681B">
        <w:t xml:space="preserve">reported to have mystical powers. The Working Group considered the identity of </w:t>
      </w:r>
      <w:r w:rsidRPr="000E16A8">
        <w:rPr>
          <w:i/>
          <w:iCs/>
        </w:rPr>
        <w:t>dozos</w:t>
      </w:r>
      <w:r w:rsidRPr="00B6681B">
        <w:t xml:space="preserve"> with interest, noting that</w:t>
      </w:r>
      <w:r w:rsidR="00725AE8">
        <w:t>,</w:t>
      </w:r>
      <w:r w:rsidRPr="00B6681B">
        <w:t xml:space="preserve"> </w:t>
      </w:r>
      <w:r w:rsidR="00C04C2C">
        <w:t>a</w:t>
      </w:r>
      <w:r w:rsidR="00C04C2C" w:rsidRPr="00B46C41">
        <w:t xml:space="preserve">lthough some were Ivorian nationals </w:t>
      </w:r>
      <w:r w:rsidR="00C04C2C">
        <w:t xml:space="preserve">who </w:t>
      </w:r>
      <w:r w:rsidR="00C04C2C" w:rsidRPr="00B46C41">
        <w:t>sp</w:t>
      </w:r>
      <w:r w:rsidR="00C04C2C">
        <w:t>oke</w:t>
      </w:r>
      <w:r w:rsidR="00C04C2C" w:rsidRPr="00B46C41">
        <w:t xml:space="preserve"> a dialect </w:t>
      </w:r>
      <w:r w:rsidR="00C04C2C">
        <w:t xml:space="preserve">that was </w:t>
      </w:r>
      <w:r w:rsidR="00C04C2C" w:rsidRPr="00B46C41">
        <w:t xml:space="preserve">common in </w:t>
      </w:r>
      <w:r w:rsidR="00C04C2C">
        <w:t>n</w:t>
      </w:r>
      <w:r w:rsidR="00C04C2C" w:rsidRPr="00B46C41">
        <w:t>orthern Côte d’Ivoire, others</w:t>
      </w:r>
      <w:r w:rsidRPr="00B6681B">
        <w:t xml:space="preserve"> were foreigners, normally from Guinea, Mali and Burkina Faso</w:t>
      </w:r>
      <w:r w:rsidR="00095B23" w:rsidRPr="00B6681B">
        <w:t>,</w:t>
      </w:r>
      <w:r w:rsidRPr="00B6681B">
        <w:t xml:space="preserve"> who spoke a </w:t>
      </w:r>
      <w:r w:rsidR="00D41737" w:rsidRPr="00B6681B">
        <w:t xml:space="preserve">different </w:t>
      </w:r>
      <w:r w:rsidRPr="00B6681B">
        <w:t xml:space="preserve">dialect </w:t>
      </w:r>
      <w:r w:rsidR="00D41737" w:rsidRPr="00B6681B">
        <w:t xml:space="preserve">to </w:t>
      </w:r>
      <w:r w:rsidR="00095B23" w:rsidRPr="00B6681B">
        <w:t xml:space="preserve">that spoken by </w:t>
      </w:r>
      <w:r w:rsidRPr="00B6681B">
        <w:t>Ivorians.</w:t>
      </w:r>
      <w:r w:rsidR="007474E8" w:rsidRPr="00B6681B">
        <w:t xml:space="preserve"> </w:t>
      </w:r>
      <w:r w:rsidRPr="00B6681B">
        <w:t xml:space="preserve">While there is a common practice dating back from before the crises of using </w:t>
      </w:r>
      <w:r w:rsidRPr="000E16A8">
        <w:rPr>
          <w:i/>
          <w:iCs/>
        </w:rPr>
        <w:t>dozos</w:t>
      </w:r>
      <w:r w:rsidRPr="00B6681B">
        <w:t xml:space="preserve"> to guard neighbourhoods, homes and businesses, the role </w:t>
      </w:r>
      <w:r w:rsidR="00842139" w:rsidRPr="00B6681B">
        <w:t xml:space="preserve">of dozos </w:t>
      </w:r>
      <w:r w:rsidRPr="00B6681B">
        <w:t xml:space="preserve">evolved significantly during the civil wars. </w:t>
      </w:r>
      <w:r w:rsidRPr="000E16A8">
        <w:rPr>
          <w:i/>
          <w:iCs/>
        </w:rPr>
        <w:t>Dozos</w:t>
      </w:r>
      <w:r w:rsidRPr="00B6681B">
        <w:t xml:space="preserve"> fought alongside the </w:t>
      </w:r>
      <w:r w:rsidR="00D80CAA" w:rsidRPr="00B6681B">
        <w:rPr>
          <w:iCs/>
        </w:rPr>
        <w:t>Forces républicaines</w:t>
      </w:r>
      <w:r w:rsidRPr="00B6681B">
        <w:t xml:space="preserve"> in support of the current regime and were reported to have committed scores of human rights violations between 2009 and 2013. They not only fought alongside the rebels, but also undertook functions normally attributed to </w:t>
      </w:r>
      <w:r w:rsidR="00095B23" w:rsidRPr="00B6681B">
        <w:t xml:space="preserve">elements of the </w:t>
      </w:r>
      <w:r w:rsidR="00FF7F56" w:rsidRPr="00B6681B">
        <w:t>S</w:t>
      </w:r>
      <w:r w:rsidRPr="00B6681B">
        <w:t>tate apparatus</w:t>
      </w:r>
      <w:r w:rsidR="00995D6D" w:rsidRPr="00B6681B">
        <w:t>,</w:t>
      </w:r>
      <w:r w:rsidRPr="00B6681B">
        <w:t xml:space="preserve"> such as </w:t>
      </w:r>
      <w:r w:rsidR="00095B23" w:rsidRPr="00B6681B">
        <w:t xml:space="preserve">the </w:t>
      </w:r>
      <w:r w:rsidRPr="00B6681B">
        <w:t xml:space="preserve">police and </w:t>
      </w:r>
      <w:r w:rsidR="00095B23" w:rsidRPr="00B6681B">
        <w:t xml:space="preserve">the </w:t>
      </w:r>
      <w:r w:rsidRPr="00B6681B">
        <w:t xml:space="preserve">gendarmerie. </w:t>
      </w:r>
      <w:r w:rsidRPr="000E16A8">
        <w:rPr>
          <w:i/>
          <w:iCs/>
        </w:rPr>
        <w:t>Dozos</w:t>
      </w:r>
      <w:r w:rsidRPr="00B6681B">
        <w:t xml:space="preserve"> have been known to arbitrarily arrest and detain persons and were responsible for many killings</w:t>
      </w:r>
      <w:r w:rsidR="00095B23" w:rsidRPr="00B6681B">
        <w:t>, including</w:t>
      </w:r>
      <w:r w:rsidRPr="00B6681B">
        <w:t xml:space="preserve"> in Duékoué and Kouibly</w:t>
      </w:r>
      <w:r w:rsidR="00095B23" w:rsidRPr="00B6681B">
        <w:t>,</w:t>
      </w:r>
      <w:r w:rsidRPr="00B6681B">
        <w:t xml:space="preserve"> during the post-election conflict.</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Working Group is concerned </w:t>
      </w:r>
      <w:r w:rsidR="00DD1582" w:rsidRPr="00B6681B">
        <w:t xml:space="preserve">about </w:t>
      </w:r>
      <w:r w:rsidRPr="00B6681B">
        <w:t xml:space="preserve">the information </w:t>
      </w:r>
      <w:r w:rsidR="00C67312" w:rsidRPr="00B6681B">
        <w:t xml:space="preserve">it received </w:t>
      </w:r>
      <w:r w:rsidRPr="00B6681B">
        <w:t xml:space="preserve">that </w:t>
      </w:r>
      <w:r w:rsidRPr="000E16A8">
        <w:rPr>
          <w:i/>
          <w:iCs/>
        </w:rPr>
        <w:t>dozos</w:t>
      </w:r>
      <w:r w:rsidRPr="00B6681B">
        <w:t xml:space="preserve"> continue to exercise de facto governmental authority in the security sector. In some cases, </w:t>
      </w:r>
      <w:r w:rsidRPr="000E16A8">
        <w:rPr>
          <w:i/>
          <w:iCs/>
        </w:rPr>
        <w:t>dozos</w:t>
      </w:r>
      <w:r w:rsidRPr="00B6681B">
        <w:t xml:space="preserve"> have even acted on the instruction or under the control of some elements of the security forces or the administrative authorities and were found within the national security apparatus of the </w:t>
      </w:r>
      <w:r w:rsidR="00FF7F56" w:rsidRPr="00B6681B">
        <w:t>S</w:t>
      </w:r>
      <w:r w:rsidRPr="00B6681B">
        <w:t xml:space="preserve">tate. </w:t>
      </w:r>
    </w:p>
    <w:p w:rsidR="006B455C" w:rsidRPr="00B6681B" w:rsidRDefault="006B455C" w:rsidP="000E16A8">
      <w:pPr>
        <w:pStyle w:val="SingleTxtG"/>
        <w:numPr>
          <w:ilvl w:val="0"/>
          <w:numId w:val="24"/>
        </w:numPr>
        <w:ind w:left="1134" w:firstLine="0"/>
      </w:pPr>
      <w:r w:rsidRPr="00B6681B">
        <w:t xml:space="preserve">The Working Group is </w:t>
      </w:r>
      <w:r w:rsidR="00DD1582" w:rsidRPr="00B6681B">
        <w:t xml:space="preserve">also </w:t>
      </w:r>
      <w:r w:rsidRPr="00B6681B">
        <w:t xml:space="preserve">concerned </w:t>
      </w:r>
      <w:r w:rsidR="00095B23" w:rsidRPr="00B6681B">
        <w:t xml:space="preserve">about </w:t>
      </w:r>
      <w:r w:rsidRPr="00B6681B">
        <w:t xml:space="preserve">the lack of prosecution </w:t>
      </w:r>
      <w:r w:rsidR="00095B23" w:rsidRPr="00B6681B">
        <w:t xml:space="preserve">of </w:t>
      </w:r>
      <w:r w:rsidRPr="000E16A8">
        <w:rPr>
          <w:i/>
          <w:iCs/>
        </w:rPr>
        <w:t>dozos</w:t>
      </w:r>
      <w:r w:rsidRPr="00B6681B">
        <w:t xml:space="preserve"> who committed human rights violations during the conflicts and was informed that only two </w:t>
      </w:r>
      <w:r w:rsidR="00203EA9" w:rsidRPr="00B6681B">
        <w:t xml:space="preserve">had </w:t>
      </w:r>
      <w:r w:rsidRPr="00B6681B">
        <w:t>been prosecuted through judicial proceedings. Their continued presence can have adverse effects on national security as well as on the process of national reconciliation.</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lack of control and oversight over the activities of these individuals could also lend credence to the allegation that they </w:t>
      </w:r>
      <w:r w:rsidR="00095B23" w:rsidRPr="00B6681B">
        <w:t xml:space="preserve">enjoy </w:t>
      </w:r>
      <w:r w:rsidRPr="00B6681B">
        <w:t xml:space="preserve">impunity </w:t>
      </w:r>
      <w:r w:rsidR="00DD1582" w:rsidRPr="00B6681B">
        <w:t xml:space="preserve">owing </w:t>
      </w:r>
      <w:r w:rsidRPr="00B6681B">
        <w:t xml:space="preserve">to their close ties with the current government. The Working Group is </w:t>
      </w:r>
      <w:r w:rsidR="0048554B" w:rsidRPr="00B6681B">
        <w:t xml:space="preserve">further </w:t>
      </w:r>
      <w:r w:rsidRPr="00B6681B">
        <w:t xml:space="preserve">concerned that </w:t>
      </w:r>
      <w:r w:rsidRPr="000E16A8">
        <w:rPr>
          <w:i/>
          <w:iCs/>
        </w:rPr>
        <w:t>dozos</w:t>
      </w:r>
      <w:r w:rsidRPr="00B6681B">
        <w:t xml:space="preserve"> continue to be armed with weapon</w:t>
      </w:r>
      <w:r w:rsidR="0048554B" w:rsidRPr="00B6681B">
        <w:t>s</w:t>
      </w:r>
      <w:r w:rsidRPr="00B6681B">
        <w:t xml:space="preserve"> other than their traditional ones. In </w:t>
      </w:r>
      <w:r w:rsidR="0048554B" w:rsidRPr="00B6681B">
        <w:t xml:space="preserve">the </w:t>
      </w:r>
      <w:r w:rsidRPr="00B6681B">
        <w:t xml:space="preserve">light of the national policy for disarmament and the dire need to limit the use of force to the </w:t>
      </w:r>
      <w:r w:rsidR="00FF7F56" w:rsidRPr="00B6681B">
        <w:t>S</w:t>
      </w:r>
      <w:r w:rsidRPr="00B6681B">
        <w:t>tate security sector,</w:t>
      </w:r>
      <w:r w:rsidR="007474E8" w:rsidRPr="00B6681B">
        <w:t xml:space="preserve"> </w:t>
      </w:r>
      <w:r w:rsidRPr="00B6681B">
        <w:t xml:space="preserve">more efforts need to be taken to disarm </w:t>
      </w:r>
      <w:r w:rsidRPr="000E16A8">
        <w:rPr>
          <w:i/>
          <w:iCs/>
        </w:rPr>
        <w:t>dozos</w:t>
      </w:r>
      <w:r w:rsidRPr="00B6681B">
        <w:t xml:space="preserve">. </w:t>
      </w:r>
      <w:r w:rsidR="0048554B" w:rsidRPr="00B6681B">
        <w:t xml:space="preserve">There is a particular need for disarmament in cases of </w:t>
      </w:r>
      <w:r w:rsidRPr="00B6681B">
        <w:t xml:space="preserve">former combatants who actively engaged in the past conflicts. </w:t>
      </w:r>
    </w:p>
    <w:p w:rsidR="006B455C" w:rsidRPr="00B6681B" w:rsidRDefault="00095B23" w:rsidP="000E16A8">
      <w:pPr>
        <w:pStyle w:val="SingleTxtG"/>
        <w:numPr>
          <w:ilvl w:val="0"/>
          <w:numId w:val="24"/>
        </w:numPr>
        <w:ind w:left="1134" w:firstLine="0"/>
      </w:pPr>
      <w:r w:rsidRPr="000E16A8">
        <w:rPr>
          <w:i/>
          <w:iCs/>
        </w:rPr>
        <w:t>D</w:t>
      </w:r>
      <w:r w:rsidR="006B455C" w:rsidRPr="000E16A8">
        <w:rPr>
          <w:i/>
          <w:iCs/>
        </w:rPr>
        <w:t>ozos</w:t>
      </w:r>
      <w:r w:rsidR="006B455C" w:rsidRPr="00B6681B">
        <w:t xml:space="preserve"> were reported to be offering their services as personal bodyguards to a number of well-known personalities.</w:t>
      </w:r>
      <w:r w:rsidR="007474E8" w:rsidRPr="00B6681B">
        <w:t xml:space="preserve"> </w:t>
      </w:r>
      <w:r w:rsidR="006B455C" w:rsidRPr="00B6681B">
        <w:t>Some are receiving significant financial payments for their services</w:t>
      </w:r>
      <w:r w:rsidR="0048554B" w:rsidRPr="00B6681B">
        <w:t>,</w:t>
      </w:r>
      <w:r w:rsidR="006B455C" w:rsidRPr="00B6681B">
        <w:t xml:space="preserve"> prompting the Working Group to consider identifying them as “mercenary-related” actors given that </w:t>
      </w:r>
      <w:r w:rsidR="00F82DAA">
        <w:t xml:space="preserve">some </w:t>
      </w:r>
      <w:r w:rsidR="006B455C" w:rsidRPr="00B6681B">
        <w:t xml:space="preserve">are foreigners and carrying out their functions </w:t>
      </w:r>
      <w:r w:rsidRPr="00B6681B">
        <w:t xml:space="preserve">exclusively </w:t>
      </w:r>
      <w:r w:rsidR="006B455C" w:rsidRPr="00B6681B">
        <w:t>for monetary gain</w:t>
      </w:r>
      <w:r w:rsidR="0048554B" w:rsidRPr="00B6681B">
        <w:t xml:space="preserve">. </w:t>
      </w:r>
    </w:p>
    <w:p w:rsidR="006B455C" w:rsidRPr="00B6681B" w:rsidRDefault="000F3460" w:rsidP="006C1DAB">
      <w:pPr>
        <w:pStyle w:val="H23G"/>
      </w:pPr>
      <w:r w:rsidRPr="00B6681B">
        <w:tab/>
        <w:t>4</w:t>
      </w:r>
      <w:r w:rsidR="007766E4" w:rsidRPr="00B6681B">
        <w:t>.</w:t>
      </w:r>
      <w:r w:rsidRPr="00B6681B">
        <w:tab/>
      </w:r>
      <w:r w:rsidR="006B455C" w:rsidRPr="00B6681B">
        <w:t xml:space="preserve">Weak </w:t>
      </w:r>
      <w:r w:rsidR="00FF7F56" w:rsidRPr="00B6681B">
        <w:t>S</w:t>
      </w:r>
      <w:r w:rsidR="006B455C" w:rsidRPr="00B6681B">
        <w:t xml:space="preserve">tate institutions </w:t>
      </w:r>
    </w:p>
    <w:p w:rsidR="006B455C" w:rsidRPr="00B6681B" w:rsidRDefault="006B455C" w:rsidP="000E16A8">
      <w:pPr>
        <w:pStyle w:val="SingleTxtG"/>
        <w:numPr>
          <w:ilvl w:val="0"/>
          <w:numId w:val="24"/>
        </w:numPr>
        <w:ind w:left="1134" w:firstLine="0"/>
      </w:pPr>
      <w:r w:rsidRPr="00B6681B">
        <w:t>Security institutions continue to suffer from excessive politi</w:t>
      </w:r>
      <w:r w:rsidR="00A64726" w:rsidRPr="00B6681B">
        <w:t>ci</w:t>
      </w:r>
      <w:r w:rsidR="00D61831" w:rsidRPr="00B6681B">
        <w:t>z</w:t>
      </w:r>
      <w:r w:rsidRPr="00B6681B">
        <w:t xml:space="preserve">ation. The level of mistrust between those who served </w:t>
      </w:r>
      <w:r w:rsidR="00B46B05" w:rsidRPr="00B6681B">
        <w:t xml:space="preserve">in </w:t>
      </w:r>
      <w:r w:rsidRPr="00B6681B">
        <w:t>the former army, police and gendarmerie and those who fought for the current regime</w:t>
      </w:r>
      <w:r w:rsidR="00095B23" w:rsidRPr="00B6681B">
        <w:t xml:space="preserve"> is reportedly significant</w:t>
      </w:r>
      <w:r w:rsidRPr="00B6681B">
        <w:t xml:space="preserve">. While senior </w:t>
      </w:r>
      <w:r w:rsidR="00095B23" w:rsidRPr="00B6681B">
        <w:rPr>
          <w:i/>
        </w:rPr>
        <w:t>c</w:t>
      </w:r>
      <w:r w:rsidRPr="00B6681B">
        <w:rPr>
          <w:i/>
        </w:rPr>
        <w:t>omzone</w:t>
      </w:r>
      <w:r w:rsidR="00B46B05" w:rsidRPr="00B6681B">
        <w:rPr>
          <w:i/>
        </w:rPr>
        <w:t>s</w:t>
      </w:r>
      <w:r w:rsidR="00CC4D39" w:rsidRPr="00B6681B">
        <w:t xml:space="preserve"> </w:t>
      </w:r>
      <w:r w:rsidR="00B46B05" w:rsidRPr="00B6681B">
        <w:t>(</w:t>
      </w:r>
      <w:r w:rsidR="00CC4D39" w:rsidRPr="00B6681B">
        <w:t xml:space="preserve">former </w:t>
      </w:r>
      <w:r w:rsidRPr="00B6681B">
        <w:t xml:space="preserve">commanders </w:t>
      </w:r>
      <w:r w:rsidR="00CC4D39" w:rsidRPr="00B6681B">
        <w:t xml:space="preserve">and </w:t>
      </w:r>
      <w:r w:rsidRPr="00B6681B">
        <w:t>combatants</w:t>
      </w:r>
      <w:r w:rsidR="00B46B05" w:rsidRPr="00B6681B">
        <w:t>)</w:t>
      </w:r>
      <w:r w:rsidRPr="00B6681B">
        <w:t xml:space="preserve"> have been given official appointments </w:t>
      </w:r>
      <w:r w:rsidR="00203EA9" w:rsidRPr="00B6681B">
        <w:t xml:space="preserve">within </w:t>
      </w:r>
      <w:r w:rsidRPr="00B6681B">
        <w:t xml:space="preserve">the </w:t>
      </w:r>
      <w:r w:rsidR="00FF7F56" w:rsidRPr="00B6681B">
        <w:t>S</w:t>
      </w:r>
      <w:r w:rsidRPr="00B6681B">
        <w:t xml:space="preserve">tate and security apparatus, the issue of parallel chains of command, notably between </w:t>
      </w:r>
      <w:r w:rsidR="00095B23" w:rsidRPr="00B6681B">
        <w:rPr>
          <w:i/>
        </w:rPr>
        <w:t>c</w:t>
      </w:r>
      <w:r w:rsidRPr="00B6681B">
        <w:rPr>
          <w:i/>
        </w:rPr>
        <w:t xml:space="preserve">omzones </w:t>
      </w:r>
      <w:r w:rsidRPr="00B6681B">
        <w:t xml:space="preserve">and other </w:t>
      </w:r>
      <w:r w:rsidR="00D80CAA" w:rsidRPr="00B6681B">
        <w:rPr>
          <w:iCs/>
        </w:rPr>
        <w:t>Forces républicaines</w:t>
      </w:r>
      <w:r w:rsidRPr="00B6681B">
        <w:t xml:space="preserve"> elements, constitute a major challenge </w:t>
      </w:r>
      <w:r w:rsidR="00095B23" w:rsidRPr="00B6681B">
        <w:t>to</w:t>
      </w:r>
      <w:r w:rsidR="00F221F8" w:rsidRPr="00B6681B">
        <w:t xml:space="preserve"> the development of</w:t>
      </w:r>
      <w:r w:rsidRPr="00B6681B">
        <w:t xml:space="preserve"> an effective</w:t>
      </w:r>
      <w:r w:rsidR="00095B23" w:rsidRPr="00B6681B">
        <w:t>,</w:t>
      </w:r>
      <w:r w:rsidRPr="00B6681B">
        <w:t xml:space="preserve"> cohesive and professional national army in Côte d’Ivoire.</w:t>
      </w:r>
      <w:r w:rsidR="00A64726" w:rsidRPr="00B6681B">
        <w:t xml:space="preserve"> Further</w:t>
      </w:r>
      <w:r w:rsidR="004610BE" w:rsidRPr="00B6681B">
        <w:t>more</w:t>
      </w:r>
      <w:r w:rsidR="00A64726" w:rsidRPr="00B6681B">
        <w:t xml:space="preserve">, a number of </w:t>
      </w:r>
      <w:r w:rsidR="00095B23" w:rsidRPr="00B6681B">
        <w:rPr>
          <w:i/>
        </w:rPr>
        <w:t>c</w:t>
      </w:r>
      <w:r w:rsidR="00A64726" w:rsidRPr="00B6681B">
        <w:rPr>
          <w:i/>
        </w:rPr>
        <w:t>omzones</w:t>
      </w:r>
      <w:r w:rsidR="00A64726" w:rsidRPr="00B6681B">
        <w:t xml:space="preserve"> were reportedly perpetrators of human rights violations during the past conflict</w:t>
      </w:r>
      <w:r w:rsidR="00751E50" w:rsidRPr="00B6681B">
        <w:t>s</w:t>
      </w:r>
      <w:r w:rsidR="00A64726" w:rsidRPr="00B6681B">
        <w:t xml:space="preserve"> yet have not been brought to trial, </w:t>
      </w:r>
      <w:r w:rsidR="00203EA9" w:rsidRPr="00B6681B">
        <w:t xml:space="preserve">thus </w:t>
      </w:r>
      <w:r w:rsidR="00A64726" w:rsidRPr="00B6681B">
        <w:t>further compounding the problems of impunity and absence of impartial justice.</w:t>
      </w:r>
      <w:r w:rsidR="007474E8" w:rsidRPr="00B6681B">
        <w:t xml:space="preserve"> </w:t>
      </w:r>
      <w:r w:rsidR="00A64726" w:rsidRPr="00B6681B">
        <w:t xml:space="preserve">A </w:t>
      </w:r>
      <w:r w:rsidRPr="00B6681B">
        <w:t xml:space="preserve">weak vetting process and gaps in training and discipline continue to be observed across the security and defence institutions. </w:t>
      </w:r>
    </w:p>
    <w:p w:rsidR="006B455C" w:rsidRPr="00B6681B" w:rsidRDefault="0042013A" w:rsidP="000E16A8">
      <w:pPr>
        <w:pStyle w:val="SingleTxtG"/>
        <w:numPr>
          <w:ilvl w:val="0"/>
          <w:numId w:val="24"/>
        </w:numPr>
        <w:ind w:left="1134" w:firstLine="0"/>
      </w:pPr>
      <w:r w:rsidRPr="00B6681B">
        <w:t xml:space="preserve">In order to strengthen the judiciary, it is also important to ensure the </w:t>
      </w:r>
      <w:r w:rsidR="006B455C" w:rsidRPr="00B6681B">
        <w:t xml:space="preserve">protection of judicial officers and </w:t>
      </w:r>
      <w:r w:rsidRPr="00B6681B">
        <w:t xml:space="preserve">the </w:t>
      </w:r>
      <w:r w:rsidR="006B455C" w:rsidRPr="00B6681B">
        <w:t>recruitment of fair and impartial judges</w:t>
      </w:r>
      <w:r w:rsidRPr="00B6681B">
        <w:t>.</w:t>
      </w:r>
      <w:r w:rsidR="006B455C" w:rsidRPr="00B6681B">
        <w:t xml:space="preserve"> Judicial offices were burned down and information kept on record could not be maintained</w:t>
      </w:r>
      <w:r w:rsidRPr="00B6681B">
        <w:t>,</w:t>
      </w:r>
      <w:r w:rsidR="006B455C" w:rsidRPr="00B6681B">
        <w:t xml:space="preserve"> prompting the Working Group to recommend the consistent and systematic collection and analysis of data regarding the past conflicts, to facilitate the work of the judiciary and other investigative mechanisms.</w:t>
      </w:r>
      <w:r w:rsidR="007474E8" w:rsidRPr="00B6681B">
        <w:t xml:space="preserve"> </w:t>
      </w:r>
      <w:r w:rsidR="006B455C" w:rsidRPr="00B6681B">
        <w:t xml:space="preserve">The Working Group was also informed of the deficiencies among law enforcement and the judicial system that hindered investigations and prosecutions. </w:t>
      </w:r>
    </w:p>
    <w:p w:rsidR="006B455C" w:rsidRPr="00B6681B" w:rsidRDefault="006B455C" w:rsidP="000E16A8">
      <w:pPr>
        <w:pStyle w:val="SingleTxtG"/>
        <w:numPr>
          <w:ilvl w:val="0"/>
          <w:numId w:val="24"/>
        </w:numPr>
        <w:ind w:left="1134" w:firstLine="0"/>
      </w:pPr>
      <w:r w:rsidRPr="00B6681B">
        <w:t xml:space="preserve">Security concerns have also been associated with the slow progress of the national </w:t>
      </w:r>
      <w:r w:rsidR="0042013A" w:rsidRPr="00B6681B">
        <w:t>s</w:t>
      </w:r>
      <w:r w:rsidRPr="00B6681B">
        <w:t xml:space="preserve">ecurity </w:t>
      </w:r>
      <w:r w:rsidR="0042013A" w:rsidRPr="00B6681B">
        <w:t>s</w:t>
      </w:r>
      <w:r w:rsidRPr="00B6681B">
        <w:t xml:space="preserve">ector </w:t>
      </w:r>
      <w:r w:rsidR="0042013A" w:rsidRPr="00B6681B">
        <w:t>r</w:t>
      </w:r>
      <w:r w:rsidRPr="00B6681B">
        <w:t xml:space="preserve">eform process. Further to the endorsement of the national </w:t>
      </w:r>
      <w:r w:rsidR="0042013A" w:rsidRPr="00B6681B">
        <w:t xml:space="preserve">security sector </w:t>
      </w:r>
      <w:proofErr w:type="gramStart"/>
      <w:r w:rsidR="0042013A" w:rsidRPr="00B6681B">
        <w:t xml:space="preserve">reform </w:t>
      </w:r>
      <w:r w:rsidRPr="00B6681B">
        <w:t xml:space="preserve"> strategy</w:t>
      </w:r>
      <w:proofErr w:type="gramEnd"/>
      <w:r w:rsidRPr="00B6681B">
        <w:t xml:space="preserve"> and the establishment of the National Security Council headed by the President, important steps have been made to enhance engagement with local authorities, civilian mechanisms and other national stakeholders </w:t>
      </w:r>
      <w:r w:rsidR="0042013A" w:rsidRPr="00B6681B">
        <w:t xml:space="preserve">in </w:t>
      </w:r>
      <w:r w:rsidRPr="00B6681B">
        <w:t>the process.</w:t>
      </w:r>
      <w:r w:rsidR="007474E8" w:rsidRPr="00B6681B">
        <w:t xml:space="preserve"> </w:t>
      </w:r>
      <w:r w:rsidRPr="00B6681B">
        <w:t xml:space="preserve">However, the </w:t>
      </w:r>
      <w:r w:rsidR="0042013A" w:rsidRPr="00B6681B">
        <w:t xml:space="preserve">security sector </w:t>
      </w:r>
      <w:proofErr w:type="gramStart"/>
      <w:r w:rsidR="0042013A" w:rsidRPr="00B6681B">
        <w:t xml:space="preserve">reform </w:t>
      </w:r>
      <w:r w:rsidRPr="00B6681B">
        <w:t xml:space="preserve"> activities</w:t>
      </w:r>
      <w:proofErr w:type="gramEnd"/>
      <w:r w:rsidRPr="00B6681B">
        <w:t xml:space="preserve"> continue to be mostly concentrated in Abidjan with limited impact at the local level. The lack of adequate resources and equipment </w:t>
      </w:r>
      <w:r w:rsidR="0042013A" w:rsidRPr="00B6681B">
        <w:t xml:space="preserve">of </w:t>
      </w:r>
      <w:r w:rsidRPr="00B6681B">
        <w:t xml:space="preserve">the </w:t>
      </w:r>
      <w:r w:rsidR="0042013A" w:rsidRPr="00B6681B">
        <w:t>p</w:t>
      </w:r>
      <w:r w:rsidRPr="00B6681B">
        <w:t>olice and gendarmerie in most areas except for Abidjan, Bouaké and Daloa is also hampering the</w:t>
      </w:r>
      <w:r w:rsidR="00F221F8" w:rsidRPr="00B6681B">
        <w:t xml:space="preserve"> forces’</w:t>
      </w:r>
      <w:r w:rsidRPr="00B6681B">
        <w:t xml:space="preserve"> operational ability. While a national police reform plan </w:t>
      </w:r>
      <w:r w:rsidR="0042013A" w:rsidRPr="00B6681B">
        <w:t xml:space="preserve">was </w:t>
      </w:r>
      <w:r w:rsidRPr="00B6681B">
        <w:t xml:space="preserve">developed in 2013, it has not yet been officially endorsed by the Ministry of </w:t>
      </w:r>
      <w:r w:rsidR="0042013A" w:rsidRPr="00B6681B">
        <w:t xml:space="preserve">the </w:t>
      </w:r>
      <w:r w:rsidRPr="00B6681B">
        <w:t xml:space="preserve">Interior </w:t>
      </w:r>
      <w:r w:rsidR="0042013A" w:rsidRPr="00B6681B">
        <w:t xml:space="preserve">or </w:t>
      </w:r>
      <w:r w:rsidRPr="00B6681B">
        <w:t xml:space="preserve">implemented. The police vetting process, despite initial promising steps, </w:t>
      </w:r>
      <w:proofErr w:type="gramStart"/>
      <w:r w:rsidR="0042013A" w:rsidRPr="00B6681B">
        <w:t>has</w:t>
      </w:r>
      <w:proofErr w:type="gramEnd"/>
      <w:r w:rsidR="0042013A" w:rsidRPr="00B6681B">
        <w:t xml:space="preserve"> </w:t>
      </w:r>
      <w:r w:rsidRPr="00B6681B">
        <w:t xml:space="preserve">been placed on hold. The overall fragility of security and defence institutions </w:t>
      </w:r>
      <w:r w:rsidR="0042013A" w:rsidRPr="00B6681B">
        <w:t xml:space="preserve">has </w:t>
      </w:r>
      <w:r w:rsidRPr="00B6681B">
        <w:t xml:space="preserve">also had an impact on national engagement in regional security initiatives. Despite </w:t>
      </w:r>
      <w:r w:rsidR="0042013A" w:rsidRPr="00B6681B">
        <w:t xml:space="preserve">their </w:t>
      </w:r>
      <w:r w:rsidRPr="00B6681B">
        <w:t xml:space="preserve">commitment to the West Africa Coast Initiative to fight transnational crime, </w:t>
      </w:r>
      <w:r w:rsidR="0042013A" w:rsidRPr="00B6681B">
        <w:t xml:space="preserve">national authorities have not yet implemented </w:t>
      </w:r>
      <w:r w:rsidRPr="00B6681B">
        <w:t xml:space="preserve">the decree to establish </w:t>
      </w:r>
      <w:r w:rsidR="00F221F8" w:rsidRPr="00B6681B">
        <w:t>a t</w:t>
      </w:r>
      <w:r w:rsidRPr="00B6681B">
        <w:t xml:space="preserve">ransnational </w:t>
      </w:r>
      <w:r w:rsidR="00F221F8" w:rsidRPr="00B6681B">
        <w:t>c</w:t>
      </w:r>
      <w:r w:rsidRPr="00B6681B">
        <w:t xml:space="preserve">rime </w:t>
      </w:r>
      <w:r w:rsidR="00F221F8" w:rsidRPr="00B6681B">
        <w:t>u</w:t>
      </w:r>
      <w:r w:rsidRPr="00B6681B">
        <w:t>nit</w:t>
      </w:r>
      <w:r w:rsidR="0042013A" w:rsidRPr="00B6681B">
        <w:t>.</w:t>
      </w:r>
      <w:r w:rsidRPr="00B6681B">
        <w:t xml:space="preserve"> </w:t>
      </w:r>
    </w:p>
    <w:p w:rsidR="006B455C" w:rsidRPr="00B6681B" w:rsidRDefault="000F3460" w:rsidP="000F3460">
      <w:pPr>
        <w:pStyle w:val="H23G"/>
      </w:pPr>
      <w:r w:rsidRPr="00B6681B">
        <w:tab/>
        <w:t>5</w:t>
      </w:r>
      <w:r w:rsidR="006B455C" w:rsidRPr="00B6681B">
        <w:t>.</w:t>
      </w:r>
      <w:r w:rsidRPr="00B6681B">
        <w:tab/>
      </w:r>
      <w:r w:rsidR="006B455C" w:rsidRPr="00B6681B">
        <w:t xml:space="preserve">Poverty and youth violence </w:t>
      </w:r>
    </w:p>
    <w:p w:rsidR="006B455C" w:rsidRPr="00B6681B" w:rsidRDefault="006B455C" w:rsidP="000E16A8">
      <w:pPr>
        <w:pStyle w:val="SingleTxtG"/>
        <w:numPr>
          <w:ilvl w:val="0"/>
          <w:numId w:val="24"/>
        </w:numPr>
        <w:ind w:left="1134" w:firstLine="0"/>
      </w:pPr>
      <w:r w:rsidRPr="00B6681B">
        <w:t>The current socioeconomic situation, if not addressed effectively</w:t>
      </w:r>
      <w:r w:rsidR="0042013A" w:rsidRPr="00B6681B">
        <w:t>,</w:t>
      </w:r>
      <w:r w:rsidRPr="00B6681B">
        <w:t xml:space="preserve"> could create further insecurity. The vulnerabilities of individuals such as </w:t>
      </w:r>
      <w:r w:rsidR="0042013A" w:rsidRPr="00B6681B">
        <w:t xml:space="preserve">young people, </w:t>
      </w:r>
      <w:r w:rsidRPr="00B6681B">
        <w:t xml:space="preserve">who have been consistently exposed to a culture of violence and who are also engaged in criminal activities as a </w:t>
      </w:r>
      <w:r w:rsidR="00A219C4" w:rsidRPr="00B6681B">
        <w:t>result</w:t>
      </w:r>
      <w:r w:rsidR="0042013A" w:rsidRPr="00B6681B">
        <w:t>,</w:t>
      </w:r>
      <w:r w:rsidRPr="00B6681B">
        <w:t xml:space="preserve"> need to be effectively addressed.</w:t>
      </w:r>
      <w:r w:rsidR="007474E8" w:rsidRPr="00B6681B">
        <w:t xml:space="preserve"> </w:t>
      </w:r>
      <w:r w:rsidRPr="00B6681B">
        <w:t>During the past conflicts</w:t>
      </w:r>
      <w:r w:rsidR="0042013A" w:rsidRPr="00B6681B">
        <w:t>,</w:t>
      </w:r>
      <w:r w:rsidRPr="00B6681B">
        <w:t xml:space="preserve"> many </w:t>
      </w:r>
      <w:r w:rsidR="0042013A" w:rsidRPr="00B6681B">
        <w:t xml:space="preserve">young people, </w:t>
      </w:r>
      <w:r w:rsidRPr="00B6681B">
        <w:t>including child</w:t>
      </w:r>
      <w:r w:rsidR="00F221F8" w:rsidRPr="00B6681B">
        <w:t>ren</w:t>
      </w:r>
      <w:r w:rsidRPr="00B6681B">
        <w:t xml:space="preserve">, were recruited as combatants. Some of </w:t>
      </w:r>
      <w:r w:rsidR="0042013A" w:rsidRPr="00B6681B">
        <w:t xml:space="preserve">them </w:t>
      </w:r>
      <w:r w:rsidRPr="00B6681B">
        <w:t xml:space="preserve">were reported to </w:t>
      </w:r>
      <w:r w:rsidR="0042013A" w:rsidRPr="00B6681B">
        <w:t xml:space="preserve">have </w:t>
      </w:r>
      <w:r w:rsidRPr="00B6681B">
        <w:t>later become mercenaries given their extensive training and involvement in warfare. In what appears to be a vicious cycle of youth violence and a legacy of the post-election crisis, the Working Group was informed of the current phenomenon called “microbes”</w:t>
      </w:r>
      <w:r w:rsidR="0042013A" w:rsidRPr="00B6681B">
        <w:t>,</w:t>
      </w:r>
      <w:r w:rsidRPr="00B6681B">
        <w:t xml:space="preserve"> or germs</w:t>
      </w:r>
      <w:r w:rsidR="0042013A" w:rsidRPr="00B6681B">
        <w:t>,</w:t>
      </w:r>
      <w:r w:rsidRPr="00B6681B">
        <w:t xml:space="preserve"> which refers to gangs of violent </w:t>
      </w:r>
      <w:r w:rsidR="0042013A" w:rsidRPr="00B6681B">
        <w:t xml:space="preserve">young people, </w:t>
      </w:r>
      <w:r w:rsidRPr="00B6681B">
        <w:t xml:space="preserve">including very young children. </w:t>
      </w:r>
      <w:r w:rsidR="0042013A" w:rsidRPr="00B6681B">
        <w:t xml:space="preserve">They </w:t>
      </w:r>
      <w:r w:rsidRPr="00B6681B">
        <w:t xml:space="preserve">are feared as they have committed offences that include killing, theft and other </w:t>
      </w:r>
      <w:r w:rsidR="0042013A" w:rsidRPr="00B6681B">
        <w:t xml:space="preserve">illegal </w:t>
      </w:r>
      <w:r w:rsidRPr="00B6681B">
        <w:t xml:space="preserve">activities. Most of these </w:t>
      </w:r>
      <w:r w:rsidR="00580801" w:rsidRPr="00B6681B">
        <w:t xml:space="preserve">young people </w:t>
      </w:r>
      <w:r w:rsidRPr="00B6681B">
        <w:t>live in abject poverty. Child soldiers who were drawn into mercenarism were often from impoverished settings and there is concern that</w:t>
      </w:r>
      <w:r w:rsidR="00F221F8" w:rsidRPr="00B6681B">
        <w:t>, given the current situation,</w:t>
      </w:r>
      <w:r w:rsidRPr="00B6681B">
        <w:t xml:space="preserve"> this new phenomenon may thrive in Côte d’Ivoire.</w:t>
      </w:r>
      <w:r w:rsidR="007474E8" w:rsidRPr="00B6681B">
        <w:t xml:space="preserve"> </w:t>
      </w:r>
    </w:p>
    <w:p w:rsidR="006B455C" w:rsidRPr="00B6681B" w:rsidRDefault="000F3460" w:rsidP="00452615">
      <w:pPr>
        <w:pStyle w:val="H23G"/>
      </w:pPr>
      <w:r w:rsidRPr="00B6681B">
        <w:tab/>
        <w:t>6</w:t>
      </w:r>
      <w:r w:rsidR="006B455C" w:rsidRPr="00B6681B">
        <w:t>.</w:t>
      </w:r>
      <w:r w:rsidRPr="00B6681B">
        <w:tab/>
      </w:r>
      <w:r w:rsidR="006B455C" w:rsidRPr="00B6681B">
        <w:t xml:space="preserve">Ongoing violence against vulnerable groups </w:t>
      </w:r>
    </w:p>
    <w:p w:rsidR="006B455C" w:rsidRPr="00B6681B" w:rsidRDefault="006B455C" w:rsidP="000E16A8">
      <w:pPr>
        <w:pStyle w:val="SingleTxtG"/>
        <w:numPr>
          <w:ilvl w:val="0"/>
          <w:numId w:val="24"/>
        </w:numPr>
        <w:ind w:left="1134" w:firstLine="0"/>
      </w:pPr>
      <w:r w:rsidRPr="00B6681B">
        <w:t>The visit</w:t>
      </w:r>
      <w:r w:rsidR="00580801" w:rsidRPr="00B6681B">
        <w:t>ing</w:t>
      </w:r>
      <w:r w:rsidRPr="00B6681B">
        <w:t xml:space="preserve"> delegation regularly received information from government officials and members of civil society about the disturbing trend of violence against vulnerable groups such as women and children. During both armed conflicts, mercenaries inflicted sexual violence against children and women, including female genital mutilation, as a weapon of warfare. The report of the </w:t>
      </w:r>
      <w:r w:rsidR="00BB6034" w:rsidRPr="00B6681B">
        <w:t>N</w:t>
      </w:r>
      <w:r w:rsidRPr="00B6681B">
        <w:t xml:space="preserve">ational </w:t>
      </w:r>
      <w:r w:rsidR="00BB6034" w:rsidRPr="00B6681B">
        <w:t>C</w:t>
      </w:r>
      <w:r w:rsidRPr="00B6681B">
        <w:t xml:space="preserve">ommission of </w:t>
      </w:r>
      <w:r w:rsidR="00BB6034" w:rsidRPr="00B6681B">
        <w:t>I</w:t>
      </w:r>
      <w:r w:rsidRPr="00B6681B">
        <w:t>nquiry documented over 100 cases of sexual violence.</w:t>
      </w:r>
    </w:p>
    <w:p w:rsidR="006B455C" w:rsidRPr="00B6681B" w:rsidRDefault="006B455C" w:rsidP="000E16A8">
      <w:pPr>
        <w:pStyle w:val="SingleTxtG"/>
        <w:numPr>
          <w:ilvl w:val="0"/>
          <w:numId w:val="24"/>
        </w:numPr>
        <w:ind w:left="1134" w:firstLine="0"/>
      </w:pPr>
      <w:r w:rsidRPr="00B6681B">
        <w:t xml:space="preserve">From 1 May to 30 September 2014, 120 </w:t>
      </w:r>
      <w:r w:rsidR="00F221F8" w:rsidRPr="00B6681B">
        <w:t xml:space="preserve">cases of </w:t>
      </w:r>
      <w:r w:rsidRPr="00B6681B">
        <w:t>rape</w:t>
      </w:r>
      <w:r w:rsidR="00580801" w:rsidRPr="00B6681B">
        <w:t>,</w:t>
      </w:r>
      <w:r w:rsidRPr="00B6681B">
        <w:t xml:space="preserve"> including 29 gang rapes</w:t>
      </w:r>
      <w:r w:rsidR="00580801" w:rsidRPr="00B6681B">
        <w:t>,</w:t>
      </w:r>
      <w:r w:rsidRPr="00B6681B">
        <w:t xml:space="preserve"> were documented across the country. </w:t>
      </w:r>
      <w:r w:rsidR="00580801" w:rsidRPr="00B6681B">
        <w:t xml:space="preserve">In total, 144 </w:t>
      </w:r>
      <w:r w:rsidRPr="00B6681B">
        <w:t>alleged perpetrator</w:t>
      </w:r>
      <w:r w:rsidR="00580801" w:rsidRPr="00B6681B">
        <w:t>s</w:t>
      </w:r>
      <w:r w:rsidRPr="00B6681B">
        <w:t xml:space="preserve"> were tried and sentenced for lesser crimes such as indecent assault</w:t>
      </w:r>
      <w:r w:rsidR="00580801" w:rsidRPr="00B6681B">
        <w:t>,</w:t>
      </w:r>
      <w:r w:rsidRPr="00B6681B">
        <w:t xml:space="preserve"> while the </w:t>
      </w:r>
      <w:r w:rsidR="00580801" w:rsidRPr="00B6681B">
        <w:t xml:space="preserve">others </w:t>
      </w:r>
      <w:r w:rsidRPr="00B6681B">
        <w:t xml:space="preserve">were released </w:t>
      </w:r>
      <w:r w:rsidR="00580801" w:rsidRPr="00B6681B">
        <w:t xml:space="preserve">owing </w:t>
      </w:r>
      <w:r w:rsidRPr="00B6681B">
        <w:t xml:space="preserve">to lack of sufficient evidence since the victims had withdrawn their complaints and did not attend the </w:t>
      </w:r>
      <w:r w:rsidR="00F221F8" w:rsidRPr="00B6681B">
        <w:t>c</w:t>
      </w:r>
      <w:r w:rsidRPr="00B6681B">
        <w:t>ourt hearings.</w:t>
      </w:r>
      <w:r w:rsidR="007474E8" w:rsidRPr="00B6681B">
        <w:t xml:space="preserve"> </w:t>
      </w:r>
      <w:r w:rsidRPr="00B6681B">
        <w:t xml:space="preserve">Impunity for sexual crimes remains a challenge and the shame and silence associated with this crime indicates that the number of victims </w:t>
      </w:r>
      <w:r w:rsidR="00F221F8" w:rsidRPr="00B6681B">
        <w:t xml:space="preserve">could be </w:t>
      </w:r>
      <w:r w:rsidRPr="00B6681B">
        <w:t xml:space="preserve">higher. </w:t>
      </w:r>
    </w:p>
    <w:p w:rsidR="006B455C" w:rsidRPr="00B6681B" w:rsidRDefault="006B455C" w:rsidP="000E16A8">
      <w:pPr>
        <w:pStyle w:val="SingleTxtG"/>
        <w:numPr>
          <w:ilvl w:val="0"/>
          <w:numId w:val="24"/>
        </w:numPr>
        <w:ind w:left="1134" w:firstLine="0"/>
      </w:pPr>
      <w:r w:rsidRPr="00B6681B">
        <w:t xml:space="preserve">The Working Group was informed of the newly launched </w:t>
      </w:r>
      <w:r w:rsidR="00F221F8" w:rsidRPr="00B6681B">
        <w:t>n</w:t>
      </w:r>
      <w:r w:rsidRPr="00B6681B">
        <w:t xml:space="preserve">ational </w:t>
      </w:r>
      <w:r w:rsidR="00F221F8" w:rsidRPr="00B6681B">
        <w:t>s</w:t>
      </w:r>
      <w:r w:rsidRPr="00B6681B">
        <w:t xml:space="preserve">trategy for </w:t>
      </w:r>
      <w:r w:rsidR="00F221F8" w:rsidRPr="00B6681B">
        <w:t>c</w:t>
      </w:r>
      <w:r w:rsidRPr="00B6681B">
        <w:t xml:space="preserve">ombating </w:t>
      </w:r>
      <w:r w:rsidR="00F221F8" w:rsidRPr="00B6681B">
        <w:t>s</w:t>
      </w:r>
      <w:r w:rsidRPr="00B6681B">
        <w:t xml:space="preserve">exual </w:t>
      </w:r>
      <w:r w:rsidR="00752AB4" w:rsidRPr="00B6681B">
        <w:t xml:space="preserve">and gender-based </w:t>
      </w:r>
      <w:r w:rsidR="00F221F8" w:rsidRPr="00B6681B">
        <w:t>v</w:t>
      </w:r>
      <w:r w:rsidRPr="00B6681B">
        <w:t xml:space="preserve">iolence to address </w:t>
      </w:r>
      <w:r w:rsidR="00580801" w:rsidRPr="00B6681B">
        <w:t>such problems as</w:t>
      </w:r>
      <w:r w:rsidRPr="00B6681B">
        <w:t xml:space="preserve"> access to justice for victims, </w:t>
      </w:r>
      <w:r w:rsidR="00580801" w:rsidRPr="00B6681B">
        <w:t xml:space="preserve">the </w:t>
      </w:r>
      <w:r w:rsidRPr="00B6681B">
        <w:t>effective application of the law and reparation</w:t>
      </w:r>
      <w:r w:rsidR="00580801" w:rsidRPr="00B6681B">
        <w:t>s</w:t>
      </w:r>
      <w:r w:rsidRPr="00B6681B">
        <w:t xml:space="preserve"> for victims. The Working Group commends this effort. </w:t>
      </w:r>
    </w:p>
    <w:p w:rsidR="006B455C" w:rsidRPr="00B6681B" w:rsidRDefault="000F3460" w:rsidP="000F3460">
      <w:pPr>
        <w:pStyle w:val="H23G"/>
      </w:pPr>
      <w:r w:rsidRPr="00B6681B">
        <w:tab/>
        <w:t>7</w:t>
      </w:r>
      <w:r w:rsidR="006B455C" w:rsidRPr="00B6681B">
        <w:t>.</w:t>
      </w:r>
      <w:r w:rsidRPr="00B6681B">
        <w:tab/>
      </w:r>
      <w:r w:rsidR="006B455C" w:rsidRPr="00B6681B">
        <w:t>Arms and weapons in the public domain</w:t>
      </w:r>
    </w:p>
    <w:p w:rsidR="006B455C" w:rsidRPr="00B6681B" w:rsidRDefault="006B455C" w:rsidP="000E16A8">
      <w:pPr>
        <w:pStyle w:val="SingleTxtG"/>
        <w:numPr>
          <w:ilvl w:val="0"/>
          <w:numId w:val="24"/>
        </w:numPr>
        <w:ind w:left="1134" w:firstLine="0"/>
      </w:pPr>
      <w:r w:rsidRPr="00B6681B">
        <w:t>The Working Group was informed that</w:t>
      </w:r>
      <w:r w:rsidR="00580801" w:rsidRPr="00B6681B">
        <w:t>,</w:t>
      </w:r>
      <w:r w:rsidRPr="00B6681B">
        <w:t xml:space="preserve"> through the </w:t>
      </w:r>
      <w:r w:rsidR="00C6564C" w:rsidRPr="00B6681B">
        <w:t>Authority on Disarmament, Demobilization and Reintegration</w:t>
      </w:r>
      <w:r w:rsidRPr="00B6681B">
        <w:t xml:space="preserve"> process, an estimated 20,963 former combatants have been disarmed and demobili</w:t>
      </w:r>
      <w:r w:rsidR="00D61831" w:rsidRPr="00B6681B">
        <w:t>z</w:t>
      </w:r>
      <w:r w:rsidRPr="00B6681B">
        <w:t xml:space="preserve">ed as </w:t>
      </w:r>
      <w:r w:rsidR="00580801" w:rsidRPr="00B6681B">
        <w:t xml:space="preserve">at </w:t>
      </w:r>
      <w:r w:rsidRPr="00B6681B">
        <w:t xml:space="preserve">July 2014. Women represented </w:t>
      </w:r>
      <w:r w:rsidR="00580801" w:rsidRPr="00B6681B">
        <w:t>7 </w:t>
      </w:r>
      <w:r w:rsidRPr="00B6681B">
        <w:t>per</w:t>
      </w:r>
      <w:r w:rsidR="00BB6034" w:rsidRPr="00B6681B">
        <w:t xml:space="preserve"> </w:t>
      </w:r>
      <w:r w:rsidRPr="00B6681B">
        <w:t>cent of this figure. Over 15,000 weapons</w:t>
      </w:r>
      <w:r w:rsidR="00580801" w:rsidRPr="00B6681B">
        <w:t>,</w:t>
      </w:r>
      <w:r w:rsidRPr="00B6681B">
        <w:t xml:space="preserve"> including grenades and </w:t>
      </w:r>
      <w:r w:rsidR="00A219C4" w:rsidRPr="00B6681B">
        <w:t>rockets</w:t>
      </w:r>
      <w:r w:rsidR="00580801" w:rsidRPr="00B6681B">
        <w:t>,</w:t>
      </w:r>
      <w:r w:rsidRPr="00B6681B">
        <w:t xml:space="preserve"> have been collected, along with 570,903 </w:t>
      </w:r>
      <w:r w:rsidR="00580801" w:rsidRPr="00B6681B">
        <w:t xml:space="preserve">rounds of </w:t>
      </w:r>
      <w:r w:rsidRPr="00B6681B">
        <w:t xml:space="preserve">ammunition. Undoubtedly, the </w:t>
      </w:r>
      <w:r w:rsidR="00C6564C" w:rsidRPr="00B6681B">
        <w:t>disarmament, demobilization and reintegration</w:t>
      </w:r>
      <w:r w:rsidRPr="00B6681B">
        <w:t xml:space="preserve"> operation has assisted in making civilian life safer for Ivorians. </w:t>
      </w:r>
    </w:p>
    <w:p w:rsidR="006B455C" w:rsidRPr="00B6681B" w:rsidRDefault="006B455C" w:rsidP="000E16A8">
      <w:pPr>
        <w:pStyle w:val="SingleTxtG"/>
        <w:numPr>
          <w:ilvl w:val="0"/>
          <w:numId w:val="24"/>
        </w:numPr>
        <w:ind w:left="1134" w:firstLine="0"/>
      </w:pPr>
      <w:r w:rsidRPr="00B6681B">
        <w:t xml:space="preserve">However, despite the progress made in disarmament, there are still 40,000 former combatants in the general population who are armed and unemployed, constituting a major challenge to the targeted completion of the </w:t>
      </w:r>
      <w:r w:rsidR="00C6564C" w:rsidRPr="00B6681B">
        <w:t>disarmament, demobilization and reintegration</w:t>
      </w:r>
      <w:r w:rsidRPr="00B6681B">
        <w:t xml:space="preserve"> programme ahead of the presidential election in October 2015. The proliferation of small arms and light weapons </w:t>
      </w:r>
      <w:r w:rsidR="001A5A2F" w:rsidRPr="00B6681B">
        <w:t xml:space="preserve">in the civilian domain </w:t>
      </w:r>
      <w:r w:rsidRPr="00B6681B">
        <w:t xml:space="preserve">and </w:t>
      </w:r>
      <w:r w:rsidR="00D36E83" w:rsidRPr="00B6681B">
        <w:t xml:space="preserve">the </w:t>
      </w:r>
      <w:r w:rsidRPr="00B6681B">
        <w:t>continued cross</w:t>
      </w:r>
      <w:r w:rsidR="00D36E83" w:rsidRPr="00B6681B">
        <w:t>-</w:t>
      </w:r>
      <w:r w:rsidRPr="00B6681B">
        <w:t>border movements of armed groups have intensified the concerns over threats to national security.</w:t>
      </w:r>
      <w:r w:rsidR="007474E8" w:rsidRPr="00B6681B">
        <w:t xml:space="preserve"> </w:t>
      </w:r>
    </w:p>
    <w:p w:rsidR="006B455C" w:rsidRPr="00B6681B" w:rsidRDefault="006B455C" w:rsidP="000E16A8">
      <w:pPr>
        <w:pStyle w:val="SingleTxtG"/>
        <w:numPr>
          <w:ilvl w:val="0"/>
          <w:numId w:val="24"/>
        </w:numPr>
        <w:ind w:left="1134" w:firstLine="0"/>
      </w:pPr>
      <w:r w:rsidRPr="00B6681B">
        <w:t xml:space="preserve">The Working Group noted the need to ensure that former combatants </w:t>
      </w:r>
      <w:r w:rsidR="00DE3DC7" w:rsidRPr="00B6681B">
        <w:t xml:space="preserve">are not </w:t>
      </w:r>
      <w:r w:rsidRPr="00B6681B">
        <w:t xml:space="preserve">absorbed back into occupations involving the use of force, </w:t>
      </w:r>
      <w:r w:rsidR="00F221F8" w:rsidRPr="00B6681B">
        <w:t>for example by being recruited by</w:t>
      </w:r>
      <w:r w:rsidRPr="00B6681B">
        <w:t xml:space="preserve"> the army or security companies. In this regard, screening and vetting regulations should be in place to ensure that those who have committed human rights violations should not be recruited into </w:t>
      </w:r>
      <w:r w:rsidR="00F221F8" w:rsidRPr="00B6681B">
        <w:t xml:space="preserve">such </w:t>
      </w:r>
      <w:r w:rsidRPr="00B6681B">
        <w:t xml:space="preserve">professions. The Working Group also observed the need for an effective policy to recover weapons </w:t>
      </w:r>
      <w:r w:rsidR="00DE3DC7" w:rsidRPr="00B6681B">
        <w:t>being traded illicitly</w:t>
      </w:r>
      <w:r w:rsidRPr="00B6681B">
        <w:t xml:space="preserve">. </w:t>
      </w:r>
    </w:p>
    <w:p w:rsidR="006B455C" w:rsidRPr="00B6681B" w:rsidRDefault="0088700E" w:rsidP="00F221F8">
      <w:pPr>
        <w:pStyle w:val="H23G"/>
      </w:pPr>
      <w:r w:rsidRPr="00B6681B">
        <w:tab/>
        <w:t>8</w:t>
      </w:r>
      <w:r w:rsidR="007766E4" w:rsidRPr="00B6681B">
        <w:t>.</w:t>
      </w:r>
      <w:r w:rsidRPr="00B6681B">
        <w:tab/>
      </w:r>
      <w:r w:rsidR="006B455C" w:rsidRPr="00B6681B">
        <w:t xml:space="preserve">Implementation of </w:t>
      </w:r>
      <w:r w:rsidR="00D61831" w:rsidRPr="00B6681B">
        <w:t xml:space="preserve">the </w:t>
      </w:r>
      <w:r w:rsidR="006B455C" w:rsidRPr="00B6681B">
        <w:t>demobili</w:t>
      </w:r>
      <w:r w:rsidR="00D61831" w:rsidRPr="00B6681B">
        <w:t>z</w:t>
      </w:r>
      <w:r w:rsidR="006B455C" w:rsidRPr="00B6681B">
        <w:t xml:space="preserve">ation and rehabilitation </w:t>
      </w:r>
      <w:r w:rsidR="00D61831" w:rsidRPr="00B6681B">
        <w:t>programme</w:t>
      </w:r>
    </w:p>
    <w:p w:rsidR="006B455C" w:rsidRPr="00B6681B" w:rsidRDefault="006B455C" w:rsidP="000E16A8">
      <w:pPr>
        <w:pStyle w:val="SingleTxtG"/>
        <w:numPr>
          <w:ilvl w:val="0"/>
          <w:numId w:val="24"/>
        </w:numPr>
        <w:ind w:left="1134" w:firstLine="0"/>
      </w:pPr>
      <w:r w:rsidRPr="00B6681B">
        <w:t xml:space="preserve">In addition to </w:t>
      </w:r>
      <w:r w:rsidR="00B01E69" w:rsidRPr="00B6681B">
        <w:t xml:space="preserve">receiving information on </w:t>
      </w:r>
      <w:r w:rsidRPr="00B6681B">
        <w:t>the disarm</w:t>
      </w:r>
      <w:r w:rsidR="00B01E69" w:rsidRPr="00B6681B">
        <w:t>ament</w:t>
      </w:r>
      <w:r w:rsidRPr="00B6681B">
        <w:t xml:space="preserve"> and demobili</w:t>
      </w:r>
      <w:r w:rsidR="00D61831" w:rsidRPr="00B6681B">
        <w:t>z</w:t>
      </w:r>
      <w:r w:rsidR="00B01E69" w:rsidRPr="00B6681B">
        <w:t>ation</w:t>
      </w:r>
      <w:r w:rsidRPr="00B6681B">
        <w:t xml:space="preserve"> </w:t>
      </w:r>
      <w:r w:rsidR="00B01E69" w:rsidRPr="00B6681B">
        <w:t>aspects of</w:t>
      </w:r>
      <w:r w:rsidRPr="00B6681B">
        <w:t xml:space="preserve"> the </w:t>
      </w:r>
      <w:r w:rsidR="00C6564C" w:rsidRPr="00B6681B">
        <w:t>Authority on Disarmament, Demobilization and Reintegration</w:t>
      </w:r>
      <w:r w:rsidR="00B01E69" w:rsidRPr="00B6681B">
        <w:t xml:space="preserve"> </w:t>
      </w:r>
      <w:r w:rsidR="008B3CAC" w:rsidRPr="00B6681B">
        <w:t>pro</w:t>
      </w:r>
      <w:r w:rsidR="008B3CAC">
        <w:t>gramme</w:t>
      </w:r>
      <w:r w:rsidRPr="00B6681B">
        <w:t xml:space="preserve">, the Working Group received information concerning problems </w:t>
      </w:r>
      <w:r w:rsidR="00DE3DC7" w:rsidRPr="00B6681B">
        <w:t xml:space="preserve">regarding </w:t>
      </w:r>
      <w:r w:rsidR="00B01E69" w:rsidRPr="00B6681B">
        <w:t xml:space="preserve">its </w:t>
      </w:r>
      <w:r w:rsidR="00DE3DC7" w:rsidRPr="00B6681B">
        <w:t xml:space="preserve">resocialization </w:t>
      </w:r>
      <w:r w:rsidRPr="00B6681B">
        <w:t>and reinsertion aspects.</w:t>
      </w:r>
      <w:r w:rsidR="007474E8" w:rsidRPr="00B6681B">
        <w:t xml:space="preserve"> </w:t>
      </w:r>
      <w:r w:rsidRPr="00B6681B">
        <w:t>Many former combatants were not able to participate in the programme and receive the benefits that it had to offer</w:t>
      </w:r>
      <w:r w:rsidR="00DE3DC7" w:rsidRPr="00B6681B">
        <w:t>,</w:t>
      </w:r>
      <w:r w:rsidRPr="00B6681B">
        <w:t xml:space="preserve"> such as medical and financial assistance </w:t>
      </w:r>
      <w:r w:rsidR="00DE3DC7" w:rsidRPr="00B6681B">
        <w:t xml:space="preserve">and </w:t>
      </w:r>
      <w:r w:rsidRPr="00B6681B">
        <w:t>training to facilitate reintegration into the regular work force.</w:t>
      </w:r>
      <w:r w:rsidR="007474E8" w:rsidRPr="00B6681B">
        <w:t xml:space="preserve"> </w:t>
      </w:r>
      <w:r w:rsidRPr="00B6681B">
        <w:t xml:space="preserve">The </w:t>
      </w:r>
      <w:r w:rsidR="00B01E69" w:rsidRPr="00B6681B">
        <w:t xml:space="preserve">Working Group </w:t>
      </w:r>
      <w:r w:rsidRPr="00B6681B">
        <w:t xml:space="preserve">was informed that those who </w:t>
      </w:r>
      <w:r w:rsidR="0081773D" w:rsidRPr="00B6681B">
        <w:t xml:space="preserve">had </w:t>
      </w:r>
      <w:r w:rsidRPr="00B6681B">
        <w:t>benefited from the programme were former combatants affiliated with the current regime. As</w:t>
      </w:r>
      <w:r w:rsidR="00B01E69" w:rsidRPr="00B6681B">
        <w:t xml:space="preserve"> participation in</w:t>
      </w:r>
      <w:r w:rsidRPr="00B6681B">
        <w:t xml:space="preserve"> the </w:t>
      </w:r>
      <w:r w:rsidR="00C6564C" w:rsidRPr="00B6681B">
        <w:t>programme is voluntary</w:t>
      </w:r>
      <w:r w:rsidRPr="00B6681B">
        <w:t xml:space="preserve">, </w:t>
      </w:r>
      <w:r w:rsidR="00B01E69" w:rsidRPr="00B6681B">
        <w:rPr>
          <w:i/>
        </w:rPr>
        <w:t>c</w:t>
      </w:r>
      <w:r w:rsidRPr="00B6681B">
        <w:rPr>
          <w:i/>
        </w:rPr>
        <w:t xml:space="preserve">omzones </w:t>
      </w:r>
      <w:r w:rsidRPr="00B6681B">
        <w:t>were reported to be responsible for providing names of individuals who could go into the programme. These names</w:t>
      </w:r>
      <w:r w:rsidR="00DE3DC7" w:rsidRPr="00B6681B">
        <w:t>,</w:t>
      </w:r>
      <w:r w:rsidRPr="00B6681B">
        <w:t xml:space="preserve"> </w:t>
      </w:r>
      <w:r w:rsidR="00DE3DC7" w:rsidRPr="00B6681B">
        <w:t xml:space="preserve">which </w:t>
      </w:r>
      <w:r w:rsidRPr="00B6681B">
        <w:t xml:space="preserve">were given to the </w:t>
      </w:r>
      <w:r w:rsidR="00C6564C" w:rsidRPr="00B6681B">
        <w:t>Authority</w:t>
      </w:r>
      <w:r w:rsidR="00DE3DC7" w:rsidRPr="00B6681B">
        <w:t>,</w:t>
      </w:r>
      <w:r w:rsidRPr="00B6681B">
        <w:t xml:space="preserve"> reportedly </w:t>
      </w:r>
      <w:r w:rsidR="00B01E69" w:rsidRPr="00B6681B">
        <w:t>belonged to</w:t>
      </w:r>
      <w:r w:rsidRPr="00B6681B">
        <w:t xml:space="preserve"> relatives or persons who were not former combatants. This process gave </w:t>
      </w:r>
      <w:r w:rsidR="00B01E69" w:rsidRPr="00B6681B">
        <w:rPr>
          <w:i/>
        </w:rPr>
        <w:t>c</w:t>
      </w:r>
      <w:r w:rsidRPr="00B6681B">
        <w:rPr>
          <w:i/>
        </w:rPr>
        <w:t>omzones</w:t>
      </w:r>
      <w:r w:rsidRPr="00B6681B">
        <w:t xml:space="preserve"> particular authority to select those who would be proposed for reintegration.</w:t>
      </w:r>
      <w:r w:rsidR="007474E8" w:rsidRPr="00B6681B">
        <w:t xml:space="preserve"> </w:t>
      </w:r>
      <w:r w:rsidR="008B3CAC" w:rsidRPr="00CC196D">
        <w:t>The programme is scheduled to end in June 2015.</w:t>
      </w:r>
    </w:p>
    <w:p w:rsidR="006B455C" w:rsidRPr="00B6681B" w:rsidRDefault="006B455C" w:rsidP="000E16A8">
      <w:pPr>
        <w:pStyle w:val="SingleTxtG"/>
        <w:numPr>
          <w:ilvl w:val="0"/>
          <w:numId w:val="24"/>
        </w:numPr>
        <w:ind w:left="1134" w:firstLine="0"/>
      </w:pPr>
      <w:r w:rsidRPr="00B6681B">
        <w:t xml:space="preserve">The claim that the </w:t>
      </w:r>
      <w:r w:rsidR="00C6564C" w:rsidRPr="00B6681B">
        <w:t>disarmament, demobilization and reintegration</w:t>
      </w:r>
      <w:r w:rsidRPr="00B6681B">
        <w:t xml:space="preserve"> programme was not impartial</w:t>
      </w:r>
      <w:r w:rsidR="007474E8" w:rsidRPr="00B6681B">
        <w:t xml:space="preserve"> </w:t>
      </w:r>
      <w:r w:rsidRPr="00B6681B">
        <w:t>was refuted by the authorities</w:t>
      </w:r>
      <w:r w:rsidR="00DE3DC7" w:rsidRPr="00B6681B">
        <w:t>,</w:t>
      </w:r>
      <w:r w:rsidRPr="00B6681B">
        <w:t xml:space="preserve"> </w:t>
      </w:r>
      <w:r w:rsidR="00B01E69" w:rsidRPr="00B6681B">
        <w:t xml:space="preserve">which </w:t>
      </w:r>
      <w:r w:rsidRPr="00B6681B">
        <w:t xml:space="preserve">pointed </w:t>
      </w:r>
      <w:r w:rsidR="00DE3DC7" w:rsidRPr="00B6681B">
        <w:t xml:space="preserve">to </w:t>
      </w:r>
      <w:r w:rsidRPr="00B6681B">
        <w:t xml:space="preserve">a lack of resources and employment opportunities as the reason for the inability to reintegrate the large number of former combatants and that political affiliation was not considered when selecting candidates for the programme. </w:t>
      </w:r>
      <w:r w:rsidR="00DE3DC7" w:rsidRPr="00B6681B">
        <w:t xml:space="preserve">Of more than </w:t>
      </w:r>
      <w:r w:rsidRPr="00B6681B">
        <w:t xml:space="preserve">60,000 former combatants, 7,000 were reported to have gone through the </w:t>
      </w:r>
      <w:r w:rsidR="00C6564C" w:rsidRPr="00B6681B">
        <w:t>disarmament, demobilization and reintegration</w:t>
      </w:r>
      <w:r w:rsidRPr="00B6681B">
        <w:t xml:space="preserve"> process.</w:t>
      </w:r>
      <w:r w:rsidR="007474E8" w:rsidRPr="00B6681B">
        <w:t xml:space="preserve"> </w:t>
      </w:r>
      <w:r w:rsidRPr="00B6681B">
        <w:t xml:space="preserve">The Working Group stressed the importance of ensuring that the process is transparent and impartial. </w:t>
      </w:r>
    </w:p>
    <w:p w:rsidR="006B455C" w:rsidRPr="00B6681B" w:rsidRDefault="0088700E" w:rsidP="0088700E">
      <w:pPr>
        <w:pStyle w:val="H23G"/>
      </w:pPr>
      <w:r w:rsidRPr="00B6681B">
        <w:tab/>
        <w:t>9</w:t>
      </w:r>
      <w:r w:rsidR="006B455C" w:rsidRPr="00B6681B">
        <w:t>.</w:t>
      </w:r>
      <w:r w:rsidRPr="00B6681B">
        <w:tab/>
      </w:r>
      <w:r w:rsidR="006B455C" w:rsidRPr="00B6681B">
        <w:t xml:space="preserve">Reprisals </w:t>
      </w:r>
    </w:p>
    <w:p w:rsidR="006B455C" w:rsidRPr="00B6681B" w:rsidRDefault="006B455C" w:rsidP="000E16A8">
      <w:pPr>
        <w:pStyle w:val="SingleTxtG"/>
        <w:numPr>
          <w:ilvl w:val="0"/>
          <w:numId w:val="24"/>
        </w:numPr>
        <w:ind w:left="1134" w:firstLine="0"/>
      </w:pPr>
      <w:r w:rsidRPr="00B6681B">
        <w:t>In addition to</w:t>
      </w:r>
      <w:r w:rsidR="00B01E69" w:rsidRPr="00B6681B">
        <w:t xml:space="preserve"> being concerned about</w:t>
      </w:r>
      <w:r w:rsidRPr="00B6681B">
        <w:t xml:space="preserve"> impunity and lack of effective justice for victims, the Working Group is concerned </w:t>
      </w:r>
      <w:r w:rsidR="00B01E69" w:rsidRPr="00B6681B">
        <w:t xml:space="preserve">about </w:t>
      </w:r>
      <w:r w:rsidRPr="00B6681B">
        <w:t>reports that representatives of civil society organi</w:t>
      </w:r>
      <w:r w:rsidR="00D61831" w:rsidRPr="00B6681B">
        <w:t>z</w:t>
      </w:r>
      <w:r w:rsidRPr="00B6681B">
        <w:t>ations, including journalists</w:t>
      </w:r>
      <w:r w:rsidR="00F906D3" w:rsidRPr="00B6681B">
        <w:t>,</w:t>
      </w:r>
      <w:r w:rsidRPr="00B6681B">
        <w:t xml:space="preserve"> victims and witnesses to human rights violations during the conflicts, </w:t>
      </w:r>
      <w:r w:rsidR="00B01E69" w:rsidRPr="00B6681B">
        <w:t xml:space="preserve">have </w:t>
      </w:r>
      <w:r w:rsidRPr="00B6681B">
        <w:t>faced reprisals for their roles in addressing the events that took place. Threats and intimidation against civil society representatives who spoke out against the current regime</w:t>
      </w:r>
      <w:r w:rsidR="00B01E69" w:rsidRPr="00B6681B">
        <w:t xml:space="preserve"> were commonplace</w:t>
      </w:r>
      <w:r w:rsidRPr="00B6681B">
        <w:t xml:space="preserve">. </w:t>
      </w:r>
      <w:r w:rsidR="00B01E69" w:rsidRPr="00B6681B">
        <w:t>The enjoyment of c</w:t>
      </w:r>
      <w:r w:rsidRPr="00B6681B">
        <w:t>ertain freedoms</w:t>
      </w:r>
      <w:r w:rsidR="00B01E69" w:rsidRPr="00B6681B">
        <w:t>, including of</w:t>
      </w:r>
      <w:r w:rsidRPr="00B6681B">
        <w:t xml:space="preserve"> expression</w:t>
      </w:r>
      <w:r w:rsidR="00F906D3" w:rsidRPr="00B6681B">
        <w:t>,</w:t>
      </w:r>
      <w:r w:rsidRPr="00B6681B">
        <w:t xml:space="preserve"> opinion and assembly</w:t>
      </w:r>
      <w:r w:rsidR="00B01E69" w:rsidRPr="00B6681B">
        <w:t>,</w:t>
      </w:r>
      <w:r w:rsidRPr="00B6681B">
        <w:t xml:space="preserve"> ha</w:t>
      </w:r>
      <w:r w:rsidR="00B01E69" w:rsidRPr="00B6681B">
        <w:t>s</w:t>
      </w:r>
      <w:r w:rsidRPr="00B6681B">
        <w:t xml:space="preserve"> been restricted, and opposition parties </w:t>
      </w:r>
      <w:r w:rsidR="00B01E69" w:rsidRPr="00B6681B">
        <w:t>were</w:t>
      </w:r>
      <w:r w:rsidR="00F906D3" w:rsidRPr="00B6681B">
        <w:t xml:space="preserve"> </w:t>
      </w:r>
      <w:r w:rsidRPr="00B6681B">
        <w:t xml:space="preserve">repressed both during Gbagbo’s tenure and by the current regime. </w:t>
      </w:r>
    </w:p>
    <w:p w:rsidR="006B455C" w:rsidRPr="00B6681B" w:rsidRDefault="006B455C" w:rsidP="000E16A8">
      <w:pPr>
        <w:pStyle w:val="SingleTxtG"/>
        <w:numPr>
          <w:ilvl w:val="0"/>
          <w:numId w:val="24"/>
        </w:numPr>
        <w:ind w:left="1134" w:firstLine="0"/>
      </w:pPr>
      <w:r w:rsidRPr="00B6681B">
        <w:t xml:space="preserve">The Working Group noted that reprisals made victims and civil society members reluctant to cooperate with the justice and human rights mechanisms dealing with the past conflicts. </w:t>
      </w:r>
    </w:p>
    <w:p w:rsidR="006B455C" w:rsidRPr="00B6681B" w:rsidRDefault="006B455C" w:rsidP="000E16A8">
      <w:pPr>
        <w:pStyle w:val="SingleTxtG"/>
        <w:numPr>
          <w:ilvl w:val="0"/>
          <w:numId w:val="24"/>
        </w:numPr>
        <w:ind w:left="1134" w:firstLine="0"/>
      </w:pPr>
      <w:r w:rsidRPr="00B6681B">
        <w:t xml:space="preserve">On a positive note, the Working Group was informed of a bill on the protection of human rights defenders </w:t>
      </w:r>
      <w:r w:rsidR="0081773D" w:rsidRPr="00B6681B">
        <w:t xml:space="preserve">that </w:t>
      </w:r>
      <w:r w:rsidRPr="00B6681B">
        <w:t xml:space="preserve">was adopted by the Council of Ministers. The Working Group looks forward to </w:t>
      </w:r>
      <w:r w:rsidR="00F906D3" w:rsidRPr="00B6681B">
        <w:t xml:space="preserve">its </w:t>
      </w:r>
      <w:r w:rsidRPr="00B6681B">
        <w:t xml:space="preserve">passage as a welcome and necessary initiative </w:t>
      </w:r>
      <w:r w:rsidR="00F906D3" w:rsidRPr="00B6681B">
        <w:t xml:space="preserve">for </w:t>
      </w:r>
      <w:r w:rsidRPr="00B6681B">
        <w:t xml:space="preserve">ensuring legal protection for human rights defenders. </w:t>
      </w:r>
    </w:p>
    <w:p w:rsidR="006B455C" w:rsidRPr="00B6681B" w:rsidRDefault="0088700E" w:rsidP="0088700E">
      <w:pPr>
        <w:pStyle w:val="H1G"/>
      </w:pPr>
      <w:r w:rsidRPr="00B6681B">
        <w:tab/>
      </w:r>
      <w:r w:rsidR="006B455C" w:rsidRPr="00B6681B">
        <w:t>VI</w:t>
      </w:r>
      <w:r w:rsidR="00804CC0" w:rsidRPr="00B6681B">
        <w:t>I</w:t>
      </w:r>
      <w:r w:rsidR="007766E4" w:rsidRPr="00B6681B">
        <w:t>.</w:t>
      </w:r>
      <w:r w:rsidRPr="00B6681B">
        <w:tab/>
      </w:r>
      <w:r w:rsidR="006B455C" w:rsidRPr="00B6681B">
        <w:t xml:space="preserve">Private security companies </w:t>
      </w:r>
    </w:p>
    <w:p w:rsidR="006B455C" w:rsidRPr="00B6681B" w:rsidRDefault="006B455C" w:rsidP="000E16A8">
      <w:pPr>
        <w:pStyle w:val="SingleTxtG"/>
        <w:numPr>
          <w:ilvl w:val="0"/>
          <w:numId w:val="24"/>
        </w:numPr>
        <w:ind w:left="1134" w:firstLine="0"/>
      </w:pPr>
      <w:r w:rsidRPr="00B6681B">
        <w:t xml:space="preserve">In accordance with its mandate, the Working Group looked into the situation of private and military security companies operating in </w:t>
      </w:r>
      <w:r w:rsidR="00842139" w:rsidRPr="00B6681B">
        <w:t>Côte</w:t>
      </w:r>
      <w:r w:rsidRPr="00B6681B">
        <w:t xml:space="preserve"> d’Ivoire. It took note of the fact that </w:t>
      </w:r>
      <w:r w:rsidR="008607DA" w:rsidRPr="00B6681B">
        <w:t xml:space="preserve">most </w:t>
      </w:r>
      <w:r w:rsidRPr="00B6681B">
        <w:t>security operations in the country were</w:t>
      </w:r>
      <w:r w:rsidR="00E84F3F" w:rsidRPr="00B6681B">
        <w:t xml:space="preserve"> </w:t>
      </w:r>
      <w:r w:rsidR="008607DA" w:rsidRPr="00B6681B">
        <w:t xml:space="preserve">led by </w:t>
      </w:r>
      <w:r w:rsidR="00E84F3F" w:rsidRPr="00B6681B">
        <w:t>domestic</w:t>
      </w:r>
      <w:r w:rsidRPr="00B6681B">
        <w:t xml:space="preserve"> private security companies.</w:t>
      </w:r>
    </w:p>
    <w:p w:rsidR="006B455C" w:rsidRPr="00B6681B" w:rsidRDefault="006B455C" w:rsidP="000E16A8">
      <w:pPr>
        <w:pStyle w:val="SingleTxtG"/>
        <w:numPr>
          <w:ilvl w:val="0"/>
          <w:numId w:val="24"/>
        </w:numPr>
        <w:ind w:left="1134" w:firstLine="0"/>
      </w:pPr>
      <w:r w:rsidRPr="00B6681B">
        <w:t xml:space="preserve">Decree 2005-73 regulates private security and guard companies in the country and grants oversight powers and responsibility to the Ministry of </w:t>
      </w:r>
      <w:r w:rsidR="00D45BF4" w:rsidRPr="00B6681B">
        <w:t xml:space="preserve">the </w:t>
      </w:r>
      <w:r w:rsidRPr="00B6681B">
        <w:t xml:space="preserve">Interior through the </w:t>
      </w:r>
      <w:r w:rsidR="00B01E69" w:rsidRPr="00B6681B">
        <w:t xml:space="preserve">Directorate </w:t>
      </w:r>
      <w:r w:rsidR="0007327C" w:rsidRPr="000E16A8">
        <w:t>of Territorial</w:t>
      </w:r>
      <w:r w:rsidR="00B01E69" w:rsidRPr="00B6681B">
        <w:t xml:space="preserve"> Surveillance,</w:t>
      </w:r>
      <w:r w:rsidRPr="00B6681B">
        <w:t xml:space="preserve"> along with support from the Ministry of Defence, </w:t>
      </w:r>
      <w:r w:rsidR="0081773D" w:rsidRPr="00B6681B">
        <w:t xml:space="preserve">the </w:t>
      </w:r>
      <w:r w:rsidRPr="00B6681B">
        <w:t xml:space="preserve">Ministry of Economy and Finance </w:t>
      </w:r>
      <w:r w:rsidR="0081773D" w:rsidRPr="00B6681B">
        <w:t>and</w:t>
      </w:r>
      <w:r w:rsidR="00B01E69" w:rsidRPr="00B6681B">
        <w:t xml:space="preserve"> </w:t>
      </w:r>
      <w:r w:rsidRPr="00B6681B">
        <w:t xml:space="preserve">the national police. The Decree prohibits </w:t>
      </w:r>
      <w:r w:rsidR="00EF701C" w:rsidRPr="00B6681B">
        <w:t xml:space="preserve">private security </w:t>
      </w:r>
      <w:r w:rsidRPr="00B6681B">
        <w:t>personnel</w:t>
      </w:r>
      <w:r w:rsidR="00D45BF4" w:rsidRPr="00B6681B">
        <w:t xml:space="preserve"> from performing certain activities,</w:t>
      </w:r>
      <w:r w:rsidRPr="00B6681B">
        <w:t xml:space="preserve"> such as involvement in labour conflicts or related activities, </w:t>
      </w:r>
      <w:r w:rsidR="00D45BF4" w:rsidRPr="00B6681B">
        <w:t xml:space="preserve">or </w:t>
      </w:r>
      <w:r w:rsidRPr="00B6681B">
        <w:t xml:space="preserve">undertaking functions that overlap with the </w:t>
      </w:r>
      <w:r w:rsidR="00D45BF4" w:rsidRPr="00B6681B">
        <w:t xml:space="preserve">roles of the </w:t>
      </w:r>
      <w:r w:rsidRPr="00B6681B">
        <w:t xml:space="preserve">police </w:t>
      </w:r>
      <w:r w:rsidR="00D45BF4" w:rsidRPr="00B6681B">
        <w:t xml:space="preserve">or </w:t>
      </w:r>
      <w:r w:rsidRPr="00B6681B">
        <w:t>military</w:t>
      </w:r>
      <w:r w:rsidR="00D45BF4" w:rsidRPr="00B6681B">
        <w:t>,</w:t>
      </w:r>
      <w:r w:rsidRPr="00B6681B">
        <w:t xml:space="preserve"> such as arresting and detaining persons and carrying and </w:t>
      </w:r>
      <w:r w:rsidR="00D45BF4" w:rsidRPr="00B6681B">
        <w:t xml:space="preserve">using </w:t>
      </w:r>
      <w:r w:rsidRPr="00B6681B">
        <w:t>firearms</w:t>
      </w:r>
      <w:r w:rsidR="00D45BF4" w:rsidRPr="00B6681B">
        <w:t>,</w:t>
      </w:r>
      <w:r w:rsidRPr="00B6681B">
        <w:t xml:space="preserve"> unless permitted by the relevant government Ministry. </w:t>
      </w:r>
      <w:r w:rsidR="00D45BF4" w:rsidRPr="00B6681B">
        <w:t xml:space="preserve">However, the </w:t>
      </w:r>
      <w:r w:rsidR="00AF57CB" w:rsidRPr="00B6681B">
        <w:t>D</w:t>
      </w:r>
      <w:r w:rsidR="00D45BF4" w:rsidRPr="00B6681B">
        <w:t xml:space="preserve">ecree does not mention </w:t>
      </w:r>
      <w:r w:rsidRPr="00B6681B">
        <w:t xml:space="preserve">the export and import of services </w:t>
      </w:r>
      <w:r w:rsidR="00D45BF4" w:rsidRPr="00B6681B">
        <w:t xml:space="preserve">or their </w:t>
      </w:r>
      <w:r w:rsidRPr="00B6681B">
        <w:t xml:space="preserve">extraterritorial application. </w:t>
      </w:r>
    </w:p>
    <w:p w:rsidR="006B455C" w:rsidRPr="00B6681B" w:rsidRDefault="006B455C" w:rsidP="000E16A8">
      <w:pPr>
        <w:pStyle w:val="SingleTxtG"/>
        <w:numPr>
          <w:ilvl w:val="0"/>
          <w:numId w:val="24"/>
        </w:numPr>
        <w:ind w:left="1134" w:firstLine="0"/>
      </w:pPr>
      <w:r w:rsidRPr="00B6681B">
        <w:t xml:space="preserve">The Decree does not require a robust vetting process for </w:t>
      </w:r>
      <w:r w:rsidR="00EF701C" w:rsidRPr="00B6681B">
        <w:t>private security companies</w:t>
      </w:r>
      <w:r w:rsidR="00D45BF4" w:rsidRPr="00B6681B">
        <w:t>,</w:t>
      </w:r>
      <w:r w:rsidRPr="00B6681B">
        <w:t xml:space="preserve"> although inspections are carried out by the relevant </w:t>
      </w:r>
      <w:r w:rsidR="00C301BB" w:rsidRPr="00B6681B">
        <w:t>g</w:t>
      </w:r>
      <w:r w:rsidRPr="00B6681B">
        <w:t xml:space="preserve">overnment authority. There is no particular requirement </w:t>
      </w:r>
      <w:r w:rsidR="00900F9F" w:rsidRPr="00B6681B">
        <w:t xml:space="preserve">for there to be </w:t>
      </w:r>
      <w:r w:rsidRPr="00B6681B">
        <w:t xml:space="preserve">a robust vetting process to ensure that </w:t>
      </w:r>
      <w:r w:rsidR="00EF701C" w:rsidRPr="00B6681B">
        <w:t xml:space="preserve">private security </w:t>
      </w:r>
      <w:r w:rsidRPr="00B6681B">
        <w:t>personnel have not been involved in past human rights violations</w:t>
      </w:r>
      <w:r w:rsidR="00900F9F" w:rsidRPr="00B6681B">
        <w:t>,</w:t>
      </w:r>
      <w:r w:rsidRPr="00B6681B">
        <w:t xml:space="preserve"> nor is there any requirement to establish mechanisms of redress for victims in the event </w:t>
      </w:r>
      <w:r w:rsidR="00900F9F" w:rsidRPr="00B6681B">
        <w:t xml:space="preserve">that </w:t>
      </w:r>
      <w:r w:rsidRPr="00B6681B">
        <w:t xml:space="preserve">violations do occur. </w:t>
      </w:r>
    </w:p>
    <w:p w:rsidR="006B455C" w:rsidRPr="00B6681B" w:rsidRDefault="006B455C" w:rsidP="000E16A8">
      <w:pPr>
        <w:pStyle w:val="SingleTxtG"/>
        <w:numPr>
          <w:ilvl w:val="0"/>
          <w:numId w:val="24"/>
        </w:numPr>
        <w:ind w:left="1134" w:firstLine="0"/>
      </w:pPr>
      <w:r w:rsidRPr="00B6681B">
        <w:t xml:space="preserve">Despite </w:t>
      </w:r>
      <w:r w:rsidR="00900F9F" w:rsidRPr="00B6681B">
        <w:t xml:space="preserve">there being </w:t>
      </w:r>
      <w:r w:rsidRPr="00B6681B">
        <w:t xml:space="preserve">regulations on </w:t>
      </w:r>
      <w:r w:rsidR="00EF701C" w:rsidRPr="00B6681B">
        <w:t xml:space="preserve">private security companies </w:t>
      </w:r>
      <w:r w:rsidRPr="00B6681B">
        <w:t xml:space="preserve">since 2005, the Working Group found a number of discrepancies </w:t>
      </w:r>
      <w:r w:rsidR="00AF57CB" w:rsidRPr="00B6681B">
        <w:t xml:space="preserve">in </w:t>
      </w:r>
      <w:r w:rsidRPr="00B6681B">
        <w:t xml:space="preserve">how operations were actually carried out. The Working Group was informed of the various roles of </w:t>
      </w:r>
      <w:r w:rsidR="00EF701C" w:rsidRPr="00B6681B">
        <w:t xml:space="preserve">such companies </w:t>
      </w:r>
      <w:r w:rsidRPr="00B6681B">
        <w:t>before the post-election crisis. In the lead</w:t>
      </w:r>
      <w:r w:rsidR="00AF57CB" w:rsidRPr="00B6681B">
        <w:t>-</w:t>
      </w:r>
      <w:r w:rsidRPr="00B6681B">
        <w:t xml:space="preserve">up to the crisis, a number of </w:t>
      </w:r>
      <w:r w:rsidR="00EF701C" w:rsidRPr="00B6681B">
        <w:t>private security</w:t>
      </w:r>
      <w:r w:rsidRPr="00B6681B">
        <w:t xml:space="preserve"> personnel became active in the political problems that triggered the violent clashes. They took sides in the conflict and some became combatants, motivated by both political allegiance and financial gain. The delegation was informed that some </w:t>
      </w:r>
      <w:r w:rsidR="00EF701C" w:rsidRPr="00B6681B">
        <w:t xml:space="preserve">private security </w:t>
      </w:r>
      <w:r w:rsidRPr="00B6681B">
        <w:t>personnel</w:t>
      </w:r>
      <w:r w:rsidR="00EF701C" w:rsidRPr="00B6681B">
        <w:t xml:space="preserve"> or </w:t>
      </w:r>
      <w:r w:rsidRPr="00B6681B">
        <w:t>combatants were currently participating in the disarmament and demobili</w:t>
      </w:r>
      <w:r w:rsidR="00D61831" w:rsidRPr="00B6681B">
        <w:t>z</w:t>
      </w:r>
      <w:r w:rsidRPr="00B6681B">
        <w:t>ation programme.</w:t>
      </w:r>
      <w:r w:rsidR="007474E8" w:rsidRPr="00B6681B">
        <w:t xml:space="preserve"> </w:t>
      </w:r>
      <w:r w:rsidRPr="00B6681B">
        <w:t xml:space="preserve">During the conflict, some </w:t>
      </w:r>
      <w:r w:rsidR="00EF701C" w:rsidRPr="00B6681B">
        <w:t xml:space="preserve">private security companies </w:t>
      </w:r>
      <w:r w:rsidRPr="00B6681B">
        <w:t xml:space="preserve">became influential </w:t>
      </w:r>
      <w:r w:rsidR="00114190" w:rsidRPr="00B6681B">
        <w:t xml:space="preserve">owing </w:t>
      </w:r>
      <w:r w:rsidRPr="00B6681B">
        <w:t>to their ties to the former regime. One company reportedly took up surveillance operations for Gbagbo’s side and another reportedly transported mercenaries throughout the country.</w:t>
      </w:r>
    </w:p>
    <w:p w:rsidR="006B455C" w:rsidRPr="00B6681B" w:rsidRDefault="006B455C" w:rsidP="000E16A8">
      <w:pPr>
        <w:pStyle w:val="SingleTxtG"/>
        <w:numPr>
          <w:ilvl w:val="0"/>
          <w:numId w:val="24"/>
        </w:numPr>
        <w:ind w:left="1134" w:firstLine="0"/>
      </w:pPr>
      <w:r w:rsidRPr="00B6681B">
        <w:t>The Working Group observed that</w:t>
      </w:r>
      <w:r w:rsidR="00114190" w:rsidRPr="00B6681B">
        <w:t>,</w:t>
      </w:r>
      <w:r w:rsidRPr="00B6681B">
        <w:t xml:space="preserve"> after the past armed conflicts, </w:t>
      </w:r>
      <w:r w:rsidR="00752AB4" w:rsidRPr="00B6681B">
        <w:t xml:space="preserve">there was </w:t>
      </w:r>
      <w:r w:rsidRPr="00B6681B">
        <w:t xml:space="preserve">a proliferation of </w:t>
      </w:r>
      <w:r w:rsidR="00EF701C" w:rsidRPr="00B6681B">
        <w:t xml:space="preserve">private security companies </w:t>
      </w:r>
      <w:r w:rsidRPr="00B6681B">
        <w:t xml:space="preserve">in the country. It was </w:t>
      </w:r>
      <w:r w:rsidR="00AF57CB" w:rsidRPr="00B6681B">
        <w:t>informed</w:t>
      </w:r>
      <w:r w:rsidR="00114190" w:rsidRPr="00B6681B">
        <w:t xml:space="preserve"> </w:t>
      </w:r>
      <w:r w:rsidRPr="00B6681B">
        <w:t xml:space="preserve">that between 600 </w:t>
      </w:r>
      <w:r w:rsidR="00114190" w:rsidRPr="00B6681B">
        <w:t xml:space="preserve">and </w:t>
      </w:r>
      <w:r w:rsidRPr="00B6681B">
        <w:t>900 companies exist</w:t>
      </w:r>
      <w:r w:rsidR="00AF57CB" w:rsidRPr="00B6681B">
        <w:t>ed</w:t>
      </w:r>
      <w:r w:rsidRPr="00B6681B">
        <w:t xml:space="preserve">, most of which </w:t>
      </w:r>
      <w:r w:rsidR="00AF57CB" w:rsidRPr="00B6681B">
        <w:t xml:space="preserve">were </w:t>
      </w:r>
      <w:r w:rsidRPr="00B6681B">
        <w:t xml:space="preserve">operating in the interior part of the country, outside of Abidjan. The Ministry of </w:t>
      </w:r>
      <w:r w:rsidR="00114190" w:rsidRPr="00B6681B">
        <w:t xml:space="preserve">the </w:t>
      </w:r>
      <w:r w:rsidRPr="00B6681B">
        <w:t xml:space="preserve">Interior </w:t>
      </w:r>
      <w:r w:rsidR="009E4372" w:rsidRPr="00B6681B">
        <w:t xml:space="preserve">gave the Working Group </w:t>
      </w:r>
      <w:r w:rsidRPr="00B6681B">
        <w:t>a list of licensed companies</w:t>
      </w:r>
      <w:r w:rsidR="009E4372" w:rsidRPr="00B6681B">
        <w:t>,</w:t>
      </w:r>
      <w:r w:rsidRPr="00B6681B">
        <w:t xml:space="preserve"> which showed </w:t>
      </w:r>
      <w:r w:rsidR="00AF57CB" w:rsidRPr="00B6681B">
        <w:t xml:space="preserve">that </w:t>
      </w:r>
      <w:r w:rsidRPr="00B6681B">
        <w:t xml:space="preserve">only 64 </w:t>
      </w:r>
      <w:r w:rsidR="00EF701C" w:rsidRPr="00B6681B">
        <w:t xml:space="preserve">such companies </w:t>
      </w:r>
      <w:r w:rsidRPr="00B6681B">
        <w:t>had received licen</w:t>
      </w:r>
      <w:r w:rsidR="00AF57CB" w:rsidRPr="00B6681B">
        <w:t>c</w:t>
      </w:r>
      <w:r w:rsidRPr="00B6681B">
        <w:t xml:space="preserve">es (as </w:t>
      </w:r>
      <w:r w:rsidR="009E4372" w:rsidRPr="00B6681B">
        <w:t xml:space="preserve">at </w:t>
      </w:r>
      <w:r w:rsidRPr="00B6681B">
        <w:t>October 2014).</w:t>
      </w:r>
      <w:r w:rsidR="007474E8" w:rsidRPr="00B6681B">
        <w:t xml:space="preserve"> </w:t>
      </w:r>
      <w:r w:rsidRPr="00B6681B">
        <w:t xml:space="preserve">The delegation was informed of the ease with which an individual </w:t>
      </w:r>
      <w:r w:rsidR="00AF57CB" w:rsidRPr="00B6681B">
        <w:t xml:space="preserve">could </w:t>
      </w:r>
      <w:r w:rsidRPr="00B6681B">
        <w:t>start and operat</w:t>
      </w:r>
      <w:r w:rsidR="00AF57CB" w:rsidRPr="00B6681B">
        <w:t>e a company</w:t>
      </w:r>
      <w:r w:rsidRPr="00B6681B">
        <w:t xml:space="preserve"> without a licen</w:t>
      </w:r>
      <w:r w:rsidR="00AF57CB" w:rsidRPr="00B6681B">
        <w:t>c</w:t>
      </w:r>
      <w:r w:rsidRPr="00B6681B">
        <w:t xml:space="preserve">e. Some </w:t>
      </w:r>
      <w:r w:rsidR="00EF701C" w:rsidRPr="00B6681B">
        <w:t>companies</w:t>
      </w:r>
      <w:r w:rsidRPr="00B6681B">
        <w:t xml:space="preserve"> even began their operations and then later sought to obtain a licen</w:t>
      </w:r>
      <w:r w:rsidR="00AF57CB" w:rsidRPr="00B6681B">
        <w:t>c</w:t>
      </w:r>
      <w:r w:rsidRPr="00B6681B">
        <w:t>e.</w:t>
      </w:r>
      <w:r w:rsidR="007474E8" w:rsidRPr="00B6681B">
        <w:t xml:space="preserve"> </w:t>
      </w:r>
      <w:r w:rsidR="009E4372" w:rsidRPr="00B6681B">
        <w:t>Licen</w:t>
      </w:r>
      <w:r w:rsidR="00AF57CB" w:rsidRPr="00B6681B">
        <w:t>c</w:t>
      </w:r>
      <w:r w:rsidR="009E4372" w:rsidRPr="00B6681B">
        <w:t xml:space="preserve">es were often rejected </w:t>
      </w:r>
      <w:r w:rsidRPr="00B6681B">
        <w:t>when the required criteria were not met. However</w:t>
      </w:r>
      <w:r w:rsidR="009E4372" w:rsidRPr="00B6681B">
        <w:t>,</w:t>
      </w:r>
      <w:r w:rsidRPr="00B6681B">
        <w:t xml:space="preserve"> the Working Group was informed that</w:t>
      </w:r>
      <w:r w:rsidR="009E4372" w:rsidRPr="00B6681B">
        <w:t>,</w:t>
      </w:r>
      <w:r w:rsidRPr="00B6681B">
        <w:t xml:space="preserve"> often</w:t>
      </w:r>
      <w:r w:rsidR="009E4372" w:rsidRPr="00B6681B">
        <w:t>,</w:t>
      </w:r>
      <w:r w:rsidRPr="00B6681B">
        <w:t xml:space="preserve"> the decision to grant a licen</w:t>
      </w:r>
      <w:r w:rsidR="00AF57CB" w:rsidRPr="00B6681B">
        <w:t>c</w:t>
      </w:r>
      <w:r w:rsidRPr="00B6681B">
        <w:t>e was not transparent and rested merely on the discretion of the licensing commissioner. Normally, a group of five or six commissioners made decisions on the issuance of licen</w:t>
      </w:r>
      <w:r w:rsidR="00AF57CB" w:rsidRPr="00B6681B">
        <w:t>c</w:t>
      </w:r>
      <w:r w:rsidRPr="00B6681B">
        <w:t>es. Having a licen</w:t>
      </w:r>
      <w:r w:rsidR="00AF57CB" w:rsidRPr="00B6681B">
        <w:t>c</w:t>
      </w:r>
      <w:r w:rsidRPr="00B6681B">
        <w:t xml:space="preserve">e </w:t>
      </w:r>
      <w:r w:rsidR="0081773D" w:rsidRPr="00B6681B">
        <w:t xml:space="preserve">did </w:t>
      </w:r>
      <w:proofErr w:type="gramStart"/>
      <w:r w:rsidRPr="00B6681B">
        <w:t>not</w:t>
      </w:r>
      <w:r w:rsidR="00AF57CB" w:rsidRPr="00B6681B">
        <w:t>,</w:t>
      </w:r>
      <w:proofErr w:type="gramEnd"/>
      <w:r w:rsidR="00AF57CB" w:rsidRPr="00B6681B">
        <w:t xml:space="preserve"> however,</w:t>
      </w:r>
      <w:r w:rsidRPr="00B6681B">
        <w:t xml:space="preserve"> guarantee that the </w:t>
      </w:r>
      <w:r w:rsidR="00AF57CB" w:rsidRPr="00B6681B">
        <w:t>company was being run</w:t>
      </w:r>
      <w:r w:rsidRPr="00B6681B">
        <w:t xml:space="preserve"> in accordance with the law.</w:t>
      </w:r>
    </w:p>
    <w:p w:rsidR="006B455C" w:rsidRPr="00B6681B" w:rsidRDefault="00EF701C" w:rsidP="000E16A8">
      <w:pPr>
        <w:pStyle w:val="SingleTxtG"/>
        <w:numPr>
          <w:ilvl w:val="0"/>
          <w:numId w:val="24"/>
        </w:numPr>
        <w:ind w:left="1134" w:firstLine="0"/>
      </w:pPr>
      <w:r w:rsidRPr="00B6681B">
        <w:t xml:space="preserve">Private security personnel </w:t>
      </w:r>
      <w:r w:rsidR="006B455C" w:rsidRPr="00B6681B">
        <w:t xml:space="preserve">were often recruited on the </w:t>
      </w:r>
      <w:r w:rsidRPr="00B6681B">
        <w:t xml:space="preserve">basis of the </w:t>
      </w:r>
      <w:r w:rsidR="006B455C" w:rsidRPr="00B6681B">
        <w:t>company’s needs and did not need to undergo any formal training.</w:t>
      </w:r>
      <w:r w:rsidR="00AF57CB" w:rsidRPr="00B6681B">
        <w:t xml:space="preserve"> P</w:t>
      </w:r>
      <w:r w:rsidR="006B455C" w:rsidRPr="00B6681B">
        <w:t xml:space="preserve">ersonnel </w:t>
      </w:r>
      <w:r w:rsidR="00AF57CB" w:rsidRPr="00B6681B">
        <w:t>were often</w:t>
      </w:r>
      <w:r w:rsidR="006B455C" w:rsidRPr="00B6681B">
        <w:t xml:space="preserve"> friends, relatives or persons in need of employment. Some form of training did take place </w:t>
      </w:r>
      <w:r w:rsidR="00AF57CB" w:rsidRPr="00B6681B">
        <w:t xml:space="preserve">in </w:t>
      </w:r>
      <w:r w:rsidR="006B455C" w:rsidRPr="00B6681B">
        <w:t>bigger operations</w:t>
      </w:r>
      <w:r w:rsidR="0061544D" w:rsidRPr="00B6681B">
        <w:t>,</w:t>
      </w:r>
      <w:r w:rsidR="006B455C" w:rsidRPr="00B6681B">
        <w:t xml:space="preserve"> although </w:t>
      </w:r>
      <w:r w:rsidR="00AF57CB" w:rsidRPr="00B6681B">
        <w:t>it was provided</w:t>
      </w:r>
      <w:r w:rsidR="006B455C" w:rsidRPr="00B6681B">
        <w:t xml:space="preserve"> haphazard</w:t>
      </w:r>
      <w:r w:rsidR="00AF57CB" w:rsidRPr="00B6681B">
        <w:t>ly</w:t>
      </w:r>
      <w:r w:rsidR="006B455C" w:rsidRPr="00B6681B">
        <w:t xml:space="preserve"> and did not emphasi</w:t>
      </w:r>
      <w:r w:rsidR="00AF57CB" w:rsidRPr="00B6681B">
        <w:t>ze</w:t>
      </w:r>
      <w:r w:rsidR="006B455C" w:rsidRPr="00B6681B">
        <w:t xml:space="preserve"> human rights standards. The Working Group did</w:t>
      </w:r>
      <w:r w:rsidR="0061544D" w:rsidRPr="00B6681B">
        <w:t>,</w:t>
      </w:r>
      <w:r w:rsidR="006B455C" w:rsidRPr="00B6681B">
        <w:t xml:space="preserve"> however</w:t>
      </w:r>
      <w:r w:rsidR="0061544D" w:rsidRPr="00B6681B">
        <w:t>,</w:t>
      </w:r>
      <w:r w:rsidR="006B455C" w:rsidRPr="00B6681B">
        <w:t xml:space="preserve"> receive information that an estimated 10 </w:t>
      </w:r>
      <w:r w:rsidRPr="00B6681B">
        <w:t xml:space="preserve">private security companies </w:t>
      </w:r>
      <w:r w:rsidR="006B455C" w:rsidRPr="00B6681B">
        <w:t>had good and sound structure</w:t>
      </w:r>
      <w:r w:rsidR="0061544D" w:rsidRPr="00B6681B">
        <w:t>s</w:t>
      </w:r>
      <w:r w:rsidR="006B455C" w:rsidRPr="00B6681B">
        <w:t xml:space="preserve"> in terms of what was required by law. </w:t>
      </w:r>
    </w:p>
    <w:p w:rsidR="006B455C" w:rsidRPr="00B6681B" w:rsidRDefault="0081773D" w:rsidP="000E16A8">
      <w:pPr>
        <w:pStyle w:val="SingleTxtG"/>
        <w:numPr>
          <w:ilvl w:val="0"/>
          <w:numId w:val="24"/>
        </w:numPr>
        <w:ind w:left="1134" w:firstLine="0"/>
      </w:pPr>
      <w:r w:rsidRPr="00B6681B">
        <w:t xml:space="preserve">The </w:t>
      </w:r>
      <w:r w:rsidR="006B455C" w:rsidRPr="00B6681B">
        <w:t xml:space="preserve">Working Group heard </w:t>
      </w:r>
      <w:r w:rsidRPr="00B6681B">
        <w:t xml:space="preserve">of a number of challenges </w:t>
      </w:r>
      <w:r w:rsidR="006B455C" w:rsidRPr="00B6681B">
        <w:t xml:space="preserve">related to the licensing procedure and regime. There were reports of corruption, particularly bribery of government staff who worked in the licensing department and whose assistance was needed </w:t>
      </w:r>
      <w:r w:rsidR="00AF57CB" w:rsidRPr="00B6681B">
        <w:t>to</w:t>
      </w:r>
      <w:r w:rsidR="006B455C" w:rsidRPr="00B6681B">
        <w:t xml:space="preserve"> process licen</w:t>
      </w:r>
      <w:r w:rsidR="00AF57CB" w:rsidRPr="00B6681B">
        <w:t>c</w:t>
      </w:r>
      <w:r w:rsidR="006B455C" w:rsidRPr="00B6681B">
        <w:t xml:space="preserve">e requests. The Working Group consistently heard that the </w:t>
      </w:r>
      <w:r w:rsidR="00EF701C" w:rsidRPr="00B6681B">
        <w:t>private security</w:t>
      </w:r>
      <w:r w:rsidR="006B455C" w:rsidRPr="00B6681B">
        <w:t xml:space="preserve"> industry </w:t>
      </w:r>
      <w:r w:rsidR="00AF57CB" w:rsidRPr="00B6681B">
        <w:t xml:space="preserve">had expanded considerably </w:t>
      </w:r>
      <w:proofErr w:type="gramStart"/>
      <w:r w:rsidR="00AF57CB" w:rsidRPr="00B6681B">
        <w:t xml:space="preserve">because </w:t>
      </w:r>
      <w:r w:rsidR="006B455C" w:rsidRPr="00B6681B">
        <w:t xml:space="preserve"> it</w:t>
      </w:r>
      <w:proofErr w:type="gramEnd"/>
      <w:r w:rsidR="00AF57CB" w:rsidRPr="00B6681B">
        <w:t xml:space="preserve"> was</w:t>
      </w:r>
      <w:r w:rsidR="006B455C" w:rsidRPr="00B6681B">
        <w:t xml:space="preserve"> lucrative, raising concerns that</w:t>
      </w:r>
      <w:r w:rsidRPr="00B6681B">
        <w:t>,</w:t>
      </w:r>
      <w:r w:rsidR="006B455C" w:rsidRPr="00B6681B">
        <w:t xml:space="preserve"> with profit as the main objective and without proper licensing and vetting mechanisms, human rights violations could be committed with impunity.</w:t>
      </w:r>
      <w:r w:rsidR="007474E8" w:rsidRPr="00B6681B">
        <w:t xml:space="preserve"> </w:t>
      </w:r>
      <w:r w:rsidR="006B455C" w:rsidRPr="00B6681B">
        <w:t>Th</w:t>
      </w:r>
      <w:r w:rsidR="00AF57CB" w:rsidRPr="00B6681B">
        <w:t>e situation</w:t>
      </w:r>
      <w:r w:rsidR="006B455C" w:rsidRPr="00B6681B">
        <w:t xml:space="preserve"> was </w:t>
      </w:r>
      <w:r w:rsidR="00AF57CB" w:rsidRPr="00B6681B">
        <w:t xml:space="preserve">viewed as </w:t>
      </w:r>
      <w:r w:rsidR="006B455C" w:rsidRPr="00B6681B">
        <w:t xml:space="preserve">particularly serious given that </w:t>
      </w:r>
      <w:r w:rsidR="00AF57CB" w:rsidRPr="00B6681B">
        <w:t xml:space="preserve">the </w:t>
      </w:r>
      <w:r w:rsidR="006B455C" w:rsidRPr="00B6681B">
        <w:t xml:space="preserve">allegation that </w:t>
      </w:r>
      <w:r w:rsidR="00EF701C" w:rsidRPr="00B6681B">
        <w:t>private security company</w:t>
      </w:r>
      <w:r w:rsidR="006B455C" w:rsidRPr="00B6681B">
        <w:t xml:space="preserve"> personnel were armed and could easily have access to heavy-duty weapons such as Kalashnikov rifles. </w:t>
      </w:r>
    </w:p>
    <w:p w:rsidR="006B455C" w:rsidRPr="00B6681B" w:rsidRDefault="006B455C" w:rsidP="000E16A8">
      <w:pPr>
        <w:pStyle w:val="SingleTxtG"/>
        <w:numPr>
          <w:ilvl w:val="0"/>
          <w:numId w:val="24"/>
        </w:numPr>
        <w:ind w:left="1134" w:firstLine="0"/>
      </w:pPr>
      <w:r w:rsidRPr="00B6681B">
        <w:t xml:space="preserve">The Working Group received information that that </w:t>
      </w:r>
      <w:r w:rsidR="0081773D" w:rsidRPr="00B6681B">
        <w:t xml:space="preserve">the </w:t>
      </w:r>
      <w:r w:rsidRPr="00B6681B">
        <w:t xml:space="preserve">authority figures responsible for the licensing and oversight of the industry were themselves owners of </w:t>
      </w:r>
      <w:r w:rsidR="00EF701C" w:rsidRPr="00B6681B">
        <w:t>private security</w:t>
      </w:r>
      <w:r w:rsidRPr="00B6681B">
        <w:t xml:space="preserve"> operations</w:t>
      </w:r>
      <w:r w:rsidR="00F64049" w:rsidRPr="00B6681B">
        <w:t>,</w:t>
      </w:r>
      <w:r w:rsidRPr="00B6681B">
        <w:t xml:space="preserve"> </w:t>
      </w:r>
      <w:r w:rsidR="00F64049" w:rsidRPr="00B6681B">
        <w:t xml:space="preserve">thus </w:t>
      </w:r>
      <w:r w:rsidRPr="00B6681B">
        <w:t xml:space="preserve">raising issues of conflict of interest and the need to have a more transparent system to regulate the industry. </w:t>
      </w:r>
    </w:p>
    <w:p w:rsidR="006B455C" w:rsidRPr="00B6681B" w:rsidRDefault="006B455C" w:rsidP="000E16A8">
      <w:pPr>
        <w:pStyle w:val="SingleTxtG"/>
        <w:numPr>
          <w:ilvl w:val="0"/>
          <w:numId w:val="24"/>
        </w:numPr>
        <w:ind w:left="1134" w:firstLine="0"/>
      </w:pPr>
      <w:r w:rsidRPr="00B6681B">
        <w:t xml:space="preserve">The Working Group was concerned to hear that many former combatants </w:t>
      </w:r>
      <w:r w:rsidR="003B1F99" w:rsidRPr="00B6681B">
        <w:t xml:space="preserve">had been </w:t>
      </w:r>
      <w:r w:rsidRPr="00B6681B">
        <w:t xml:space="preserve">recruited into </w:t>
      </w:r>
      <w:r w:rsidR="00EF701C" w:rsidRPr="00B6681B">
        <w:t>private security</w:t>
      </w:r>
      <w:r w:rsidRPr="00B6681B">
        <w:t xml:space="preserve"> operations and had access to weapons and arms in the course of their duties. It was also common to find </w:t>
      </w:r>
      <w:r w:rsidR="00EF701C" w:rsidRPr="00B6681B">
        <w:t>private security</w:t>
      </w:r>
      <w:r w:rsidRPr="00B6681B">
        <w:t xml:space="preserve"> personnel carrying out activities normally performed by the gendarmerie or the police</w:t>
      </w:r>
      <w:r w:rsidR="003B1F99" w:rsidRPr="00B6681B">
        <w:t>,</w:t>
      </w:r>
      <w:r w:rsidRPr="00B6681B">
        <w:t xml:space="preserve"> such as the arrest of individuals. Some </w:t>
      </w:r>
      <w:r w:rsidR="00EF701C" w:rsidRPr="00B6681B">
        <w:t>private security</w:t>
      </w:r>
      <w:r w:rsidRPr="00B6681B">
        <w:t xml:space="preserve"> operators stated that relying on law enforcement </w:t>
      </w:r>
      <w:r w:rsidR="0081773D" w:rsidRPr="00B6681B">
        <w:t xml:space="preserve">was </w:t>
      </w:r>
      <w:r w:rsidRPr="00B6681B">
        <w:t xml:space="preserve">often complicated given the lack of resources or even the lack of will to deal with crimes committed by </w:t>
      </w:r>
      <w:r w:rsidR="00EF701C" w:rsidRPr="00B6681B">
        <w:t>private security companies</w:t>
      </w:r>
      <w:r w:rsidRPr="00B6681B">
        <w:t>. This meant that it was easier to take matters into one’s own hands and track down burglars to recover stolen items</w:t>
      </w:r>
      <w:r w:rsidR="003B1F99" w:rsidRPr="00B6681B">
        <w:t>,</w:t>
      </w:r>
      <w:r w:rsidRPr="00B6681B">
        <w:t xml:space="preserve"> for instance. One operator </w:t>
      </w:r>
      <w:r w:rsidR="003B1F99" w:rsidRPr="00B6681B">
        <w:t xml:space="preserve">reported </w:t>
      </w:r>
      <w:r w:rsidRPr="00B6681B">
        <w:t xml:space="preserve">that he </w:t>
      </w:r>
      <w:r w:rsidR="00581636" w:rsidRPr="00B6681B">
        <w:t xml:space="preserve">had </w:t>
      </w:r>
      <w:r w:rsidRPr="00B6681B">
        <w:t>recovered stolen goods and money from a thief in the presence of gendarmerie officials</w:t>
      </w:r>
      <w:r w:rsidR="00581636" w:rsidRPr="00B6681B">
        <w:t>,</w:t>
      </w:r>
      <w:r w:rsidRPr="00B6681B">
        <w:t xml:space="preserve"> who were watching close by. </w:t>
      </w:r>
      <w:r w:rsidR="00EA4B5E" w:rsidRPr="00B6681B">
        <w:t>P</w:t>
      </w:r>
      <w:r w:rsidRPr="00B6681B">
        <w:t xml:space="preserve">olice officers were also said to operate as “freelancers”, running their own </w:t>
      </w:r>
      <w:r w:rsidR="00EF701C" w:rsidRPr="00B6681B">
        <w:t>private security</w:t>
      </w:r>
      <w:r w:rsidRPr="00B6681B">
        <w:t xml:space="preserve"> operations in addition to </w:t>
      </w:r>
      <w:r w:rsidR="00581636" w:rsidRPr="00B6681B">
        <w:t xml:space="preserve">performing </w:t>
      </w:r>
      <w:r w:rsidRPr="00B6681B">
        <w:t>their official functions.</w:t>
      </w:r>
      <w:r w:rsidR="00FE60A6" w:rsidRPr="00B6681B">
        <w:t xml:space="preserve"> The conflation of functions between law enforcement actors and </w:t>
      </w:r>
      <w:r w:rsidR="00EF701C" w:rsidRPr="00B6681B">
        <w:t>private security</w:t>
      </w:r>
      <w:r w:rsidR="00FE60A6" w:rsidRPr="00B6681B">
        <w:t xml:space="preserve"> operators is a serious concern as it contravenes the law and is indicative of the lack of control and oversight over the </w:t>
      </w:r>
      <w:r w:rsidR="00EF701C" w:rsidRPr="00B6681B">
        <w:t>private security</w:t>
      </w:r>
      <w:r w:rsidR="00FE60A6" w:rsidRPr="00B6681B">
        <w:t xml:space="preserve"> industry. In </w:t>
      </w:r>
      <w:r w:rsidR="0039544B" w:rsidRPr="00B6681B">
        <w:t>this context</w:t>
      </w:r>
      <w:r w:rsidR="00FE60A6" w:rsidRPr="00B6681B">
        <w:t xml:space="preserve">, where there is a blurring of lines between the </w:t>
      </w:r>
      <w:r w:rsidR="00EF701C" w:rsidRPr="00B6681B">
        <w:t>private security</w:t>
      </w:r>
      <w:r w:rsidR="00FE60A6" w:rsidRPr="00B6681B">
        <w:t xml:space="preserve"> operator and the law enforcement officer, illicit activities and human rights violations </w:t>
      </w:r>
      <w:r w:rsidR="0039544B" w:rsidRPr="00B6681B">
        <w:t>can occur</w:t>
      </w:r>
      <w:r w:rsidR="00FE60A6" w:rsidRPr="00B6681B">
        <w:t xml:space="preserve"> with impunity.</w:t>
      </w:r>
      <w:r w:rsidR="007474E8" w:rsidRPr="00B6681B">
        <w:t xml:space="preserve"> </w:t>
      </w:r>
    </w:p>
    <w:p w:rsidR="006B455C" w:rsidRPr="00B6681B" w:rsidRDefault="006B455C" w:rsidP="000E16A8">
      <w:pPr>
        <w:pStyle w:val="SingleTxtG"/>
        <w:numPr>
          <w:ilvl w:val="0"/>
          <w:numId w:val="24"/>
        </w:numPr>
        <w:ind w:left="1134" w:firstLine="0"/>
      </w:pPr>
      <w:r w:rsidRPr="00B6681B">
        <w:t>The Working Group</w:t>
      </w:r>
      <w:r w:rsidR="00581636" w:rsidRPr="00B6681B">
        <w:t>,</w:t>
      </w:r>
      <w:r w:rsidRPr="00B6681B">
        <w:t xml:space="preserve"> in its dialogue with </w:t>
      </w:r>
      <w:r w:rsidR="00581636" w:rsidRPr="00B6681B">
        <w:t>g</w:t>
      </w:r>
      <w:r w:rsidRPr="00B6681B">
        <w:t>overnment authorities</w:t>
      </w:r>
      <w:r w:rsidR="00581636" w:rsidRPr="00B6681B">
        <w:t>,</w:t>
      </w:r>
      <w:r w:rsidRPr="00B6681B">
        <w:t xml:space="preserve"> raised the need to strengthen the oversight regime </w:t>
      </w:r>
      <w:r w:rsidR="00337127" w:rsidRPr="00B6681B">
        <w:t>for private security companies</w:t>
      </w:r>
      <w:r w:rsidRPr="00B6681B">
        <w:t xml:space="preserve">, including </w:t>
      </w:r>
      <w:proofErr w:type="gramStart"/>
      <w:r w:rsidR="00337127" w:rsidRPr="00B6681B">
        <w:t>to ensure</w:t>
      </w:r>
      <w:proofErr w:type="gramEnd"/>
      <w:r w:rsidR="00337127" w:rsidRPr="00B6681B">
        <w:t xml:space="preserve"> that </w:t>
      </w:r>
      <w:r w:rsidRPr="00B6681B">
        <w:t xml:space="preserve">licensing is carried out in an effective and transparent manner with due consideration given to human rights and business and labour standards. Non-compliance </w:t>
      </w:r>
      <w:r w:rsidR="00337127" w:rsidRPr="00B6681B">
        <w:t xml:space="preserve">with </w:t>
      </w:r>
      <w:r w:rsidRPr="00B6681B">
        <w:t>these rules can encourage criminal activities as well as human rights violations</w:t>
      </w:r>
      <w:r w:rsidR="00337127" w:rsidRPr="00B6681B">
        <w:t>,</w:t>
      </w:r>
      <w:r w:rsidRPr="00B6681B">
        <w:t xml:space="preserve"> as </w:t>
      </w:r>
      <w:r w:rsidR="00337127" w:rsidRPr="00B6681B">
        <w:t xml:space="preserve">witnessed </w:t>
      </w:r>
      <w:r w:rsidRPr="00B6681B">
        <w:t xml:space="preserve">during the past conflicts. </w:t>
      </w:r>
      <w:r w:rsidR="004823C4" w:rsidRPr="00B6681B">
        <w:t xml:space="preserve">A </w:t>
      </w:r>
      <w:r w:rsidRPr="00B6681B">
        <w:t xml:space="preserve">system of accountability and remedies for victims of human rights violations or offences committed by </w:t>
      </w:r>
      <w:r w:rsidR="00EF701C" w:rsidRPr="00B6681B">
        <w:t>private security</w:t>
      </w:r>
      <w:r w:rsidRPr="00B6681B">
        <w:t xml:space="preserve"> personnel is fundamental and need</w:t>
      </w:r>
      <w:r w:rsidR="004823C4" w:rsidRPr="00B6681B">
        <w:t>s</w:t>
      </w:r>
      <w:r w:rsidRPr="00B6681B">
        <w:t xml:space="preserve"> to be incorporated into law as well as practice.</w:t>
      </w:r>
      <w:r w:rsidR="007474E8" w:rsidRPr="00B6681B">
        <w:t xml:space="preserve"> </w:t>
      </w:r>
      <w:r w:rsidRPr="00B6681B">
        <w:t>Effective inspections and control</w:t>
      </w:r>
      <w:r w:rsidR="0081773D" w:rsidRPr="00B6681B">
        <w:t>s</w:t>
      </w:r>
      <w:r w:rsidRPr="00B6681B">
        <w:t xml:space="preserve"> need to be exercised over </w:t>
      </w:r>
      <w:r w:rsidR="004823C4" w:rsidRPr="00B6681B">
        <w:t xml:space="preserve">the </w:t>
      </w:r>
      <w:r w:rsidRPr="00B6681B">
        <w:t xml:space="preserve">illegal carrying of arms by </w:t>
      </w:r>
      <w:r w:rsidR="00EF701C" w:rsidRPr="00B6681B">
        <w:t>private security</w:t>
      </w:r>
      <w:r w:rsidRPr="00B6681B">
        <w:t xml:space="preserve"> personnel as this would further diffuse the security concerns associated with these operations.</w:t>
      </w:r>
      <w:r w:rsidR="007474E8" w:rsidRPr="00B6681B">
        <w:t xml:space="preserve"> </w:t>
      </w:r>
    </w:p>
    <w:p w:rsidR="006B455C" w:rsidRPr="00B6681B" w:rsidRDefault="006B455C" w:rsidP="000E16A8">
      <w:pPr>
        <w:pStyle w:val="SingleTxtG"/>
        <w:numPr>
          <w:ilvl w:val="0"/>
          <w:numId w:val="24"/>
        </w:numPr>
        <w:ind w:left="1134" w:firstLine="0"/>
      </w:pPr>
      <w:r w:rsidRPr="00B6681B">
        <w:t>The Working Group emphasi</w:t>
      </w:r>
      <w:r w:rsidR="00D61831" w:rsidRPr="00B6681B">
        <w:t>z</w:t>
      </w:r>
      <w:r w:rsidRPr="00B6681B">
        <w:t>es that</w:t>
      </w:r>
      <w:r w:rsidR="004823C4" w:rsidRPr="00B6681B">
        <w:t>,</w:t>
      </w:r>
      <w:r w:rsidRPr="00B6681B">
        <w:t xml:space="preserve"> given the violent past that Côte d’Ivoire has experienced</w:t>
      </w:r>
      <w:r w:rsidR="00EA4B5E" w:rsidRPr="00B6681B">
        <w:t xml:space="preserve"> and</w:t>
      </w:r>
      <w:r w:rsidRPr="00B6681B">
        <w:t xml:space="preserve"> the prevailing culture of impunity for human rights violations, it is fundamental to curb the illegal operations of </w:t>
      </w:r>
      <w:r w:rsidR="00EF701C" w:rsidRPr="00B6681B">
        <w:t>private security companies</w:t>
      </w:r>
      <w:r w:rsidRPr="00B6681B">
        <w:t xml:space="preserve">, particularly as their access to arms can continue to pose threats of further violence. </w:t>
      </w:r>
    </w:p>
    <w:bookmarkEnd w:id="1"/>
    <w:p w:rsidR="00122FD5" w:rsidRPr="00B6681B" w:rsidRDefault="00370019" w:rsidP="00370019">
      <w:pPr>
        <w:pStyle w:val="HChG"/>
        <w:rPr>
          <w:lang w:val="en-US"/>
        </w:rPr>
      </w:pPr>
      <w:r w:rsidRPr="00B6681B">
        <w:rPr>
          <w:lang w:val="en-US"/>
        </w:rPr>
        <w:tab/>
      </w:r>
      <w:r w:rsidR="0088700E" w:rsidRPr="00B6681B">
        <w:rPr>
          <w:lang w:val="en-US"/>
        </w:rPr>
        <w:t>VII</w:t>
      </w:r>
      <w:r w:rsidR="00804CC0" w:rsidRPr="00B6681B">
        <w:rPr>
          <w:lang w:val="en-US"/>
        </w:rPr>
        <w:t>I</w:t>
      </w:r>
      <w:r w:rsidR="00122FD5" w:rsidRPr="00B6681B">
        <w:rPr>
          <w:lang w:val="en-US"/>
        </w:rPr>
        <w:t>.</w:t>
      </w:r>
      <w:r w:rsidR="00122FD5" w:rsidRPr="00B6681B">
        <w:rPr>
          <w:lang w:val="en-US"/>
        </w:rPr>
        <w:tab/>
        <w:t xml:space="preserve">Conclusion and </w:t>
      </w:r>
      <w:r w:rsidRPr="00B6681B">
        <w:rPr>
          <w:lang w:val="en-US"/>
        </w:rPr>
        <w:t>r</w:t>
      </w:r>
      <w:r w:rsidR="00122FD5" w:rsidRPr="00B6681B">
        <w:rPr>
          <w:lang w:val="en-US"/>
        </w:rPr>
        <w:t>ecommendations</w:t>
      </w:r>
    </w:p>
    <w:p w:rsidR="0088700E" w:rsidRPr="00B6681B" w:rsidRDefault="0088700E" w:rsidP="000E16A8">
      <w:pPr>
        <w:pStyle w:val="SingleTxtG"/>
        <w:numPr>
          <w:ilvl w:val="0"/>
          <w:numId w:val="24"/>
        </w:numPr>
        <w:ind w:left="1134" w:firstLine="0"/>
        <w:rPr>
          <w:b/>
        </w:rPr>
      </w:pPr>
      <w:r w:rsidRPr="00B6681B">
        <w:rPr>
          <w:b/>
        </w:rPr>
        <w:t>The Working Group reiterates its appreciation to the Government of Côte d’Ivoire for extending the invitation to visit the country in order to discharge the functions mandated by the Human Rights Council. The visit</w:t>
      </w:r>
      <w:r w:rsidR="001A5A2F" w:rsidRPr="00B6681B">
        <w:rPr>
          <w:b/>
        </w:rPr>
        <w:t>ing</w:t>
      </w:r>
      <w:r w:rsidRPr="00B6681B">
        <w:rPr>
          <w:b/>
        </w:rPr>
        <w:t xml:space="preserve"> delegation benefited from the Ivorian authorities’ </w:t>
      </w:r>
      <w:r w:rsidR="00B65C88" w:rsidRPr="00B6681B">
        <w:rPr>
          <w:b/>
        </w:rPr>
        <w:t xml:space="preserve">cooperation </w:t>
      </w:r>
      <w:r w:rsidRPr="00B6681B">
        <w:rPr>
          <w:b/>
        </w:rPr>
        <w:t xml:space="preserve">and willingness to </w:t>
      </w:r>
      <w:r w:rsidR="00EA4B5E" w:rsidRPr="00B6681B">
        <w:rPr>
          <w:b/>
        </w:rPr>
        <w:t xml:space="preserve">engage in </w:t>
      </w:r>
      <w:r w:rsidRPr="00B6681B">
        <w:rPr>
          <w:b/>
        </w:rPr>
        <w:t xml:space="preserve">dialogue and discuss the country’s difficult past. </w:t>
      </w:r>
    </w:p>
    <w:p w:rsidR="0088700E" w:rsidRPr="00B6681B" w:rsidRDefault="0088700E" w:rsidP="000E16A8">
      <w:pPr>
        <w:pStyle w:val="SingleTxtG"/>
        <w:numPr>
          <w:ilvl w:val="0"/>
          <w:numId w:val="24"/>
        </w:numPr>
        <w:ind w:left="1134" w:firstLine="0"/>
        <w:rPr>
          <w:b/>
        </w:rPr>
      </w:pPr>
      <w:r w:rsidRPr="00B6681B">
        <w:rPr>
          <w:b/>
        </w:rPr>
        <w:t xml:space="preserve">The Working Group takes note of the many efforts and </w:t>
      </w:r>
      <w:r w:rsidR="00EA4B5E" w:rsidRPr="00B6681B">
        <w:rPr>
          <w:b/>
        </w:rPr>
        <w:t xml:space="preserve">the </w:t>
      </w:r>
      <w:r w:rsidRPr="00B6681B">
        <w:rPr>
          <w:b/>
        </w:rPr>
        <w:t xml:space="preserve">progress that have been made to move the country forward </w:t>
      </w:r>
      <w:r w:rsidR="00EA4B5E" w:rsidRPr="00B6681B">
        <w:rPr>
          <w:b/>
        </w:rPr>
        <w:t xml:space="preserve">in a </w:t>
      </w:r>
      <w:r w:rsidRPr="00B6681B">
        <w:rPr>
          <w:b/>
        </w:rPr>
        <w:t xml:space="preserve">difficult and challenging post-conflict situation. It commends the Government and its partners such as UNOCI for the initiatives they have undertaken to rebuild the nation and advance the reconciliation process. </w:t>
      </w:r>
    </w:p>
    <w:p w:rsidR="0088700E" w:rsidRPr="00B6681B" w:rsidRDefault="0088700E" w:rsidP="000E16A8">
      <w:pPr>
        <w:pStyle w:val="SingleTxtG"/>
        <w:numPr>
          <w:ilvl w:val="0"/>
          <w:numId w:val="24"/>
        </w:numPr>
        <w:ind w:left="1134" w:firstLine="0"/>
        <w:rPr>
          <w:b/>
        </w:rPr>
      </w:pPr>
      <w:r w:rsidRPr="00B6681B">
        <w:rPr>
          <w:b/>
        </w:rPr>
        <w:t xml:space="preserve">The establishment of mechanisms to enhance reconciliation and investigate the past conflicts are fundamental to healing the wounds of </w:t>
      </w:r>
      <w:r w:rsidR="00EA4B5E" w:rsidRPr="00B6681B">
        <w:rPr>
          <w:b/>
        </w:rPr>
        <w:t>the</w:t>
      </w:r>
      <w:r w:rsidRPr="00B6681B">
        <w:rPr>
          <w:b/>
        </w:rPr>
        <w:t xml:space="preserve"> nation’s past. The efforts </w:t>
      </w:r>
      <w:r w:rsidR="00EA4B5E" w:rsidRPr="00B6681B">
        <w:rPr>
          <w:b/>
        </w:rPr>
        <w:t xml:space="preserve">made </w:t>
      </w:r>
      <w:r w:rsidRPr="00B6681B">
        <w:rPr>
          <w:b/>
        </w:rPr>
        <w:t>to ratify human rights treaties and to harmoni</w:t>
      </w:r>
      <w:r w:rsidR="00D61831" w:rsidRPr="00B6681B">
        <w:rPr>
          <w:b/>
        </w:rPr>
        <w:t>z</w:t>
      </w:r>
      <w:r w:rsidRPr="00B6681B">
        <w:rPr>
          <w:b/>
        </w:rPr>
        <w:t xml:space="preserve">e national legislation </w:t>
      </w:r>
      <w:r w:rsidR="00EA4B5E" w:rsidRPr="00B6681B">
        <w:rPr>
          <w:b/>
        </w:rPr>
        <w:t>so that it</w:t>
      </w:r>
      <w:r w:rsidRPr="00B6681B">
        <w:rPr>
          <w:b/>
        </w:rPr>
        <w:t xml:space="preserve"> conform</w:t>
      </w:r>
      <w:r w:rsidR="00EA4B5E" w:rsidRPr="00B6681B">
        <w:rPr>
          <w:b/>
        </w:rPr>
        <w:t>s</w:t>
      </w:r>
      <w:r w:rsidRPr="00B6681B">
        <w:rPr>
          <w:b/>
        </w:rPr>
        <w:t xml:space="preserve"> </w:t>
      </w:r>
      <w:proofErr w:type="gramStart"/>
      <w:r w:rsidR="00EA4B5E" w:rsidRPr="00B6681B">
        <w:rPr>
          <w:b/>
        </w:rPr>
        <w:t>with</w:t>
      </w:r>
      <w:proofErr w:type="gramEnd"/>
      <w:r w:rsidRPr="00B6681B">
        <w:rPr>
          <w:b/>
        </w:rPr>
        <w:t xml:space="preserve"> international human rights standards have been important in strengthening the national legal framework to better address the challenges currently faced by Ivorians. </w:t>
      </w:r>
    </w:p>
    <w:p w:rsidR="0088700E" w:rsidRPr="00B6681B" w:rsidRDefault="0088700E" w:rsidP="000E16A8">
      <w:pPr>
        <w:pStyle w:val="SingleTxtG"/>
        <w:numPr>
          <w:ilvl w:val="0"/>
          <w:numId w:val="24"/>
        </w:numPr>
        <w:ind w:left="1134" w:firstLine="0"/>
        <w:rPr>
          <w:b/>
        </w:rPr>
      </w:pPr>
      <w:r w:rsidRPr="00B6681B">
        <w:rPr>
          <w:b/>
        </w:rPr>
        <w:t>Despite the many positive steps taken by the Government, the Working Group raises serious concerns regarding factors that threaten to destabili</w:t>
      </w:r>
      <w:r w:rsidR="00D61831" w:rsidRPr="00B6681B">
        <w:rPr>
          <w:b/>
        </w:rPr>
        <w:t>z</w:t>
      </w:r>
      <w:r w:rsidRPr="00B6681B">
        <w:rPr>
          <w:b/>
        </w:rPr>
        <w:t xml:space="preserve">e the country and reverse the progress that has been made in the </w:t>
      </w:r>
      <w:r w:rsidR="001A5A2F" w:rsidRPr="00B6681B">
        <w:rPr>
          <w:b/>
        </w:rPr>
        <w:t xml:space="preserve">past </w:t>
      </w:r>
      <w:r w:rsidRPr="00B6681B">
        <w:rPr>
          <w:b/>
        </w:rPr>
        <w:t xml:space="preserve">few years. It also notes that mercenarism thrives in conditions where the rule of law is weak, </w:t>
      </w:r>
      <w:r w:rsidR="00FF7F56" w:rsidRPr="00B6681B">
        <w:rPr>
          <w:b/>
        </w:rPr>
        <w:t>S</w:t>
      </w:r>
      <w:r w:rsidRPr="00B6681B">
        <w:rPr>
          <w:b/>
        </w:rPr>
        <w:t xml:space="preserve">tate institutions are fragile and political instability is rife. </w:t>
      </w:r>
    </w:p>
    <w:p w:rsidR="0088700E" w:rsidRPr="00B6681B" w:rsidRDefault="0088700E" w:rsidP="000E16A8">
      <w:pPr>
        <w:pStyle w:val="SingleTxtG"/>
        <w:numPr>
          <w:ilvl w:val="0"/>
          <w:numId w:val="24"/>
        </w:numPr>
        <w:ind w:left="1134" w:firstLine="0"/>
        <w:rPr>
          <w:b/>
        </w:rPr>
      </w:pPr>
      <w:r w:rsidRPr="00B6681B">
        <w:rPr>
          <w:b/>
        </w:rPr>
        <w:t>Factors conducive to national instability in which mercenarism can flourish include the following: the failure to bring to justice perpetrators of human rights violations and the prevalent culture of impunity; the lack of access to effective justice and redress for victims; the discriminat</w:t>
      </w:r>
      <w:r w:rsidR="00EA4B5E" w:rsidRPr="00B6681B">
        <w:rPr>
          <w:b/>
        </w:rPr>
        <w:t>ory</w:t>
      </w:r>
      <w:r w:rsidRPr="00B6681B">
        <w:rPr>
          <w:b/>
        </w:rPr>
        <w:t xml:space="preserve"> and politici</w:t>
      </w:r>
      <w:r w:rsidR="00D61831" w:rsidRPr="00B6681B">
        <w:rPr>
          <w:b/>
        </w:rPr>
        <w:t>z</w:t>
      </w:r>
      <w:r w:rsidRPr="00B6681B">
        <w:rPr>
          <w:b/>
        </w:rPr>
        <w:t>ed manner in which justice has been applied, focusing on perpetrators from the former regime and neglecting to prosecute supporte</w:t>
      </w:r>
      <w:r w:rsidR="00EA4B5E" w:rsidRPr="00B6681B">
        <w:rPr>
          <w:b/>
        </w:rPr>
        <w:t>rs of</w:t>
      </w:r>
      <w:r w:rsidRPr="00B6681B">
        <w:rPr>
          <w:b/>
        </w:rPr>
        <w:t xml:space="preserve"> the current regime; the prevalent political divide in the country; ongoing vicious cycles of violence</w:t>
      </w:r>
      <w:r w:rsidR="001A5A2F" w:rsidRPr="00B6681B">
        <w:rPr>
          <w:b/>
        </w:rPr>
        <w:t>;</w:t>
      </w:r>
      <w:r w:rsidRPr="00B6681B">
        <w:rPr>
          <w:b/>
        </w:rPr>
        <w:t xml:space="preserve"> and the proliferation of arms in the public domain.</w:t>
      </w:r>
      <w:r w:rsidR="007474E8" w:rsidRPr="00B6681B">
        <w:rPr>
          <w:b/>
        </w:rPr>
        <w:t xml:space="preserve"> </w:t>
      </w:r>
    </w:p>
    <w:p w:rsidR="0088700E" w:rsidRPr="00B6681B" w:rsidRDefault="0088700E" w:rsidP="000E16A8">
      <w:pPr>
        <w:pStyle w:val="SingleTxtG"/>
        <w:numPr>
          <w:ilvl w:val="0"/>
          <w:numId w:val="24"/>
        </w:numPr>
        <w:ind w:left="1134" w:firstLine="0"/>
        <w:rPr>
          <w:b/>
        </w:rPr>
      </w:pPr>
      <w:r w:rsidRPr="00B6681B">
        <w:rPr>
          <w:b/>
        </w:rPr>
        <w:t>The Working Group reiterates that</w:t>
      </w:r>
      <w:r w:rsidR="001A5A2F" w:rsidRPr="00B6681B">
        <w:rPr>
          <w:b/>
        </w:rPr>
        <w:t>,</w:t>
      </w:r>
      <w:r w:rsidRPr="00B6681B">
        <w:rPr>
          <w:b/>
        </w:rPr>
        <w:t xml:space="preserve"> without justice for victims, real and lasting reconciliation cannot be achieved. </w:t>
      </w:r>
    </w:p>
    <w:p w:rsidR="0088700E" w:rsidRPr="00B6681B" w:rsidRDefault="0088700E" w:rsidP="000E16A8">
      <w:pPr>
        <w:pStyle w:val="SingleTxtG"/>
        <w:numPr>
          <w:ilvl w:val="0"/>
          <w:numId w:val="24"/>
        </w:numPr>
        <w:ind w:left="1134" w:firstLine="0"/>
        <w:rPr>
          <w:b/>
        </w:rPr>
      </w:pPr>
      <w:r w:rsidRPr="00B6681B">
        <w:rPr>
          <w:b/>
        </w:rPr>
        <w:t xml:space="preserve">In </w:t>
      </w:r>
      <w:r w:rsidR="001A5A2F" w:rsidRPr="00B6681B">
        <w:rPr>
          <w:b/>
        </w:rPr>
        <w:t xml:space="preserve">the </w:t>
      </w:r>
      <w:r w:rsidRPr="00B6681B">
        <w:rPr>
          <w:b/>
        </w:rPr>
        <w:t>light of the foregoing, the Working Group makes the following recommendations to the Government:</w:t>
      </w:r>
    </w:p>
    <w:p w:rsidR="0088700E" w:rsidRPr="00EB51F0" w:rsidRDefault="0018470A" w:rsidP="000E16A8">
      <w:pPr>
        <w:pStyle w:val="SingleTxtG"/>
        <w:spacing w:after="100"/>
        <w:ind w:firstLine="567"/>
        <w:rPr>
          <w:b/>
          <w:bCs/>
        </w:rPr>
      </w:pPr>
      <w:r w:rsidRPr="00EB51F0">
        <w:rPr>
          <w:b/>
        </w:rPr>
        <w:t>(a)</w:t>
      </w:r>
      <w:r w:rsidRPr="00EB51F0">
        <w:rPr>
          <w:b/>
        </w:rPr>
        <w:tab/>
      </w:r>
      <w:r w:rsidR="0088700E" w:rsidRPr="00EB51F0">
        <w:rPr>
          <w:b/>
          <w:bCs/>
        </w:rPr>
        <w:t>Consider developing national legislation to criminali</w:t>
      </w:r>
      <w:r w:rsidR="00D61831" w:rsidRPr="00EB51F0">
        <w:rPr>
          <w:b/>
          <w:bCs/>
        </w:rPr>
        <w:t>z</w:t>
      </w:r>
      <w:r w:rsidR="0088700E" w:rsidRPr="00EB51F0">
        <w:rPr>
          <w:b/>
          <w:bCs/>
        </w:rPr>
        <w:t>e mercenarism and</w:t>
      </w:r>
      <w:r w:rsidR="007766E4" w:rsidRPr="00EB51F0">
        <w:rPr>
          <w:b/>
          <w:bCs/>
        </w:rPr>
        <w:t xml:space="preserve"> </w:t>
      </w:r>
      <w:r w:rsidR="0088700E" w:rsidRPr="00EB51F0">
        <w:rPr>
          <w:b/>
          <w:bCs/>
        </w:rPr>
        <w:t>mercenary</w:t>
      </w:r>
      <w:r w:rsidR="001A5A2F" w:rsidRPr="00EB51F0">
        <w:rPr>
          <w:b/>
          <w:bCs/>
        </w:rPr>
        <w:t>-</w:t>
      </w:r>
      <w:r w:rsidR="0088700E" w:rsidRPr="00EB51F0">
        <w:rPr>
          <w:b/>
          <w:bCs/>
        </w:rPr>
        <w:t>related acts;</w:t>
      </w:r>
    </w:p>
    <w:p w:rsidR="0088700E" w:rsidRPr="00EB51F0" w:rsidRDefault="0018470A" w:rsidP="000E16A8">
      <w:pPr>
        <w:pStyle w:val="SingleTxtG"/>
        <w:spacing w:after="100"/>
        <w:ind w:firstLine="567"/>
        <w:rPr>
          <w:b/>
          <w:bCs/>
        </w:rPr>
      </w:pPr>
      <w:r w:rsidRPr="00EB51F0">
        <w:rPr>
          <w:b/>
        </w:rPr>
        <w:t>(b)</w:t>
      </w:r>
      <w:r w:rsidRPr="00EB51F0">
        <w:rPr>
          <w:b/>
        </w:rPr>
        <w:tab/>
      </w:r>
      <w:r w:rsidR="0088700E" w:rsidRPr="00EB51F0">
        <w:rPr>
          <w:b/>
          <w:bCs/>
        </w:rPr>
        <w:t xml:space="preserve">Ratify the International Convention against the Recruitment, Use, Financing and Training of Mercenaries and the </w:t>
      </w:r>
      <w:r w:rsidR="001A5A2F" w:rsidRPr="00EB51F0">
        <w:rPr>
          <w:b/>
          <w:bCs/>
        </w:rPr>
        <w:t xml:space="preserve">African Union </w:t>
      </w:r>
      <w:r w:rsidR="0088700E" w:rsidRPr="00EB51F0">
        <w:rPr>
          <w:b/>
          <w:bCs/>
        </w:rPr>
        <w:t>Convention for the Elimination of Mercenari</w:t>
      </w:r>
      <w:r w:rsidR="001A5A2F" w:rsidRPr="00EB51F0">
        <w:rPr>
          <w:b/>
          <w:bCs/>
        </w:rPr>
        <w:t>sm</w:t>
      </w:r>
      <w:r w:rsidR="0088700E" w:rsidRPr="00EB51F0">
        <w:rPr>
          <w:b/>
          <w:bCs/>
        </w:rPr>
        <w:t xml:space="preserve"> in A</w:t>
      </w:r>
      <w:r w:rsidR="001A5A2F" w:rsidRPr="00EB51F0">
        <w:rPr>
          <w:b/>
          <w:bCs/>
        </w:rPr>
        <w:t>f</w:t>
      </w:r>
      <w:r w:rsidR="0088700E" w:rsidRPr="00EB51F0">
        <w:rPr>
          <w:b/>
          <w:bCs/>
        </w:rPr>
        <w:t>rica;</w:t>
      </w:r>
    </w:p>
    <w:p w:rsidR="0088700E" w:rsidRPr="00EB51F0" w:rsidRDefault="0018470A" w:rsidP="000E16A8">
      <w:pPr>
        <w:pStyle w:val="SingleTxtG"/>
        <w:spacing w:after="100"/>
        <w:ind w:firstLine="567"/>
        <w:rPr>
          <w:b/>
          <w:bCs/>
        </w:rPr>
      </w:pPr>
      <w:r w:rsidRPr="00EB51F0">
        <w:rPr>
          <w:b/>
        </w:rPr>
        <w:t>(c)</w:t>
      </w:r>
      <w:r w:rsidRPr="00EB51F0">
        <w:rPr>
          <w:b/>
        </w:rPr>
        <w:tab/>
      </w:r>
      <w:r w:rsidR="0088700E" w:rsidRPr="00EB51F0">
        <w:rPr>
          <w:b/>
          <w:bCs/>
        </w:rPr>
        <w:t xml:space="preserve">Strengthen ongoing </w:t>
      </w:r>
      <w:r w:rsidR="00B65C88" w:rsidRPr="00EB51F0">
        <w:rPr>
          <w:b/>
          <w:bCs/>
        </w:rPr>
        <w:t xml:space="preserve">cooperation </w:t>
      </w:r>
      <w:r w:rsidR="0088700E" w:rsidRPr="00EB51F0">
        <w:rPr>
          <w:b/>
          <w:bCs/>
        </w:rPr>
        <w:t>with international and regional mechanisms</w:t>
      </w:r>
      <w:r w:rsidR="00A876C0" w:rsidRPr="00EB51F0">
        <w:rPr>
          <w:b/>
          <w:bCs/>
        </w:rPr>
        <w:t>,</w:t>
      </w:r>
      <w:r w:rsidR="0088700E" w:rsidRPr="00EB51F0">
        <w:rPr>
          <w:b/>
          <w:bCs/>
        </w:rPr>
        <w:t xml:space="preserve"> including ECOWAS, to combat mercenarism and mercenary</w:t>
      </w:r>
      <w:r w:rsidR="00A876C0" w:rsidRPr="00EB51F0">
        <w:rPr>
          <w:b/>
          <w:bCs/>
        </w:rPr>
        <w:t>-</w:t>
      </w:r>
      <w:r w:rsidR="0088700E" w:rsidRPr="00EB51F0">
        <w:rPr>
          <w:b/>
          <w:bCs/>
        </w:rPr>
        <w:t xml:space="preserve">related activities; </w:t>
      </w:r>
    </w:p>
    <w:p w:rsidR="0088700E" w:rsidRPr="00EB51F0" w:rsidRDefault="0018470A" w:rsidP="000E16A8">
      <w:pPr>
        <w:pStyle w:val="SingleTxtG"/>
        <w:spacing w:after="100"/>
        <w:ind w:firstLine="567"/>
        <w:rPr>
          <w:b/>
          <w:bCs/>
        </w:rPr>
      </w:pPr>
      <w:r w:rsidRPr="00EB51F0">
        <w:rPr>
          <w:b/>
        </w:rPr>
        <w:t>(d)</w:t>
      </w:r>
      <w:r w:rsidRPr="00EB51F0">
        <w:rPr>
          <w:b/>
        </w:rPr>
        <w:tab/>
      </w:r>
      <w:r w:rsidR="0088700E" w:rsidRPr="00EB51F0">
        <w:rPr>
          <w:b/>
          <w:bCs/>
        </w:rPr>
        <w:t>Increase efforts with ECOWAS and neighbouring countries to</w:t>
      </w:r>
      <w:r w:rsidR="007474E8" w:rsidRPr="00EB51F0">
        <w:rPr>
          <w:b/>
          <w:bCs/>
        </w:rPr>
        <w:t xml:space="preserve"> </w:t>
      </w:r>
      <w:r w:rsidR="0088700E" w:rsidRPr="00EB51F0">
        <w:rPr>
          <w:b/>
          <w:bCs/>
        </w:rPr>
        <w:t>tighten border control and management;</w:t>
      </w:r>
    </w:p>
    <w:p w:rsidR="0088700E" w:rsidRPr="00EB51F0" w:rsidRDefault="0018470A" w:rsidP="000E16A8">
      <w:pPr>
        <w:pStyle w:val="SingleTxtG"/>
        <w:spacing w:after="100"/>
        <w:ind w:firstLine="567"/>
        <w:rPr>
          <w:b/>
          <w:bCs/>
        </w:rPr>
      </w:pPr>
      <w:r w:rsidRPr="00EB51F0">
        <w:rPr>
          <w:b/>
        </w:rPr>
        <w:t>(e)</w:t>
      </w:r>
      <w:r w:rsidRPr="00EB51F0">
        <w:rPr>
          <w:b/>
        </w:rPr>
        <w:tab/>
      </w:r>
      <w:r w:rsidR="00087932" w:rsidRPr="00EB51F0">
        <w:rPr>
          <w:b/>
          <w:bCs/>
        </w:rPr>
        <w:t xml:space="preserve">Ensure that </w:t>
      </w:r>
      <w:r w:rsidR="0088700E" w:rsidRPr="00EB51F0">
        <w:rPr>
          <w:b/>
          <w:bCs/>
        </w:rPr>
        <w:t>all perpetrators</w:t>
      </w:r>
      <w:r w:rsidR="00A876C0" w:rsidRPr="00EB51F0">
        <w:rPr>
          <w:b/>
          <w:bCs/>
        </w:rPr>
        <w:t>,</w:t>
      </w:r>
      <w:r w:rsidR="0088700E" w:rsidRPr="00EB51F0">
        <w:rPr>
          <w:b/>
          <w:bCs/>
        </w:rPr>
        <w:t xml:space="preserve"> including mercenaries</w:t>
      </w:r>
      <w:r w:rsidR="00A876C0" w:rsidRPr="00EB51F0">
        <w:rPr>
          <w:b/>
          <w:bCs/>
        </w:rPr>
        <w:t>,</w:t>
      </w:r>
      <w:r w:rsidR="0088700E" w:rsidRPr="00EB51F0">
        <w:rPr>
          <w:b/>
          <w:bCs/>
        </w:rPr>
        <w:t xml:space="preserve"> </w:t>
      </w:r>
      <w:r w:rsidR="00087932" w:rsidRPr="00EB51F0">
        <w:rPr>
          <w:b/>
          <w:bCs/>
        </w:rPr>
        <w:t xml:space="preserve">are </w:t>
      </w:r>
      <w:r w:rsidR="0088700E" w:rsidRPr="00EB51F0">
        <w:rPr>
          <w:b/>
          <w:bCs/>
        </w:rPr>
        <w:t xml:space="preserve">held accountable for past violations </w:t>
      </w:r>
      <w:r w:rsidR="00087932" w:rsidRPr="00EB51F0">
        <w:rPr>
          <w:b/>
          <w:bCs/>
        </w:rPr>
        <w:t xml:space="preserve">and are </w:t>
      </w:r>
      <w:r w:rsidR="0088700E" w:rsidRPr="00EB51F0">
        <w:rPr>
          <w:b/>
          <w:bCs/>
        </w:rPr>
        <w:t>tried by a competent, independent and impartial tribunal</w:t>
      </w:r>
      <w:r w:rsidR="00752AB4" w:rsidRPr="00EB51F0">
        <w:rPr>
          <w:b/>
          <w:bCs/>
        </w:rPr>
        <w:t>,</w:t>
      </w:r>
      <w:r w:rsidR="0088700E" w:rsidRPr="00EB51F0">
        <w:rPr>
          <w:b/>
          <w:bCs/>
        </w:rPr>
        <w:t xml:space="preserve"> in compliance with international human rights standards;</w:t>
      </w:r>
    </w:p>
    <w:p w:rsidR="0088700E" w:rsidRPr="00EB51F0" w:rsidRDefault="0018470A" w:rsidP="000E16A8">
      <w:pPr>
        <w:pStyle w:val="SingleTxtG"/>
        <w:spacing w:after="100"/>
        <w:ind w:firstLine="567"/>
        <w:rPr>
          <w:b/>
          <w:bCs/>
        </w:rPr>
      </w:pPr>
      <w:r w:rsidRPr="00EB51F0">
        <w:rPr>
          <w:b/>
        </w:rPr>
        <w:t>(f)</w:t>
      </w:r>
      <w:r w:rsidRPr="00EB51F0">
        <w:rPr>
          <w:b/>
        </w:rPr>
        <w:tab/>
      </w:r>
      <w:r w:rsidR="00087932" w:rsidRPr="00EB51F0">
        <w:rPr>
          <w:b/>
          <w:bCs/>
        </w:rPr>
        <w:t xml:space="preserve">Ensure that </w:t>
      </w:r>
      <w:r w:rsidR="0088700E" w:rsidRPr="00EB51F0">
        <w:rPr>
          <w:b/>
          <w:bCs/>
        </w:rPr>
        <w:t>anyone who is accused of involvement in a mercenary</w:t>
      </w:r>
      <w:r w:rsidR="00087932" w:rsidRPr="00EB51F0">
        <w:rPr>
          <w:b/>
          <w:bCs/>
        </w:rPr>
        <w:t>-</w:t>
      </w:r>
      <w:r w:rsidR="0088700E" w:rsidRPr="00EB51F0">
        <w:rPr>
          <w:b/>
          <w:bCs/>
        </w:rPr>
        <w:t xml:space="preserve">related incident </w:t>
      </w:r>
      <w:r w:rsidR="00087932" w:rsidRPr="00EB51F0">
        <w:rPr>
          <w:b/>
          <w:bCs/>
        </w:rPr>
        <w:t xml:space="preserve">is </w:t>
      </w:r>
      <w:r w:rsidR="0088700E" w:rsidRPr="00EB51F0">
        <w:rPr>
          <w:b/>
          <w:bCs/>
        </w:rPr>
        <w:t xml:space="preserve">treated in accordance with international human rights standards, in particular the right to be free from arbitrary deprivation of liberty and from torture and other cruel, inhuman or degrading treatment or punishment; </w:t>
      </w:r>
    </w:p>
    <w:p w:rsidR="0088700E" w:rsidRPr="00EB51F0" w:rsidRDefault="0018470A" w:rsidP="000E16A8">
      <w:pPr>
        <w:pStyle w:val="SingleTxtG"/>
        <w:spacing w:after="100"/>
        <w:ind w:firstLine="567"/>
        <w:rPr>
          <w:b/>
          <w:bCs/>
        </w:rPr>
      </w:pPr>
      <w:r w:rsidRPr="00EB51F0">
        <w:rPr>
          <w:b/>
        </w:rPr>
        <w:t>(g)</w:t>
      </w:r>
      <w:r w:rsidRPr="00EB51F0">
        <w:rPr>
          <w:b/>
        </w:rPr>
        <w:tab/>
      </w:r>
      <w:r w:rsidR="0088700E" w:rsidRPr="00EB51F0">
        <w:rPr>
          <w:b/>
          <w:bCs/>
        </w:rPr>
        <w:t xml:space="preserve">Ensure that detainees are not discriminately charged and held in prolonged detention </w:t>
      </w:r>
      <w:r w:rsidR="00087932" w:rsidRPr="00EB51F0">
        <w:rPr>
          <w:b/>
          <w:bCs/>
        </w:rPr>
        <w:t xml:space="preserve">owing </w:t>
      </w:r>
      <w:r w:rsidR="0088700E" w:rsidRPr="00EB51F0">
        <w:rPr>
          <w:b/>
          <w:bCs/>
        </w:rPr>
        <w:t>to their political affiliations</w:t>
      </w:r>
      <w:r w:rsidR="00965FCF" w:rsidRPr="00EB51F0">
        <w:rPr>
          <w:b/>
          <w:bCs/>
        </w:rPr>
        <w:t xml:space="preserve"> and</w:t>
      </w:r>
      <w:r w:rsidR="0088700E" w:rsidRPr="00EB51F0">
        <w:rPr>
          <w:b/>
          <w:bCs/>
        </w:rPr>
        <w:t xml:space="preserve"> ensure the release of detainees who are being held beyond the duration required by law and without substantiated charges;</w:t>
      </w:r>
    </w:p>
    <w:p w:rsidR="0088700E" w:rsidRPr="00EB51F0" w:rsidRDefault="0018470A" w:rsidP="000E16A8">
      <w:pPr>
        <w:pStyle w:val="SingleTxtG"/>
        <w:spacing w:after="100"/>
        <w:ind w:firstLine="567"/>
        <w:rPr>
          <w:b/>
          <w:bCs/>
        </w:rPr>
      </w:pPr>
      <w:r w:rsidRPr="00EB51F0">
        <w:rPr>
          <w:b/>
        </w:rPr>
        <w:t>(h)</w:t>
      </w:r>
      <w:r w:rsidRPr="00EB51F0">
        <w:rPr>
          <w:b/>
        </w:rPr>
        <w:tab/>
      </w:r>
      <w:r w:rsidR="005237D2" w:rsidRPr="00EB51F0">
        <w:rPr>
          <w:b/>
          <w:bCs/>
        </w:rPr>
        <w:t>F</w:t>
      </w:r>
      <w:r w:rsidR="0088700E" w:rsidRPr="00EB51F0">
        <w:rPr>
          <w:b/>
          <w:bCs/>
        </w:rPr>
        <w:t xml:space="preserve">ully cooperate with </w:t>
      </w:r>
      <w:r w:rsidR="00087932" w:rsidRPr="00EB51F0">
        <w:rPr>
          <w:b/>
          <w:bCs/>
        </w:rPr>
        <w:t xml:space="preserve">the </w:t>
      </w:r>
      <w:r w:rsidR="0088700E" w:rsidRPr="00EB51F0">
        <w:rPr>
          <w:b/>
          <w:bCs/>
        </w:rPr>
        <w:t xml:space="preserve">investigations </w:t>
      </w:r>
      <w:r w:rsidR="00C6564C" w:rsidRPr="00EB51F0">
        <w:rPr>
          <w:b/>
          <w:bCs/>
        </w:rPr>
        <w:t xml:space="preserve">of the International Criminal Court </w:t>
      </w:r>
      <w:r w:rsidR="0088700E" w:rsidRPr="00EB51F0">
        <w:rPr>
          <w:b/>
          <w:bCs/>
        </w:rPr>
        <w:t xml:space="preserve">and other judicial mechanisms aimed at bring all perpetrators to justice for violations in the past conflicts; </w:t>
      </w:r>
    </w:p>
    <w:p w:rsidR="0088700E" w:rsidRPr="00EB51F0" w:rsidRDefault="0018470A" w:rsidP="000E16A8">
      <w:pPr>
        <w:pStyle w:val="SingleTxtG"/>
        <w:spacing w:after="100"/>
        <w:ind w:firstLine="567"/>
        <w:rPr>
          <w:b/>
          <w:bCs/>
        </w:rPr>
      </w:pPr>
      <w:r w:rsidRPr="00EB51F0">
        <w:rPr>
          <w:b/>
        </w:rPr>
        <w:t>(i)</w:t>
      </w:r>
      <w:r w:rsidRPr="00EB51F0">
        <w:rPr>
          <w:b/>
        </w:rPr>
        <w:tab/>
      </w:r>
      <w:r w:rsidR="0088700E" w:rsidRPr="00EB51F0">
        <w:rPr>
          <w:b/>
          <w:bCs/>
        </w:rPr>
        <w:t xml:space="preserve">End impunity related to </w:t>
      </w:r>
      <w:r w:rsidR="0088700E" w:rsidRPr="00EB51F0">
        <w:rPr>
          <w:b/>
          <w:bCs/>
          <w:i/>
          <w:iCs/>
        </w:rPr>
        <w:t>dozos</w:t>
      </w:r>
      <w:r w:rsidR="00965FCF" w:rsidRPr="00EB51F0">
        <w:rPr>
          <w:b/>
          <w:bCs/>
        </w:rPr>
        <w:t>,</w:t>
      </w:r>
      <w:r w:rsidR="0088700E" w:rsidRPr="00EB51F0">
        <w:rPr>
          <w:b/>
          <w:bCs/>
        </w:rPr>
        <w:t xml:space="preserve"> ensure that </w:t>
      </w:r>
      <w:r w:rsidR="00965FCF" w:rsidRPr="00EB51F0">
        <w:rPr>
          <w:b/>
          <w:bCs/>
          <w:i/>
          <w:iCs/>
        </w:rPr>
        <w:t>dozos</w:t>
      </w:r>
      <w:r w:rsidR="00965FCF" w:rsidRPr="00EB51F0">
        <w:rPr>
          <w:b/>
          <w:bCs/>
        </w:rPr>
        <w:t xml:space="preserve"> </w:t>
      </w:r>
      <w:r w:rsidR="0088700E" w:rsidRPr="00EB51F0">
        <w:rPr>
          <w:b/>
          <w:bCs/>
        </w:rPr>
        <w:t xml:space="preserve">are not carrying out </w:t>
      </w:r>
      <w:r w:rsidR="00FF7F56" w:rsidRPr="00EB51F0">
        <w:rPr>
          <w:b/>
          <w:bCs/>
        </w:rPr>
        <w:t>S</w:t>
      </w:r>
      <w:r w:rsidR="0088700E" w:rsidRPr="00EB51F0">
        <w:rPr>
          <w:b/>
          <w:bCs/>
        </w:rPr>
        <w:t>tate security functions</w:t>
      </w:r>
      <w:r w:rsidR="00965FCF" w:rsidRPr="00EB51F0">
        <w:rPr>
          <w:b/>
          <w:bCs/>
        </w:rPr>
        <w:t xml:space="preserve"> and </w:t>
      </w:r>
      <w:r w:rsidR="0088700E" w:rsidRPr="00EB51F0">
        <w:rPr>
          <w:b/>
          <w:bCs/>
        </w:rPr>
        <w:t xml:space="preserve">ensure </w:t>
      </w:r>
      <w:r w:rsidR="000A61D9" w:rsidRPr="00EB51F0">
        <w:rPr>
          <w:b/>
          <w:bCs/>
        </w:rPr>
        <w:t xml:space="preserve">the </w:t>
      </w:r>
      <w:r w:rsidR="0088700E" w:rsidRPr="00EB51F0">
        <w:rPr>
          <w:b/>
          <w:bCs/>
        </w:rPr>
        <w:t xml:space="preserve">disarmament of </w:t>
      </w:r>
      <w:r w:rsidR="0088700E" w:rsidRPr="00EB51F0">
        <w:rPr>
          <w:b/>
          <w:bCs/>
          <w:i/>
          <w:iCs/>
        </w:rPr>
        <w:t>dozos</w:t>
      </w:r>
      <w:r w:rsidR="0088700E" w:rsidRPr="00EB51F0">
        <w:rPr>
          <w:b/>
          <w:bCs/>
        </w:rPr>
        <w:t>;</w:t>
      </w:r>
    </w:p>
    <w:p w:rsidR="0088700E" w:rsidRPr="00EB51F0" w:rsidRDefault="0018470A" w:rsidP="000E16A8">
      <w:pPr>
        <w:pStyle w:val="SingleTxtG"/>
        <w:spacing w:after="100"/>
        <w:ind w:firstLine="567"/>
        <w:rPr>
          <w:b/>
          <w:bCs/>
        </w:rPr>
      </w:pPr>
      <w:r w:rsidRPr="00EB51F0">
        <w:rPr>
          <w:b/>
        </w:rPr>
        <w:t>(j)</w:t>
      </w:r>
      <w:r w:rsidRPr="00EB51F0">
        <w:rPr>
          <w:b/>
        </w:rPr>
        <w:tab/>
      </w:r>
      <w:r w:rsidR="0088700E" w:rsidRPr="00EB51F0">
        <w:rPr>
          <w:b/>
          <w:bCs/>
        </w:rPr>
        <w:t xml:space="preserve">Reduce vulnerability to mercenary attacks by promoting and strengthening the rule of law and </w:t>
      </w:r>
      <w:r w:rsidR="00FF7F56" w:rsidRPr="00EB51F0">
        <w:rPr>
          <w:b/>
          <w:bCs/>
        </w:rPr>
        <w:t>S</w:t>
      </w:r>
      <w:r w:rsidR="0088700E" w:rsidRPr="00EB51F0">
        <w:rPr>
          <w:b/>
          <w:bCs/>
        </w:rPr>
        <w:t>tate institutions such as the judiciary and law enforcement agencies</w:t>
      </w:r>
      <w:r w:rsidR="00965FCF" w:rsidRPr="00EB51F0">
        <w:rPr>
          <w:b/>
          <w:bCs/>
        </w:rPr>
        <w:t xml:space="preserve"> and</w:t>
      </w:r>
      <w:r w:rsidR="0088700E" w:rsidRPr="00EB51F0">
        <w:rPr>
          <w:b/>
          <w:bCs/>
        </w:rPr>
        <w:t xml:space="preserve"> ensure that </w:t>
      </w:r>
      <w:r w:rsidR="000A61D9" w:rsidRPr="00EB51F0">
        <w:rPr>
          <w:b/>
          <w:bCs/>
        </w:rPr>
        <w:t xml:space="preserve">the </w:t>
      </w:r>
      <w:r w:rsidR="0088700E" w:rsidRPr="00EB51F0">
        <w:rPr>
          <w:b/>
          <w:bCs/>
        </w:rPr>
        <w:t>independence of the judiciary is always respected;</w:t>
      </w:r>
    </w:p>
    <w:p w:rsidR="0088700E" w:rsidRPr="00EB51F0" w:rsidRDefault="0018470A" w:rsidP="000E16A8">
      <w:pPr>
        <w:pStyle w:val="SingleTxtG"/>
        <w:spacing w:after="100"/>
        <w:ind w:firstLine="567"/>
        <w:rPr>
          <w:b/>
          <w:bCs/>
        </w:rPr>
      </w:pPr>
      <w:r w:rsidRPr="00EB51F0">
        <w:rPr>
          <w:b/>
        </w:rPr>
        <w:t>(k)</w:t>
      </w:r>
      <w:r w:rsidRPr="00EB51F0">
        <w:rPr>
          <w:b/>
        </w:rPr>
        <w:tab/>
      </w:r>
      <w:r w:rsidR="0088700E" w:rsidRPr="00EB51F0">
        <w:rPr>
          <w:b/>
          <w:bCs/>
        </w:rPr>
        <w:t xml:space="preserve">Strengthen the National Human Rights Commission and ensure it conforms to the Paris Principles </w:t>
      </w:r>
      <w:r w:rsidR="000A33A9" w:rsidRPr="00EB51F0">
        <w:rPr>
          <w:b/>
          <w:bCs/>
        </w:rPr>
        <w:t xml:space="preserve">relating to the status of national institutions for the promotion and protection of human rights, </w:t>
      </w:r>
      <w:r w:rsidR="0088700E" w:rsidRPr="00EB51F0">
        <w:rPr>
          <w:b/>
          <w:bCs/>
        </w:rPr>
        <w:t>in respect of its mandate, composition, organization, functioning and independence;</w:t>
      </w:r>
    </w:p>
    <w:p w:rsidR="0088700E" w:rsidRPr="00EB51F0" w:rsidRDefault="0018470A" w:rsidP="000E16A8">
      <w:pPr>
        <w:pStyle w:val="SingleTxtG"/>
        <w:spacing w:after="100"/>
        <w:ind w:firstLine="567"/>
        <w:rPr>
          <w:b/>
          <w:bCs/>
        </w:rPr>
      </w:pPr>
      <w:r w:rsidRPr="00EB51F0">
        <w:rPr>
          <w:b/>
        </w:rPr>
        <w:t>(l)</w:t>
      </w:r>
      <w:r w:rsidRPr="00EB51F0">
        <w:rPr>
          <w:b/>
        </w:rPr>
        <w:tab/>
      </w:r>
      <w:r w:rsidR="0088700E" w:rsidRPr="00EB51F0">
        <w:rPr>
          <w:b/>
          <w:bCs/>
        </w:rPr>
        <w:t>Ensure access to effective justice and legal remedies for victims of human rights violations committed by mercenaries and other armed actors in the past conflicts;</w:t>
      </w:r>
    </w:p>
    <w:p w:rsidR="0088700E" w:rsidRPr="00EB51F0" w:rsidRDefault="0018470A" w:rsidP="000E16A8">
      <w:pPr>
        <w:pStyle w:val="SingleTxtG"/>
        <w:spacing w:after="100"/>
        <w:ind w:firstLine="567"/>
        <w:rPr>
          <w:b/>
          <w:bCs/>
        </w:rPr>
      </w:pPr>
      <w:r w:rsidRPr="00EB51F0">
        <w:rPr>
          <w:b/>
        </w:rPr>
        <w:t>(m)</w:t>
      </w:r>
      <w:r w:rsidRPr="00EB51F0">
        <w:rPr>
          <w:b/>
        </w:rPr>
        <w:tab/>
      </w:r>
      <w:r w:rsidR="0088700E" w:rsidRPr="00EB51F0">
        <w:rPr>
          <w:b/>
          <w:bCs/>
        </w:rPr>
        <w:t xml:space="preserve">Implement the recommendations made </w:t>
      </w:r>
      <w:r w:rsidR="00965FCF" w:rsidRPr="00EB51F0">
        <w:rPr>
          <w:b/>
          <w:bCs/>
        </w:rPr>
        <w:t xml:space="preserve">by </w:t>
      </w:r>
      <w:r w:rsidR="0088700E" w:rsidRPr="00EB51F0">
        <w:rPr>
          <w:b/>
          <w:bCs/>
        </w:rPr>
        <w:t>the National Commission of Inquiry</w:t>
      </w:r>
      <w:r w:rsidR="006B5637" w:rsidRPr="00EB51F0">
        <w:rPr>
          <w:b/>
          <w:bCs/>
        </w:rPr>
        <w:t>,</w:t>
      </w:r>
      <w:r w:rsidR="0088700E" w:rsidRPr="00EB51F0">
        <w:rPr>
          <w:b/>
          <w:bCs/>
        </w:rPr>
        <w:t xml:space="preserve"> expedite </w:t>
      </w:r>
      <w:r w:rsidR="00965FCF" w:rsidRPr="00EB51F0">
        <w:rPr>
          <w:b/>
          <w:bCs/>
        </w:rPr>
        <w:t xml:space="preserve">the </w:t>
      </w:r>
      <w:r w:rsidR="006B5637" w:rsidRPr="00EB51F0">
        <w:rPr>
          <w:b/>
          <w:bCs/>
        </w:rPr>
        <w:t>Commission’s</w:t>
      </w:r>
      <w:r w:rsidR="00965FCF" w:rsidRPr="00EB51F0">
        <w:rPr>
          <w:b/>
          <w:bCs/>
        </w:rPr>
        <w:t xml:space="preserve"> </w:t>
      </w:r>
      <w:r w:rsidR="0088700E" w:rsidRPr="00EB51F0">
        <w:rPr>
          <w:b/>
          <w:bCs/>
        </w:rPr>
        <w:t xml:space="preserve">fight against impunity and prosecute the perpetrators of serious violations of human rights committed during the past conflicts regardless of their political affiliations; </w:t>
      </w:r>
    </w:p>
    <w:p w:rsidR="0088700E" w:rsidRPr="00EB51F0" w:rsidRDefault="0018470A" w:rsidP="000E16A8">
      <w:pPr>
        <w:pStyle w:val="SingleTxtG"/>
        <w:spacing w:after="100"/>
        <w:ind w:firstLine="567"/>
        <w:rPr>
          <w:b/>
          <w:bCs/>
        </w:rPr>
      </w:pPr>
      <w:r w:rsidRPr="00EB51F0">
        <w:rPr>
          <w:b/>
        </w:rPr>
        <w:t>(n)</w:t>
      </w:r>
      <w:r w:rsidRPr="00EB51F0">
        <w:rPr>
          <w:b/>
        </w:rPr>
        <w:tab/>
      </w:r>
      <w:r w:rsidR="0088700E" w:rsidRPr="00EB51F0">
        <w:rPr>
          <w:b/>
          <w:bCs/>
        </w:rPr>
        <w:t>Take measures to systematically collect and analyse data to facilitate access to justice and reparation</w:t>
      </w:r>
      <w:r w:rsidR="00EB5087" w:rsidRPr="00EB51F0">
        <w:rPr>
          <w:b/>
          <w:bCs/>
        </w:rPr>
        <w:t>s</w:t>
      </w:r>
      <w:r w:rsidR="0088700E" w:rsidRPr="00EB51F0">
        <w:rPr>
          <w:b/>
          <w:bCs/>
        </w:rPr>
        <w:t xml:space="preserve"> for victims of the past conflicts;</w:t>
      </w:r>
    </w:p>
    <w:p w:rsidR="0088700E" w:rsidRPr="00EB51F0" w:rsidRDefault="0018470A" w:rsidP="000E16A8">
      <w:pPr>
        <w:pStyle w:val="SingleTxtG"/>
        <w:spacing w:after="100"/>
        <w:ind w:firstLine="567"/>
        <w:rPr>
          <w:b/>
          <w:bCs/>
        </w:rPr>
      </w:pPr>
      <w:r w:rsidRPr="00EB51F0">
        <w:rPr>
          <w:b/>
        </w:rPr>
        <w:t>(o)</w:t>
      </w:r>
      <w:r w:rsidRPr="00EB51F0">
        <w:rPr>
          <w:b/>
        </w:rPr>
        <w:tab/>
      </w:r>
      <w:r w:rsidR="0088700E" w:rsidRPr="00EB51F0">
        <w:rPr>
          <w:b/>
          <w:bCs/>
        </w:rPr>
        <w:t>Continue the work that is currently being done to harmoni</w:t>
      </w:r>
      <w:r w:rsidR="00D61831" w:rsidRPr="00EB51F0">
        <w:rPr>
          <w:b/>
          <w:bCs/>
        </w:rPr>
        <w:t>z</w:t>
      </w:r>
      <w:r w:rsidR="0088700E" w:rsidRPr="00EB51F0">
        <w:rPr>
          <w:b/>
          <w:bCs/>
        </w:rPr>
        <w:t>e national legislation with international human rights standards and</w:t>
      </w:r>
      <w:r w:rsidR="006B5637" w:rsidRPr="00EB51F0">
        <w:rPr>
          <w:b/>
          <w:bCs/>
        </w:rPr>
        <w:t>,</w:t>
      </w:r>
      <w:r w:rsidR="0088700E" w:rsidRPr="00EB51F0">
        <w:rPr>
          <w:b/>
          <w:bCs/>
        </w:rPr>
        <w:t xml:space="preserve"> in this respect, urgently adopt the laws on the protection of human rights defenders and the</w:t>
      </w:r>
      <w:r w:rsidR="007474E8" w:rsidRPr="00EB51F0">
        <w:rPr>
          <w:b/>
          <w:bCs/>
        </w:rPr>
        <w:t xml:space="preserve"> </w:t>
      </w:r>
      <w:r w:rsidR="0088700E" w:rsidRPr="00EB51F0">
        <w:rPr>
          <w:b/>
          <w:bCs/>
        </w:rPr>
        <w:t>protection of witnesses and victims in judicial processes relating to the conflicts</w:t>
      </w:r>
      <w:r w:rsidR="006B5637" w:rsidRPr="00EB51F0">
        <w:rPr>
          <w:b/>
          <w:bCs/>
        </w:rPr>
        <w:t>,</w:t>
      </w:r>
      <w:r w:rsidR="0088700E" w:rsidRPr="00EB51F0">
        <w:rPr>
          <w:b/>
          <w:bCs/>
        </w:rPr>
        <w:t xml:space="preserve"> ensur</w:t>
      </w:r>
      <w:r w:rsidR="006B5637" w:rsidRPr="00EB51F0">
        <w:rPr>
          <w:b/>
          <w:bCs/>
        </w:rPr>
        <w:t>ing</w:t>
      </w:r>
      <w:r w:rsidR="0088700E" w:rsidRPr="00EB51F0">
        <w:rPr>
          <w:b/>
          <w:bCs/>
        </w:rPr>
        <w:t xml:space="preserve"> their effective implementation;</w:t>
      </w:r>
    </w:p>
    <w:p w:rsidR="0088700E" w:rsidRPr="00EB51F0" w:rsidRDefault="0018470A" w:rsidP="000E16A8">
      <w:pPr>
        <w:pStyle w:val="SingleTxtG"/>
        <w:spacing w:after="100"/>
        <w:ind w:firstLine="567"/>
        <w:rPr>
          <w:b/>
          <w:bCs/>
        </w:rPr>
      </w:pPr>
      <w:r w:rsidRPr="00EB51F0">
        <w:rPr>
          <w:b/>
        </w:rPr>
        <w:t>(p)</w:t>
      </w:r>
      <w:r w:rsidRPr="00EB51F0">
        <w:rPr>
          <w:b/>
        </w:rPr>
        <w:tab/>
      </w:r>
      <w:r w:rsidR="0088700E" w:rsidRPr="00EB51F0">
        <w:rPr>
          <w:b/>
          <w:bCs/>
        </w:rPr>
        <w:t xml:space="preserve">Include in its criminal law the definition of rape and other crimes of a sexual nature </w:t>
      </w:r>
      <w:r w:rsidR="006B5637" w:rsidRPr="00EB51F0">
        <w:rPr>
          <w:b/>
          <w:bCs/>
        </w:rPr>
        <w:t xml:space="preserve">and </w:t>
      </w:r>
      <w:r w:rsidR="0088700E" w:rsidRPr="00EB51F0">
        <w:rPr>
          <w:b/>
          <w:bCs/>
        </w:rPr>
        <w:t xml:space="preserve">intensify efforts to combat violence against women by implementing comprehensive laws prohibiting sexual and gender-based violence and by providing the necessary support to victims of </w:t>
      </w:r>
      <w:r w:rsidR="006B5637" w:rsidRPr="00EB51F0">
        <w:rPr>
          <w:b/>
          <w:bCs/>
        </w:rPr>
        <w:t>such</w:t>
      </w:r>
      <w:r w:rsidR="0088700E" w:rsidRPr="00EB51F0">
        <w:rPr>
          <w:b/>
          <w:bCs/>
        </w:rPr>
        <w:t xml:space="preserve"> violence</w:t>
      </w:r>
      <w:r w:rsidR="00EB5087" w:rsidRPr="00EB51F0">
        <w:rPr>
          <w:b/>
          <w:bCs/>
        </w:rPr>
        <w:t>;</w:t>
      </w:r>
    </w:p>
    <w:p w:rsidR="0088700E" w:rsidRPr="00EB51F0" w:rsidRDefault="0018470A" w:rsidP="000E16A8">
      <w:pPr>
        <w:pStyle w:val="SingleTxtG"/>
        <w:spacing w:after="100"/>
        <w:ind w:firstLine="567"/>
        <w:rPr>
          <w:b/>
          <w:bCs/>
        </w:rPr>
      </w:pPr>
      <w:r w:rsidRPr="00EB51F0">
        <w:rPr>
          <w:b/>
        </w:rPr>
        <w:t>(q)</w:t>
      </w:r>
      <w:r w:rsidRPr="00EB51F0">
        <w:rPr>
          <w:b/>
        </w:rPr>
        <w:tab/>
      </w:r>
      <w:r w:rsidR="0088700E" w:rsidRPr="00EB51F0">
        <w:rPr>
          <w:b/>
          <w:bCs/>
        </w:rPr>
        <w:t>Ensure continuous efforts to strengthen the process of national reconciliation carried out by the Dialogue, Truth and Reconciliation Commission and related initiatives;</w:t>
      </w:r>
    </w:p>
    <w:p w:rsidR="0088700E" w:rsidRPr="00EB51F0" w:rsidRDefault="0018470A" w:rsidP="000E16A8">
      <w:pPr>
        <w:pStyle w:val="SingleTxtG"/>
        <w:spacing w:after="100"/>
        <w:ind w:firstLine="567"/>
        <w:rPr>
          <w:b/>
          <w:bCs/>
        </w:rPr>
      </w:pPr>
      <w:r w:rsidRPr="00EB51F0">
        <w:rPr>
          <w:b/>
        </w:rPr>
        <w:t>(r)</w:t>
      </w:r>
      <w:r w:rsidRPr="00EB51F0">
        <w:rPr>
          <w:b/>
        </w:rPr>
        <w:tab/>
      </w:r>
      <w:r w:rsidR="0088700E" w:rsidRPr="00EB51F0">
        <w:rPr>
          <w:b/>
          <w:bCs/>
        </w:rPr>
        <w:t>Intensify efforts to end the proliferation of arms and weapons in the public domain and strengthen support towards demobili</w:t>
      </w:r>
      <w:r w:rsidR="00D61831" w:rsidRPr="00EB51F0">
        <w:rPr>
          <w:b/>
          <w:bCs/>
        </w:rPr>
        <w:t>z</w:t>
      </w:r>
      <w:r w:rsidR="0088700E" w:rsidRPr="00EB51F0">
        <w:rPr>
          <w:b/>
          <w:bCs/>
        </w:rPr>
        <w:t xml:space="preserve">ation and disarmament; continue </w:t>
      </w:r>
      <w:r w:rsidR="00B65C88" w:rsidRPr="00EB51F0">
        <w:rPr>
          <w:b/>
          <w:bCs/>
        </w:rPr>
        <w:t xml:space="preserve">cooperation </w:t>
      </w:r>
      <w:r w:rsidR="0088700E" w:rsidRPr="00EB51F0">
        <w:rPr>
          <w:b/>
          <w:bCs/>
        </w:rPr>
        <w:t>with UNOCI and other partners in this objective;</w:t>
      </w:r>
    </w:p>
    <w:p w:rsidR="0088700E" w:rsidRPr="00EB51F0" w:rsidRDefault="0018470A" w:rsidP="000E16A8">
      <w:pPr>
        <w:pStyle w:val="SingleTxtG"/>
        <w:spacing w:after="100"/>
        <w:ind w:firstLine="567"/>
        <w:rPr>
          <w:b/>
          <w:bCs/>
        </w:rPr>
      </w:pPr>
      <w:r w:rsidRPr="00EB51F0">
        <w:rPr>
          <w:b/>
        </w:rPr>
        <w:t>(s)</w:t>
      </w:r>
      <w:r w:rsidRPr="00EB51F0">
        <w:rPr>
          <w:b/>
        </w:rPr>
        <w:tab/>
      </w:r>
      <w:r w:rsidR="0088700E" w:rsidRPr="00EB51F0">
        <w:rPr>
          <w:b/>
          <w:bCs/>
        </w:rPr>
        <w:t xml:space="preserve">Ensure that programmes such as </w:t>
      </w:r>
      <w:r w:rsidR="00C6564C" w:rsidRPr="00EB51F0">
        <w:rPr>
          <w:b/>
          <w:bCs/>
        </w:rPr>
        <w:t xml:space="preserve">that on disarmament, demobilization and reintegration </w:t>
      </w:r>
      <w:r w:rsidR="008B202A" w:rsidRPr="00EB51F0">
        <w:rPr>
          <w:b/>
          <w:bCs/>
        </w:rPr>
        <w:t xml:space="preserve">are </w:t>
      </w:r>
      <w:r w:rsidR="0088700E" w:rsidRPr="00EB51F0">
        <w:rPr>
          <w:b/>
          <w:bCs/>
        </w:rPr>
        <w:t>carried out in a transparent, impartial and democratic manner and that former combatants benefit from the</w:t>
      </w:r>
      <w:r w:rsidR="008B202A" w:rsidRPr="00EB51F0">
        <w:rPr>
          <w:b/>
          <w:bCs/>
        </w:rPr>
        <w:t>m</w:t>
      </w:r>
      <w:r w:rsidR="0088700E" w:rsidRPr="00EB51F0">
        <w:rPr>
          <w:b/>
          <w:bCs/>
        </w:rPr>
        <w:t xml:space="preserve"> irrespective of their political affiliations</w:t>
      </w:r>
      <w:r w:rsidR="008B202A" w:rsidRPr="00EB51F0">
        <w:rPr>
          <w:b/>
          <w:bCs/>
        </w:rPr>
        <w:t xml:space="preserve"> and</w:t>
      </w:r>
      <w:r w:rsidR="0088700E" w:rsidRPr="00EB51F0">
        <w:rPr>
          <w:b/>
          <w:bCs/>
        </w:rPr>
        <w:t xml:space="preserve"> ensure </w:t>
      </w:r>
      <w:r w:rsidR="008B202A" w:rsidRPr="00EB51F0">
        <w:rPr>
          <w:b/>
          <w:bCs/>
        </w:rPr>
        <w:t xml:space="preserve">also that </w:t>
      </w:r>
      <w:r w:rsidR="0088700E" w:rsidRPr="00EB51F0">
        <w:rPr>
          <w:b/>
          <w:bCs/>
        </w:rPr>
        <w:t>former combatants are not recruited into professions where the use of force is required</w:t>
      </w:r>
      <w:r w:rsidR="001803E6" w:rsidRPr="00EB51F0">
        <w:rPr>
          <w:b/>
          <w:bCs/>
        </w:rPr>
        <w:t xml:space="preserve"> and that those who </w:t>
      </w:r>
      <w:r w:rsidR="00752AB4" w:rsidRPr="00EB51F0">
        <w:rPr>
          <w:b/>
          <w:bCs/>
        </w:rPr>
        <w:t xml:space="preserve">have been </w:t>
      </w:r>
      <w:r w:rsidR="001803E6" w:rsidRPr="00EB51F0">
        <w:rPr>
          <w:b/>
          <w:bCs/>
        </w:rPr>
        <w:t xml:space="preserve">involved in mercenarism or mercenary-related activities </w:t>
      </w:r>
      <w:r w:rsidR="00CA4393" w:rsidRPr="00EB51F0">
        <w:rPr>
          <w:b/>
          <w:bCs/>
        </w:rPr>
        <w:t>do not benefit</w:t>
      </w:r>
      <w:r w:rsidR="001803E6" w:rsidRPr="00EB51F0">
        <w:rPr>
          <w:b/>
          <w:bCs/>
        </w:rPr>
        <w:t xml:space="preserve"> from the </w:t>
      </w:r>
      <w:r w:rsidR="008B202A" w:rsidRPr="00EB51F0">
        <w:rPr>
          <w:b/>
          <w:bCs/>
        </w:rPr>
        <w:t xml:space="preserve">disarmament, demobilization and reintegration </w:t>
      </w:r>
      <w:r w:rsidR="001803E6" w:rsidRPr="00EB51F0">
        <w:rPr>
          <w:b/>
          <w:bCs/>
        </w:rPr>
        <w:t>programme</w:t>
      </w:r>
      <w:r w:rsidR="0088700E" w:rsidRPr="00EB51F0">
        <w:rPr>
          <w:b/>
          <w:bCs/>
        </w:rPr>
        <w:t>;</w:t>
      </w:r>
    </w:p>
    <w:p w:rsidR="0088700E" w:rsidRPr="000E16A8" w:rsidRDefault="0018470A" w:rsidP="000E16A8">
      <w:pPr>
        <w:pStyle w:val="SingleTxtG"/>
        <w:spacing w:after="100"/>
        <w:ind w:firstLine="567"/>
        <w:rPr>
          <w:b/>
          <w:bCs/>
        </w:rPr>
      </w:pPr>
      <w:r w:rsidRPr="00EB51F0">
        <w:rPr>
          <w:b/>
        </w:rPr>
        <w:t>(t)</w:t>
      </w:r>
      <w:r w:rsidRPr="00EB51F0">
        <w:rPr>
          <w:b/>
        </w:rPr>
        <w:tab/>
      </w:r>
      <w:r w:rsidR="0088700E" w:rsidRPr="00EB51F0">
        <w:rPr>
          <w:b/>
          <w:bCs/>
        </w:rPr>
        <w:t>Consolidate the progress achieved in the field of human rights education and training</w:t>
      </w:r>
      <w:r w:rsidR="0088700E" w:rsidRPr="000E16A8">
        <w:rPr>
          <w:b/>
          <w:bCs/>
        </w:rPr>
        <w:t xml:space="preserve"> by regularly organizing, with the assistance of the international community, seminars and awareness-raising workshops on human rights, particularly for members of the security forces and the judiciary. </w:t>
      </w:r>
    </w:p>
    <w:p w:rsidR="0088700E" w:rsidRPr="00B6681B" w:rsidRDefault="0088700E" w:rsidP="000E16A8">
      <w:pPr>
        <w:pStyle w:val="SingleTxtG"/>
        <w:numPr>
          <w:ilvl w:val="0"/>
          <w:numId w:val="24"/>
        </w:numPr>
        <w:ind w:left="1134" w:firstLine="0"/>
        <w:rPr>
          <w:b/>
        </w:rPr>
      </w:pPr>
      <w:r w:rsidRPr="00B6681B">
        <w:rPr>
          <w:b/>
        </w:rPr>
        <w:t xml:space="preserve">Concerning </w:t>
      </w:r>
      <w:r w:rsidR="007565F6" w:rsidRPr="00B6681B">
        <w:rPr>
          <w:b/>
        </w:rPr>
        <w:t>private security companies</w:t>
      </w:r>
      <w:r w:rsidR="00686CB3" w:rsidRPr="000E16A8">
        <w:rPr>
          <w:b/>
        </w:rPr>
        <w:t>:</w:t>
      </w:r>
    </w:p>
    <w:p w:rsidR="0088700E" w:rsidRPr="00EB51F0" w:rsidRDefault="00686CB3" w:rsidP="000E16A8">
      <w:pPr>
        <w:pStyle w:val="SingleTxtG"/>
        <w:spacing w:after="100"/>
        <w:ind w:firstLine="567"/>
        <w:rPr>
          <w:b/>
          <w:bCs/>
        </w:rPr>
      </w:pPr>
      <w:r w:rsidRPr="00EB51F0">
        <w:rPr>
          <w:b/>
        </w:rPr>
        <w:t>(</w:t>
      </w:r>
      <w:r w:rsidR="00EB5087" w:rsidRPr="00EB51F0">
        <w:rPr>
          <w:b/>
        </w:rPr>
        <w:t>a</w:t>
      </w:r>
      <w:r w:rsidRPr="00EB51F0">
        <w:rPr>
          <w:b/>
        </w:rPr>
        <w:t>)</w:t>
      </w:r>
      <w:r w:rsidRPr="00EB51F0">
        <w:rPr>
          <w:b/>
        </w:rPr>
        <w:tab/>
      </w:r>
      <w:r w:rsidR="00D66E86" w:rsidRPr="00EB51F0">
        <w:rPr>
          <w:b/>
          <w:bCs/>
        </w:rPr>
        <w:t>T</w:t>
      </w:r>
      <w:r w:rsidR="0088700E" w:rsidRPr="00EB51F0">
        <w:rPr>
          <w:b/>
          <w:bCs/>
        </w:rPr>
        <w:t xml:space="preserve">ake measures to strengthen the licensing regime to curb the expansion of illegal </w:t>
      </w:r>
      <w:r w:rsidR="00EF701C" w:rsidRPr="00EB51F0">
        <w:rPr>
          <w:b/>
          <w:bCs/>
        </w:rPr>
        <w:t>private security</w:t>
      </w:r>
      <w:r w:rsidR="0088700E" w:rsidRPr="00EB51F0">
        <w:rPr>
          <w:b/>
          <w:bCs/>
        </w:rPr>
        <w:t xml:space="preserve"> operations;</w:t>
      </w:r>
    </w:p>
    <w:p w:rsidR="0088700E" w:rsidRPr="00EB51F0" w:rsidRDefault="00686CB3" w:rsidP="000E16A8">
      <w:pPr>
        <w:pStyle w:val="SingleTxtG"/>
        <w:spacing w:after="100"/>
        <w:ind w:firstLine="567"/>
        <w:rPr>
          <w:b/>
          <w:bCs/>
        </w:rPr>
      </w:pPr>
      <w:r w:rsidRPr="00EB51F0">
        <w:rPr>
          <w:b/>
        </w:rPr>
        <w:t>(</w:t>
      </w:r>
      <w:r w:rsidR="00EB5087" w:rsidRPr="00EB51F0">
        <w:rPr>
          <w:b/>
        </w:rPr>
        <w:t>b</w:t>
      </w:r>
      <w:r w:rsidRPr="00EB51F0">
        <w:rPr>
          <w:b/>
        </w:rPr>
        <w:t>)</w:t>
      </w:r>
      <w:r w:rsidRPr="00EB51F0">
        <w:rPr>
          <w:b/>
        </w:rPr>
        <w:tab/>
      </w:r>
      <w:r w:rsidR="0088700E" w:rsidRPr="00EB51F0">
        <w:rPr>
          <w:b/>
          <w:bCs/>
        </w:rPr>
        <w:t xml:space="preserve">Strengthen oversight of </w:t>
      </w:r>
      <w:r w:rsidR="00EF701C" w:rsidRPr="00EB51F0">
        <w:rPr>
          <w:b/>
          <w:bCs/>
        </w:rPr>
        <w:t xml:space="preserve">private security </w:t>
      </w:r>
      <w:r w:rsidR="0088700E" w:rsidRPr="00EB51F0">
        <w:rPr>
          <w:b/>
          <w:bCs/>
        </w:rPr>
        <w:t xml:space="preserve">operations and ensure appropriate vetting systems to better </w:t>
      </w:r>
      <w:r w:rsidR="00A91CAE" w:rsidRPr="00EB51F0">
        <w:rPr>
          <w:b/>
          <w:bCs/>
        </w:rPr>
        <w:t>prevent</w:t>
      </w:r>
      <w:r w:rsidR="0088700E" w:rsidRPr="00EB51F0">
        <w:rPr>
          <w:b/>
          <w:bCs/>
        </w:rPr>
        <w:t xml:space="preserve"> human rights violations and </w:t>
      </w:r>
      <w:r w:rsidR="00A91CAE" w:rsidRPr="00EB51F0">
        <w:rPr>
          <w:b/>
          <w:bCs/>
        </w:rPr>
        <w:t xml:space="preserve">protect against the </w:t>
      </w:r>
      <w:r w:rsidR="0088700E" w:rsidRPr="00EB51F0">
        <w:rPr>
          <w:b/>
          <w:bCs/>
        </w:rPr>
        <w:t>perpetrators of such violations;</w:t>
      </w:r>
    </w:p>
    <w:p w:rsidR="0088700E" w:rsidRPr="00EB51F0" w:rsidRDefault="00686CB3" w:rsidP="000E16A8">
      <w:pPr>
        <w:pStyle w:val="SingleTxtG"/>
        <w:spacing w:after="100"/>
        <w:ind w:firstLine="567"/>
        <w:rPr>
          <w:b/>
          <w:bCs/>
        </w:rPr>
      </w:pPr>
      <w:r w:rsidRPr="00EB51F0">
        <w:rPr>
          <w:b/>
        </w:rPr>
        <w:t>(</w:t>
      </w:r>
      <w:r w:rsidR="00EB5087" w:rsidRPr="00EB51F0">
        <w:rPr>
          <w:b/>
        </w:rPr>
        <w:t>c</w:t>
      </w:r>
      <w:r w:rsidRPr="00EB51F0">
        <w:rPr>
          <w:b/>
        </w:rPr>
        <w:t>)</w:t>
      </w:r>
      <w:r w:rsidRPr="00EB51F0">
        <w:rPr>
          <w:b/>
        </w:rPr>
        <w:tab/>
      </w:r>
      <w:r w:rsidR="0088700E" w:rsidRPr="00EB51F0">
        <w:rPr>
          <w:b/>
          <w:bCs/>
        </w:rPr>
        <w:t xml:space="preserve">Ensure </w:t>
      </w:r>
      <w:r w:rsidR="00757471" w:rsidRPr="00EB51F0">
        <w:rPr>
          <w:b/>
          <w:bCs/>
        </w:rPr>
        <w:t xml:space="preserve">that </w:t>
      </w:r>
      <w:r w:rsidR="0088700E" w:rsidRPr="00EB51F0">
        <w:rPr>
          <w:b/>
          <w:bCs/>
        </w:rPr>
        <w:t xml:space="preserve">former combatants are not recruited by </w:t>
      </w:r>
      <w:r w:rsidR="00EF701C" w:rsidRPr="00EB51F0">
        <w:rPr>
          <w:b/>
          <w:bCs/>
        </w:rPr>
        <w:t>private security companies,</w:t>
      </w:r>
      <w:r w:rsidR="0088700E" w:rsidRPr="00EB51F0">
        <w:rPr>
          <w:b/>
          <w:bCs/>
        </w:rPr>
        <w:t xml:space="preserve"> particularly where they are armed and the use of force is likely;</w:t>
      </w:r>
    </w:p>
    <w:p w:rsidR="0088700E" w:rsidRPr="00EB51F0" w:rsidRDefault="00686CB3" w:rsidP="000E16A8">
      <w:pPr>
        <w:pStyle w:val="SingleTxtG"/>
        <w:spacing w:after="100"/>
        <w:ind w:firstLine="567"/>
        <w:rPr>
          <w:b/>
          <w:bCs/>
        </w:rPr>
      </w:pPr>
      <w:r w:rsidRPr="00EB51F0">
        <w:rPr>
          <w:b/>
        </w:rPr>
        <w:t>(</w:t>
      </w:r>
      <w:r w:rsidR="00EB5087" w:rsidRPr="00EB51F0">
        <w:rPr>
          <w:b/>
        </w:rPr>
        <w:t>d</w:t>
      </w:r>
      <w:r w:rsidRPr="00EB51F0">
        <w:rPr>
          <w:b/>
        </w:rPr>
        <w:t>)</w:t>
      </w:r>
      <w:r w:rsidRPr="00EB51F0">
        <w:rPr>
          <w:b/>
        </w:rPr>
        <w:tab/>
      </w:r>
      <w:r w:rsidR="0088700E" w:rsidRPr="00EB51F0">
        <w:rPr>
          <w:b/>
          <w:bCs/>
        </w:rPr>
        <w:t xml:space="preserve">Ensure </w:t>
      </w:r>
      <w:r w:rsidR="00757471" w:rsidRPr="00EB51F0">
        <w:rPr>
          <w:b/>
          <w:bCs/>
        </w:rPr>
        <w:t xml:space="preserve">that </w:t>
      </w:r>
      <w:r w:rsidR="0088700E" w:rsidRPr="00EB51F0">
        <w:rPr>
          <w:b/>
          <w:bCs/>
        </w:rPr>
        <w:t xml:space="preserve">international human rights standards are incorporated into </w:t>
      </w:r>
      <w:r w:rsidR="00757471" w:rsidRPr="00EB51F0">
        <w:rPr>
          <w:b/>
          <w:bCs/>
        </w:rPr>
        <w:t xml:space="preserve">the </w:t>
      </w:r>
      <w:r w:rsidR="0088700E" w:rsidRPr="00EB51F0">
        <w:rPr>
          <w:b/>
          <w:bCs/>
        </w:rPr>
        <w:t xml:space="preserve">training manuals of </w:t>
      </w:r>
      <w:r w:rsidR="00EF701C" w:rsidRPr="00EB51F0">
        <w:rPr>
          <w:b/>
          <w:bCs/>
        </w:rPr>
        <w:t>private security companies</w:t>
      </w:r>
      <w:r w:rsidR="007474E8" w:rsidRPr="00EB51F0">
        <w:rPr>
          <w:b/>
          <w:bCs/>
        </w:rPr>
        <w:t xml:space="preserve"> </w:t>
      </w:r>
      <w:r w:rsidR="0088700E" w:rsidRPr="00EB51F0">
        <w:rPr>
          <w:b/>
          <w:bCs/>
        </w:rPr>
        <w:t xml:space="preserve">and that this becomes a standard requirement for licensing; </w:t>
      </w:r>
    </w:p>
    <w:p w:rsidR="0088700E" w:rsidRPr="00EB51F0" w:rsidRDefault="00686CB3" w:rsidP="000E16A8">
      <w:pPr>
        <w:pStyle w:val="SingleTxtG"/>
        <w:spacing w:after="100"/>
        <w:ind w:firstLine="567"/>
        <w:rPr>
          <w:b/>
          <w:bCs/>
        </w:rPr>
      </w:pPr>
      <w:r w:rsidRPr="00EB51F0">
        <w:rPr>
          <w:b/>
        </w:rPr>
        <w:t>(</w:t>
      </w:r>
      <w:r w:rsidR="00EB5087" w:rsidRPr="00EB51F0">
        <w:rPr>
          <w:b/>
        </w:rPr>
        <w:t>e</w:t>
      </w:r>
      <w:r w:rsidRPr="00EB51F0">
        <w:rPr>
          <w:b/>
        </w:rPr>
        <w:t>)</w:t>
      </w:r>
      <w:r w:rsidRPr="00EB51F0">
        <w:rPr>
          <w:b/>
        </w:rPr>
        <w:tab/>
      </w:r>
      <w:r w:rsidR="0088700E" w:rsidRPr="00EB51F0">
        <w:rPr>
          <w:b/>
          <w:bCs/>
        </w:rPr>
        <w:t xml:space="preserve">Ensure </w:t>
      </w:r>
      <w:r w:rsidR="00EF701C" w:rsidRPr="00EB51F0">
        <w:rPr>
          <w:b/>
          <w:bCs/>
        </w:rPr>
        <w:t>that private security</w:t>
      </w:r>
      <w:r w:rsidR="0088700E" w:rsidRPr="00EB51F0">
        <w:rPr>
          <w:b/>
          <w:bCs/>
        </w:rPr>
        <w:t xml:space="preserve"> personnel do not carry out functions that are exclusively for </w:t>
      </w:r>
      <w:r w:rsidR="00FF7F56" w:rsidRPr="00EB51F0">
        <w:rPr>
          <w:b/>
          <w:bCs/>
        </w:rPr>
        <w:t>S</w:t>
      </w:r>
      <w:r w:rsidR="0088700E" w:rsidRPr="00EB51F0">
        <w:rPr>
          <w:b/>
          <w:bCs/>
        </w:rPr>
        <w:t>tate security apparatus;</w:t>
      </w:r>
    </w:p>
    <w:p w:rsidR="0088700E" w:rsidRPr="00EB51F0" w:rsidRDefault="00686CB3" w:rsidP="000E16A8">
      <w:pPr>
        <w:pStyle w:val="SingleTxtG"/>
        <w:spacing w:after="100"/>
        <w:ind w:firstLine="567"/>
        <w:rPr>
          <w:b/>
          <w:bCs/>
        </w:rPr>
      </w:pPr>
      <w:r w:rsidRPr="00EB51F0">
        <w:rPr>
          <w:b/>
        </w:rPr>
        <w:t>(</w:t>
      </w:r>
      <w:r w:rsidR="00EB5087" w:rsidRPr="00EB51F0">
        <w:rPr>
          <w:b/>
        </w:rPr>
        <w:t>f</w:t>
      </w:r>
      <w:r w:rsidRPr="00EB51F0">
        <w:rPr>
          <w:b/>
        </w:rPr>
        <w:t>)</w:t>
      </w:r>
      <w:r w:rsidRPr="00EB51F0">
        <w:rPr>
          <w:b/>
        </w:rPr>
        <w:tab/>
      </w:r>
      <w:r w:rsidR="0088700E" w:rsidRPr="00EB51F0">
        <w:rPr>
          <w:b/>
          <w:bCs/>
        </w:rPr>
        <w:t xml:space="preserve">Carry out rigorous disarmament efforts targeted at </w:t>
      </w:r>
      <w:r w:rsidR="00EF701C" w:rsidRPr="00EB51F0">
        <w:rPr>
          <w:b/>
          <w:bCs/>
        </w:rPr>
        <w:t>private security</w:t>
      </w:r>
      <w:r w:rsidR="0088700E" w:rsidRPr="00EB51F0">
        <w:rPr>
          <w:b/>
          <w:bCs/>
        </w:rPr>
        <w:t xml:space="preserve"> personnel; </w:t>
      </w:r>
    </w:p>
    <w:p w:rsidR="0088700E" w:rsidRPr="000E16A8" w:rsidRDefault="00686CB3" w:rsidP="000E16A8">
      <w:pPr>
        <w:pStyle w:val="SingleTxtG"/>
        <w:spacing w:after="100"/>
        <w:ind w:firstLine="567"/>
        <w:rPr>
          <w:b/>
          <w:bCs/>
        </w:rPr>
      </w:pPr>
      <w:r w:rsidRPr="00EB51F0">
        <w:rPr>
          <w:b/>
        </w:rPr>
        <w:t>(</w:t>
      </w:r>
      <w:r w:rsidR="00EB5087" w:rsidRPr="00EB51F0">
        <w:rPr>
          <w:b/>
        </w:rPr>
        <w:t>g</w:t>
      </w:r>
      <w:r w:rsidRPr="00EB51F0">
        <w:rPr>
          <w:b/>
        </w:rPr>
        <w:t>)</w:t>
      </w:r>
      <w:r w:rsidRPr="00EB51F0">
        <w:rPr>
          <w:b/>
        </w:rPr>
        <w:tab/>
      </w:r>
      <w:r w:rsidR="0088700E" w:rsidRPr="00EB51F0">
        <w:rPr>
          <w:b/>
          <w:bCs/>
        </w:rPr>
        <w:t>Have an</w:t>
      </w:r>
      <w:r w:rsidR="0088700E" w:rsidRPr="000E16A8">
        <w:rPr>
          <w:b/>
          <w:bCs/>
        </w:rPr>
        <w:t xml:space="preserve"> independent oversight mechanism to ensure </w:t>
      </w:r>
      <w:r w:rsidR="00757471" w:rsidRPr="00B6681B">
        <w:rPr>
          <w:b/>
          <w:bCs/>
        </w:rPr>
        <w:t xml:space="preserve">that </w:t>
      </w:r>
      <w:r w:rsidR="0088700E" w:rsidRPr="000E16A8">
        <w:rPr>
          <w:b/>
          <w:bCs/>
        </w:rPr>
        <w:t xml:space="preserve">licensing authorities function without conflict of interest and are not unduly benefiting from the </w:t>
      </w:r>
      <w:r w:rsidR="00EF701C" w:rsidRPr="00B6681B">
        <w:rPr>
          <w:b/>
          <w:bCs/>
        </w:rPr>
        <w:t>private security</w:t>
      </w:r>
      <w:r w:rsidR="0088700E" w:rsidRPr="000E16A8">
        <w:rPr>
          <w:b/>
          <w:bCs/>
        </w:rPr>
        <w:t xml:space="preserve"> industry. </w:t>
      </w:r>
    </w:p>
    <w:p w:rsidR="00462314" w:rsidRPr="007766E4" w:rsidRDefault="00462314" w:rsidP="00452615">
      <w:pPr>
        <w:pStyle w:val="SingleTxtG"/>
        <w:spacing w:before="240" w:after="0"/>
        <w:jc w:val="center"/>
        <w:rPr>
          <w:u w:val="single"/>
        </w:rPr>
      </w:pPr>
      <w:r w:rsidRPr="007766E4">
        <w:rPr>
          <w:u w:val="single"/>
        </w:rPr>
        <w:tab/>
      </w:r>
      <w:r w:rsidRPr="007766E4">
        <w:rPr>
          <w:u w:val="single"/>
        </w:rPr>
        <w:tab/>
      </w:r>
      <w:r w:rsidRPr="007766E4">
        <w:rPr>
          <w:u w:val="single"/>
        </w:rPr>
        <w:tab/>
      </w:r>
    </w:p>
    <w:sectPr w:rsidR="00462314" w:rsidRPr="007766E4" w:rsidSect="00EC3976">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C5" w:rsidRDefault="005B3AC5"/>
  </w:endnote>
  <w:endnote w:type="continuationSeparator" w:id="0">
    <w:p w:rsidR="005B3AC5" w:rsidRDefault="005B3AC5"/>
  </w:endnote>
  <w:endnote w:type="continuationNotice" w:id="1">
    <w:p w:rsidR="005B3AC5" w:rsidRDefault="005B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3" w:rsidRPr="00FC0550" w:rsidRDefault="00095B23" w:rsidP="00C16CE8">
    <w:pPr>
      <w:pStyle w:val="Footer"/>
      <w:tabs>
        <w:tab w:val="right" w:pos="9638"/>
      </w:tabs>
    </w:pPr>
    <w:r w:rsidRPr="00FC0550">
      <w:rPr>
        <w:b/>
        <w:sz w:val="18"/>
      </w:rPr>
      <w:fldChar w:fldCharType="begin"/>
    </w:r>
    <w:r w:rsidRPr="00FC0550">
      <w:rPr>
        <w:b/>
        <w:sz w:val="18"/>
      </w:rPr>
      <w:instrText xml:space="preserve"> PAGE  \* MERGEFORMAT </w:instrText>
    </w:r>
    <w:r w:rsidRPr="00FC0550">
      <w:rPr>
        <w:b/>
        <w:sz w:val="18"/>
      </w:rPr>
      <w:fldChar w:fldCharType="separate"/>
    </w:r>
    <w:r w:rsidR="0071081A">
      <w:rPr>
        <w:b/>
        <w:noProof/>
        <w:sz w:val="18"/>
      </w:rPr>
      <w:t>18</w:t>
    </w:r>
    <w:r w:rsidRPr="00FC055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3" w:rsidRPr="00FC0550" w:rsidRDefault="00095B23" w:rsidP="00C16CE8">
    <w:pPr>
      <w:pStyle w:val="Footer"/>
      <w:tabs>
        <w:tab w:val="right" w:pos="9638"/>
      </w:tabs>
      <w:rPr>
        <w:b/>
        <w:sz w:val="18"/>
      </w:rPr>
    </w:pPr>
    <w:r>
      <w:tab/>
    </w:r>
    <w:r w:rsidRPr="00FC0550">
      <w:rPr>
        <w:b/>
        <w:sz w:val="18"/>
      </w:rPr>
      <w:fldChar w:fldCharType="begin"/>
    </w:r>
    <w:r w:rsidRPr="00FC0550">
      <w:rPr>
        <w:b/>
        <w:sz w:val="18"/>
      </w:rPr>
      <w:instrText xml:space="preserve"> PAGE  \* MERGEFORMAT </w:instrText>
    </w:r>
    <w:r w:rsidRPr="00FC0550">
      <w:rPr>
        <w:b/>
        <w:sz w:val="18"/>
      </w:rPr>
      <w:fldChar w:fldCharType="separate"/>
    </w:r>
    <w:r w:rsidR="0071081A">
      <w:rPr>
        <w:b/>
        <w:noProof/>
        <w:sz w:val="18"/>
      </w:rPr>
      <w:t>17</w:t>
    </w:r>
    <w:r w:rsidRPr="00FC05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C3976" w:rsidTr="00EC3976">
      <w:tc>
        <w:tcPr>
          <w:tcW w:w="3614" w:type="dxa"/>
          <w:shd w:val="clear" w:color="auto" w:fill="auto"/>
        </w:tcPr>
        <w:p w:rsidR="00EC3976" w:rsidRDefault="00EC3976" w:rsidP="00EC397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A/HRC/30/34/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4/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GE.15-13876(E)</w:t>
          </w:r>
        </w:p>
        <w:p w:rsidR="00EC3976" w:rsidRPr="00EC3976" w:rsidRDefault="00EC3976" w:rsidP="00EC3976">
          <w:pPr>
            <w:pStyle w:val="Footer"/>
            <w:rPr>
              <w:rFonts w:ascii="Barcode 3 of 9 by request" w:hAnsi="Barcode 3 of 9 by request"/>
              <w:sz w:val="24"/>
            </w:rPr>
          </w:pPr>
          <w:r>
            <w:rPr>
              <w:rFonts w:ascii="Barcode 3 of 9 by request" w:hAnsi="Barcode 3 of 9 by request"/>
              <w:sz w:val="24"/>
            </w:rPr>
            <w:t>*1513876*</w:t>
          </w:r>
        </w:p>
      </w:tc>
      <w:tc>
        <w:tcPr>
          <w:tcW w:w="4752" w:type="dxa"/>
          <w:shd w:val="clear" w:color="auto" w:fill="auto"/>
        </w:tcPr>
        <w:p w:rsidR="00EC3976" w:rsidRDefault="00EC3976" w:rsidP="00EC3976">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C3976" w:rsidRPr="00EC3976" w:rsidRDefault="00EC3976" w:rsidP="00EC397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C5" w:rsidRPr="000B175B" w:rsidRDefault="005B3AC5" w:rsidP="00C16CE8">
      <w:pPr>
        <w:tabs>
          <w:tab w:val="right" w:pos="2155"/>
        </w:tabs>
        <w:spacing w:after="80"/>
        <w:ind w:left="680"/>
        <w:rPr>
          <w:u w:val="single"/>
        </w:rPr>
      </w:pPr>
      <w:r>
        <w:rPr>
          <w:u w:val="single"/>
        </w:rPr>
        <w:tab/>
      </w:r>
    </w:p>
  </w:footnote>
  <w:footnote w:type="continuationSeparator" w:id="0">
    <w:p w:rsidR="005B3AC5" w:rsidRPr="00FC68B7" w:rsidRDefault="005B3AC5" w:rsidP="00C16CE8">
      <w:pPr>
        <w:tabs>
          <w:tab w:val="left" w:pos="2155"/>
        </w:tabs>
        <w:spacing w:after="80"/>
        <w:ind w:left="680"/>
        <w:rPr>
          <w:u w:val="single"/>
        </w:rPr>
      </w:pPr>
      <w:r>
        <w:rPr>
          <w:u w:val="single"/>
        </w:rPr>
        <w:tab/>
      </w:r>
    </w:p>
  </w:footnote>
  <w:footnote w:type="continuationNotice" w:id="1">
    <w:p w:rsidR="005B3AC5" w:rsidRDefault="005B3AC5"/>
  </w:footnote>
  <w:footnote w:id="2">
    <w:p w:rsidR="00EB51F0" w:rsidRPr="006C1DB6" w:rsidRDefault="00EB51F0" w:rsidP="00EB51F0">
      <w:pPr>
        <w:pStyle w:val="FootnoteText"/>
        <w:rPr>
          <w:szCs w:val="18"/>
        </w:rPr>
      </w:pPr>
      <w:r w:rsidRPr="00E77465">
        <w:rPr>
          <w:rStyle w:val="FootnoteReference"/>
        </w:rPr>
        <w:tab/>
      </w:r>
      <w:r w:rsidRPr="00E77465">
        <w:rPr>
          <w:rStyle w:val="FootnoteReference"/>
          <w:sz w:val="20"/>
        </w:rPr>
        <w:t>*</w:t>
      </w:r>
      <w:r w:rsidRPr="004C35F2">
        <w:rPr>
          <w:rStyle w:val="FootnoteReference"/>
          <w:sz w:val="20"/>
          <w:vertAlign w:val="baseline"/>
        </w:rPr>
        <w:tab/>
      </w:r>
      <w:r w:rsidRPr="006C1DB6">
        <w:rPr>
          <w:szCs w:val="18"/>
        </w:rPr>
        <w:t xml:space="preserve">The summary of the present report is </w:t>
      </w:r>
      <w:r>
        <w:rPr>
          <w:szCs w:val="18"/>
        </w:rPr>
        <w:t>circulated</w:t>
      </w:r>
      <w:r w:rsidRPr="006C1DB6">
        <w:rPr>
          <w:szCs w:val="18"/>
        </w:rPr>
        <w:t xml:space="preserve"> in all official languages. The report itself, </w:t>
      </w:r>
      <w:r>
        <w:rPr>
          <w:szCs w:val="18"/>
        </w:rPr>
        <w:t>which is</w:t>
      </w:r>
      <w:r w:rsidRPr="006C1DB6">
        <w:rPr>
          <w:szCs w:val="18"/>
        </w:rPr>
        <w:t xml:space="preserve"> annex</w:t>
      </w:r>
      <w:r>
        <w:rPr>
          <w:szCs w:val="18"/>
        </w:rPr>
        <w:t>ed</w:t>
      </w:r>
      <w:r w:rsidRPr="006C1DB6">
        <w:rPr>
          <w:szCs w:val="18"/>
        </w:rPr>
        <w:t xml:space="preserve"> to the summary, is </w:t>
      </w:r>
      <w:r>
        <w:rPr>
          <w:szCs w:val="18"/>
        </w:rPr>
        <w:t>circulated</w:t>
      </w:r>
      <w:r w:rsidRPr="006C1DB6">
        <w:rPr>
          <w:szCs w:val="18"/>
        </w:rPr>
        <w:t xml:space="preserve"> in the la</w:t>
      </w:r>
      <w:r>
        <w:rPr>
          <w:szCs w:val="18"/>
        </w:rPr>
        <w:t>nguage of submission and French</w:t>
      </w:r>
      <w:r w:rsidRPr="006C1DB6">
        <w:rPr>
          <w:szCs w:val="18"/>
        </w:rPr>
        <w:t xml:space="preserve"> only.</w:t>
      </w:r>
    </w:p>
  </w:footnote>
  <w:footnote w:id="3">
    <w:p w:rsidR="004D637C" w:rsidRDefault="004D637C">
      <w:pPr>
        <w:pStyle w:val="FootnoteText"/>
      </w:pPr>
      <w:r>
        <w:tab/>
      </w:r>
      <w:r>
        <w:rPr>
          <w:rStyle w:val="FootnoteReference"/>
        </w:rPr>
        <w:t>**</w:t>
      </w:r>
      <w:r>
        <w:tab/>
      </w:r>
      <w:proofErr w:type="gramStart"/>
      <w:r>
        <w:t>Late submission.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3" w:rsidRPr="00FC0550" w:rsidRDefault="00095B23" w:rsidP="004B4363">
    <w:pPr>
      <w:pStyle w:val="Header"/>
    </w:pPr>
    <w:r>
      <w:t>A/HRC/30/34/Add.1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3" w:rsidRPr="00FC0550" w:rsidRDefault="00095B23" w:rsidP="00144EDC">
    <w:pPr>
      <w:pStyle w:val="Header"/>
      <w:jc w:val="right"/>
    </w:pPr>
    <w:r>
      <w:t>A/HRC/30/34/Add.1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2">
    <w:nsid w:val="03F2036B"/>
    <w:multiLevelType w:val="hybridMultilevel"/>
    <w:tmpl w:val="4E7690C2"/>
    <w:lvl w:ilvl="0" w:tplc="AA96AC3C">
      <w:start w:val="1"/>
      <w:numFmt w:val="lowerLetter"/>
      <w:pStyle w:val="Bullet1G"/>
      <w:lvlText w:val="(%1)"/>
      <w:lvlJc w:val="left"/>
      <w:pPr>
        <w:tabs>
          <w:tab w:val="num" w:pos="1872"/>
        </w:tabs>
        <w:ind w:left="1872" w:hanging="170"/>
      </w:pPr>
      <w:rPr>
        <w:rFonts w:hint="default"/>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
    <w:nsid w:val="0DD436AB"/>
    <w:multiLevelType w:val="hybridMultilevel"/>
    <w:tmpl w:val="EE3409A4"/>
    <w:lvl w:ilvl="0" w:tplc="49F00EAA">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0B21E87"/>
    <w:multiLevelType w:val="hybridMultilevel"/>
    <w:tmpl w:val="93CEEDAA"/>
    <w:lvl w:ilvl="0" w:tplc="449A2F2C">
      <w:start w:val="1"/>
      <w:numFmt w:val="decimal"/>
      <w:lvlText w:val="%1."/>
      <w:lvlJc w:val="left"/>
      <w:pPr>
        <w:ind w:left="1689" w:hanging="555"/>
      </w:pPr>
      <w:rPr>
        <w:rFonts w:hint="default"/>
        <w:b w:val="0"/>
        <w:bCs/>
        <w:i w:val="0"/>
        <w:i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7F63EFA"/>
    <w:multiLevelType w:val="hybridMultilevel"/>
    <w:tmpl w:val="5EAED40C"/>
    <w:lvl w:ilvl="0" w:tplc="8FCCF7CA">
      <w:start w:val="1"/>
      <w:numFmt w:val="upperRoman"/>
      <w:lvlText w:val="%1."/>
      <w:lvlJc w:val="left"/>
      <w:pPr>
        <w:ind w:left="1146"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421B0"/>
    <w:multiLevelType w:val="hybridMultilevel"/>
    <w:tmpl w:val="17F68C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AAC3E2A"/>
    <w:multiLevelType w:val="hybridMultilevel"/>
    <w:tmpl w:val="33ACC2F2"/>
    <w:lvl w:ilvl="0" w:tplc="0EEE1AD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AEA7FD8"/>
    <w:multiLevelType w:val="hybridMultilevel"/>
    <w:tmpl w:val="7F92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5E7E5D"/>
    <w:multiLevelType w:val="hybridMultilevel"/>
    <w:tmpl w:val="9E5A692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32385C38"/>
    <w:multiLevelType w:val="multilevel"/>
    <w:tmpl w:val="B22020CA"/>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54F65D8"/>
    <w:multiLevelType w:val="hybridMultilevel"/>
    <w:tmpl w:val="98B85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E7B62"/>
    <w:multiLevelType w:val="hybridMultilevel"/>
    <w:tmpl w:val="522CB804"/>
    <w:lvl w:ilvl="0" w:tplc="213C5E9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08C4B962">
      <w:start w:val="1"/>
      <w:numFmt w:val="decimal"/>
      <w:lvlText w:val="%3."/>
      <w:lvlJc w:val="left"/>
      <w:pPr>
        <w:tabs>
          <w:tab w:val="num" w:pos="1701"/>
        </w:tabs>
        <w:ind w:left="1134" w:firstLine="0"/>
      </w:pPr>
      <w:rPr>
        <w:rFonts w:hint="default"/>
        <w:b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4">
    <w:nsid w:val="44983EB4"/>
    <w:multiLevelType w:val="hybridMultilevel"/>
    <w:tmpl w:val="5E265AD6"/>
    <w:lvl w:ilvl="0" w:tplc="E228CEB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54F341E3"/>
    <w:multiLevelType w:val="hybridMultilevel"/>
    <w:tmpl w:val="2DC4170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552D7989"/>
    <w:multiLevelType w:val="multilevel"/>
    <w:tmpl w:val="9B68884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5D9978CB"/>
    <w:multiLevelType w:val="hybridMultilevel"/>
    <w:tmpl w:val="71B23B5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4"/>
  </w:num>
  <w:num w:numId="4">
    <w:abstractNumId w:val="17"/>
  </w:num>
  <w:num w:numId="5">
    <w:abstractNumId w:val="12"/>
  </w:num>
  <w:num w:numId="6">
    <w:abstractNumId w:val="13"/>
  </w:num>
  <w:num w:numId="7">
    <w:abstractNumId w:val="5"/>
  </w:num>
  <w:num w:numId="8">
    <w:abstractNumId w:val="8"/>
  </w:num>
  <w:num w:numId="9">
    <w:abstractNumId w:val="9"/>
  </w:num>
  <w:num w:numId="10">
    <w:abstractNumId w:val="15"/>
  </w:num>
  <w:num w:numId="11">
    <w:abstractNumId w:val="7"/>
  </w:num>
  <w:num w:numId="12">
    <w:abstractNumId w:val="11"/>
  </w:num>
  <w:num w:numId="13">
    <w:abstractNumId w:val="3"/>
  </w:num>
  <w:num w:numId="14">
    <w:abstractNumId w:val="10"/>
  </w:num>
  <w:num w:numId="15">
    <w:abstractNumId w:val="16"/>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6"/>
  </w:num>
  <w:num w:numId="2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0"/>
    <w:rsid w:val="0000042B"/>
    <w:rsid w:val="00000436"/>
    <w:rsid w:val="00001225"/>
    <w:rsid w:val="000031EB"/>
    <w:rsid w:val="00003CC7"/>
    <w:rsid w:val="00006DD7"/>
    <w:rsid w:val="00007BDE"/>
    <w:rsid w:val="00011945"/>
    <w:rsid w:val="00011A6E"/>
    <w:rsid w:val="00016F02"/>
    <w:rsid w:val="00016F25"/>
    <w:rsid w:val="00020AD2"/>
    <w:rsid w:val="00022858"/>
    <w:rsid w:val="00025B14"/>
    <w:rsid w:val="0002653A"/>
    <w:rsid w:val="00026A09"/>
    <w:rsid w:val="00031DCA"/>
    <w:rsid w:val="00032028"/>
    <w:rsid w:val="00032B4F"/>
    <w:rsid w:val="00034284"/>
    <w:rsid w:val="00034A55"/>
    <w:rsid w:val="000360EB"/>
    <w:rsid w:val="0003692D"/>
    <w:rsid w:val="00041C33"/>
    <w:rsid w:val="000420D1"/>
    <w:rsid w:val="000445AB"/>
    <w:rsid w:val="000465D5"/>
    <w:rsid w:val="00047FE8"/>
    <w:rsid w:val="00051663"/>
    <w:rsid w:val="0005208C"/>
    <w:rsid w:val="0005389A"/>
    <w:rsid w:val="00054902"/>
    <w:rsid w:val="000565D8"/>
    <w:rsid w:val="000568AE"/>
    <w:rsid w:val="000605D3"/>
    <w:rsid w:val="00060A10"/>
    <w:rsid w:val="0006224D"/>
    <w:rsid w:val="00062451"/>
    <w:rsid w:val="0006799B"/>
    <w:rsid w:val="00072889"/>
    <w:rsid w:val="0007327C"/>
    <w:rsid w:val="00077503"/>
    <w:rsid w:val="00081571"/>
    <w:rsid w:val="000819A7"/>
    <w:rsid w:val="00081A0B"/>
    <w:rsid w:val="000823DA"/>
    <w:rsid w:val="00083F0E"/>
    <w:rsid w:val="00084578"/>
    <w:rsid w:val="00084B1E"/>
    <w:rsid w:val="00087932"/>
    <w:rsid w:val="00090A63"/>
    <w:rsid w:val="00091710"/>
    <w:rsid w:val="00093083"/>
    <w:rsid w:val="00093707"/>
    <w:rsid w:val="00094AD1"/>
    <w:rsid w:val="00095B23"/>
    <w:rsid w:val="00095E46"/>
    <w:rsid w:val="0009611C"/>
    <w:rsid w:val="000961AB"/>
    <w:rsid w:val="00096739"/>
    <w:rsid w:val="00096CC1"/>
    <w:rsid w:val="00097B1B"/>
    <w:rsid w:val="00097BCA"/>
    <w:rsid w:val="000A33A9"/>
    <w:rsid w:val="000A3627"/>
    <w:rsid w:val="000A49FD"/>
    <w:rsid w:val="000A5171"/>
    <w:rsid w:val="000A531D"/>
    <w:rsid w:val="000A61D9"/>
    <w:rsid w:val="000B20D6"/>
    <w:rsid w:val="000B25CA"/>
    <w:rsid w:val="000B4B0B"/>
    <w:rsid w:val="000B5F72"/>
    <w:rsid w:val="000C2AB9"/>
    <w:rsid w:val="000C34E2"/>
    <w:rsid w:val="000C4111"/>
    <w:rsid w:val="000D0360"/>
    <w:rsid w:val="000D1878"/>
    <w:rsid w:val="000D553D"/>
    <w:rsid w:val="000D5CC6"/>
    <w:rsid w:val="000E0D3F"/>
    <w:rsid w:val="000E16A8"/>
    <w:rsid w:val="000E3EFA"/>
    <w:rsid w:val="000E454E"/>
    <w:rsid w:val="000E652B"/>
    <w:rsid w:val="000E73D2"/>
    <w:rsid w:val="000F086B"/>
    <w:rsid w:val="000F09AC"/>
    <w:rsid w:val="000F30C1"/>
    <w:rsid w:val="000F3460"/>
    <w:rsid w:val="000F7A66"/>
    <w:rsid w:val="00100339"/>
    <w:rsid w:val="00100F3C"/>
    <w:rsid w:val="001018CA"/>
    <w:rsid w:val="001025DC"/>
    <w:rsid w:val="00102DA0"/>
    <w:rsid w:val="001038F8"/>
    <w:rsid w:val="00103976"/>
    <w:rsid w:val="00104A5F"/>
    <w:rsid w:val="001073D7"/>
    <w:rsid w:val="00107D20"/>
    <w:rsid w:val="0011226B"/>
    <w:rsid w:val="001126E1"/>
    <w:rsid w:val="00113046"/>
    <w:rsid w:val="00113696"/>
    <w:rsid w:val="00114190"/>
    <w:rsid w:val="001165CD"/>
    <w:rsid w:val="001171E3"/>
    <w:rsid w:val="0012105C"/>
    <w:rsid w:val="00122FD5"/>
    <w:rsid w:val="00130550"/>
    <w:rsid w:val="001305F1"/>
    <w:rsid w:val="00130A73"/>
    <w:rsid w:val="0013556F"/>
    <w:rsid w:val="00135D57"/>
    <w:rsid w:val="0013619B"/>
    <w:rsid w:val="0013674B"/>
    <w:rsid w:val="001367EC"/>
    <w:rsid w:val="00137EC3"/>
    <w:rsid w:val="00142334"/>
    <w:rsid w:val="00144C34"/>
    <w:rsid w:val="00144D38"/>
    <w:rsid w:val="00144EDC"/>
    <w:rsid w:val="00145070"/>
    <w:rsid w:val="0014507F"/>
    <w:rsid w:val="00145E17"/>
    <w:rsid w:val="001462B5"/>
    <w:rsid w:val="0014767F"/>
    <w:rsid w:val="00150A21"/>
    <w:rsid w:val="001528D4"/>
    <w:rsid w:val="00153017"/>
    <w:rsid w:val="00160E95"/>
    <w:rsid w:val="00161165"/>
    <w:rsid w:val="00161337"/>
    <w:rsid w:val="0016180C"/>
    <w:rsid w:val="00163301"/>
    <w:rsid w:val="00165214"/>
    <w:rsid w:val="00165D1B"/>
    <w:rsid w:val="001666A1"/>
    <w:rsid w:val="00166DC7"/>
    <w:rsid w:val="001670FE"/>
    <w:rsid w:val="001721A1"/>
    <w:rsid w:val="001724A1"/>
    <w:rsid w:val="00172D13"/>
    <w:rsid w:val="00172DA0"/>
    <w:rsid w:val="00173223"/>
    <w:rsid w:val="00174D93"/>
    <w:rsid w:val="00176954"/>
    <w:rsid w:val="00177719"/>
    <w:rsid w:val="001803E6"/>
    <w:rsid w:val="00181DB6"/>
    <w:rsid w:val="00182866"/>
    <w:rsid w:val="00182E2C"/>
    <w:rsid w:val="0018323D"/>
    <w:rsid w:val="001835D4"/>
    <w:rsid w:val="0018470A"/>
    <w:rsid w:val="00187403"/>
    <w:rsid w:val="00192181"/>
    <w:rsid w:val="0019483C"/>
    <w:rsid w:val="00197D3F"/>
    <w:rsid w:val="001A2877"/>
    <w:rsid w:val="001A3968"/>
    <w:rsid w:val="001A397C"/>
    <w:rsid w:val="001A5A2F"/>
    <w:rsid w:val="001A708F"/>
    <w:rsid w:val="001A72CF"/>
    <w:rsid w:val="001B10E2"/>
    <w:rsid w:val="001B2F57"/>
    <w:rsid w:val="001C217B"/>
    <w:rsid w:val="001C2278"/>
    <w:rsid w:val="001C34DF"/>
    <w:rsid w:val="001C433D"/>
    <w:rsid w:val="001C585A"/>
    <w:rsid w:val="001C6DC4"/>
    <w:rsid w:val="001C7F94"/>
    <w:rsid w:val="001D0663"/>
    <w:rsid w:val="001D07C9"/>
    <w:rsid w:val="001D0F52"/>
    <w:rsid w:val="001D2021"/>
    <w:rsid w:val="001D2EBE"/>
    <w:rsid w:val="001D30B4"/>
    <w:rsid w:val="001D55AD"/>
    <w:rsid w:val="001D56B5"/>
    <w:rsid w:val="001D6278"/>
    <w:rsid w:val="001E048A"/>
    <w:rsid w:val="001E4338"/>
    <w:rsid w:val="001E534A"/>
    <w:rsid w:val="001E57F5"/>
    <w:rsid w:val="001E5AFA"/>
    <w:rsid w:val="001E7966"/>
    <w:rsid w:val="001F18B5"/>
    <w:rsid w:val="001F26B2"/>
    <w:rsid w:val="001F3F60"/>
    <w:rsid w:val="001F717C"/>
    <w:rsid w:val="002022F7"/>
    <w:rsid w:val="002025E7"/>
    <w:rsid w:val="00202FAB"/>
    <w:rsid w:val="00203D9C"/>
    <w:rsid w:val="00203EA9"/>
    <w:rsid w:val="00204BDE"/>
    <w:rsid w:val="00206D90"/>
    <w:rsid w:val="00213001"/>
    <w:rsid w:val="00214E93"/>
    <w:rsid w:val="00215A23"/>
    <w:rsid w:val="00216054"/>
    <w:rsid w:val="00216894"/>
    <w:rsid w:val="00216BDA"/>
    <w:rsid w:val="00222315"/>
    <w:rsid w:val="00222568"/>
    <w:rsid w:val="00224CD5"/>
    <w:rsid w:val="00224D80"/>
    <w:rsid w:val="00227522"/>
    <w:rsid w:val="00230DBB"/>
    <w:rsid w:val="00232D3F"/>
    <w:rsid w:val="002335D3"/>
    <w:rsid w:val="00235E72"/>
    <w:rsid w:val="00236389"/>
    <w:rsid w:val="002405BA"/>
    <w:rsid w:val="00241A0B"/>
    <w:rsid w:val="0024213A"/>
    <w:rsid w:val="00251D5E"/>
    <w:rsid w:val="00252BA4"/>
    <w:rsid w:val="00253BB1"/>
    <w:rsid w:val="00257FA4"/>
    <w:rsid w:val="002616B9"/>
    <w:rsid w:val="00262CB7"/>
    <w:rsid w:val="00263E8D"/>
    <w:rsid w:val="00264157"/>
    <w:rsid w:val="00264ACC"/>
    <w:rsid w:val="00264E01"/>
    <w:rsid w:val="00265465"/>
    <w:rsid w:val="00266D5C"/>
    <w:rsid w:val="002719CD"/>
    <w:rsid w:val="00271C0D"/>
    <w:rsid w:val="002747E4"/>
    <w:rsid w:val="0027485E"/>
    <w:rsid w:val="00274D71"/>
    <w:rsid w:val="002752EA"/>
    <w:rsid w:val="00277488"/>
    <w:rsid w:val="00280856"/>
    <w:rsid w:val="00281CCC"/>
    <w:rsid w:val="0028466A"/>
    <w:rsid w:val="002849FC"/>
    <w:rsid w:val="00284B00"/>
    <w:rsid w:val="002852CA"/>
    <w:rsid w:val="00285815"/>
    <w:rsid w:val="00285A40"/>
    <w:rsid w:val="00286F66"/>
    <w:rsid w:val="00287330"/>
    <w:rsid w:val="0028735C"/>
    <w:rsid w:val="00287589"/>
    <w:rsid w:val="00290262"/>
    <w:rsid w:val="00290848"/>
    <w:rsid w:val="00290BD0"/>
    <w:rsid w:val="002919AB"/>
    <w:rsid w:val="002936D5"/>
    <w:rsid w:val="00293708"/>
    <w:rsid w:val="0029451D"/>
    <w:rsid w:val="00294B2B"/>
    <w:rsid w:val="0029614E"/>
    <w:rsid w:val="002963D6"/>
    <w:rsid w:val="002A0B7E"/>
    <w:rsid w:val="002A1191"/>
    <w:rsid w:val="002A1C57"/>
    <w:rsid w:val="002A1F33"/>
    <w:rsid w:val="002A1F75"/>
    <w:rsid w:val="002A534A"/>
    <w:rsid w:val="002A5882"/>
    <w:rsid w:val="002A5C95"/>
    <w:rsid w:val="002A6924"/>
    <w:rsid w:val="002A7EBF"/>
    <w:rsid w:val="002B0327"/>
    <w:rsid w:val="002B1F20"/>
    <w:rsid w:val="002B245E"/>
    <w:rsid w:val="002B3719"/>
    <w:rsid w:val="002B39B0"/>
    <w:rsid w:val="002B600D"/>
    <w:rsid w:val="002C0199"/>
    <w:rsid w:val="002C0AB8"/>
    <w:rsid w:val="002C3A7D"/>
    <w:rsid w:val="002C3B41"/>
    <w:rsid w:val="002C5780"/>
    <w:rsid w:val="002C6525"/>
    <w:rsid w:val="002C7DFF"/>
    <w:rsid w:val="002D3DFA"/>
    <w:rsid w:val="002D46F4"/>
    <w:rsid w:val="002D502A"/>
    <w:rsid w:val="002D54CE"/>
    <w:rsid w:val="002D6712"/>
    <w:rsid w:val="002D7920"/>
    <w:rsid w:val="002E04DA"/>
    <w:rsid w:val="002E1357"/>
    <w:rsid w:val="002E17C0"/>
    <w:rsid w:val="002E1B59"/>
    <w:rsid w:val="002E33C7"/>
    <w:rsid w:val="002E47B7"/>
    <w:rsid w:val="002E504B"/>
    <w:rsid w:val="002F1F86"/>
    <w:rsid w:val="002F5BDA"/>
    <w:rsid w:val="002F775F"/>
    <w:rsid w:val="00303F2C"/>
    <w:rsid w:val="00304947"/>
    <w:rsid w:val="00304BCE"/>
    <w:rsid w:val="00307ADF"/>
    <w:rsid w:val="00311CC5"/>
    <w:rsid w:val="003139B4"/>
    <w:rsid w:val="00314A8D"/>
    <w:rsid w:val="00314E1A"/>
    <w:rsid w:val="00315356"/>
    <w:rsid w:val="00315AF4"/>
    <w:rsid w:val="00321B18"/>
    <w:rsid w:val="00321BF6"/>
    <w:rsid w:val="003233E4"/>
    <w:rsid w:val="00324657"/>
    <w:rsid w:val="003265E0"/>
    <w:rsid w:val="00326CAE"/>
    <w:rsid w:val="00326DF7"/>
    <w:rsid w:val="003309C8"/>
    <w:rsid w:val="00330B94"/>
    <w:rsid w:val="00334E4A"/>
    <w:rsid w:val="00334F92"/>
    <w:rsid w:val="003365F6"/>
    <w:rsid w:val="00337127"/>
    <w:rsid w:val="0033735A"/>
    <w:rsid w:val="00337DBE"/>
    <w:rsid w:val="00342258"/>
    <w:rsid w:val="003426D0"/>
    <w:rsid w:val="00344BDC"/>
    <w:rsid w:val="00345011"/>
    <w:rsid w:val="00345115"/>
    <w:rsid w:val="00345B74"/>
    <w:rsid w:val="003464A3"/>
    <w:rsid w:val="003475A8"/>
    <w:rsid w:val="003503E7"/>
    <w:rsid w:val="00350565"/>
    <w:rsid w:val="00351247"/>
    <w:rsid w:val="0035206A"/>
    <w:rsid w:val="00352B64"/>
    <w:rsid w:val="00354FE5"/>
    <w:rsid w:val="00360D97"/>
    <w:rsid w:val="00362B7F"/>
    <w:rsid w:val="00364563"/>
    <w:rsid w:val="003670ED"/>
    <w:rsid w:val="00367F3B"/>
    <w:rsid w:val="00370019"/>
    <w:rsid w:val="003704D1"/>
    <w:rsid w:val="003724AB"/>
    <w:rsid w:val="003737DF"/>
    <w:rsid w:val="00373B38"/>
    <w:rsid w:val="00374A17"/>
    <w:rsid w:val="00375620"/>
    <w:rsid w:val="00377CE9"/>
    <w:rsid w:val="00381D93"/>
    <w:rsid w:val="00381F50"/>
    <w:rsid w:val="00383878"/>
    <w:rsid w:val="00383A49"/>
    <w:rsid w:val="003866A2"/>
    <w:rsid w:val="00386B5E"/>
    <w:rsid w:val="00387767"/>
    <w:rsid w:val="00391B46"/>
    <w:rsid w:val="00391C14"/>
    <w:rsid w:val="0039544B"/>
    <w:rsid w:val="00396886"/>
    <w:rsid w:val="003A2159"/>
    <w:rsid w:val="003A5CDF"/>
    <w:rsid w:val="003A7AAB"/>
    <w:rsid w:val="003B0121"/>
    <w:rsid w:val="003B0357"/>
    <w:rsid w:val="003B1F99"/>
    <w:rsid w:val="003B2758"/>
    <w:rsid w:val="003B60FA"/>
    <w:rsid w:val="003B686C"/>
    <w:rsid w:val="003B6FED"/>
    <w:rsid w:val="003B72A5"/>
    <w:rsid w:val="003C2324"/>
    <w:rsid w:val="003C6433"/>
    <w:rsid w:val="003C704F"/>
    <w:rsid w:val="003C785E"/>
    <w:rsid w:val="003C795B"/>
    <w:rsid w:val="003D1281"/>
    <w:rsid w:val="003D20AB"/>
    <w:rsid w:val="003D2780"/>
    <w:rsid w:val="003D3194"/>
    <w:rsid w:val="003D63A9"/>
    <w:rsid w:val="003D6547"/>
    <w:rsid w:val="003E1CBA"/>
    <w:rsid w:val="003E1D88"/>
    <w:rsid w:val="003E3798"/>
    <w:rsid w:val="003E74FB"/>
    <w:rsid w:val="003E7CE4"/>
    <w:rsid w:val="003F134A"/>
    <w:rsid w:val="003F4800"/>
    <w:rsid w:val="003F63E7"/>
    <w:rsid w:val="003F69C4"/>
    <w:rsid w:val="003F6AB6"/>
    <w:rsid w:val="003F78B9"/>
    <w:rsid w:val="003F7B3F"/>
    <w:rsid w:val="003F7EF4"/>
    <w:rsid w:val="0040087F"/>
    <w:rsid w:val="00402075"/>
    <w:rsid w:val="0040319B"/>
    <w:rsid w:val="004041C1"/>
    <w:rsid w:val="00404FDB"/>
    <w:rsid w:val="00405647"/>
    <w:rsid w:val="0040623B"/>
    <w:rsid w:val="00410546"/>
    <w:rsid w:val="00411419"/>
    <w:rsid w:val="00412047"/>
    <w:rsid w:val="00413BB3"/>
    <w:rsid w:val="0041530E"/>
    <w:rsid w:val="00416B75"/>
    <w:rsid w:val="00420091"/>
    <w:rsid w:val="0042013A"/>
    <w:rsid w:val="00421A60"/>
    <w:rsid w:val="0042414A"/>
    <w:rsid w:val="00424F7E"/>
    <w:rsid w:val="00426A51"/>
    <w:rsid w:val="00426AA4"/>
    <w:rsid w:val="004273B1"/>
    <w:rsid w:val="0042740E"/>
    <w:rsid w:val="00427DC6"/>
    <w:rsid w:val="004312D0"/>
    <w:rsid w:val="00431971"/>
    <w:rsid w:val="00433EE9"/>
    <w:rsid w:val="00434476"/>
    <w:rsid w:val="0043480F"/>
    <w:rsid w:val="00435A2F"/>
    <w:rsid w:val="00436B92"/>
    <w:rsid w:val="00437392"/>
    <w:rsid w:val="00437FFD"/>
    <w:rsid w:val="00441820"/>
    <w:rsid w:val="00441D80"/>
    <w:rsid w:val="0044500F"/>
    <w:rsid w:val="00445A5C"/>
    <w:rsid w:val="004460E7"/>
    <w:rsid w:val="00446CFB"/>
    <w:rsid w:val="00450B78"/>
    <w:rsid w:val="00450E47"/>
    <w:rsid w:val="00452615"/>
    <w:rsid w:val="0045358E"/>
    <w:rsid w:val="00454248"/>
    <w:rsid w:val="00455EE0"/>
    <w:rsid w:val="004574B3"/>
    <w:rsid w:val="004602FF"/>
    <w:rsid w:val="00460419"/>
    <w:rsid w:val="004610BE"/>
    <w:rsid w:val="00461CD7"/>
    <w:rsid w:val="00462314"/>
    <w:rsid w:val="004636F0"/>
    <w:rsid w:val="004639CB"/>
    <w:rsid w:val="00463D59"/>
    <w:rsid w:val="004652CE"/>
    <w:rsid w:val="00465BF1"/>
    <w:rsid w:val="00465F00"/>
    <w:rsid w:val="00467F22"/>
    <w:rsid w:val="00470AA0"/>
    <w:rsid w:val="00472E30"/>
    <w:rsid w:val="00475617"/>
    <w:rsid w:val="00475AA2"/>
    <w:rsid w:val="00476244"/>
    <w:rsid w:val="00476B9A"/>
    <w:rsid w:val="00477986"/>
    <w:rsid w:val="004821B0"/>
    <w:rsid w:val="004823C4"/>
    <w:rsid w:val="00484D8D"/>
    <w:rsid w:val="0048554B"/>
    <w:rsid w:val="004865DB"/>
    <w:rsid w:val="00487765"/>
    <w:rsid w:val="004924DE"/>
    <w:rsid w:val="00494790"/>
    <w:rsid w:val="0049679E"/>
    <w:rsid w:val="004A0D69"/>
    <w:rsid w:val="004A1E2D"/>
    <w:rsid w:val="004A3196"/>
    <w:rsid w:val="004A3BA8"/>
    <w:rsid w:val="004A52AF"/>
    <w:rsid w:val="004A6D5C"/>
    <w:rsid w:val="004B0ABC"/>
    <w:rsid w:val="004B187E"/>
    <w:rsid w:val="004B4363"/>
    <w:rsid w:val="004B4D35"/>
    <w:rsid w:val="004B4E15"/>
    <w:rsid w:val="004B4E20"/>
    <w:rsid w:val="004B4EC8"/>
    <w:rsid w:val="004B520D"/>
    <w:rsid w:val="004C01E2"/>
    <w:rsid w:val="004C0E6F"/>
    <w:rsid w:val="004C0ECF"/>
    <w:rsid w:val="004C38AD"/>
    <w:rsid w:val="004C4BBE"/>
    <w:rsid w:val="004C66B7"/>
    <w:rsid w:val="004C7206"/>
    <w:rsid w:val="004C7942"/>
    <w:rsid w:val="004C7DAB"/>
    <w:rsid w:val="004D05B1"/>
    <w:rsid w:val="004D1974"/>
    <w:rsid w:val="004D2B7D"/>
    <w:rsid w:val="004D39EB"/>
    <w:rsid w:val="004D637C"/>
    <w:rsid w:val="004E06DB"/>
    <w:rsid w:val="004E2B87"/>
    <w:rsid w:val="004E3FEB"/>
    <w:rsid w:val="004E513F"/>
    <w:rsid w:val="004E5991"/>
    <w:rsid w:val="004E6BEE"/>
    <w:rsid w:val="004F049F"/>
    <w:rsid w:val="004F0BB9"/>
    <w:rsid w:val="004F2494"/>
    <w:rsid w:val="004F36DF"/>
    <w:rsid w:val="004F4D39"/>
    <w:rsid w:val="004F7CAA"/>
    <w:rsid w:val="00500CFB"/>
    <w:rsid w:val="00501C26"/>
    <w:rsid w:val="00501D45"/>
    <w:rsid w:val="0050222D"/>
    <w:rsid w:val="005068D1"/>
    <w:rsid w:val="00511CB8"/>
    <w:rsid w:val="0051228D"/>
    <w:rsid w:val="0051426D"/>
    <w:rsid w:val="00521237"/>
    <w:rsid w:val="005213E2"/>
    <w:rsid w:val="005229D9"/>
    <w:rsid w:val="005232D5"/>
    <w:rsid w:val="005237D2"/>
    <w:rsid w:val="00524035"/>
    <w:rsid w:val="00527E7A"/>
    <w:rsid w:val="00530390"/>
    <w:rsid w:val="0053178F"/>
    <w:rsid w:val="00531DCA"/>
    <w:rsid w:val="0053427B"/>
    <w:rsid w:val="00534A0E"/>
    <w:rsid w:val="005351F7"/>
    <w:rsid w:val="00535B6C"/>
    <w:rsid w:val="00535D13"/>
    <w:rsid w:val="00540A52"/>
    <w:rsid w:val="00540B16"/>
    <w:rsid w:val="00541A2E"/>
    <w:rsid w:val="00543C50"/>
    <w:rsid w:val="00544037"/>
    <w:rsid w:val="0054708E"/>
    <w:rsid w:val="0054728F"/>
    <w:rsid w:val="00552AC4"/>
    <w:rsid w:val="005537EA"/>
    <w:rsid w:val="005557FD"/>
    <w:rsid w:val="005563B1"/>
    <w:rsid w:val="00560C13"/>
    <w:rsid w:val="00560F73"/>
    <w:rsid w:val="0056227A"/>
    <w:rsid w:val="00563FF3"/>
    <w:rsid w:val="005650CA"/>
    <w:rsid w:val="005722ED"/>
    <w:rsid w:val="0057258C"/>
    <w:rsid w:val="005734F4"/>
    <w:rsid w:val="005748A8"/>
    <w:rsid w:val="00574D3B"/>
    <w:rsid w:val="005761D3"/>
    <w:rsid w:val="00577387"/>
    <w:rsid w:val="00580646"/>
    <w:rsid w:val="00580801"/>
    <w:rsid w:val="00581636"/>
    <w:rsid w:val="00581DD8"/>
    <w:rsid w:val="00583E6D"/>
    <w:rsid w:val="0058466E"/>
    <w:rsid w:val="0058571E"/>
    <w:rsid w:val="00585A36"/>
    <w:rsid w:val="00587642"/>
    <w:rsid w:val="005929BC"/>
    <w:rsid w:val="00593229"/>
    <w:rsid w:val="005943DC"/>
    <w:rsid w:val="00594A26"/>
    <w:rsid w:val="00596725"/>
    <w:rsid w:val="0059697F"/>
    <w:rsid w:val="005972EA"/>
    <w:rsid w:val="00597EE8"/>
    <w:rsid w:val="005A0547"/>
    <w:rsid w:val="005A2B9F"/>
    <w:rsid w:val="005A31D0"/>
    <w:rsid w:val="005A42F2"/>
    <w:rsid w:val="005A4AAE"/>
    <w:rsid w:val="005A5EBF"/>
    <w:rsid w:val="005A7587"/>
    <w:rsid w:val="005A7697"/>
    <w:rsid w:val="005A76F0"/>
    <w:rsid w:val="005B0E7A"/>
    <w:rsid w:val="005B3AC5"/>
    <w:rsid w:val="005B5893"/>
    <w:rsid w:val="005B70A8"/>
    <w:rsid w:val="005C3D4C"/>
    <w:rsid w:val="005C436E"/>
    <w:rsid w:val="005C6E53"/>
    <w:rsid w:val="005D0622"/>
    <w:rsid w:val="005D0AE6"/>
    <w:rsid w:val="005D3852"/>
    <w:rsid w:val="005D3F5E"/>
    <w:rsid w:val="005D4AE0"/>
    <w:rsid w:val="005D695E"/>
    <w:rsid w:val="005E1075"/>
    <w:rsid w:val="005E2AE7"/>
    <w:rsid w:val="005E3FDF"/>
    <w:rsid w:val="005E4857"/>
    <w:rsid w:val="005E61F8"/>
    <w:rsid w:val="005E754A"/>
    <w:rsid w:val="005F4EF4"/>
    <w:rsid w:val="005F5C36"/>
    <w:rsid w:val="005F738F"/>
    <w:rsid w:val="005F7F55"/>
    <w:rsid w:val="00601335"/>
    <w:rsid w:val="00603130"/>
    <w:rsid w:val="00603148"/>
    <w:rsid w:val="00603B0B"/>
    <w:rsid w:val="00605B30"/>
    <w:rsid w:val="00605E56"/>
    <w:rsid w:val="0060631B"/>
    <w:rsid w:val="00606ED4"/>
    <w:rsid w:val="00607394"/>
    <w:rsid w:val="00610125"/>
    <w:rsid w:val="0061209D"/>
    <w:rsid w:val="00613F1C"/>
    <w:rsid w:val="00614F5F"/>
    <w:rsid w:val="0061544D"/>
    <w:rsid w:val="0061662A"/>
    <w:rsid w:val="006178F0"/>
    <w:rsid w:val="00617E07"/>
    <w:rsid w:val="00621ED0"/>
    <w:rsid w:val="0062444F"/>
    <w:rsid w:val="00625400"/>
    <w:rsid w:val="0062572A"/>
    <w:rsid w:val="00625AD7"/>
    <w:rsid w:val="00625E79"/>
    <w:rsid w:val="00627166"/>
    <w:rsid w:val="006306F8"/>
    <w:rsid w:val="00630D8B"/>
    <w:rsid w:val="006340E7"/>
    <w:rsid w:val="00641A21"/>
    <w:rsid w:val="00641B75"/>
    <w:rsid w:val="006422C5"/>
    <w:rsid w:val="00646B7E"/>
    <w:rsid w:val="00647E5B"/>
    <w:rsid w:val="00650468"/>
    <w:rsid w:val="00650B93"/>
    <w:rsid w:val="006523A5"/>
    <w:rsid w:val="00652CFC"/>
    <w:rsid w:val="00657A18"/>
    <w:rsid w:val="0066044D"/>
    <w:rsid w:val="00660678"/>
    <w:rsid w:val="00660899"/>
    <w:rsid w:val="00661AC9"/>
    <w:rsid w:val="00663252"/>
    <w:rsid w:val="006668BF"/>
    <w:rsid w:val="006670A2"/>
    <w:rsid w:val="00671C47"/>
    <w:rsid w:val="00671EEA"/>
    <w:rsid w:val="00672EF6"/>
    <w:rsid w:val="00672FEE"/>
    <w:rsid w:val="00674F3E"/>
    <w:rsid w:val="00675B2F"/>
    <w:rsid w:val="00676025"/>
    <w:rsid w:val="006762D8"/>
    <w:rsid w:val="00677F78"/>
    <w:rsid w:val="00681148"/>
    <w:rsid w:val="00681AC0"/>
    <w:rsid w:val="0068352B"/>
    <w:rsid w:val="00683BEA"/>
    <w:rsid w:val="00683D36"/>
    <w:rsid w:val="0068414E"/>
    <w:rsid w:val="00684EA6"/>
    <w:rsid w:val="00686CB3"/>
    <w:rsid w:val="00691A01"/>
    <w:rsid w:val="00691FD3"/>
    <w:rsid w:val="00693A6B"/>
    <w:rsid w:val="00693CCF"/>
    <w:rsid w:val="00695781"/>
    <w:rsid w:val="00696381"/>
    <w:rsid w:val="00696B71"/>
    <w:rsid w:val="0069737C"/>
    <w:rsid w:val="006A17D6"/>
    <w:rsid w:val="006A1E16"/>
    <w:rsid w:val="006A42C6"/>
    <w:rsid w:val="006A4629"/>
    <w:rsid w:val="006A4DFB"/>
    <w:rsid w:val="006A5111"/>
    <w:rsid w:val="006A534A"/>
    <w:rsid w:val="006A5686"/>
    <w:rsid w:val="006A73CA"/>
    <w:rsid w:val="006A7A17"/>
    <w:rsid w:val="006B2AA7"/>
    <w:rsid w:val="006B455C"/>
    <w:rsid w:val="006B4DE9"/>
    <w:rsid w:val="006B5057"/>
    <w:rsid w:val="006B5637"/>
    <w:rsid w:val="006B5B13"/>
    <w:rsid w:val="006B648C"/>
    <w:rsid w:val="006C08F7"/>
    <w:rsid w:val="006C0E9F"/>
    <w:rsid w:val="006C0EED"/>
    <w:rsid w:val="006C1DAB"/>
    <w:rsid w:val="006C3E6B"/>
    <w:rsid w:val="006C63C4"/>
    <w:rsid w:val="006C6A27"/>
    <w:rsid w:val="006C6C64"/>
    <w:rsid w:val="006D0C46"/>
    <w:rsid w:val="006D28CB"/>
    <w:rsid w:val="006D3927"/>
    <w:rsid w:val="006D47F7"/>
    <w:rsid w:val="006D503D"/>
    <w:rsid w:val="006D608B"/>
    <w:rsid w:val="006D6804"/>
    <w:rsid w:val="006D6A6F"/>
    <w:rsid w:val="006E06A4"/>
    <w:rsid w:val="006E1D15"/>
    <w:rsid w:val="006E294A"/>
    <w:rsid w:val="006E2C8D"/>
    <w:rsid w:val="006E2DD9"/>
    <w:rsid w:val="006E37AC"/>
    <w:rsid w:val="006E4299"/>
    <w:rsid w:val="006E4BA9"/>
    <w:rsid w:val="006E5EBE"/>
    <w:rsid w:val="006E630D"/>
    <w:rsid w:val="006E794A"/>
    <w:rsid w:val="006E7D2F"/>
    <w:rsid w:val="006F192F"/>
    <w:rsid w:val="006F2CC3"/>
    <w:rsid w:val="006F342A"/>
    <w:rsid w:val="006F4C30"/>
    <w:rsid w:val="006F6C3F"/>
    <w:rsid w:val="006F6EBB"/>
    <w:rsid w:val="006F71B0"/>
    <w:rsid w:val="006F7721"/>
    <w:rsid w:val="007017F5"/>
    <w:rsid w:val="00701936"/>
    <w:rsid w:val="00702CAD"/>
    <w:rsid w:val="00704BCE"/>
    <w:rsid w:val="0071081A"/>
    <w:rsid w:val="00710AB4"/>
    <w:rsid w:val="007135C0"/>
    <w:rsid w:val="00717AFA"/>
    <w:rsid w:val="00720344"/>
    <w:rsid w:val="00722920"/>
    <w:rsid w:val="00723DE6"/>
    <w:rsid w:val="00724AD8"/>
    <w:rsid w:val="00725AE8"/>
    <w:rsid w:val="00730519"/>
    <w:rsid w:val="007308FE"/>
    <w:rsid w:val="00730CFB"/>
    <w:rsid w:val="0073121D"/>
    <w:rsid w:val="007312D5"/>
    <w:rsid w:val="00731795"/>
    <w:rsid w:val="00732C8C"/>
    <w:rsid w:val="007333F9"/>
    <w:rsid w:val="007347FB"/>
    <w:rsid w:val="00734B0C"/>
    <w:rsid w:val="00736F40"/>
    <w:rsid w:val="00741960"/>
    <w:rsid w:val="00742EB4"/>
    <w:rsid w:val="00744251"/>
    <w:rsid w:val="0074743B"/>
    <w:rsid w:val="007474E8"/>
    <w:rsid w:val="007475B6"/>
    <w:rsid w:val="00751E50"/>
    <w:rsid w:val="00752578"/>
    <w:rsid w:val="00752AB4"/>
    <w:rsid w:val="00753B3C"/>
    <w:rsid w:val="007551E3"/>
    <w:rsid w:val="007565F6"/>
    <w:rsid w:val="00757471"/>
    <w:rsid w:val="00757F29"/>
    <w:rsid w:val="007610AD"/>
    <w:rsid w:val="007639F3"/>
    <w:rsid w:val="00765645"/>
    <w:rsid w:val="00765EF4"/>
    <w:rsid w:val="00770040"/>
    <w:rsid w:val="00770917"/>
    <w:rsid w:val="0077145B"/>
    <w:rsid w:val="00771E7B"/>
    <w:rsid w:val="007725C0"/>
    <w:rsid w:val="00776509"/>
    <w:rsid w:val="0077668F"/>
    <w:rsid w:val="007766E4"/>
    <w:rsid w:val="00776B87"/>
    <w:rsid w:val="007809CC"/>
    <w:rsid w:val="00782495"/>
    <w:rsid w:val="00785612"/>
    <w:rsid w:val="00793167"/>
    <w:rsid w:val="00796E69"/>
    <w:rsid w:val="007A1817"/>
    <w:rsid w:val="007A4F10"/>
    <w:rsid w:val="007A686D"/>
    <w:rsid w:val="007A73FE"/>
    <w:rsid w:val="007B1642"/>
    <w:rsid w:val="007B3CD5"/>
    <w:rsid w:val="007B6BF8"/>
    <w:rsid w:val="007C02EB"/>
    <w:rsid w:val="007C076D"/>
    <w:rsid w:val="007C1F13"/>
    <w:rsid w:val="007C2356"/>
    <w:rsid w:val="007C263D"/>
    <w:rsid w:val="007C30F2"/>
    <w:rsid w:val="007C427D"/>
    <w:rsid w:val="007C4287"/>
    <w:rsid w:val="007C6581"/>
    <w:rsid w:val="007C6E0D"/>
    <w:rsid w:val="007C74BC"/>
    <w:rsid w:val="007C7772"/>
    <w:rsid w:val="007D0ED4"/>
    <w:rsid w:val="007D16C0"/>
    <w:rsid w:val="007D45C0"/>
    <w:rsid w:val="007D6F3F"/>
    <w:rsid w:val="007D77C2"/>
    <w:rsid w:val="007E07E6"/>
    <w:rsid w:val="007E23A5"/>
    <w:rsid w:val="007E557A"/>
    <w:rsid w:val="007E7434"/>
    <w:rsid w:val="007F0EEB"/>
    <w:rsid w:val="007F1BBD"/>
    <w:rsid w:val="007F2C25"/>
    <w:rsid w:val="007F31CC"/>
    <w:rsid w:val="007F66FA"/>
    <w:rsid w:val="007F7B2A"/>
    <w:rsid w:val="0080308C"/>
    <w:rsid w:val="0080309C"/>
    <w:rsid w:val="00804CC0"/>
    <w:rsid w:val="00804D0A"/>
    <w:rsid w:val="00804E86"/>
    <w:rsid w:val="008052DF"/>
    <w:rsid w:val="0080581A"/>
    <w:rsid w:val="008066FF"/>
    <w:rsid w:val="0080749B"/>
    <w:rsid w:val="00811B88"/>
    <w:rsid w:val="00811D81"/>
    <w:rsid w:val="00812889"/>
    <w:rsid w:val="00813B54"/>
    <w:rsid w:val="0081495B"/>
    <w:rsid w:val="00814A36"/>
    <w:rsid w:val="0081680B"/>
    <w:rsid w:val="00816EB5"/>
    <w:rsid w:val="0081773D"/>
    <w:rsid w:val="008222E2"/>
    <w:rsid w:val="0082245B"/>
    <w:rsid w:val="008233B9"/>
    <w:rsid w:val="008236D2"/>
    <w:rsid w:val="00823761"/>
    <w:rsid w:val="00824142"/>
    <w:rsid w:val="00826046"/>
    <w:rsid w:val="00826527"/>
    <w:rsid w:val="00827A24"/>
    <w:rsid w:val="00827FE7"/>
    <w:rsid w:val="00830B2A"/>
    <w:rsid w:val="00832661"/>
    <w:rsid w:val="008326EF"/>
    <w:rsid w:val="008345B8"/>
    <w:rsid w:val="00835296"/>
    <w:rsid w:val="00835B7D"/>
    <w:rsid w:val="008360BE"/>
    <w:rsid w:val="0083680E"/>
    <w:rsid w:val="00837AC1"/>
    <w:rsid w:val="00837D0B"/>
    <w:rsid w:val="00842139"/>
    <w:rsid w:val="008421BA"/>
    <w:rsid w:val="00842BA0"/>
    <w:rsid w:val="0084315A"/>
    <w:rsid w:val="0084330A"/>
    <w:rsid w:val="00843DD4"/>
    <w:rsid w:val="008509BF"/>
    <w:rsid w:val="00852195"/>
    <w:rsid w:val="00853F1D"/>
    <w:rsid w:val="0085432E"/>
    <w:rsid w:val="0085472F"/>
    <w:rsid w:val="008552E1"/>
    <w:rsid w:val="008558B9"/>
    <w:rsid w:val="00856907"/>
    <w:rsid w:val="00857BF5"/>
    <w:rsid w:val="008607DA"/>
    <w:rsid w:val="00871DD1"/>
    <w:rsid w:val="00871F2E"/>
    <w:rsid w:val="008739AA"/>
    <w:rsid w:val="008745DB"/>
    <w:rsid w:val="00874DF6"/>
    <w:rsid w:val="00875DA5"/>
    <w:rsid w:val="00881311"/>
    <w:rsid w:val="00882A7D"/>
    <w:rsid w:val="00883A23"/>
    <w:rsid w:val="008852F5"/>
    <w:rsid w:val="0088700E"/>
    <w:rsid w:val="00890B4A"/>
    <w:rsid w:val="00891234"/>
    <w:rsid w:val="00895585"/>
    <w:rsid w:val="00895FB5"/>
    <w:rsid w:val="00896C0A"/>
    <w:rsid w:val="008A1AFE"/>
    <w:rsid w:val="008A2072"/>
    <w:rsid w:val="008B01CE"/>
    <w:rsid w:val="008B0B8C"/>
    <w:rsid w:val="008B202A"/>
    <w:rsid w:val="008B38A9"/>
    <w:rsid w:val="008B3CAC"/>
    <w:rsid w:val="008B5B9F"/>
    <w:rsid w:val="008B668D"/>
    <w:rsid w:val="008C0518"/>
    <w:rsid w:val="008C0DE8"/>
    <w:rsid w:val="008C1265"/>
    <w:rsid w:val="008C1A24"/>
    <w:rsid w:val="008C1DD1"/>
    <w:rsid w:val="008C29FF"/>
    <w:rsid w:val="008C4485"/>
    <w:rsid w:val="008C658C"/>
    <w:rsid w:val="008D2339"/>
    <w:rsid w:val="008D42B9"/>
    <w:rsid w:val="008D4501"/>
    <w:rsid w:val="008D53D3"/>
    <w:rsid w:val="008D5E60"/>
    <w:rsid w:val="008D6634"/>
    <w:rsid w:val="008E0C82"/>
    <w:rsid w:val="008E0DF7"/>
    <w:rsid w:val="008E3F13"/>
    <w:rsid w:val="008E5698"/>
    <w:rsid w:val="008E57F5"/>
    <w:rsid w:val="008E66C3"/>
    <w:rsid w:val="008E684A"/>
    <w:rsid w:val="008E710C"/>
    <w:rsid w:val="008E72C3"/>
    <w:rsid w:val="008E730A"/>
    <w:rsid w:val="008E7A73"/>
    <w:rsid w:val="008E7E98"/>
    <w:rsid w:val="008F2C26"/>
    <w:rsid w:val="008F45CF"/>
    <w:rsid w:val="008F5389"/>
    <w:rsid w:val="008F53D2"/>
    <w:rsid w:val="008F6130"/>
    <w:rsid w:val="008F7303"/>
    <w:rsid w:val="00900F9F"/>
    <w:rsid w:val="00901C1C"/>
    <w:rsid w:val="00904B86"/>
    <w:rsid w:val="00904F01"/>
    <w:rsid w:val="00907060"/>
    <w:rsid w:val="0091042D"/>
    <w:rsid w:val="00914746"/>
    <w:rsid w:val="009154C5"/>
    <w:rsid w:val="00915ADE"/>
    <w:rsid w:val="0091666E"/>
    <w:rsid w:val="00927735"/>
    <w:rsid w:val="00930458"/>
    <w:rsid w:val="0093059C"/>
    <w:rsid w:val="00933D50"/>
    <w:rsid w:val="0094014D"/>
    <w:rsid w:val="00943D68"/>
    <w:rsid w:val="00944D85"/>
    <w:rsid w:val="00945071"/>
    <w:rsid w:val="009475E4"/>
    <w:rsid w:val="00951ABF"/>
    <w:rsid w:val="00952FF8"/>
    <w:rsid w:val="00960558"/>
    <w:rsid w:val="00960C0E"/>
    <w:rsid w:val="0096281C"/>
    <w:rsid w:val="009640DD"/>
    <w:rsid w:val="009642C2"/>
    <w:rsid w:val="00964399"/>
    <w:rsid w:val="0096500A"/>
    <w:rsid w:val="00965FCF"/>
    <w:rsid w:val="00967A88"/>
    <w:rsid w:val="00970B94"/>
    <w:rsid w:val="00971814"/>
    <w:rsid w:val="00974A04"/>
    <w:rsid w:val="00975085"/>
    <w:rsid w:val="00975359"/>
    <w:rsid w:val="00977D90"/>
    <w:rsid w:val="009853B8"/>
    <w:rsid w:val="00986A21"/>
    <w:rsid w:val="009873C7"/>
    <w:rsid w:val="0099227D"/>
    <w:rsid w:val="00992F7C"/>
    <w:rsid w:val="009930A3"/>
    <w:rsid w:val="00993133"/>
    <w:rsid w:val="00993165"/>
    <w:rsid w:val="0099468E"/>
    <w:rsid w:val="00995229"/>
    <w:rsid w:val="00995D6D"/>
    <w:rsid w:val="00996440"/>
    <w:rsid w:val="00996C37"/>
    <w:rsid w:val="00997099"/>
    <w:rsid w:val="009A04B8"/>
    <w:rsid w:val="009A0989"/>
    <w:rsid w:val="009A20A0"/>
    <w:rsid w:val="009A6C9D"/>
    <w:rsid w:val="009A707D"/>
    <w:rsid w:val="009B22E9"/>
    <w:rsid w:val="009B329A"/>
    <w:rsid w:val="009B6236"/>
    <w:rsid w:val="009C00B5"/>
    <w:rsid w:val="009C0E1E"/>
    <w:rsid w:val="009C1056"/>
    <w:rsid w:val="009C1CCA"/>
    <w:rsid w:val="009C55D4"/>
    <w:rsid w:val="009C60A3"/>
    <w:rsid w:val="009C6504"/>
    <w:rsid w:val="009C69FB"/>
    <w:rsid w:val="009C6AE5"/>
    <w:rsid w:val="009C6E19"/>
    <w:rsid w:val="009C7452"/>
    <w:rsid w:val="009C7A18"/>
    <w:rsid w:val="009C7D6C"/>
    <w:rsid w:val="009D0BF4"/>
    <w:rsid w:val="009D1E5D"/>
    <w:rsid w:val="009D26EF"/>
    <w:rsid w:val="009D5701"/>
    <w:rsid w:val="009D64D4"/>
    <w:rsid w:val="009D65E8"/>
    <w:rsid w:val="009D70B2"/>
    <w:rsid w:val="009D72CA"/>
    <w:rsid w:val="009E11B5"/>
    <w:rsid w:val="009E4372"/>
    <w:rsid w:val="009E4407"/>
    <w:rsid w:val="009E4B15"/>
    <w:rsid w:val="009E6B37"/>
    <w:rsid w:val="009F2C50"/>
    <w:rsid w:val="009F43B5"/>
    <w:rsid w:val="009F657B"/>
    <w:rsid w:val="009F66A5"/>
    <w:rsid w:val="00A008D0"/>
    <w:rsid w:val="00A016E0"/>
    <w:rsid w:val="00A02ADF"/>
    <w:rsid w:val="00A04521"/>
    <w:rsid w:val="00A0769C"/>
    <w:rsid w:val="00A116C1"/>
    <w:rsid w:val="00A161D7"/>
    <w:rsid w:val="00A1692C"/>
    <w:rsid w:val="00A17067"/>
    <w:rsid w:val="00A2062C"/>
    <w:rsid w:val="00A219C4"/>
    <w:rsid w:val="00A2588E"/>
    <w:rsid w:val="00A27988"/>
    <w:rsid w:val="00A30ABE"/>
    <w:rsid w:val="00A312AD"/>
    <w:rsid w:val="00A31604"/>
    <w:rsid w:val="00A33A36"/>
    <w:rsid w:val="00A34775"/>
    <w:rsid w:val="00A40280"/>
    <w:rsid w:val="00A405FC"/>
    <w:rsid w:val="00A44428"/>
    <w:rsid w:val="00A44C8A"/>
    <w:rsid w:val="00A4517D"/>
    <w:rsid w:val="00A46524"/>
    <w:rsid w:val="00A5287F"/>
    <w:rsid w:val="00A5414B"/>
    <w:rsid w:val="00A543DB"/>
    <w:rsid w:val="00A54CBA"/>
    <w:rsid w:val="00A55288"/>
    <w:rsid w:val="00A55AA6"/>
    <w:rsid w:val="00A56335"/>
    <w:rsid w:val="00A6030A"/>
    <w:rsid w:val="00A6142E"/>
    <w:rsid w:val="00A62CFF"/>
    <w:rsid w:val="00A62FE1"/>
    <w:rsid w:val="00A64726"/>
    <w:rsid w:val="00A6683A"/>
    <w:rsid w:val="00A7082E"/>
    <w:rsid w:val="00A70BA8"/>
    <w:rsid w:val="00A70D13"/>
    <w:rsid w:val="00A71483"/>
    <w:rsid w:val="00A71F70"/>
    <w:rsid w:val="00A751AF"/>
    <w:rsid w:val="00A75867"/>
    <w:rsid w:val="00A77542"/>
    <w:rsid w:val="00A77AFF"/>
    <w:rsid w:val="00A80A84"/>
    <w:rsid w:val="00A8209F"/>
    <w:rsid w:val="00A82D85"/>
    <w:rsid w:val="00A83E06"/>
    <w:rsid w:val="00A846F0"/>
    <w:rsid w:val="00A85277"/>
    <w:rsid w:val="00A8552E"/>
    <w:rsid w:val="00A85B2F"/>
    <w:rsid w:val="00A86004"/>
    <w:rsid w:val="00A8661F"/>
    <w:rsid w:val="00A87623"/>
    <w:rsid w:val="00A876C0"/>
    <w:rsid w:val="00A91CAE"/>
    <w:rsid w:val="00A92793"/>
    <w:rsid w:val="00A933D1"/>
    <w:rsid w:val="00A94098"/>
    <w:rsid w:val="00A941B3"/>
    <w:rsid w:val="00A94DB6"/>
    <w:rsid w:val="00A94ED8"/>
    <w:rsid w:val="00A965D6"/>
    <w:rsid w:val="00AA0124"/>
    <w:rsid w:val="00AA013A"/>
    <w:rsid w:val="00AA06AB"/>
    <w:rsid w:val="00AA171E"/>
    <w:rsid w:val="00AA3841"/>
    <w:rsid w:val="00AA3A94"/>
    <w:rsid w:val="00AA3CF4"/>
    <w:rsid w:val="00AA3D5C"/>
    <w:rsid w:val="00AA6829"/>
    <w:rsid w:val="00AA6EE0"/>
    <w:rsid w:val="00AB1D25"/>
    <w:rsid w:val="00AB4B85"/>
    <w:rsid w:val="00AB68DD"/>
    <w:rsid w:val="00AB6BED"/>
    <w:rsid w:val="00AC6374"/>
    <w:rsid w:val="00AC6509"/>
    <w:rsid w:val="00AD3258"/>
    <w:rsid w:val="00AD393C"/>
    <w:rsid w:val="00AD5E16"/>
    <w:rsid w:val="00AD701C"/>
    <w:rsid w:val="00AD78F3"/>
    <w:rsid w:val="00AE2412"/>
    <w:rsid w:val="00AE5290"/>
    <w:rsid w:val="00AE59E1"/>
    <w:rsid w:val="00AE703D"/>
    <w:rsid w:val="00AF12EB"/>
    <w:rsid w:val="00AF1A8B"/>
    <w:rsid w:val="00AF2721"/>
    <w:rsid w:val="00AF3576"/>
    <w:rsid w:val="00AF455D"/>
    <w:rsid w:val="00AF5454"/>
    <w:rsid w:val="00AF57CB"/>
    <w:rsid w:val="00AF6EAC"/>
    <w:rsid w:val="00B00652"/>
    <w:rsid w:val="00B01E69"/>
    <w:rsid w:val="00B02184"/>
    <w:rsid w:val="00B0432C"/>
    <w:rsid w:val="00B04704"/>
    <w:rsid w:val="00B048CB"/>
    <w:rsid w:val="00B04EDD"/>
    <w:rsid w:val="00B06DA6"/>
    <w:rsid w:val="00B070F9"/>
    <w:rsid w:val="00B10B9B"/>
    <w:rsid w:val="00B10E03"/>
    <w:rsid w:val="00B12854"/>
    <w:rsid w:val="00B1379C"/>
    <w:rsid w:val="00B139FA"/>
    <w:rsid w:val="00B14510"/>
    <w:rsid w:val="00B146CE"/>
    <w:rsid w:val="00B148D3"/>
    <w:rsid w:val="00B15351"/>
    <w:rsid w:val="00B20145"/>
    <w:rsid w:val="00B21AF6"/>
    <w:rsid w:val="00B254C1"/>
    <w:rsid w:val="00B2782E"/>
    <w:rsid w:val="00B27CD0"/>
    <w:rsid w:val="00B35249"/>
    <w:rsid w:val="00B37251"/>
    <w:rsid w:val="00B374FF"/>
    <w:rsid w:val="00B408B8"/>
    <w:rsid w:val="00B42E0A"/>
    <w:rsid w:val="00B45D87"/>
    <w:rsid w:val="00B467ED"/>
    <w:rsid w:val="00B46B05"/>
    <w:rsid w:val="00B46D51"/>
    <w:rsid w:val="00B47F0C"/>
    <w:rsid w:val="00B508E3"/>
    <w:rsid w:val="00B51C98"/>
    <w:rsid w:val="00B528D4"/>
    <w:rsid w:val="00B5708E"/>
    <w:rsid w:val="00B60544"/>
    <w:rsid w:val="00B617C5"/>
    <w:rsid w:val="00B6189F"/>
    <w:rsid w:val="00B656A5"/>
    <w:rsid w:val="00B65C88"/>
    <w:rsid w:val="00B6681B"/>
    <w:rsid w:val="00B676EB"/>
    <w:rsid w:val="00B70965"/>
    <w:rsid w:val="00B7435F"/>
    <w:rsid w:val="00B76DF6"/>
    <w:rsid w:val="00B813AC"/>
    <w:rsid w:val="00B82142"/>
    <w:rsid w:val="00B8231A"/>
    <w:rsid w:val="00B828E5"/>
    <w:rsid w:val="00B82F5C"/>
    <w:rsid w:val="00B8317F"/>
    <w:rsid w:val="00B836AF"/>
    <w:rsid w:val="00B841B8"/>
    <w:rsid w:val="00B8458D"/>
    <w:rsid w:val="00B85050"/>
    <w:rsid w:val="00B8584E"/>
    <w:rsid w:val="00B85B0F"/>
    <w:rsid w:val="00B90AF1"/>
    <w:rsid w:val="00B91080"/>
    <w:rsid w:val="00B9310B"/>
    <w:rsid w:val="00B94CAB"/>
    <w:rsid w:val="00BA02CA"/>
    <w:rsid w:val="00BA3399"/>
    <w:rsid w:val="00BA7C4C"/>
    <w:rsid w:val="00BA7C4E"/>
    <w:rsid w:val="00BB09E5"/>
    <w:rsid w:val="00BB12C8"/>
    <w:rsid w:val="00BB23DA"/>
    <w:rsid w:val="00BB5565"/>
    <w:rsid w:val="00BB6034"/>
    <w:rsid w:val="00BB7F4F"/>
    <w:rsid w:val="00BC2B83"/>
    <w:rsid w:val="00BC4E5A"/>
    <w:rsid w:val="00BC51B2"/>
    <w:rsid w:val="00BC5549"/>
    <w:rsid w:val="00BC7BA5"/>
    <w:rsid w:val="00BD1CAC"/>
    <w:rsid w:val="00BD3DE7"/>
    <w:rsid w:val="00BD48FE"/>
    <w:rsid w:val="00BD50E3"/>
    <w:rsid w:val="00BD59CD"/>
    <w:rsid w:val="00BD7B62"/>
    <w:rsid w:val="00BD7B75"/>
    <w:rsid w:val="00BE017C"/>
    <w:rsid w:val="00BE1060"/>
    <w:rsid w:val="00BE1F25"/>
    <w:rsid w:val="00BE2B20"/>
    <w:rsid w:val="00BE3C0F"/>
    <w:rsid w:val="00BE5D46"/>
    <w:rsid w:val="00BF07B4"/>
    <w:rsid w:val="00BF0EEA"/>
    <w:rsid w:val="00BF2E57"/>
    <w:rsid w:val="00BF37C3"/>
    <w:rsid w:val="00BF3E02"/>
    <w:rsid w:val="00BF3EA8"/>
    <w:rsid w:val="00BF7AB8"/>
    <w:rsid w:val="00C01468"/>
    <w:rsid w:val="00C01D90"/>
    <w:rsid w:val="00C04C2C"/>
    <w:rsid w:val="00C055B9"/>
    <w:rsid w:val="00C05E15"/>
    <w:rsid w:val="00C07C01"/>
    <w:rsid w:val="00C12E0B"/>
    <w:rsid w:val="00C15789"/>
    <w:rsid w:val="00C16CE8"/>
    <w:rsid w:val="00C170FD"/>
    <w:rsid w:val="00C174ED"/>
    <w:rsid w:val="00C2092D"/>
    <w:rsid w:val="00C20943"/>
    <w:rsid w:val="00C221F4"/>
    <w:rsid w:val="00C22344"/>
    <w:rsid w:val="00C24242"/>
    <w:rsid w:val="00C25A80"/>
    <w:rsid w:val="00C25CD0"/>
    <w:rsid w:val="00C25EDE"/>
    <w:rsid w:val="00C262A8"/>
    <w:rsid w:val="00C26C69"/>
    <w:rsid w:val="00C301BB"/>
    <w:rsid w:val="00C3155E"/>
    <w:rsid w:val="00C31677"/>
    <w:rsid w:val="00C320E6"/>
    <w:rsid w:val="00C32AD0"/>
    <w:rsid w:val="00C33929"/>
    <w:rsid w:val="00C347A2"/>
    <w:rsid w:val="00C35A27"/>
    <w:rsid w:val="00C37933"/>
    <w:rsid w:val="00C41506"/>
    <w:rsid w:val="00C41F82"/>
    <w:rsid w:val="00C44988"/>
    <w:rsid w:val="00C45AB6"/>
    <w:rsid w:val="00C50690"/>
    <w:rsid w:val="00C514B8"/>
    <w:rsid w:val="00C522E2"/>
    <w:rsid w:val="00C53911"/>
    <w:rsid w:val="00C545A2"/>
    <w:rsid w:val="00C55D72"/>
    <w:rsid w:val="00C56AC7"/>
    <w:rsid w:val="00C572FE"/>
    <w:rsid w:val="00C613C2"/>
    <w:rsid w:val="00C61EC8"/>
    <w:rsid w:val="00C650A7"/>
    <w:rsid w:val="00C6564C"/>
    <w:rsid w:val="00C65AB1"/>
    <w:rsid w:val="00C667A8"/>
    <w:rsid w:val="00C6723C"/>
    <w:rsid w:val="00C67312"/>
    <w:rsid w:val="00C67C3C"/>
    <w:rsid w:val="00C71A96"/>
    <w:rsid w:val="00C7233C"/>
    <w:rsid w:val="00C724CC"/>
    <w:rsid w:val="00C736E1"/>
    <w:rsid w:val="00C73DCD"/>
    <w:rsid w:val="00C7533A"/>
    <w:rsid w:val="00C8021F"/>
    <w:rsid w:val="00C83A60"/>
    <w:rsid w:val="00C841B1"/>
    <w:rsid w:val="00C919D8"/>
    <w:rsid w:val="00C93269"/>
    <w:rsid w:val="00C9410C"/>
    <w:rsid w:val="00C94448"/>
    <w:rsid w:val="00C96568"/>
    <w:rsid w:val="00C976F6"/>
    <w:rsid w:val="00CA041F"/>
    <w:rsid w:val="00CA099C"/>
    <w:rsid w:val="00CA0AA8"/>
    <w:rsid w:val="00CA2FA8"/>
    <w:rsid w:val="00CA4393"/>
    <w:rsid w:val="00CA4855"/>
    <w:rsid w:val="00CA4B22"/>
    <w:rsid w:val="00CA504E"/>
    <w:rsid w:val="00CA587D"/>
    <w:rsid w:val="00CA5F4E"/>
    <w:rsid w:val="00CA6539"/>
    <w:rsid w:val="00CB0E61"/>
    <w:rsid w:val="00CB0F8F"/>
    <w:rsid w:val="00CB17CE"/>
    <w:rsid w:val="00CB195D"/>
    <w:rsid w:val="00CB2186"/>
    <w:rsid w:val="00CB37FD"/>
    <w:rsid w:val="00CB461A"/>
    <w:rsid w:val="00CB50BE"/>
    <w:rsid w:val="00CB5229"/>
    <w:rsid w:val="00CB769B"/>
    <w:rsid w:val="00CC0A7A"/>
    <w:rsid w:val="00CC4D39"/>
    <w:rsid w:val="00CC5B0D"/>
    <w:rsid w:val="00CC5ECD"/>
    <w:rsid w:val="00CC5F0A"/>
    <w:rsid w:val="00CC65C1"/>
    <w:rsid w:val="00CD3BBE"/>
    <w:rsid w:val="00CD566D"/>
    <w:rsid w:val="00CD672D"/>
    <w:rsid w:val="00CD6A88"/>
    <w:rsid w:val="00CE1510"/>
    <w:rsid w:val="00CE167B"/>
    <w:rsid w:val="00CE1875"/>
    <w:rsid w:val="00CE2036"/>
    <w:rsid w:val="00CE203C"/>
    <w:rsid w:val="00CE4957"/>
    <w:rsid w:val="00CE5E14"/>
    <w:rsid w:val="00CE7698"/>
    <w:rsid w:val="00CE7C54"/>
    <w:rsid w:val="00CE7F17"/>
    <w:rsid w:val="00CF1584"/>
    <w:rsid w:val="00CF1F6A"/>
    <w:rsid w:val="00CF201D"/>
    <w:rsid w:val="00CF255B"/>
    <w:rsid w:val="00CF3BB4"/>
    <w:rsid w:val="00CF56F9"/>
    <w:rsid w:val="00CF587D"/>
    <w:rsid w:val="00CF6AB2"/>
    <w:rsid w:val="00CF73FE"/>
    <w:rsid w:val="00D027EF"/>
    <w:rsid w:val="00D0356B"/>
    <w:rsid w:val="00D043BE"/>
    <w:rsid w:val="00D04633"/>
    <w:rsid w:val="00D048AB"/>
    <w:rsid w:val="00D079B6"/>
    <w:rsid w:val="00D10A3F"/>
    <w:rsid w:val="00D11DDE"/>
    <w:rsid w:val="00D13308"/>
    <w:rsid w:val="00D205AB"/>
    <w:rsid w:val="00D20756"/>
    <w:rsid w:val="00D24FBF"/>
    <w:rsid w:val="00D2630A"/>
    <w:rsid w:val="00D26500"/>
    <w:rsid w:val="00D27F8E"/>
    <w:rsid w:val="00D31298"/>
    <w:rsid w:val="00D35463"/>
    <w:rsid w:val="00D36A6B"/>
    <w:rsid w:val="00D36E83"/>
    <w:rsid w:val="00D40186"/>
    <w:rsid w:val="00D41737"/>
    <w:rsid w:val="00D43428"/>
    <w:rsid w:val="00D45BF4"/>
    <w:rsid w:val="00D46022"/>
    <w:rsid w:val="00D478E5"/>
    <w:rsid w:val="00D479DB"/>
    <w:rsid w:val="00D50427"/>
    <w:rsid w:val="00D504CC"/>
    <w:rsid w:val="00D52E5B"/>
    <w:rsid w:val="00D53416"/>
    <w:rsid w:val="00D54F77"/>
    <w:rsid w:val="00D55C0C"/>
    <w:rsid w:val="00D60D9C"/>
    <w:rsid w:val="00D61399"/>
    <w:rsid w:val="00D61831"/>
    <w:rsid w:val="00D62D65"/>
    <w:rsid w:val="00D6391C"/>
    <w:rsid w:val="00D63B86"/>
    <w:rsid w:val="00D66A81"/>
    <w:rsid w:val="00D66E86"/>
    <w:rsid w:val="00D679E6"/>
    <w:rsid w:val="00D67A6D"/>
    <w:rsid w:val="00D7219F"/>
    <w:rsid w:val="00D729DE"/>
    <w:rsid w:val="00D72E61"/>
    <w:rsid w:val="00D73297"/>
    <w:rsid w:val="00D7415F"/>
    <w:rsid w:val="00D74298"/>
    <w:rsid w:val="00D75BE8"/>
    <w:rsid w:val="00D76482"/>
    <w:rsid w:val="00D80CAA"/>
    <w:rsid w:val="00D80F35"/>
    <w:rsid w:val="00D845F3"/>
    <w:rsid w:val="00D8596C"/>
    <w:rsid w:val="00D85972"/>
    <w:rsid w:val="00D85C1F"/>
    <w:rsid w:val="00D85D99"/>
    <w:rsid w:val="00D85E48"/>
    <w:rsid w:val="00D873B9"/>
    <w:rsid w:val="00D93AE8"/>
    <w:rsid w:val="00D93CD8"/>
    <w:rsid w:val="00D9447E"/>
    <w:rsid w:val="00D952DF"/>
    <w:rsid w:val="00D96F72"/>
    <w:rsid w:val="00DA0D42"/>
    <w:rsid w:val="00DA580B"/>
    <w:rsid w:val="00DB0294"/>
    <w:rsid w:val="00DB0DC1"/>
    <w:rsid w:val="00DB0E49"/>
    <w:rsid w:val="00DB3192"/>
    <w:rsid w:val="00DB70C6"/>
    <w:rsid w:val="00DB7188"/>
    <w:rsid w:val="00DC0E75"/>
    <w:rsid w:val="00DC4734"/>
    <w:rsid w:val="00DC6DB6"/>
    <w:rsid w:val="00DC6DC8"/>
    <w:rsid w:val="00DD0C89"/>
    <w:rsid w:val="00DD1582"/>
    <w:rsid w:val="00DD285B"/>
    <w:rsid w:val="00DD6562"/>
    <w:rsid w:val="00DE1111"/>
    <w:rsid w:val="00DE1224"/>
    <w:rsid w:val="00DE1DB3"/>
    <w:rsid w:val="00DE21E8"/>
    <w:rsid w:val="00DE2A68"/>
    <w:rsid w:val="00DE3DC7"/>
    <w:rsid w:val="00DE4C7A"/>
    <w:rsid w:val="00DE5486"/>
    <w:rsid w:val="00DE69B5"/>
    <w:rsid w:val="00DE703C"/>
    <w:rsid w:val="00DF0266"/>
    <w:rsid w:val="00DF05DB"/>
    <w:rsid w:val="00DF4A63"/>
    <w:rsid w:val="00DF5127"/>
    <w:rsid w:val="00DF5C59"/>
    <w:rsid w:val="00DF73DC"/>
    <w:rsid w:val="00DF7C7B"/>
    <w:rsid w:val="00DF7F3E"/>
    <w:rsid w:val="00E00A98"/>
    <w:rsid w:val="00E017DE"/>
    <w:rsid w:val="00E02064"/>
    <w:rsid w:val="00E02845"/>
    <w:rsid w:val="00E02BAF"/>
    <w:rsid w:val="00E0520D"/>
    <w:rsid w:val="00E07615"/>
    <w:rsid w:val="00E10000"/>
    <w:rsid w:val="00E13BC5"/>
    <w:rsid w:val="00E163D0"/>
    <w:rsid w:val="00E1720A"/>
    <w:rsid w:val="00E1737C"/>
    <w:rsid w:val="00E20C52"/>
    <w:rsid w:val="00E2352B"/>
    <w:rsid w:val="00E24DD3"/>
    <w:rsid w:val="00E31DD2"/>
    <w:rsid w:val="00E339E5"/>
    <w:rsid w:val="00E34414"/>
    <w:rsid w:val="00E34652"/>
    <w:rsid w:val="00E353B0"/>
    <w:rsid w:val="00E42CCF"/>
    <w:rsid w:val="00E457D6"/>
    <w:rsid w:val="00E50955"/>
    <w:rsid w:val="00E54849"/>
    <w:rsid w:val="00E5578A"/>
    <w:rsid w:val="00E577E7"/>
    <w:rsid w:val="00E605DC"/>
    <w:rsid w:val="00E6125D"/>
    <w:rsid w:val="00E647CB"/>
    <w:rsid w:val="00E6566D"/>
    <w:rsid w:val="00E65D3A"/>
    <w:rsid w:val="00E7184F"/>
    <w:rsid w:val="00E742C3"/>
    <w:rsid w:val="00E75281"/>
    <w:rsid w:val="00E76CFD"/>
    <w:rsid w:val="00E77C95"/>
    <w:rsid w:val="00E80F20"/>
    <w:rsid w:val="00E81113"/>
    <w:rsid w:val="00E8132C"/>
    <w:rsid w:val="00E83D7A"/>
    <w:rsid w:val="00E84929"/>
    <w:rsid w:val="00E84F3F"/>
    <w:rsid w:val="00E866B1"/>
    <w:rsid w:val="00E90137"/>
    <w:rsid w:val="00E902E0"/>
    <w:rsid w:val="00E91D91"/>
    <w:rsid w:val="00E976E7"/>
    <w:rsid w:val="00E9794B"/>
    <w:rsid w:val="00E979C1"/>
    <w:rsid w:val="00E97C88"/>
    <w:rsid w:val="00EA1E4D"/>
    <w:rsid w:val="00EA4B5E"/>
    <w:rsid w:val="00EA5CBF"/>
    <w:rsid w:val="00EA7C6B"/>
    <w:rsid w:val="00EB13F5"/>
    <w:rsid w:val="00EB1422"/>
    <w:rsid w:val="00EB5087"/>
    <w:rsid w:val="00EB51F0"/>
    <w:rsid w:val="00EC05DA"/>
    <w:rsid w:val="00EC2795"/>
    <w:rsid w:val="00EC2A7C"/>
    <w:rsid w:val="00EC36D5"/>
    <w:rsid w:val="00EC3976"/>
    <w:rsid w:val="00EC62D9"/>
    <w:rsid w:val="00EC6F2B"/>
    <w:rsid w:val="00ED01C8"/>
    <w:rsid w:val="00ED0DFE"/>
    <w:rsid w:val="00ED3AB6"/>
    <w:rsid w:val="00ED4780"/>
    <w:rsid w:val="00ED5C10"/>
    <w:rsid w:val="00ED6CEC"/>
    <w:rsid w:val="00ED7451"/>
    <w:rsid w:val="00EE14AE"/>
    <w:rsid w:val="00EE242C"/>
    <w:rsid w:val="00EE28E5"/>
    <w:rsid w:val="00EE2BFD"/>
    <w:rsid w:val="00EE3F72"/>
    <w:rsid w:val="00EE43ED"/>
    <w:rsid w:val="00EE4494"/>
    <w:rsid w:val="00EE56DB"/>
    <w:rsid w:val="00EE7583"/>
    <w:rsid w:val="00EF054A"/>
    <w:rsid w:val="00EF183E"/>
    <w:rsid w:val="00EF1E90"/>
    <w:rsid w:val="00EF2900"/>
    <w:rsid w:val="00EF3F87"/>
    <w:rsid w:val="00EF41F3"/>
    <w:rsid w:val="00EF42FF"/>
    <w:rsid w:val="00EF701C"/>
    <w:rsid w:val="00EF7202"/>
    <w:rsid w:val="00EF7DDB"/>
    <w:rsid w:val="00F00AA0"/>
    <w:rsid w:val="00F00B01"/>
    <w:rsid w:val="00F03977"/>
    <w:rsid w:val="00F04A9A"/>
    <w:rsid w:val="00F06BD1"/>
    <w:rsid w:val="00F074A0"/>
    <w:rsid w:val="00F07E46"/>
    <w:rsid w:val="00F10B0B"/>
    <w:rsid w:val="00F11786"/>
    <w:rsid w:val="00F145AF"/>
    <w:rsid w:val="00F14D66"/>
    <w:rsid w:val="00F174B2"/>
    <w:rsid w:val="00F17919"/>
    <w:rsid w:val="00F221F8"/>
    <w:rsid w:val="00F24119"/>
    <w:rsid w:val="00F30336"/>
    <w:rsid w:val="00F307D0"/>
    <w:rsid w:val="00F30ED7"/>
    <w:rsid w:val="00F32DB8"/>
    <w:rsid w:val="00F34C84"/>
    <w:rsid w:val="00F350A7"/>
    <w:rsid w:val="00F36E4F"/>
    <w:rsid w:val="00F37D3F"/>
    <w:rsid w:val="00F43906"/>
    <w:rsid w:val="00F45148"/>
    <w:rsid w:val="00F46B8F"/>
    <w:rsid w:val="00F47CE1"/>
    <w:rsid w:val="00F47CE7"/>
    <w:rsid w:val="00F54BB6"/>
    <w:rsid w:val="00F5696A"/>
    <w:rsid w:val="00F57DF9"/>
    <w:rsid w:val="00F60408"/>
    <w:rsid w:val="00F64049"/>
    <w:rsid w:val="00F705FF"/>
    <w:rsid w:val="00F70907"/>
    <w:rsid w:val="00F70C89"/>
    <w:rsid w:val="00F7351E"/>
    <w:rsid w:val="00F74E85"/>
    <w:rsid w:val="00F75B85"/>
    <w:rsid w:val="00F76873"/>
    <w:rsid w:val="00F76DE0"/>
    <w:rsid w:val="00F772C6"/>
    <w:rsid w:val="00F8117F"/>
    <w:rsid w:val="00F82DAA"/>
    <w:rsid w:val="00F85F70"/>
    <w:rsid w:val="00F86789"/>
    <w:rsid w:val="00F8700E"/>
    <w:rsid w:val="00F906D3"/>
    <w:rsid w:val="00F90C89"/>
    <w:rsid w:val="00F90E9F"/>
    <w:rsid w:val="00F917F8"/>
    <w:rsid w:val="00F91F30"/>
    <w:rsid w:val="00F92A4A"/>
    <w:rsid w:val="00F92AE7"/>
    <w:rsid w:val="00F949D4"/>
    <w:rsid w:val="00F94FB4"/>
    <w:rsid w:val="00F955F1"/>
    <w:rsid w:val="00F962BF"/>
    <w:rsid w:val="00F96458"/>
    <w:rsid w:val="00F9694E"/>
    <w:rsid w:val="00F96CCC"/>
    <w:rsid w:val="00F974C1"/>
    <w:rsid w:val="00FA198C"/>
    <w:rsid w:val="00FA20A2"/>
    <w:rsid w:val="00FA3F80"/>
    <w:rsid w:val="00FA525F"/>
    <w:rsid w:val="00FA52D3"/>
    <w:rsid w:val="00FA56B8"/>
    <w:rsid w:val="00FA5D95"/>
    <w:rsid w:val="00FA626A"/>
    <w:rsid w:val="00FA7AA9"/>
    <w:rsid w:val="00FA7C83"/>
    <w:rsid w:val="00FA7D00"/>
    <w:rsid w:val="00FB1602"/>
    <w:rsid w:val="00FB19FD"/>
    <w:rsid w:val="00FB280E"/>
    <w:rsid w:val="00FB2B2E"/>
    <w:rsid w:val="00FB3774"/>
    <w:rsid w:val="00FB426F"/>
    <w:rsid w:val="00FB5DC9"/>
    <w:rsid w:val="00FB64F9"/>
    <w:rsid w:val="00FB7815"/>
    <w:rsid w:val="00FB7F4A"/>
    <w:rsid w:val="00FC0550"/>
    <w:rsid w:val="00FC1673"/>
    <w:rsid w:val="00FC1BDB"/>
    <w:rsid w:val="00FC2A72"/>
    <w:rsid w:val="00FC2B2F"/>
    <w:rsid w:val="00FC3697"/>
    <w:rsid w:val="00FC4061"/>
    <w:rsid w:val="00FC5447"/>
    <w:rsid w:val="00FC5BDB"/>
    <w:rsid w:val="00FC76DD"/>
    <w:rsid w:val="00FD0168"/>
    <w:rsid w:val="00FD09B9"/>
    <w:rsid w:val="00FD297A"/>
    <w:rsid w:val="00FD5DD9"/>
    <w:rsid w:val="00FD5E16"/>
    <w:rsid w:val="00FD6DF3"/>
    <w:rsid w:val="00FE2F05"/>
    <w:rsid w:val="00FE4728"/>
    <w:rsid w:val="00FE60A6"/>
    <w:rsid w:val="00FE6612"/>
    <w:rsid w:val="00FF0214"/>
    <w:rsid w:val="00FF0892"/>
    <w:rsid w:val="00FF1CE1"/>
    <w:rsid w:val="00FF1E28"/>
    <w:rsid w:val="00FF27E8"/>
    <w:rsid w:val="00FF29BD"/>
    <w:rsid w:val="00FF3330"/>
    <w:rsid w:val="00FF65D2"/>
    <w:rsid w:val="00FF751F"/>
    <w:rsid w:val="00FF7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F5C5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1"/>
    <w:qFormat/>
    <w:rsid w:val="00DF5C5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
    <w:link w:val="FootnoteText"/>
    <w:locked/>
    <w:rsid w:val="00FC0550"/>
    <w:rPr>
      <w:rFonts w:eastAsia="SimSun"/>
      <w:sz w:val="18"/>
      <w:lang w:val="en-GB"/>
    </w:rPr>
  </w:style>
  <w:style w:type="paragraph" w:styleId="BodyText2">
    <w:name w:val="Body Text 2"/>
    <w:basedOn w:val="Normal"/>
    <w:rsid w:val="00FC0550"/>
    <w:pPr>
      <w:spacing w:after="120" w:line="480" w:lineRule="auto"/>
    </w:pPr>
  </w:style>
  <w:style w:type="paragraph" w:styleId="BodyText">
    <w:name w:val="Body Text"/>
    <w:basedOn w:val="Normal"/>
    <w:rsid w:val="00FC0550"/>
    <w:pPr>
      <w:spacing w:after="120"/>
    </w:pPr>
  </w:style>
  <w:style w:type="paragraph" w:styleId="Title">
    <w:name w:val="Title"/>
    <w:basedOn w:val="Normal"/>
    <w:qFormat/>
    <w:rsid w:val="00FC0550"/>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6820EC"/>
    <w:rPr>
      <w:lang w:val="en-GB" w:eastAsia="en-US" w:bidi="ar-SA"/>
    </w:rPr>
  </w:style>
  <w:style w:type="paragraph" w:styleId="BalloonText">
    <w:name w:val="Balloon Text"/>
    <w:basedOn w:val="Normal"/>
    <w:semiHidden/>
    <w:rsid w:val="000E3390"/>
    <w:rPr>
      <w:rFonts w:ascii="Tahoma" w:hAnsi="Tahoma" w:cs="Tahoma"/>
      <w:sz w:val="16"/>
      <w:szCs w:val="16"/>
    </w:rPr>
  </w:style>
  <w:style w:type="character" w:styleId="CommentReference">
    <w:name w:val="annotation reference"/>
    <w:uiPriority w:val="99"/>
    <w:rsid w:val="00572302"/>
    <w:rPr>
      <w:sz w:val="18"/>
      <w:szCs w:val="18"/>
    </w:rPr>
  </w:style>
  <w:style w:type="paragraph" w:styleId="CommentText">
    <w:name w:val="annotation text"/>
    <w:basedOn w:val="Normal"/>
    <w:link w:val="CommentTextChar"/>
    <w:uiPriority w:val="99"/>
    <w:rsid w:val="00572302"/>
    <w:rPr>
      <w:sz w:val="24"/>
      <w:szCs w:val="24"/>
    </w:rPr>
  </w:style>
  <w:style w:type="character" w:customStyle="1" w:styleId="CommentTextChar">
    <w:name w:val="Comment Text Char"/>
    <w:link w:val="CommentText"/>
    <w:uiPriority w:val="99"/>
    <w:rsid w:val="00572302"/>
    <w:rPr>
      <w:sz w:val="24"/>
      <w:szCs w:val="24"/>
      <w:lang w:val="en-GB"/>
    </w:rPr>
  </w:style>
  <w:style w:type="paragraph" w:styleId="CommentSubject">
    <w:name w:val="annotation subject"/>
    <w:basedOn w:val="CommentText"/>
    <w:next w:val="CommentText"/>
    <w:link w:val="CommentSubjectChar"/>
    <w:rsid w:val="00572302"/>
    <w:rPr>
      <w:b/>
      <w:bCs/>
    </w:rPr>
  </w:style>
  <w:style w:type="character" w:customStyle="1" w:styleId="CommentSubjectChar">
    <w:name w:val="Comment Subject Char"/>
    <w:link w:val="CommentSubject"/>
    <w:rsid w:val="00572302"/>
    <w:rPr>
      <w:b/>
      <w:bCs/>
      <w:sz w:val="24"/>
      <w:szCs w:val="24"/>
      <w:lang w:val="en-GB"/>
    </w:rPr>
  </w:style>
  <w:style w:type="character" w:customStyle="1" w:styleId="FootnoteCharacters">
    <w:name w:val="Footnote Characters"/>
    <w:rsid w:val="00684710"/>
  </w:style>
  <w:style w:type="character" w:customStyle="1" w:styleId="Quotation">
    <w:name w:val="Quotation"/>
    <w:rsid w:val="00684710"/>
    <w:rPr>
      <w:i/>
      <w:iCs/>
    </w:rPr>
  </w:style>
  <w:style w:type="paragraph" w:customStyle="1" w:styleId="ColorfulShading-Accent11">
    <w:name w:val="Colorful Shading - Accent 11"/>
    <w:hidden/>
    <w:uiPriority w:val="99"/>
    <w:semiHidden/>
    <w:rsid w:val="00D757C5"/>
    <w:rPr>
      <w:lang w:eastAsia="en-US"/>
    </w:rPr>
  </w:style>
  <w:style w:type="character" w:customStyle="1" w:styleId="st">
    <w:name w:val="st"/>
    <w:rsid w:val="00937999"/>
  </w:style>
  <w:style w:type="character" w:customStyle="1" w:styleId="Heading1Char">
    <w:name w:val="Heading 1 Char"/>
    <w:aliases w:val="Table_G Char"/>
    <w:link w:val="Heading1"/>
    <w:uiPriority w:val="9"/>
    <w:rsid w:val="00A6142E"/>
    <w:rPr>
      <w:lang w:eastAsia="en-US"/>
    </w:rPr>
  </w:style>
  <w:style w:type="paragraph" w:customStyle="1" w:styleId="Default">
    <w:name w:val="Default"/>
    <w:rsid w:val="00BB12C8"/>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uiPriority w:val="9"/>
    <w:rsid w:val="00BB12C8"/>
    <w:rPr>
      <w:lang w:eastAsia="en-US"/>
    </w:rPr>
  </w:style>
  <w:style w:type="paragraph" w:styleId="ListParagraph">
    <w:name w:val="List Paragraph"/>
    <w:basedOn w:val="Normal"/>
    <w:uiPriority w:val="34"/>
    <w:qFormat/>
    <w:rsid w:val="00BB12C8"/>
    <w:pPr>
      <w:suppressAutoHyphens w:val="0"/>
      <w:spacing w:line="240" w:lineRule="auto"/>
      <w:ind w:left="720"/>
    </w:pPr>
    <w:rPr>
      <w:rFonts w:eastAsia="Calibri"/>
      <w:szCs w:val="24"/>
      <w:lang w:eastAsia="en-GB"/>
    </w:rPr>
  </w:style>
  <w:style w:type="character" w:styleId="Emphasis">
    <w:name w:val="Emphasis"/>
    <w:uiPriority w:val="20"/>
    <w:qFormat/>
    <w:rsid w:val="00CF1F6A"/>
    <w:rPr>
      <w:i/>
      <w:iCs/>
    </w:rPr>
  </w:style>
  <w:style w:type="paragraph" w:styleId="HTMLPreformatted">
    <w:name w:val="HTML Preformatted"/>
    <w:basedOn w:val="Normal"/>
    <w:link w:val="HTMLPreformattedChar"/>
    <w:uiPriority w:val="99"/>
    <w:unhideWhenUsed/>
    <w:rsid w:val="00CF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MS Mincho" w:hAnsi="Courier" w:cs="Courier"/>
      <w:lang w:val="en-US"/>
    </w:rPr>
  </w:style>
  <w:style w:type="character" w:customStyle="1" w:styleId="HTMLPreformattedChar">
    <w:name w:val="HTML Preformatted Char"/>
    <w:link w:val="HTMLPreformatted"/>
    <w:uiPriority w:val="99"/>
    <w:rsid w:val="00CF1F6A"/>
    <w:rPr>
      <w:rFonts w:ascii="Courier" w:eastAsia="MS Mincho" w:hAnsi="Courier" w:cs="Courier"/>
      <w:lang w:val="en-US" w:eastAsia="en-US"/>
    </w:rPr>
  </w:style>
  <w:style w:type="paragraph" w:styleId="Revision">
    <w:name w:val="Revision"/>
    <w:hidden/>
    <w:uiPriority w:val="99"/>
    <w:semiHidden/>
    <w:rsid w:val="0080581A"/>
    <w:rPr>
      <w:lang w:eastAsia="en-US"/>
    </w:rPr>
  </w:style>
  <w:style w:type="character" w:customStyle="1" w:styleId="Caracteresdenotaalpie">
    <w:name w:val="Caracteres de nota al pie"/>
    <w:rsid w:val="00FC5BDB"/>
  </w:style>
  <w:style w:type="paragraph" w:customStyle="1" w:styleId="Notaalpie">
    <w:name w:val="Nota al pie"/>
    <w:basedOn w:val="Normal"/>
    <w:rsid w:val="00FC5BDB"/>
    <w:pPr>
      <w:suppressLineNumbers/>
      <w:tabs>
        <w:tab w:val="left" w:pos="708"/>
      </w:tabs>
      <w:spacing w:line="100" w:lineRule="atLeast"/>
      <w:ind w:left="339" w:hanging="339"/>
      <w:jc w:val="both"/>
    </w:pPr>
    <w:rPr>
      <w:rFonts w:ascii="Calibri" w:eastAsia="Arial Unicode MS" w:hAnsi="Calibri" w:cs="Calibri"/>
      <w:color w:val="00000A"/>
      <w:lang w:val="es-ES"/>
    </w:rPr>
  </w:style>
  <w:style w:type="character" w:customStyle="1" w:styleId="FootnoteTextChar">
    <w:name w:val="Footnote Text Char"/>
    <w:aliases w:val="5_G Char1,Footnote Text Char Char Char Char1,Footnote Text Char Char Char Char Char Char Char Char Char1,Footnote Text Char Char Ch Char Char1,Footnote Text Char Char Ch Char Char Char Char Char1,Footnote Text Char Char Char Ch Char"/>
    <w:rsid w:val="007F66FA"/>
    <w:rPr>
      <w:rFonts w:eastAsia="SimSun"/>
      <w:sz w:val="18"/>
      <w:lang w:val="en-GB"/>
    </w:rPr>
  </w:style>
  <w:style w:type="character" w:customStyle="1" w:styleId="hps">
    <w:name w:val="hps"/>
    <w:rsid w:val="00C6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DF5C59"/>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1"/>
    <w:qFormat/>
    <w:rsid w:val="00DF5C5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
    <w:link w:val="FootnoteText"/>
    <w:locked/>
    <w:rsid w:val="00FC0550"/>
    <w:rPr>
      <w:rFonts w:eastAsia="SimSun"/>
      <w:sz w:val="18"/>
      <w:lang w:val="en-GB"/>
    </w:rPr>
  </w:style>
  <w:style w:type="paragraph" w:styleId="BodyText2">
    <w:name w:val="Body Text 2"/>
    <w:basedOn w:val="Normal"/>
    <w:rsid w:val="00FC0550"/>
    <w:pPr>
      <w:spacing w:after="120" w:line="480" w:lineRule="auto"/>
    </w:pPr>
  </w:style>
  <w:style w:type="paragraph" w:styleId="BodyText">
    <w:name w:val="Body Text"/>
    <w:basedOn w:val="Normal"/>
    <w:rsid w:val="00FC0550"/>
    <w:pPr>
      <w:spacing w:after="120"/>
    </w:pPr>
  </w:style>
  <w:style w:type="paragraph" w:styleId="Title">
    <w:name w:val="Title"/>
    <w:basedOn w:val="Normal"/>
    <w:qFormat/>
    <w:rsid w:val="00FC0550"/>
    <w:pPr>
      <w:spacing w:before="240" w:after="60"/>
      <w:jc w:val="center"/>
      <w:outlineLvl w:val="0"/>
    </w:pPr>
    <w:rPr>
      <w:rFonts w:ascii="Arial" w:hAnsi="Arial" w:cs="Arial"/>
      <w:b/>
      <w:bCs/>
      <w:kern w:val="28"/>
      <w:sz w:val="32"/>
      <w:szCs w:val="32"/>
    </w:rPr>
  </w:style>
  <w:style w:type="character" w:customStyle="1" w:styleId="SingleTxtGChar">
    <w:name w:val="_ Single Txt_G Char"/>
    <w:link w:val="SingleTxtG"/>
    <w:rsid w:val="006820EC"/>
    <w:rPr>
      <w:lang w:val="en-GB" w:eastAsia="en-US" w:bidi="ar-SA"/>
    </w:rPr>
  </w:style>
  <w:style w:type="paragraph" w:styleId="BalloonText">
    <w:name w:val="Balloon Text"/>
    <w:basedOn w:val="Normal"/>
    <w:semiHidden/>
    <w:rsid w:val="000E3390"/>
    <w:rPr>
      <w:rFonts w:ascii="Tahoma" w:hAnsi="Tahoma" w:cs="Tahoma"/>
      <w:sz w:val="16"/>
      <w:szCs w:val="16"/>
    </w:rPr>
  </w:style>
  <w:style w:type="character" w:styleId="CommentReference">
    <w:name w:val="annotation reference"/>
    <w:uiPriority w:val="99"/>
    <w:rsid w:val="00572302"/>
    <w:rPr>
      <w:sz w:val="18"/>
      <w:szCs w:val="18"/>
    </w:rPr>
  </w:style>
  <w:style w:type="paragraph" w:styleId="CommentText">
    <w:name w:val="annotation text"/>
    <w:basedOn w:val="Normal"/>
    <w:link w:val="CommentTextChar"/>
    <w:uiPriority w:val="99"/>
    <w:rsid w:val="00572302"/>
    <w:rPr>
      <w:sz w:val="24"/>
      <w:szCs w:val="24"/>
    </w:rPr>
  </w:style>
  <w:style w:type="character" w:customStyle="1" w:styleId="CommentTextChar">
    <w:name w:val="Comment Text Char"/>
    <w:link w:val="CommentText"/>
    <w:uiPriority w:val="99"/>
    <w:rsid w:val="00572302"/>
    <w:rPr>
      <w:sz w:val="24"/>
      <w:szCs w:val="24"/>
      <w:lang w:val="en-GB"/>
    </w:rPr>
  </w:style>
  <w:style w:type="paragraph" w:styleId="CommentSubject">
    <w:name w:val="annotation subject"/>
    <w:basedOn w:val="CommentText"/>
    <w:next w:val="CommentText"/>
    <w:link w:val="CommentSubjectChar"/>
    <w:rsid w:val="00572302"/>
    <w:rPr>
      <w:b/>
      <w:bCs/>
    </w:rPr>
  </w:style>
  <w:style w:type="character" w:customStyle="1" w:styleId="CommentSubjectChar">
    <w:name w:val="Comment Subject Char"/>
    <w:link w:val="CommentSubject"/>
    <w:rsid w:val="00572302"/>
    <w:rPr>
      <w:b/>
      <w:bCs/>
      <w:sz w:val="24"/>
      <w:szCs w:val="24"/>
      <w:lang w:val="en-GB"/>
    </w:rPr>
  </w:style>
  <w:style w:type="character" w:customStyle="1" w:styleId="FootnoteCharacters">
    <w:name w:val="Footnote Characters"/>
    <w:rsid w:val="00684710"/>
  </w:style>
  <w:style w:type="character" w:customStyle="1" w:styleId="Quotation">
    <w:name w:val="Quotation"/>
    <w:rsid w:val="00684710"/>
    <w:rPr>
      <w:i/>
      <w:iCs/>
    </w:rPr>
  </w:style>
  <w:style w:type="paragraph" w:customStyle="1" w:styleId="ColorfulShading-Accent11">
    <w:name w:val="Colorful Shading - Accent 11"/>
    <w:hidden/>
    <w:uiPriority w:val="99"/>
    <w:semiHidden/>
    <w:rsid w:val="00D757C5"/>
    <w:rPr>
      <w:lang w:eastAsia="en-US"/>
    </w:rPr>
  </w:style>
  <w:style w:type="character" w:customStyle="1" w:styleId="st">
    <w:name w:val="st"/>
    <w:rsid w:val="00937999"/>
  </w:style>
  <w:style w:type="character" w:customStyle="1" w:styleId="Heading1Char">
    <w:name w:val="Heading 1 Char"/>
    <w:aliases w:val="Table_G Char"/>
    <w:link w:val="Heading1"/>
    <w:uiPriority w:val="9"/>
    <w:rsid w:val="00A6142E"/>
    <w:rPr>
      <w:lang w:eastAsia="en-US"/>
    </w:rPr>
  </w:style>
  <w:style w:type="paragraph" w:customStyle="1" w:styleId="Default">
    <w:name w:val="Default"/>
    <w:rsid w:val="00BB12C8"/>
    <w:pPr>
      <w:autoSpaceDE w:val="0"/>
      <w:autoSpaceDN w:val="0"/>
      <w:adjustRightInd w:val="0"/>
    </w:pPr>
    <w:rPr>
      <w:rFonts w:ascii="Arial" w:eastAsia="Calibri" w:hAnsi="Arial" w:cs="Arial"/>
      <w:color w:val="000000"/>
      <w:sz w:val="24"/>
      <w:szCs w:val="24"/>
    </w:rPr>
  </w:style>
  <w:style w:type="character" w:customStyle="1" w:styleId="Heading3Char">
    <w:name w:val="Heading 3 Char"/>
    <w:link w:val="Heading3"/>
    <w:uiPriority w:val="9"/>
    <w:rsid w:val="00BB12C8"/>
    <w:rPr>
      <w:lang w:eastAsia="en-US"/>
    </w:rPr>
  </w:style>
  <w:style w:type="paragraph" w:styleId="ListParagraph">
    <w:name w:val="List Paragraph"/>
    <w:basedOn w:val="Normal"/>
    <w:uiPriority w:val="34"/>
    <w:qFormat/>
    <w:rsid w:val="00BB12C8"/>
    <w:pPr>
      <w:suppressAutoHyphens w:val="0"/>
      <w:spacing w:line="240" w:lineRule="auto"/>
      <w:ind w:left="720"/>
    </w:pPr>
    <w:rPr>
      <w:rFonts w:eastAsia="Calibri"/>
      <w:szCs w:val="24"/>
      <w:lang w:eastAsia="en-GB"/>
    </w:rPr>
  </w:style>
  <w:style w:type="character" w:styleId="Emphasis">
    <w:name w:val="Emphasis"/>
    <w:uiPriority w:val="20"/>
    <w:qFormat/>
    <w:rsid w:val="00CF1F6A"/>
    <w:rPr>
      <w:i/>
      <w:iCs/>
    </w:rPr>
  </w:style>
  <w:style w:type="paragraph" w:styleId="HTMLPreformatted">
    <w:name w:val="HTML Preformatted"/>
    <w:basedOn w:val="Normal"/>
    <w:link w:val="HTMLPreformattedChar"/>
    <w:uiPriority w:val="99"/>
    <w:unhideWhenUsed/>
    <w:rsid w:val="00CF1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MS Mincho" w:hAnsi="Courier" w:cs="Courier"/>
      <w:lang w:val="en-US"/>
    </w:rPr>
  </w:style>
  <w:style w:type="character" w:customStyle="1" w:styleId="HTMLPreformattedChar">
    <w:name w:val="HTML Preformatted Char"/>
    <w:link w:val="HTMLPreformatted"/>
    <w:uiPriority w:val="99"/>
    <w:rsid w:val="00CF1F6A"/>
    <w:rPr>
      <w:rFonts w:ascii="Courier" w:eastAsia="MS Mincho" w:hAnsi="Courier" w:cs="Courier"/>
      <w:lang w:val="en-US" w:eastAsia="en-US"/>
    </w:rPr>
  </w:style>
  <w:style w:type="paragraph" w:styleId="Revision">
    <w:name w:val="Revision"/>
    <w:hidden/>
    <w:uiPriority w:val="99"/>
    <w:semiHidden/>
    <w:rsid w:val="0080581A"/>
    <w:rPr>
      <w:lang w:eastAsia="en-US"/>
    </w:rPr>
  </w:style>
  <w:style w:type="character" w:customStyle="1" w:styleId="Caracteresdenotaalpie">
    <w:name w:val="Caracteres de nota al pie"/>
    <w:rsid w:val="00FC5BDB"/>
  </w:style>
  <w:style w:type="paragraph" w:customStyle="1" w:styleId="Notaalpie">
    <w:name w:val="Nota al pie"/>
    <w:basedOn w:val="Normal"/>
    <w:rsid w:val="00FC5BDB"/>
    <w:pPr>
      <w:suppressLineNumbers/>
      <w:tabs>
        <w:tab w:val="left" w:pos="708"/>
      </w:tabs>
      <w:spacing w:line="100" w:lineRule="atLeast"/>
      <w:ind w:left="339" w:hanging="339"/>
      <w:jc w:val="both"/>
    </w:pPr>
    <w:rPr>
      <w:rFonts w:ascii="Calibri" w:eastAsia="Arial Unicode MS" w:hAnsi="Calibri" w:cs="Calibri"/>
      <w:color w:val="00000A"/>
      <w:lang w:val="es-ES"/>
    </w:rPr>
  </w:style>
  <w:style w:type="character" w:customStyle="1" w:styleId="FootnoteTextChar">
    <w:name w:val="Footnote Text Char"/>
    <w:aliases w:val="5_G Char1,Footnote Text Char Char Char Char1,Footnote Text Char Char Char Char Char Char Char Char Char1,Footnote Text Char Char Ch Char Char1,Footnote Text Char Char Ch Char Char Char Char Char1,Footnote Text Char Char Char Ch Char"/>
    <w:rsid w:val="007F66FA"/>
    <w:rPr>
      <w:rFonts w:eastAsia="SimSun"/>
      <w:sz w:val="18"/>
      <w:lang w:val="en-GB"/>
    </w:rPr>
  </w:style>
  <w:style w:type="character" w:customStyle="1" w:styleId="hps">
    <w:name w:val="hps"/>
    <w:rsid w:val="00C6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2C74C-9442-48FA-B975-5B36563D6553}"/>
</file>

<file path=customXml/itemProps2.xml><?xml version="1.0" encoding="utf-8"?>
<ds:datastoreItem xmlns:ds="http://schemas.openxmlformats.org/officeDocument/2006/customXml" ds:itemID="{D25A382D-F0EE-450F-8DC7-7CA974C3125A}"/>
</file>

<file path=customXml/itemProps3.xml><?xml version="1.0" encoding="utf-8"?>
<ds:datastoreItem xmlns:ds="http://schemas.openxmlformats.org/officeDocument/2006/customXml" ds:itemID="{A58D59C4-CFFF-4F11-85AB-1F7559415983}"/>
</file>

<file path=customXml/itemProps4.xml><?xml version="1.0" encoding="utf-8"?>
<ds:datastoreItem xmlns:ds="http://schemas.openxmlformats.org/officeDocument/2006/customXml" ds:itemID="{57DF9ED8-B669-401F-A024-FC830152D0F9}"/>
</file>

<file path=customXml/itemProps5.xml><?xml version="1.0" encoding="utf-8"?>
<ds:datastoreItem xmlns:ds="http://schemas.openxmlformats.org/officeDocument/2006/customXml" ds:itemID="{8B3FF590-E158-43C4-9D19-D5D10F8077DC}"/>
</file>

<file path=docProps/app.xml><?xml version="1.0" encoding="utf-8"?>
<Properties xmlns="http://schemas.openxmlformats.org/officeDocument/2006/extended-properties" xmlns:vt="http://schemas.openxmlformats.org/officeDocument/2006/docPropsVTypes">
  <Template>Normal</Template>
  <TotalTime>0</TotalTime>
  <Pages>18</Pages>
  <Words>9155</Words>
  <Characters>52185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Annual report of the Working Group on the use of mercenaries as a means of violating human rights and impeding the exercise of the right of peoples to self-determination English</vt:lpstr>
    </vt:vector>
  </TitlesOfParts>
  <Company>CSD</Company>
  <LinksUpToDate>false</LinksUpToDate>
  <CharactersWithSpaces>61218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 Mission to Côte d'Ivoire in English</dc:title>
  <dc:creator>OHCHR</dc:creator>
  <cp:lastModifiedBy>Valeriano De Castro</cp:lastModifiedBy>
  <cp:revision>2</cp:revision>
  <cp:lastPrinted>2015-04-08T11:48:00Z</cp:lastPrinted>
  <dcterms:created xsi:type="dcterms:W3CDTF">2015-09-15T07:44:00Z</dcterms:created>
  <dcterms:modified xsi:type="dcterms:W3CDTF">2015-09-15T07:44:00Z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0x010100EF670F518423CB4F888C4265EEC2C475</vt:lpwstr>
  </property>
  <property fmtid="{D5CDD505-2E9C-101B-9397-08002B2CF9AE}" pid="11" name="Order">
    <vt:r8>37400</vt:r8>
  </property>
</Properties>
</file>