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262BD" w:rsidRPr="00293153">
        <w:trPr>
          <w:trHeight w:val="851"/>
        </w:trPr>
        <w:tc>
          <w:tcPr>
            <w:tcW w:w="1259" w:type="dxa"/>
            <w:tcBorders>
              <w:top w:val="nil"/>
              <w:left w:val="nil"/>
              <w:bottom w:val="single" w:sz="4" w:space="0" w:color="auto"/>
              <w:right w:val="nil"/>
            </w:tcBorders>
          </w:tcPr>
          <w:p w:rsidR="00E262BD" w:rsidRPr="00273BC9" w:rsidRDefault="00E262BD" w:rsidP="00273BC9">
            <w:pPr>
              <w:tabs>
                <w:tab w:val="right" w:pos="850"/>
                <w:tab w:val="left" w:pos="1134"/>
                <w:tab w:val="right" w:leader="dot" w:pos="8504"/>
              </w:tabs>
              <w:spacing w:before="360" w:after="240" w:line="240" w:lineRule="auto"/>
              <w:rPr>
                <w:sz w:val="24"/>
                <w:szCs w:val="24"/>
              </w:rPr>
            </w:pPr>
          </w:p>
        </w:tc>
        <w:tc>
          <w:tcPr>
            <w:tcW w:w="2236" w:type="dxa"/>
            <w:tcBorders>
              <w:top w:val="nil"/>
              <w:left w:val="nil"/>
              <w:bottom w:val="single" w:sz="4" w:space="0" w:color="auto"/>
              <w:right w:val="nil"/>
            </w:tcBorders>
            <w:vAlign w:val="bottom"/>
          </w:tcPr>
          <w:p w:rsidR="00E262BD" w:rsidRPr="008A1694" w:rsidRDefault="00E262BD" w:rsidP="00273BC9">
            <w:pPr>
              <w:spacing w:after="80" w:line="240" w:lineRule="auto"/>
              <w:rPr>
                <w:sz w:val="28"/>
                <w:szCs w:val="28"/>
              </w:rPr>
            </w:pPr>
          </w:p>
        </w:tc>
        <w:tc>
          <w:tcPr>
            <w:tcW w:w="6144" w:type="dxa"/>
            <w:gridSpan w:val="2"/>
            <w:tcBorders>
              <w:top w:val="nil"/>
              <w:left w:val="nil"/>
              <w:bottom w:val="single" w:sz="4" w:space="0" w:color="auto"/>
              <w:right w:val="nil"/>
            </w:tcBorders>
            <w:vAlign w:val="bottom"/>
          </w:tcPr>
          <w:p w:rsidR="00E262BD" w:rsidRPr="00293153" w:rsidRDefault="00CC191F" w:rsidP="00F97A31">
            <w:pPr>
              <w:spacing w:line="240" w:lineRule="auto"/>
              <w:jc w:val="right"/>
            </w:pPr>
            <w:r w:rsidRPr="004005A2">
              <w:rPr>
                <w:b/>
                <w:sz w:val="32"/>
              </w:rPr>
              <w:t>A</w:t>
            </w:r>
            <w:r w:rsidR="00F97A31">
              <w:t>/HRC/30/CRP</w:t>
            </w:r>
            <w:r w:rsidR="005D7B1D">
              <w:t>.1</w:t>
            </w:r>
          </w:p>
        </w:tc>
      </w:tr>
      <w:tr w:rsidR="00E262BD" w:rsidRPr="00453C48">
        <w:trPr>
          <w:trHeight w:val="2835"/>
        </w:trPr>
        <w:tc>
          <w:tcPr>
            <w:tcW w:w="1259" w:type="dxa"/>
            <w:tcBorders>
              <w:top w:val="single" w:sz="4" w:space="0" w:color="auto"/>
              <w:left w:val="nil"/>
              <w:bottom w:val="single" w:sz="12" w:space="0" w:color="auto"/>
              <w:right w:val="nil"/>
            </w:tcBorders>
          </w:tcPr>
          <w:p w:rsidR="00E262BD" w:rsidRPr="00273BC9" w:rsidRDefault="00E262BD" w:rsidP="00273BC9">
            <w:pPr>
              <w:spacing w:before="120" w:line="240" w:lineRule="auto"/>
              <w:jc w:val="center"/>
              <w:rPr>
                <w:sz w:val="24"/>
                <w:szCs w:val="24"/>
              </w:rPr>
            </w:pPr>
          </w:p>
        </w:tc>
        <w:tc>
          <w:tcPr>
            <w:tcW w:w="5450" w:type="dxa"/>
            <w:gridSpan w:val="2"/>
            <w:tcBorders>
              <w:top w:val="single" w:sz="4" w:space="0" w:color="auto"/>
              <w:left w:val="nil"/>
              <w:bottom w:val="single" w:sz="12" w:space="0" w:color="auto"/>
              <w:right w:val="nil"/>
            </w:tcBorders>
          </w:tcPr>
          <w:p w:rsidR="00E262BD" w:rsidRPr="008A1694" w:rsidRDefault="004B3B03" w:rsidP="00273BC9">
            <w:pPr>
              <w:spacing w:before="120" w:line="240" w:lineRule="auto"/>
              <w:rPr>
                <w:b/>
                <w:sz w:val="40"/>
                <w:szCs w:val="40"/>
              </w:rPr>
            </w:pPr>
            <w:r>
              <w:rPr>
                <w:b/>
                <w:sz w:val="40"/>
                <w:szCs w:val="40"/>
              </w:rPr>
              <w:t xml:space="preserve">Advance </w:t>
            </w:r>
            <w:r>
              <w:rPr>
                <w:b/>
                <w:sz w:val="40"/>
                <w:szCs w:val="40"/>
              </w:rPr>
              <w:t>Ve</w:t>
            </w:r>
            <w:bookmarkStart w:id="0" w:name="_GoBack"/>
            <w:bookmarkEnd w:id="0"/>
            <w:r>
              <w:rPr>
                <w:b/>
                <w:sz w:val="40"/>
                <w:szCs w:val="40"/>
              </w:rPr>
              <w:t>rsion</w:t>
            </w:r>
          </w:p>
        </w:tc>
        <w:tc>
          <w:tcPr>
            <w:tcW w:w="2930" w:type="dxa"/>
            <w:tcBorders>
              <w:top w:val="single" w:sz="4" w:space="0" w:color="auto"/>
              <w:left w:val="nil"/>
              <w:bottom w:val="single" w:sz="12" w:space="0" w:color="auto"/>
              <w:right w:val="nil"/>
            </w:tcBorders>
          </w:tcPr>
          <w:p w:rsidR="00E262BD" w:rsidRPr="00293153" w:rsidRDefault="005443F0" w:rsidP="00273BC9">
            <w:pPr>
              <w:spacing w:before="240" w:line="240" w:lineRule="auto"/>
            </w:pPr>
            <w:r>
              <w:t xml:space="preserve">Distr.: </w:t>
            </w:r>
            <w:r w:rsidRPr="00002771">
              <w:t>Restricted</w:t>
            </w:r>
          </w:p>
          <w:p w:rsidR="00E262BD" w:rsidRPr="00293153" w:rsidRDefault="00E13252" w:rsidP="00273BC9">
            <w:pPr>
              <w:spacing w:line="240" w:lineRule="auto"/>
            </w:pPr>
            <w:r>
              <w:t xml:space="preserve">14 September </w:t>
            </w:r>
            <w:r w:rsidR="00CC191F" w:rsidRPr="00293153">
              <w:t>20</w:t>
            </w:r>
            <w:r w:rsidR="00BC232B">
              <w:t>15</w:t>
            </w:r>
          </w:p>
          <w:p w:rsidR="00E262BD" w:rsidRPr="00293153" w:rsidRDefault="00E262BD" w:rsidP="00273BC9">
            <w:pPr>
              <w:spacing w:line="240" w:lineRule="auto"/>
            </w:pPr>
          </w:p>
          <w:p w:rsidR="00E262BD" w:rsidRPr="00293153" w:rsidRDefault="00E262BD" w:rsidP="00273BC9">
            <w:pPr>
              <w:spacing w:line="240" w:lineRule="auto"/>
            </w:pPr>
            <w:r w:rsidRPr="00293153">
              <w:t>English</w:t>
            </w:r>
            <w:r w:rsidR="005443F0">
              <w:t xml:space="preserve"> only</w:t>
            </w:r>
          </w:p>
        </w:tc>
      </w:tr>
    </w:tbl>
    <w:p w:rsidR="00E262BD" w:rsidRPr="00CC44A8" w:rsidRDefault="00E262BD" w:rsidP="00273BC9">
      <w:pPr>
        <w:spacing w:before="120" w:line="240" w:lineRule="auto"/>
      </w:pPr>
      <w:r w:rsidRPr="0084257F">
        <w:rPr>
          <w:b/>
          <w:sz w:val="24"/>
        </w:rPr>
        <w:t>Human Rights Council</w:t>
      </w:r>
      <w:r w:rsidRPr="0084257F">
        <w:rPr>
          <w:sz w:val="24"/>
        </w:rPr>
        <w:br/>
      </w:r>
      <w:r w:rsidR="00BC232B">
        <w:rPr>
          <w:b/>
        </w:rPr>
        <w:t>Thirty</w:t>
      </w:r>
      <w:r w:rsidRPr="00CC44A8">
        <w:rPr>
          <w:b/>
        </w:rPr>
        <w:t xml:space="preserve"> session</w:t>
      </w:r>
      <w:r w:rsidRPr="00CC44A8">
        <w:br/>
        <w:t>Agenda item 3</w:t>
      </w:r>
    </w:p>
    <w:p w:rsidR="00E262BD" w:rsidRDefault="00E262BD" w:rsidP="00273BC9">
      <w:pPr>
        <w:spacing w:line="240" w:lineRule="auto"/>
        <w:rPr>
          <w:b/>
          <w:bCs/>
        </w:rPr>
      </w:pPr>
      <w:r w:rsidRPr="00CC44A8">
        <w:rPr>
          <w:b/>
          <w:bCs/>
        </w:rPr>
        <w:t xml:space="preserve">Promotion and protection of all human rights, civil, </w:t>
      </w:r>
      <w:r w:rsidRPr="00CC44A8">
        <w:rPr>
          <w:b/>
          <w:bCs/>
        </w:rPr>
        <w:br/>
        <w:t>political, economic, social and cultural rights</w:t>
      </w:r>
      <w:proofErr w:type="gramStart"/>
      <w:r w:rsidRPr="00CC44A8">
        <w:rPr>
          <w:b/>
          <w:bCs/>
        </w:rPr>
        <w:t>,</w:t>
      </w:r>
      <w:proofErr w:type="gramEnd"/>
      <w:r w:rsidRPr="00CC44A8">
        <w:rPr>
          <w:b/>
          <w:bCs/>
        </w:rPr>
        <w:br/>
        <w:t>including the right to development</w:t>
      </w:r>
    </w:p>
    <w:p w:rsidR="00D43891" w:rsidRDefault="00E262BD" w:rsidP="00E13252">
      <w:pPr>
        <w:pStyle w:val="HChG"/>
      </w:pPr>
      <w:r w:rsidRPr="0084257F">
        <w:tab/>
      </w:r>
      <w:r w:rsidRPr="0084257F">
        <w:tab/>
      </w:r>
      <w:r w:rsidR="005D7B1D" w:rsidRPr="005D7B1D">
        <w:t>Update by the Special Rapporteur on the promotion of truth, justice, reparation and guarantees of non-rec</w:t>
      </w:r>
      <w:r w:rsidR="00E13252">
        <w:t>urrence on his visit to Burund</w:t>
      </w:r>
      <w:r w:rsidR="00C76E6C">
        <w:t>i</w:t>
      </w:r>
      <w:r w:rsidR="005443F0">
        <w:rPr>
          <w:rStyle w:val="FootnoteReference"/>
        </w:rPr>
        <w:footnoteReference w:customMarkFollows="1" w:id="2"/>
        <w:t>*</w:t>
      </w:r>
    </w:p>
    <w:p w:rsidR="005D7B1D" w:rsidRPr="005443F0" w:rsidRDefault="00044933" w:rsidP="005443F0">
      <w:pPr>
        <w:pStyle w:val="SingleTxtG"/>
      </w:pPr>
      <w:r w:rsidRPr="00CC44A8">
        <w:rPr>
          <w:lang w:val="en-US"/>
        </w:rPr>
        <w:br w:type="page"/>
      </w:r>
      <w:r w:rsidR="005443F0" w:rsidRPr="005443F0">
        <w:lastRenderedPageBreak/>
        <w:t>1.</w:t>
      </w:r>
      <w:r w:rsidR="005443F0" w:rsidRPr="005443F0">
        <w:tab/>
      </w:r>
      <w:r w:rsidR="005D7B1D" w:rsidRPr="005443F0">
        <w:t xml:space="preserve">This paper presents an update to the report of the Special Rapporteur on the promotion of truth, justice, reparation and guarantees of non-recurrence on his visit to Burundi undertaken from 8 to 16 December 2014 (A/HRC/30/42/Add.1). </w:t>
      </w:r>
    </w:p>
    <w:p w:rsidR="005D7B1D" w:rsidRPr="005443F0" w:rsidRDefault="005443F0" w:rsidP="005443F0">
      <w:pPr>
        <w:pStyle w:val="SingleTxtG"/>
      </w:pPr>
      <w:r w:rsidRPr="005443F0">
        <w:t>2.</w:t>
      </w:r>
      <w:r w:rsidRPr="005443F0">
        <w:tab/>
      </w:r>
      <w:r w:rsidR="005D7B1D" w:rsidRPr="005443F0">
        <w:t xml:space="preserve">Since the submission of the Special Rapporteur’s country visit report (30 April 2015), the situation in Burundi has alarmingly changed, having an impact on all transitional justice issues elaborated in report A/HRC/30/42/Add.1. The deteriorating human rights situation in Burundi has sharply increased the </w:t>
      </w:r>
      <w:r w:rsidR="00C26F12" w:rsidRPr="005443F0">
        <w:t xml:space="preserve">possibility that </w:t>
      </w:r>
      <w:r w:rsidR="005D7B1D" w:rsidRPr="005443F0">
        <w:t xml:space="preserve">mass violence </w:t>
      </w:r>
      <w:r w:rsidR="00C26F12" w:rsidRPr="005443F0">
        <w:t>could</w:t>
      </w:r>
      <w:r w:rsidR="005D7B1D" w:rsidRPr="005443F0">
        <w:t xml:space="preserve"> recur in the Great Lakes region.</w:t>
      </w:r>
      <w:r w:rsidR="005D7B1D" w:rsidRPr="005443F0">
        <w:footnoteReference w:id="3"/>
      </w:r>
      <w:r w:rsidR="005D7B1D" w:rsidRPr="005443F0">
        <w:t xml:space="preserve">  This note serves as a brief update, also referring to statements made by the Special Rapporteur, on his own or jointly with other special procedures, as well as pronouncements by international and regional organizations.</w:t>
      </w:r>
    </w:p>
    <w:p w:rsidR="005D7B1D" w:rsidRPr="005D7B1D" w:rsidRDefault="005D7B1D" w:rsidP="005D7B1D">
      <w:pPr>
        <w:pStyle w:val="HChG"/>
      </w:pPr>
      <w:r>
        <w:tab/>
      </w:r>
      <w:r>
        <w:tab/>
      </w:r>
      <w:r w:rsidRPr="005D7B1D">
        <w:t>Human rights violations since 25 April 2015</w:t>
      </w:r>
    </w:p>
    <w:p w:rsidR="005D7B1D" w:rsidRPr="005D7B1D" w:rsidRDefault="005443F0" w:rsidP="005D7B1D">
      <w:pPr>
        <w:pStyle w:val="SingleTxtG"/>
      </w:pPr>
      <w:r>
        <w:t>3.</w:t>
      </w:r>
      <w:r>
        <w:tab/>
      </w:r>
      <w:r w:rsidR="005D7B1D" w:rsidRPr="005D7B1D">
        <w:t xml:space="preserve">Since the announcement of </w:t>
      </w:r>
      <w:r w:rsidR="00C26F12">
        <w:t xml:space="preserve">President </w:t>
      </w:r>
      <w:proofErr w:type="spellStart"/>
      <w:r w:rsidR="005D7B1D" w:rsidRPr="005D7B1D">
        <w:t>Nkuruziza’s</w:t>
      </w:r>
      <w:proofErr w:type="spellEnd"/>
      <w:r w:rsidR="005D7B1D" w:rsidRPr="005D7B1D">
        <w:t xml:space="preserve"> candidacy for a third term on 25 April 2015 and subsequent peaceful protests,</w:t>
      </w:r>
      <w:r w:rsidR="005D7B1D" w:rsidRPr="005443F0">
        <w:footnoteReference w:id="4"/>
      </w:r>
      <w:r w:rsidR="005D7B1D" w:rsidRPr="005443F0">
        <w:t xml:space="preserve"> </w:t>
      </w:r>
      <w:r w:rsidR="005D7B1D" w:rsidRPr="005D7B1D">
        <w:t xml:space="preserve">the situation in Burundi has been characterized by </w:t>
      </w:r>
      <w:r w:rsidR="00C26F12">
        <w:t xml:space="preserve">attacks on </w:t>
      </w:r>
      <w:r w:rsidR="005D7B1D" w:rsidRPr="005D7B1D">
        <w:t>journalists, human rights defenders, and ordinary citizens for exercising their rights to freedom of expression, peaceful assembly and political participation.</w:t>
      </w:r>
      <w:r w:rsidR="005D7B1D" w:rsidRPr="005443F0">
        <w:footnoteReference w:id="5"/>
      </w:r>
      <w:r w:rsidR="005D7B1D" w:rsidRPr="005443F0">
        <w:t xml:space="preserve"> </w:t>
      </w:r>
      <w:r w:rsidR="005D7B1D" w:rsidRPr="005D7B1D">
        <w:t xml:space="preserve">Radio stations and other media outlets have been selectively, but deliberately targeted for attacks, and were forced to close. The police have failed to live up to their role as guardians of public security in a non-partisan manner. Instead, </w:t>
      </w:r>
      <w:r w:rsidR="00C26F12">
        <w:t xml:space="preserve">police </w:t>
      </w:r>
      <w:r w:rsidR="005D7B1D" w:rsidRPr="005D7B1D">
        <w:t xml:space="preserve">forces have allowed themselves to be </w:t>
      </w:r>
      <w:proofErr w:type="spellStart"/>
      <w:r w:rsidR="005D7B1D" w:rsidRPr="005D7B1D">
        <w:t>instrumentalized</w:t>
      </w:r>
      <w:proofErr w:type="spellEnd"/>
      <w:r w:rsidR="005D7B1D" w:rsidRPr="005D7B1D">
        <w:t xml:space="preserve"> for political purposes. While the armed forces ha</w:t>
      </w:r>
      <w:r w:rsidR="00C26F12">
        <w:t xml:space="preserve">d </w:t>
      </w:r>
      <w:r w:rsidR="005D7B1D" w:rsidRPr="005D7B1D">
        <w:t xml:space="preserve">up to May 2015 largely served as a buffer between protestors and the police, divisions within the armed forces have been sown in the following months. </w:t>
      </w:r>
    </w:p>
    <w:p w:rsidR="005D7B1D" w:rsidRPr="005D7B1D" w:rsidRDefault="005443F0" w:rsidP="00E725AD">
      <w:pPr>
        <w:pStyle w:val="SingleTxtG"/>
      </w:pPr>
      <w:r>
        <w:t>4.</w:t>
      </w:r>
      <w:r>
        <w:tab/>
      </w:r>
      <w:r w:rsidR="005D7B1D" w:rsidRPr="005D7B1D">
        <w:t xml:space="preserve">Burundi, which historically faced great challenges in terms of social integration and in developing functioning, effective, and independent institutions, had made great strides in addressing a difficult history of ethnic divisions, as highlighted in report A/HRC/30/42/Add.1.  As stressed by the Special Rapporteur repeatedly, the Arusha Agreement of 2000 –to which other countries in the region contributed so much—and the 2005 Constitution, put in place an extraordinarily ambitious power-sharing arrangement.  Many close observers argued that this had helped transform dynamics of political contestation in the country, reducing the significance of ethnic identity.  After mid-May 2015, hate speech had made its appearance in the political campaign in the preparation of the parliamentary, local and presidential elections. </w:t>
      </w:r>
    </w:p>
    <w:p w:rsidR="005D7B1D" w:rsidRPr="005D7B1D" w:rsidRDefault="005443F0" w:rsidP="005D7B1D">
      <w:pPr>
        <w:pStyle w:val="SingleTxtG"/>
      </w:pPr>
      <w:r>
        <w:t>5.</w:t>
      </w:r>
      <w:r>
        <w:tab/>
      </w:r>
      <w:r w:rsidR="005D7B1D" w:rsidRPr="005D7B1D">
        <w:t>Violence exercised by youth militias,</w:t>
      </w:r>
      <w:r w:rsidR="005D7B1D" w:rsidRPr="005443F0">
        <w:t xml:space="preserve"> </w:t>
      </w:r>
      <w:r w:rsidR="005D7B1D" w:rsidRPr="005443F0">
        <w:footnoteReference w:id="6"/>
      </w:r>
      <w:r w:rsidR="005D7B1D" w:rsidRPr="005443F0">
        <w:t xml:space="preserve"> </w:t>
      </w:r>
      <w:r w:rsidR="005D7B1D" w:rsidRPr="005D7B1D">
        <w:t>at a minimum condoned, and in some cases openly encouraged by the ruling political party</w:t>
      </w:r>
      <w:r w:rsidR="00C26F12">
        <w:t>,</w:t>
      </w:r>
      <w:r w:rsidR="005D7B1D" w:rsidRPr="005D7B1D">
        <w:t xml:space="preserve"> remains deeply alarming.</w:t>
      </w:r>
      <w:r w:rsidR="005D7B1D" w:rsidRPr="005443F0">
        <w:footnoteReference w:id="7"/>
      </w:r>
      <w:r w:rsidR="005D7B1D" w:rsidRPr="005D7B1D">
        <w:t xml:space="preserve"> Information also </w:t>
      </w:r>
      <w:r w:rsidR="005D7B1D" w:rsidRPr="005D7B1D">
        <w:lastRenderedPageBreak/>
        <w:t>indicates that sectors of the State security forces have armed those militias, which has been a long-standing problem.</w:t>
      </w:r>
      <w:r w:rsidR="005D7B1D" w:rsidRPr="005443F0">
        <w:footnoteReference w:id="8"/>
      </w:r>
      <w:r w:rsidR="005D7B1D" w:rsidRPr="005443F0">
        <w:t xml:space="preserve"> </w:t>
      </w:r>
      <w:r w:rsidR="005D7B1D" w:rsidRPr="005D7B1D">
        <w:t xml:space="preserve"> To disarm these groups is of utmost importance in this situation, as has been repeatedly expressed by the United Nations, the African Union and the East African Community.</w:t>
      </w:r>
    </w:p>
    <w:p w:rsidR="005D7B1D" w:rsidRPr="005D7B1D" w:rsidRDefault="005D7B1D" w:rsidP="005D7B1D">
      <w:pPr>
        <w:pStyle w:val="HChG"/>
      </w:pPr>
      <w:r>
        <w:tab/>
      </w:r>
      <w:r>
        <w:tab/>
      </w:r>
      <w:r w:rsidRPr="005D7B1D">
        <w:t>Environment surrounding legislative and communal elections of 29 June 2015</w:t>
      </w:r>
    </w:p>
    <w:p w:rsidR="005D7B1D" w:rsidRPr="005D7B1D" w:rsidRDefault="005443F0" w:rsidP="005D7B1D">
      <w:pPr>
        <w:pStyle w:val="SingleTxtG"/>
      </w:pPr>
      <w:r>
        <w:t>6.</w:t>
      </w:r>
      <w:r>
        <w:tab/>
      </w:r>
      <w:r w:rsidR="005D7B1D" w:rsidRPr="005D7B1D">
        <w:t>Burundi undertook legislative and communal elections on 29 June 2015. Ahead of these elections, the Special Rapporteur warned about the “the authorities’ blatant failures to respect freedom of expression and peaceful assembly,” which are the pre-conditio</w:t>
      </w:r>
      <w:r w:rsidR="00C26F12">
        <w:t>ns for any credible democratic elections</w:t>
      </w:r>
      <w:r w:rsidR="005D7B1D" w:rsidRPr="005D7B1D">
        <w:t>.</w:t>
      </w:r>
      <w:r w:rsidR="005D7B1D" w:rsidRPr="005D7B1D">
        <w:rPr>
          <w:rStyle w:val="FootnoteReference"/>
        </w:rPr>
        <w:footnoteReference w:id="9"/>
      </w:r>
      <w:r w:rsidR="005D7B1D" w:rsidRPr="005D7B1D">
        <w:rPr>
          <w:rStyle w:val="FootnoteReference"/>
        </w:rPr>
        <w:t xml:space="preserve"> </w:t>
      </w:r>
    </w:p>
    <w:p w:rsidR="005D7B1D" w:rsidRPr="005D7B1D" w:rsidRDefault="005443F0" w:rsidP="005D7B1D">
      <w:pPr>
        <w:pStyle w:val="SingleTxtG"/>
      </w:pPr>
      <w:r>
        <w:t>7.</w:t>
      </w:r>
      <w:r>
        <w:tab/>
      </w:r>
      <w:r w:rsidR="005D7B1D" w:rsidRPr="005D7B1D">
        <w:t xml:space="preserve">The United Nations Electoral Observation Mission in Burundi (MENUB), in a preliminary statement on the pre-electoral environment and the conduct of the said elections assessed that the electoral process was placed against a political crisis and accompanied by a climate of widespread fear and intimidation. Following the elections, MENUB concluded that the environment was not conducive to free, credible and inclusive elections. </w:t>
      </w:r>
      <w:r w:rsidR="005D7B1D" w:rsidRPr="005D7B1D">
        <w:rPr>
          <w:rStyle w:val="FootnoteReference"/>
        </w:rPr>
        <w:footnoteReference w:id="10"/>
      </w:r>
      <w:r w:rsidR="005D7B1D" w:rsidRPr="005D7B1D">
        <w:rPr>
          <w:rStyle w:val="FootnoteReference"/>
        </w:rPr>
        <w:t xml:space="preserve"> </w:t>
      </w:r>
    </w:p>
    <w:p w:rsidR="005D7B1D" w:rsidRPr="005D7B1D" w:rsidRDefault="005443F0" w:rsidP="005D7B1D">
      <w:pPr>
        <w:pStyle w:val="SingleTxtG"/>
      </w:pPr>
      <w:r>
        <w:t>8.</w:t>
      </w:r>
      <w:r>
        <w:tab/>
      </w:r>
      <w:r w:rsidR="005D7B1D" w:rsidRPr="005D7B1D">
        <w:t>The East African Community (EAC) and the International Conference on the Great Lakes Region expressed similar concerns.</w:t>
      </w:r>
      <w:r w:rsidR="005D7B1D" w:rsidRPr="005D7B1D">
        <w:rPr>
          <w:rStyle w:val="FootnoteReference"/>
        </w:rPr>
        <w:footnoteReference w:id="11"/>
      </w:r>
      <w:r w:rsidR="005D7B1D" w:rsidRPr="005D7B1D">
        <w:rPr>
          <w:rStyle w:val="FootnoteReference"/>
        </w:rPr>
        <w:t xml:space="preserve"> </w:t>
      </w:r>
      <w:r w:rsidR="005D7B1D" w:rsidRPr="005D7B1D">
        <w:t xml:space="preserve"> The African Union noted that since the “necessary conditions are not met for the organization of free, fair, transparent and credible elections, in compliance with the relevant provisions of the African Charter on Democracy, Elections and Governance, the AU Commission will not observe the local and parliamentary elections […].</w:t>
      </w:r>
      <w:r w:rsidR="005D7B1D" w:rsidRPr="005D7B1D">
        <w:rPr>
          <w:rStyle w:val="FootnoteReference"/>
        </w:rPr>
        <w:footnoteReference w:id="12"/>
      </w:r>
    </w:p>
    <w:p w:rsidR="005D7B1D" w:rsidRPr="005D7B1D" w:rsidRDefault="005D7B1D" w:rsidP="005D7B1D">
      <w:pPr>
        <w:pStyle w:val="SingleTxtG"/>
      </w:pPr>
      <w:r w:rsidRPr="005D7B1D">
        <w:t>Climate surrounding presidential elections of 21 July 2015</w:t>
      </w:r>
    </w:p>
    <w:p w:rsidR="005D7B1D" w:rsidRPr="005D7B1D" w:rsidRDefault="005443F0" w:rsidP="005D7B1D">
      <w:pPr>
        <w:pStyle w:val="SingleTxtG"/>
      </w:pPr>
      <w:r>
        <w:t>9.</w:t>
      </w:r>
      <w:r>
        <w:tab/>
      </w:r>
      <w:r w:rsidR="005D7B1D" w:rsidRPr="005D7B1D">
        <w:t>Presidential elections were – after being postponed twice – conducted on 21 July 2015, which the African Union also decided not to observe. Ahead of the presidential elections, the Special Rapporteur, jointly with other special procedures, called for determined Security Council action to prevent mass violence in the Great Lakes region. The experts warned that “[t]</w:t>
      </w:r>
      <w:proofErr w:type="gramStart"/>
      <w:r w:rsidR="005D7B1D" w:rsidRPr="005D7B1D">
        <w:t>he</w:t>
      </w:r>
      <w:proofErr w:type="gramEnd"/>
      <w:r w:rsidR="005D7B1D" w:rsidRPr="005D7B1D">
        <w:t xml:space="preserve"> world is witnessing an escalating pattern of politically motivated violence in Burundi, enabled by the country’s decades-long tradition of impunity.” They stressed that “[t]he international community must not simply stand by and wait for mass atrocities to unfold, thereby risking a major conflict of regional proportions before it finally </w:t>
      </w:r>
      <w:r w:rsidR="005D7B1D" w:rsidRPr="005D7B1D">
        <w:lastRenderedPageBreak/>
        <w:t>decides to act,” and pointed to repeated cycles of mass violations that Burundi and the Great Lakes region have witnessed in recent history.</w:t>
      </w:r>
      <w:r w:rsidR="005D7B1D" w:rsidRPr="005D7B1D">
        <w:rPr>
          <w:rStyle w:val="FootnoteReference"/>
        </w:rPr>
        <w:footnoteReference w:id="13"/>
      </w:r>
      <w:r w:rsidR="005D7B1D" w:rsidRPr="005D7B1D">
        <w:rPr>
          <w:rStyle w:val="FootnoteReference"/>
        </w:rPr>
        <w:t xml:space="preserve">  </w:t>
      </w:r>
    </w:p>
    <w:p w:rsidR="005D7B1D" w:rsidRPr="005D7B1D" w:rsidRDefault="005443F0" w:rsidP="005D7B1D">
      <w:pPr>
        <w:pStyle w:val="SingleTxtG"/>
      </w:pPr>
      <w:r>
        <w:t>10.</w:t>
      </w:r>
      <w:r>
        <w:tab/>
      </w:r>
      <w:r w:rsidR="005D7B1D" w:rsidRPr="005D7B1D">
        <w:t>A report on preliminary findings of the East African Community’s electoral observer mission noted that “the presidential election in Burundi was held against the backdrop of a tense and violent pre-election period.” It further highlighted that the “lack of political consensus on key issues […] including the election calendar, insecurity, the candidature of the incumbent president, media freedoms and civil liberties, perpetuated the uncertainty and fear.”</w:t>
      </w:r>
      <w:r w:rsidR="005D7B1D" w:rsidRPr="005D7B1D">
        <w:rPr>
          <w:rStyle w:val="FootnoteReference"/>
        </w:rPr>
        <w:footnoteReference w:id="14"/>
      </w:r>
      <w:r w:rsidR="005D7B1D" w:rsidRPr="005D7B1D">
        <w:rPr>
          <w:rStyle w:val="FootnoteReference"/>
        </w:rPr>
        <w:t xml:space="preserve">  </w:t>
      </w:r>
    </w:p>
    <w:p w:rsidR="005D7B1D" w:rsidRPr="005D7B1D" w:rsidRDefault="005443F0" w:rsidP="005D7B1D">
      <w:pPr>
        <w:pStyle w:val="SingleTxtG"/>
      </w:pPr>
      <w:r>
        <w:t>11.</w:t>
      </w:r>
      <w:r>
        <w:tab/>
      </w:r>
      <w:r w:rsidR="005D7B1D" w:rsidRPr="005D7B1D">
        <w:t>MENUB in its preliminary statement on the presidential elections noted that “[f]</w:t>
      </w:r>
      <w:proofErr w:type="spellStart"/>
      <w:r w:rsidR="005D7B1D" w:rsidRPr="005D7B1D">
        <w:t>reedom</w:t>
      </w:r>
      <w:proofErr w:type="spellEnd"/>
      <w:r w:rsidR="005D7B1D" w:rsidRPr="005D7B1D">
        <w:t xml:space="preserve"> of expression, assembly and association, essential conditions for the effective exercise of the right to vote, remained severely impaired.  [...] Violence, although observed in a less intense degree than during the period preceding the 29 June elections, remained an unfortunate feature of the entire process. […] Media freedom remained severely restricted.” MENUB then concluded that “while Election Day was relatively peaceful and conducted adequately, the overall environment was not conducive for an inclusive, free and credible electoral process.”</w:t>
      </w:r>
      <w:r w:rsidR="005D7B1D" w:rsidRPr="005D7B1D">
        <w:rPr>
          <w:rStyle w:val="FootnoteReference"/>
        </w:rPr>
        <w:footnoteReference w:id="15"/>
      </w:r>
    </w:p>
    <w:p w:rsidR="005D7B1D" w:rsidRPr="005D7B1D" w:rsidRDefault="005D7B1D" w:rsidP="005D7B1D">
      <w:pPr>
        <w:pStyle w:val="HChG"/>
      </w:pPr>
      <w:r>
        <w:tab/>
      </w:r>
      <w:r>
        <w:tab/>
      </w:r>
      <w:r w:rsidRPr="005D7B1D">
        <w:t>Situation of general insecurity and perpetuated impunity</w:t>
      </w:r>
    </w:p>
    <w:p w:rsidR="005D7B1D" w:rsidRPr="005D7B1D" w:rsidRDefault="005443F0" w:rsidP="005D7B1D">
      <w:pPr>
        <w:pStyle w:val="SingleTxtG"/>
      </w:pPr>
      <w:r>
        <w:t>12.</w:t>
      </w:r>
      <w:r>
        <w:tab/>
      </w:r>
      <w:r w:rsidR="005D7B1D" w:rsidRPr="005D7B1D">
        <w:t>Following the contested presidential elections, Burundi has been shaken by a wave of ‘tit-for-tat killings’ of members of political parties of all sides.</w:t>
      </w:r>
      <w:r w:rsidR="005D7B1D" w:rsidRPr="005D7B1D">
        <w:rPr>
          <w:rStyle w:val="FootnoteReference"/>
        </w:rPr>
        <w:footnoteReference w:id="16"/>
      </w:r>
      <w:r w:rsidR="005D7B1D" w:rsidRPr="005D7B1D">
        <w:t xml:space="preserve"> Those killings exemplify the climate of general insecurity in the country, which no one, including the ruling party, is currently spared from.</w:t>
      </w:r>
      <w:r w:rsidR="005D7B1D" w:rsidRPr="005D7B1D">
        <w:rPr>
          <w:rStyle w:val="FootnoteReference"/>
        </w:rPr>
        <w:footnoteReference w:id="17"/>
      </w:r>
      <w:r w:rsidR="005D7B1D" w:rsidRPr="005D7B1D">
        <w:t xml:space="preserve">  As at present, no effective and thorough investigations have been undertaken except for one prominent case of a senior security adviser of the President, General </w:t>
      </w:r>
      <w:proofErr w:type="spellStart"/>
      <w:r w:rsidR="005D7B1D" w:rsidRPr="005D7B1D">
        <w:t>Adolphe</w:t>
      </w:r>
      <w:proofErr w:type="spellEnd"/>
      <w:r w:rsidR="005D7B1D" w:rsidRPr="005D7B1D">
        <w:t xml:space="preserve"> </w:t>
      </w:r>
      <w:proofErr w:type="spellStart"/>
      <w:r w:rsidR="005D7B1D" w:rsidRPr="005D7B1D">
        <w:t>Nshimirimana</w:t>
      </w:r>
      <w:proofErr w:type="spellEnd"/>
      <w:r w:rsidR="005D7B1D" w:rsidRPr="005D7B1D">
        <w:t>.</w:t>
      </w:r>
    </w:p>
    <w:p w:rsidR="000607AB" w:rsidRDefault="005443F0" w:rsidP="005443F0">
      <w:pPr>
        <w:pStyle w:val="SingleTxtG"/>
      </w:pPr>
      <w:r>
        <w:t>13.</w:t>
      </w:r>
      <w:r>
        <w:tab/>
      </w:r>
      <w:r w:rsidR="005D7B1D" w:rsidRPr="005D7B1D">
        <w:t>As at 1 September 2015, the confirmed number of people being killed since 25 April 2015 was 107 persons, with numbers increasing by the day. The reported numbers of Burundians having fled the country was estimated at 192,945.</w:t>
      </w:r>
      <w:r w:rsidR="005D7B1D" w:rsidRPr="005D7B1D">
        <w:rPr>
          <w:rStyle w:val="FootnoteReference"/>
        </w:rPr>
        <w:footnoteReference w:id="18"/>
      </w:r>
      <w:r w:rsidR="005D7B1D" w:rsidRPr="005D7B1D">
        <w:rPr>
          <w:rStyle w:val="FootnoteReference"/>
        </w:rPr>
        <w:t xml:space="preserve"> </w:t>
      </w:r>
      <w:r w:rsidR="005D7B1D" w:rsidRPr="005D7B1D">
        <w:t>This is a clear expression of people’s perceptions of the severe security situation in the country and the overall lack of the protection of their very basic rights to</w:t>
      </w:r>
      <w:r>
        <w:t xml:space="preserve"> life and physical integrity.</w:t>
      </w:r>
    </w:p>
    <w:p w:rsidR="005443F0" w:rsidRPr="005443F0" w:rsidRDefault="005443F0" w:rsidP="005443F0">
      <w:pPr>
        <w:pStyle w:val="SingleTxtG"/>
        <w:spacing w:before="240" w:after="0"/>
        <w:jc w:val="center"/>
        <w:rPr>
          <w:u w:val="single"/>
        </w:rPr>
      </w:pPr>
      <w:r>
        <w:rPr>
          <w:u w:val="single"/>
        </w:rPr>
        <w:tab/>
      </w:r>
      <w:r>
        <w:rPr>
          <w:u w:val="single"/>
        </w:rPr>
        <w:tab/>
      </w:r>
      <w:r>
        <w:rPr>
          <w:u w:val="single"/>
        </w:rPr>
        <w:tab/>
      </w:r>
    </w:p>
    <w:sectPr w:rsidR="005443F0" w:rsidRPr="005443F0" w:rsidSect="00630D6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9B" w:rsidRDefault="009F739B"/>
  </w:endnote>
  <w:endnote w:type="continuationSeparator" w:id="0">
    <w:p w:rsidR="009F739B" w:rsidRDefault="009F739B"/>
  </w:endnote>
  <w:endnote w:type="continuationNotice" w:id="1">
    <w:p w:rsidR="009F739B" w:rsidRDefault="009F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58" w:rsidRDefault="00535658">
    <w:pPr>
      <w:pStyle w:val="Footer"/>
      <w:tabs>
        <w:tab w:val="right" w:pos="9638"/>
      </w:tabs>
      <w:rPr>
        <w:b/>
        <w:sz w:val="18"/>
      </w:rPr>
    </w:pPr>
    <w:r>
      <w:rPr>
        <w:b/>
        <w:sz w:val="18"/>
      </w:rPr>
      <w:fldChar w:fldCharType="begin"/>
    </w:r>
    <w:r>
      <w:rPr>
        <w:b/>
        <w:sz w:val="18"/>
      </w:rPr>
      <w:instrText xml:space="preserve"> </w:instrText>
    </w:r>
    <w:r w:rsidR="006B6614">
      <w:rPr>
        <w:b/>
        <w:sz w:val="18"/>
      </w:rPr>
      <w:instrText>PAGE</w:instrText>
    </w:r>
    <w:r>
      <w:rPr>
        <w:b/>
        <w:sz w:val="18"/>
      </w:rPr>
      <w:instrText xml:space="preserve">  \* MERGEFORMAT </w:instrText>
    </w:r>
    <w:r>
      <w:rPr>
        <w:b/>
        <w:sz w:val="18"/>
      </w:rPr>
      <w:fldChar w:fldCharType="separate"/>
    </w:r>
    <w:r w:rsidR="004B3B03">
      <w:rPr>
        <w:b/>
        <w:noProof/>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58" w:rsidRDefault="00535658" w:rsidP="00E262BD">
    <w:pPr>
      <w:pStyle w:val="Footer"/>
      <w:tabs>
        <w:tab w:val="right" w:pos="9638"/>
      </w:tabs>
      <w:jc w:val="right"/>
    </w:pPr>
    <w:r>
      <w:rPr>
        <w:b/>
        <w:sz w:val="18"/>
      </w:rPr>
      <w:fldChar w:fldCharType="begin"/>
    </w:r>
    <w:r>
      <w:rPr>
        <w:b/>
        <w:sz w:val="18"/>
      </w:rPr>
      <w:instrText xml:space="preserve"> </w:instrText>
    </w:r>
    <w:r w:rsidR="006B6614">
      <w:rPr>
        <w:b/>
        <w:sz w:val="18"/>
      </w:rPr>
      <w:instrText>PAGE</w:instrText>
    </w:r>
    <w:r>
      <w:rPr>
        <w:b/>
        <w:sz w:val="18"/>
      </w:rPr>
      <w:instrText xml:space="preserve">  \* MERGEFORMAT </w:instrText>
    </w:r>
    <w:r>
      <w:rPr>
        <w:b/>
        <w:sz w:val="18"/>
      </w:rPr>
      <w:fldChar w:fldCharType="separate"/>
    </w:r>
    <w:r w:rsidR="004B3B03">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9B" w:rsidRDefault="009F739B">
      <w:pPr>
        <w:tabs>
          <w:tab w:val="right" w:pos="2155"/>
        </w:tabs>
        <w:spacing w:after="80"/>
        <w:ind w:left="680"/>
        <w:rPr>
          <w:u w:val="single"/>
        </w:rPr>
      </w:pPr>
      <w:r>
        <w:rPr>
          <w:u w:val="single"/>
        </w:rPr>
        <w:tab/>
      </w:r>
    </w:p>
  </w:footnote>
  <w:footnote w:type="continuationSeparator" w:id="0">
    <w:p w:rsidR="009F739B" w:rsidRDefault="009F739B">
      <w:pPr>
        <w:tabs>
          <w:tab w:val="left" w:pos="2155"/>
        </w:tabs>
        <w:spacing w:after="80"/>
        <w:ind w:left="680"/>
        <w:rPr>
          <w:u w:val="single"/>
        </w:rPr>
      </w:pPr>
      <w:r>
        <w:rPr>
          <w:u w:val="single"/>
        </w:rPr>
        <w:tab/>
      </w:r>
    </w:p>
  </w:footnote>
  <w:footnote w:type="continuationNotice" w:id="1">
    <w:p w:rsidR="009F739B" w:rsidRDefault="009F739B"/>
  </w:footnote>
  <w:footnote w:id="2">
    <w:p w:rsidR="005443F0" w:rsidRDefault="005443F0" w:rsidP="005443F0">
      <w:pPr>
        <w:pStyle w:val="FootnoteText"/>
      </w:pPr>
      <w:r>
        <w:tab/>
      </w:r>
      <w:r>
        <w:rPr>
          <w:rStyle w:val="FootnoteReference"/>
        </w:rPr>
        <w:t>*</w:t>
      </w:r>
      <w:r>
        <w:tab/>
      </w:r>
      <w:proofErr w:type="gramStart"/>
      <w:r w:rsidRPr="007A2AFC">
        <w:rPr>
          <w:rFonts w:eastAsia="SimSun"/>
          <w:color w:val="000000"/>
          <w:szCs w:val="18"/>
          <w:lang w:val="en-US" w:eastAsia="zh-CN"/>
        </w:rPr>
        <w:t>Reproduced as received.</w:t>
      </w:r>
      <w:proofErr w:type="gramEnd"/>
    </w:p>
  </w:footnote>
  <w:footnote w:id="3">
    <w:p w:rsidR="005D7B1D" w:rsidRPr="001A13C8" w:rsidRDefault="00E13252" w:rsidP="005D7B1D">
      <w:pPr>
        <w:pStyle w:val="FootnoteText"/>
      </w:pPr>
      <w:r>
        <w:tab/>
      </w:r>
      <w:r w:rsidR="005D7B1D">
        <w:rPr>
          <w:rStyle w:val="FootnoteReference"/>
        </w:rPr>
        <w:footnoteRef/>
      </w:r>
      <w:r>
        <w:tab/>
      </w:r>
      <w:r w:rsidR="005D7B1D">
        <w:t>Press release “</w:t>
      </w:r>
      <w:r w:rsidR="005D7B1D" w:rsidRPr="001A13C8">
        <w:t>Burundi: UN experts call for determined Security Council action to prevent mass violence in the Great Lakes region</w:t>
      </w:r>
      <w:r w:rsidR="005D7B1D">
        <w:t xml:space="preserve">”, 16 July 2015, </w:t>
      </w:r>
      <w:r w:rsidR="005D7B1D" w:rsidRPr="001A13C8">
        <w:t xml:space="preserve">See: </w:t>
      </w:r>
      <w:hyperlink r:id="rId1" w:anchor="sthash.qiDVxUAp.dpuf" w:history="1">
        <w:r w:rsidR="005D7B1D" w:rsidRPr="00E05345">
          <w:rPr>
            <w:rStyle w:val="Hyperlink"/>
          </w:rPr>
          <w:t>http://www.ohchr.org/EN/NewsEvents/Pages/DisplayNews.aspx?NewsID=16243&amp;LangID=E#sthash.qiDVxUAp.dpuf</w:t>
        </w:r>
      </w:hyperlink>
      <w:r w:rsidR="005D7B1D">
        <w:t xml:space="preserve">; on the impact of the crisis in the region, see also Statement A/PRST/2015/13 by the President of the Security Council, at: </w:t>
      </w:r>
      <w:r w:rsidR="005D7B1D" w:rsidRPr="00A64EF9">
        <w:t>http://www.un.org/en/ga/search/view_doc.asp?symbol=S/PRST/2015/13</w:t>
      </w:r>
      <w:r w:rsidR="005D7B1D">
        <w:t>.</w:t>
      </w:r>
    </w:p>
  </w:footnote>
  <w:footnote w:id="4">
    <w:p w:rsidR="005D7B1D" w:rsidRPr="00A1398D" w:rsidRDefault="00E13252" w:rsidP="005D7B1D">
      <w:pPr>
        <w:pStyle w:val="FootnoteText"/>
      </w:pPr>
      <w:r>
        <w:tab/>
      </w:r>
      <w:r w:rsidR="005D7B1D">
        <w:rPr>
          <w:rStyle w:val="FootnoteReference"/>
        </w:rPr>
        <w:footnoteRef/>
      </w:r>
      <w:r>
        <w:tab/>
      </w:r>
      <w:r w:rsidR="005D7B1D">
        <w:t>Press release “</w:t>
      </w:r>
      <w:r w:rsidR="005D7B1D" w:rsidRPr="00A1398D">
        <w:t>Pre-election violence endangers Burundi’s young democracy, UN rights experts warn</w:t>
      </w:r>
      <w:r w:rsidR="005D7B1D">
        <w:t>”, 30 April 2015, see</w:t>
      </w:r>
      <w:r w:rsidR="005D7B1D" w:rsidRPr="00A1398D">
        <w:t xml:space="preserve">: </w:t>
      </w:r>
      <w:r w:rsidR="005D7B1D">
        <w:t>h</w:t>
      </w:r>
      <w:r w:rsidR="005D7B1D" w:rsidRPr="00A1398D">
        <w:t>ttp://www.ohchr.org/EN/NewsEvents/Pages/DisplayNews.aspx?NewsID=15909&amp;LangID=E#sthash.x1FEsQwk.dpuf</w:t>
      </w:r>
      <w:r w:rsidR="005D7B1D">
        <w:t>.</w:t>
      </w:r>
    </w:p>
  </w:footnote>
  <w:footnote w:id="5">
    <w:p w:rsidR="005D7B1D" w:rsidRPr="00A64EF9" w:rsidRDefault="00E13252" w:rsidP="005D7B1D">
      <w:pPr>
        <w:pStyle w:val="FootnoteText"/>
      </w:pPr>
      <w:r>
        <w:tab/>
      </w:r>
      <w:r w:rsidR="005D7B1D">
        <w:rPr>
          <w:rStyle w:val="FootnoteReference"/>
        </w:rPr>
        <w:footnoteRef/>
      </w:r>
      <w:r>
        <w:tab/>
      </w:r>
      <w:r w:rsidR="005D7B1D">
        <w:t xml:space="preserve">SG statement on Burundi, 4 June 2015, at: </w:t>
      </w:r>
      <w:r w:rsidR="005D7B1D" w:rsidRPr="00A64EF9">
        <w:t>http://www.un.org/sg/statements/index.asp?nid=8700</w:t>
      </w:r>
      <w:r w:rsidR="005D7B1D">
        <w:t>.</w:t>
      </w:r>
    </w:p>
  </w:footnote>
  <w:footnote w:id="6">
    <w:p w:rsidR="005D7B1D" w:rsidRPr="004E3799" w:rsidRDefault="00E13252" w:rsidP="005D7B1D">
      <w:pPr>
        <w:pStyle w:val="FootnoteText"/>
      </w:pPr>
      <w:r>
        <w:tab/>
      </w:r>
      <w:r w:rsidR="005D7B1D">
        <w:rPr>
          <w:rStyle w:val="FootnoteReference"/>
        </w:rPr>
        <w:footnoteRef/>
      </w:r>
      <w:r>
        <w:tab/>
      </w:r>
      <w:r w:rsidR="005D7B1D">
        <w:t xml:space="preserve">See also </w:t>
      </w:r>
      <w:r w:rsidR="005D7B1D" w:rsidRPr="00237C29">
        <w:t>H</w:t>
      </w:r>
      <w:r w:rsidR="005D7B1D">
        <w:t xml:space="preserve">igh Commissioner for Human Rights </w:t>
      </w:r>
      <w:r w:rsidR="005D7B1D" w:rsidRPr="00237C29">
        <w:t>statement a</w:t>
      </w:r>
      <w:r w:rsidR="005D7B1D">
        <w:t>t Security Council briefing on t</w:t>
      </w:r>
      <w:r w:rsidR="005D7B1D" w:rsidRPr="00237C29">
        <w:t xml:space="preserve">he </w:t>
      </w:r>
      <w:r w:rsidR="005D7B1D">
        <w:t>s</w:t>
      </w:r>
      <w:r w:rsidR="005D7B1D" w:rsidRPr="00237C29">
        <w:t xml:space="preserve">ituation </w:t>
      </w:r>
      <w:r w:rsidR="005D7B1D">
        <w:t>i</w:t>
      </w:r>
      <w:r w:rsidR="005D7B1D" w:rsidRPr="00237C29">
        <w:t>n Burundi</w:t>
      </w:r>
      <w:r w:rsidR="005D7B1D">
        <w:t>,</w:t>
      </w:r>
      <w:r w:rsidR="005D7B1D" w:rsidRPr="00237C29">
        <w:t xml:space="preserve"> 9 </w:t>
      </w:r>
      <w:r w:rsidR="005D7B1D">
        <w:t xml:space="preserve">July 2015, at: </w:t>
      </w:r>
      <w:r w:rsidR="005D7B1D" w:rsidRPr="00237C29">
        <w:t>http://www.ohchr.org/EN/NewsEvents/Pages/DisplayNews.aspx?NewsID=16221&amp;LangID=E</w:t>
      </w:r>
      <w:r w:rsidR="005D7B1D">
        <w:t>.</w:t>
      </w:r>
    </w:p>
  </w:footnote>
  <w:footnote w:id="7">
    <w:p w:rsidR="005D7B1D" w:rsidRPr="002C6E30" w:rsidRDefault="00E13252" w:rsidP="005D7B1D">
      <w:pPr>
        <w:pStyle w:val="FootnoteText"/>
      </w:pPr>
      <w:r>
        <w:tab/>
      </w:r>
      <w:r w:rsidR="005D7B1D">
        <w:rPr>
          <w:rStyle w:val="FootnoteReference"/>
        </w:rPr>
        <w:footnoteRef/>
      </w:r>
      <w:r>
        <w:tab/>
      </w:r>
      <w:r w:rsidR="005D7B1D">
        <w:t xml:space="preserve">Open statement by the Special Rapporteur on Burundi, at: </w:t>
      </w:r>
      <w:r w:rsidR="005D7B1D" w:rsidRPr="002C6E30">
        <w:t>http://www.ohchr.org/EN/NewsEvents/Pages/DisplayNews.aspx?NewsID=16098&amp;LangID=E</w:t>
      </w:r>
      <w:r w:rsidR="005D7B1D">
        <w:t>.</w:t>
      </w:r>
    </w:p>
  </w:footnote>
  <w:footnote w:id="8">
    <w:p w:rsidR="005D7B1D" w:rsidRPr="002C6E30" w:rsidRDefault="00E13252" w:rsidP="005D7B1D">
      <w:pPr>
        <w:pStyle w:val="FootnoteText"/>
      </w:pPr>
      <w:r>
        <w:tab/>
      </w:r>
      <w:r w:rsidR="005D7B1D">
        <w:rPr>
          <w:rStyle w:val="FootnoteReference"/>
        </w:rPr>
        <w:footnoteRef/>
      </w:r>
      <w:r>
        <w:tab/>
      </w:r>
      <w:r w:rsidR="005D7B1D">
        <w:t>Ibid.</w:t>
      </w:r>
    </w:p>
  </w:footnote>
  <w:footnote w:id="9">
    <w:p w:rsidR="005D7B1D" w:rsidRPr="006E3F10" w:rsidRDefault="00E13252" w:rsidP="005D7B1D">
      <w:pPr>
        <w:pStyle w:val="FootnoteText"/>
      </w:pPr>
      <w:r>
        <w:tab/>
      </w:r>
      <w:r w:rsidR="005D7B1D">
        <w:rPr>
          <w:rStyle w:val="FootnoteReference"/>
        </w:rPr>
        <w:footnoteRef/>
      </w:r>
      <w:r>
        <w:tab/>
      </w:r>
      <w:r w:rsidR="005D7B1D">
        <w:t xml:space="preserve">Press release, </w:t>
      </w:r>
      <w:r w:rsidR="005D7B1D" w:rsidRPr="00A1398D">
        <w:t>‘Tradition of impunity’ threatens Burundi’s future, renders free elections impossible – UN expert warns</w:t>
      </w:r>
      <w:r w:rsidR="005D7B1D">
        <w:t xml:space="preserve">, 19 June 2015, </w:t>
      </w:r>
      <w:r w:rsidR="005D7B1D" w:rsidRPr="00A1398D">
        <w:t>at: http://www.ohchr.org/EN/NewsEvents/Pages/DisplayNews.aspx?NewsID=16102&amp;LangID=E#sthash.g3PA6wEx.Htlf3xjZ.dpuf</w:t>
      </w:r>
      <w:r w:rsidR="005D7B1D">
        <w:t>.</w:t>
      </w:r>
      <w:r w:rsidR="005D7B1D" w:rsidRPr="00A1398D">
        <w:t xml:space="preserve"> </w:t>
      </w:r>
    </w:p>
  </w:footnote>
  <w:footnote w:id="10">
    <w:p w:rsidR="005D7B1D" w:rsidRPr="006009F5" w:rsidRDefault="00E13252" w:rsidP="005D7B1D">
      <w:pPr>
        <w:pStyle w:val="FootnoteText"/>
      </w:pPr>
      <w:r>
        <w:tab/>
      </w:r>
      <w:r w:rsidR="005D7B1D">
        <w:rPr>
          <w:rStyle w:val="FootnoteReference"/>
        </w:rPr>
        <w:footnoteRef/>
      </w:r>
      <w:r>
        <w:tab/>
      </w:r>
      <w:r w:rsidR="005D7B1D">
        <w:t xml:space="preserve">Security Council, 7482 meeting, S/PV.7482, Statement by </w:t>
      </w:r>
      <w:proofErr w:type="spellStart"/>
      <w:r w:rsidR="005D7B1D">
        <w:t>Tayé</w:t>
      </w:r>
      <w:proofErr w:type="spellEnd"/>
      <w:r w:rsidR="005D7B1D">
        <w:t xml:space="preserve">-Brook </w:t>
      </w:r>
      <w:proofErr w:type="spellStart"/>
      <w:r w:rsidR="005D7B1D">
        <w:t>Zerihoun</w:t>
      </w:r>
      <w:proofErr w:type="spellEnd"/>
      <w:r w:rsidR="005D7B1D">
        <w:t xml:space="preserve">, Assistant Secretary-General for Political Affairs, 9 July 2015, </w:t>
      </w:r>
      <w:r w:rsidR="005D7B1D" w:rsidRPr="006009F5">
        <w:t>http://www.securitycouncilreport.org/atf/cf/%7B65BFCF9B-6D27-4E9C-8CD3-CF6E4FF96FF9%7D/s_pv_7482.pdf</w:t>
      </w:r>
      <w:r w:rsidR="005D7B1D">
        <w:t>.</w:t>
      </w:r>
    </w:p>
  </w:footnote>
  <w:footnote w:id="11">
    <w:p w:rsidR="005D7B1D" w:rsidRPr="006E3F10" w:rsidRDefault="00E13252" w:rsidP="005D7B1D">
      <w:pPr>
        <w:pStyle w:val="FootnoteText"/>
      </w:pPr>
      <w:r>
        <w:tab/>
      </w:r>
      <w:r w:rsidR="005D7B1D">
        <w:rPr>
          <w:rStyle w:val="FootnoteReference"/>
        </w:rPr>
        <w:footnoteRef/>
      </w:r>
      <w:r>
        <w:tab/>
      </w:r>
      <w:r w:rsidR="005D7B1D">
        <w:t>Ibid.</w:t>
      </w:r>
    </w:p>
  </w:footnote>
  <w:footnote w:id="12">
    <w:p w:rsidR="005D7B1D" w:rsidRPr="008D5985" w:rsidRDefault="00E13252" w:rsidP="005D7B1D">
      <w:pPr>
        <w:pStyle w:val="FootnoteText"/>
      </w:pPr>
      <w:r>
        <w:tab/>
      </w:r>
      <w:r w:rsidR="005D7B1D">
        <w:rPr>
          <w:rStyle w:val="FootnoteReference"/>
        </w:rPr>
        <w:footnoteRef/>
      </w:r>
      <w:r>
        <w:tab/>
      </w:r>
      <w:r w:rsidR="005D7B1D" w:rsidRPr="008D5985">
        <w:t xml:space="preserve">See </w:t>
      </w:r>
      <w:r w:rsidR="005D7B1D">
        <w:t xml:space="preserve">Communique, available at: </w:t>
      </w:r>
      <w:r w:rsidR="005D7B1D" w:rsidRPr="008D5985">
        <w:t>http://www.peaceau.org/uploads/auccomm-burundi-28-06-2015.pdf</w:t>
      </w:r>
      <w:r w:rsidR="005D7B1D">
        <w:t>.</w:t>
      </w:r>
    </w:p>
  </w:footnote>
  <w:footnote w:id="13">
    <w:p w:rsidR="005D7B1D" w:rsidRPr="00954E94" w:rsidRDefault="00E13252" w:rsidP="005D7B1D">
      <w:pPr>
        <w:pStyle w:val="FootnoteText"/>
      </w:pPr>
      <w:r>
        <w:tab/>
      </w:r>
      <w:r w:rsidR="005D7B1D">
        <w:rPr>
          <w:rStyle w:val="FootnoteReference"/>
        </w:rPr>
        <w:footnoteRef/>
      </w:r>
      <w:r>
        <w:tab/>
      </w:r>
      <w:r w:rsidR="005D7B1D" w:rsidRPr="00954E94">
        <w:t>Burundi: UN experts call for determined Security Council action to prevent mass violence in the Great Lakes region</w:t>
      </w:r>
      <w:r w:rsidR="005D7B1D">
        <w:t xml:space="preserve">, 16 July 2015, </w:t>
      </w:r>
      <w:r w:rsidR="005D7B1D" w:rsidRPr="00954E94">
        <w:t>at: http://www.ohchr.org/EN/NewsEvents/Pages/DisplayNews.aspx?NewsID=16243&amp;LangID=E</w:t>
      </w:r>
    </w:p>
  </w:footnote>
  <w:footnote w:id="14">
    <w:p w:rsidR="005D7B1D" w:rsidRPr="002B4367" w:rsidRDefault="00E13252" w:rsidP="005D7B1D">
      <w:pPr>
        <w:pStyle w:val="FootnoteText"/>
      </w:pPr>
      <w:r>
        <w:tab/>
      </w:r>
      <w:r w:rsidR="005D7B1D">
        <w:rPr>
          <w:rStyle w:val="FootnoteReference"/>
        </w:rPr>
        <w:footnoteRef/>
      </w:r>
      <w:r>
        <w:tab/>
      </w:r>
      <w:r w:rsidR="005D7B1D">
        <w:t xml:space="preserve">Preliminary Statement by the East African Community Observer Mission to Burundi, Presidential Elections 2015, see at: </w:t>
      </w:r>
      <w:r w:rsidR="005D7B1D" w:rsidRPr="002B4367">
        <w:t>http://www.eac.int/index.php?view=article&amp;catid=146%3Apress-releases&amp;id=1920%3Apreliminary-statement-by-the-eac-election-observer-mission-to-burundi-presidential-election-2015&amp;format=pdf&amp;option=com_content&amp;Itemid=194</w:t>
      </w:r>
      <w:r w:rsidR="005D7B1D">
        <w:t>.</w:t>
      </w:r>
    </w:p>
  </w:footnote>
  <w:footnote w:id="15">
    <w:p w:rsidR="005D7B1D" w:rsidRPr="00826884" w:rsidRDefault="00E13252" w:rsidP="005D7B1D">
      <w:pPr>
        <w:pStyle w:val="FootnoteText"/>
      </w:pPr>
      <w:r>
        <w:tab/>
      </w:r>
      <w:r w:rsidR="005D7B1D">
        <w:rPr>
          <w:rStyle w:val="FootnoteReference"/>
        </w:rPr>
        <w:footnoteRef/>
      </w:r>
      <w:r>
        <w:tab/>
      </w:r>
      <w:r w:rsidR="005D7B1D">
        <w:t xml:space="preserve">Preliminary Statement, 27 July 2015, at: </w:t>
      </w:r>
      <w:r w:rsidR="005D7B1D" w:rsidRPr="00826884">
        <w:t>https://menub.unmissions.org/sites/default/files/francee.pdf</w:t>
      </w:r>
      <w:r w:rsidR="005D7B1D">
        <w:t>.</w:t>
      </w:r>
    </w:p>
  </w:footnote>
  <w:footnote w:id="16">
    <w:p w:rsidR="005D7B1D" w:rsidRPr="005F602A" w:rsidRDefault="00E13252" w:rsidP="005D7B1D">
      <w:pPr>
        <w:pStyle w:val="FootnoteText"/>
      </w:pPr>
      <w:r>
        <w:tab/>
      </w:r>
      <w:r w:rsidR="005D7B1D">
        <w:rPr>
          <w:rStyle w:val="FootnoteReference"/>
        </w:rPr>
        <w:footnoteRef/>
      </w:r>
      <w:r>
        <w:tab/>
      </w:r>
      <w:r w:rsidR="005D7B1D" w:rsidRPr="005F602A">
        <w:t>Press briefing notes on Burundi and Yemen</w:t>
      </w:r>
      <w:r w:rsidR="005D7B1D">
        <w:t xml:space="preserve">, OHCHR 4 August 2015, at: </w:t>
      </w:r>
      <w:r w:rsidR="005D7B1D" w:rsidRPr="005F602A">
        <w:t>http://www.ohchr.org/EN/NewsEvents/Pages/DisplayNews.aspx?NewsID=16320&amp;LangID=E</w:t>
      </w:r>
    </w:p>
  </w:footnote>
  <w:footnote w:id="17">
    <w:p w:rsidR="005D7B1D" w:rsidRPr="00D34B42" w:rsidRDefault="00E13252" w:rsidP="005D7B1D">
      <w:pPr>
        <w:pStyle w:val="FootnoteText"/>
      </w:pPr>
      <w:r>
        <w:tab/>
      </w:r>
      <w:r w:rsidR="005D7B1D">
        <w:rPr>
          <w:rStyle w:val="FootnoteReference"/>
        </w:rPr>
        <w:footnoteRef/>
      </w:r>
      <w:r>
        <w:tab/>
      </w:r>
      <w:r w:rsidR="005D7B1D" w:rsidRPr="005F602A">
        <w:t>Press briefing note in Burundi and Iraq</w:t>
      </w:r>
      <w:r w:rsidR="005D7B1D">
        <w:t xml:space="preserve">, OHCHR, 14 August 2015, at: </w:t>
      </w:r>
      <w:hyperlink r:id="rId2" w:history="1">
        <w:r w:rsidR="005D7B1D" w:rsidRPr="002959DF">
          <w:rPr>
            <w:rStyle w:val="Hyperlink"/>
          </w:rPr>
          <w:t>http://www.ohchr.org/EN/NewsEvents/Pages/DisplayNews.aspx?NewsID=16320&amp;LangID=E</w:t>
        </w:r>
      </w:hyperlink>
      <w:r w:rsidR="005D7B1D">
        <w:t>.</w:t>
      </w:r>
    </w:p>
  </w:footnote>
  <w:footnote w:id="18">
    <w:p w:rsidR="005D7B1D" w:rsidRPr="00AE265E" w:rsidRDefault="00E13252" w:rsidP="005D7B1D">
      <w:pPr>
        <w:pStyle w:val="FootnoteText"/>
      </w:pPr>
      <w:r>
        <w:tab/>
      </w:r>
      <w:r w:rsidR="005D7B1D">
        <w:rPr>
          <w:rStyle w:val="FootnoteReference"/>
        </w:rPr>
        <w:footnoteRef/>
      </w:r>
      <w:r>
        <w:tab/>
      </w:r>
      <w:r w:rsidR="005D7B1D">
        <w:t xml:space="preserve">For regular updates on the number of refugees having fled Burundi since the end of April 2015, see </w:t>
      </w:r>
      <w:r w:rsidR="005D7B1D" w:rsidRPr="00AE265E">
        <w:t>http://data.unhcr.org/burundi/regional.php</w:t>
      </w:r>
      <w:r w:rsidR="005D7B1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58" w:rsidRDefault="00F97A31" w:rsidP="00E262BD">
    <w:pPr>
      <w:pStyle w:val="Header"/>
    </w:pPr>
    <w:r>
      <w:t>A/HRC/30/CRP</w:t>
    </w:r>
    <w:r w:rsidR="005D7B1D">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58" w:rsidRDefault="00F97A31" w:rsidP="00E262BD">
    <w:pPr>
      <w:pStyle w:val="Header"/>
      <w:jc w:val="right"/>
    </w:pPr>
    <w:r>
      <w:t>A/HRC/30/CRP</w:t>
    </w:r>
    <w:r w:rsidR="005D7B1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302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BB34BC"/>
    <w:multiLevelType w:val="hybridMultilevel"/>
    <w:tmpl w:val="8BAA951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431926"/>
    <w:multiLevelType w:val="hybridMultilevel"/>
    <w:tmpl w:val="CA4657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AE17FE"/>
    <w:multiLevelType w:val="hybridMultilevel"/>
    <w:tmpl w:val="2E780B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D01739"/>
    <w:multiLevelType w:val="multilevel"/>
    <w:tmpl w:val="1CC62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07909"/>
    <w:multiLevelType w:val="hybridMultilevel"/>
    <w:tmpl w:val="1F182594"/>
    <w:lvl w:ilvl="0" w:tplc="FD5074E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2FC4BF0"/>
    <w:multiLevelType w:val="hybridMultilevel"/>
    <w:tmpl w:val="DD686B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160E72"/>
    <w:multiLevelType w:val="hybridMultilevel"/>
    <w:tmpl w:val="92380BB0"/>
    <w:lvl w:ilvl="0" w:tplc="C486D10E">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3515827"/>
    <w:multiLevelType w:val="hybridMultilevel"/>
    <w:tmpl w:val="E700847C"/>
    <w:lvl w:ilvl="0" w:tplc="5F56CF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876932"/>
    <w:multiLevelType w:val="hybridMultilevel"/>
    <w:tmpl w:val="D7EE6C66"/>
    <w:lvl w:ilvl="0" w:tplc="6246A290">
      <w:start w:val="1"/>
      <w:numFmt w:val="upp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DDC6793"/>
    <w:multiLevelType w:val="hybridMultilevel"/>
    <w:tmpl w:val="2E48FB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981C28"/>
    <w:multiLevelType w:val="hybridMultilevel"/>
    <w:tmpl w:val="987675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1E2B2C"/>
    <w:multiLevelType w:val="hybridMultilevel"/>
    <w:tmpl w:val="BA0018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F5F67"/>
    <w:multiLevelType w:val="hybridMultilevel"/>
    <w:tmpl w:val="2250A7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AA5CF4"/>
    <w:multiLevelType w:val="hybridMultilevel"/>
    <w:tmpl w:val="C7FEF0B4"/>
    <w:lvl w:ilvl="0" w:tplc="A3AEBA4E">
      <w:start w:val="1"/>
      <w:numFmt w:val="decimal"/>
      <w:lvlText w:val="%1."/>
      <w:lvlJc w:val="left"/>
      <w:pPr>
        <w:tabs>
          <w:tab w:val="num" w:pos="930"/>
        </w:tabs>
        <w:ind w:left="930" w:hanging="570"/>
      </w:pPr>
      <w:rPr>
        <w:rFonts w:hint="default"/>
      </w:rPr>
    </w:lvl>
    <w:lvl w:ilvl="1" w:tplc="B7A2509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37425E"/>
    <w:multiLevelType w:val="hybridMultilevel"/>
    <w:tmpl w:val="AB14C09A"/>
    <w:lvl w:ilvl="0" w:tplc="B37E748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nsid w:val="5B09442D"/>
    <w:multiLevelType w:val="hybridMultilevel"/>
    <w:tmpl w:val="A65815B6"/>
    <w:lvl w:ilvl="0" w:tplc="0F2080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388284F"/>
    <w:multiLevelType w:val="hybridMultilevel"/>
    <w:tmpl w:val="E6A6F0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0D299C"/>
    <w:multiLevelType w:val="hybridMultilevel"/>
    <w:tmpl w:val="DD6AC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FEE3B48"/>
    <w:multiLevelType w:val="hybridMultilevel"/>
    <w:tmpl w:val="7DE4F9E2"/>
    <w:lvl w:ilvl="0" w:tplc="4560D5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A7634D"/>
    <w:multiLevelType w:val="hybridMultilevel"/>
    <w:tmpl w:val="538A2582"/>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4680F78"/>
    <w:multiLevelType w:val="hybridMultilevel"/>
    <w:tmpl w:val="E49E11A4"/>
    <w:lvl w:ilvl="0" w:tplc="87D687CA">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9">
    <w:nsid w:val="75796C88"/>
    <w:multiLevelType w:val="hybridMultilevel"/>
    <w:tmpl w:val="5F188294"/>
    <w:lvl w:ilvl="0" w:tplc="22FA30D8">
      <w:start w:val="1"/>
      <w:numFmt w:val="upperLetter"/>
      <w:lvlText w:val="%1."/>
      <w:lvlJc w:val="left"/>
      <w:pPr>
        <w:ind w:left="1137" w:hanging="57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0">
    <w:nsid w:val="7E6E0DD6"/>
    <w:multiLevelType w:val="hybridMultilevel"/>
    <w:tmpl w:val="C3567200"/>
    <w:lvl w:ilvl="0" w:tplc="54720A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F7860DB"/>
    <w:multiLevelType w:val="hybridMultilevel"/>
    <w:tmpl w:val="FCAA9F8E"/>
    <w:lvl w:ilvl="0" w:tplc="552E241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nsid w:val="7F815D62"/>
    <w:multiLevelType w:val="hybridMultilevel"/>
    <w:tmpl w:val="803289AE"/>
    <w:lvl w:ilvl="0" w:tplc="100C0001">
      <w:start w:val="1"/>
      <w:numFmt w:val="bullet"/>
      <w:lvlText w:val=""/>
      <w:lvlJc w:val="left"/>
      <w:pPr>
        <w:ind w:left="1854" w:hanging="720"/>
      </w:pPr>
      <w:rPr>
        <w:rFonts w:ascii="Symbol" w:hAnsi="Symbol"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1"/>
  </w:num>
  <w:num w:numId="2">
    <w:abstractNumId w:val="8"/>
  </w:num>
  <w:num w:numId="3">
    <w:abstractNumId w:val="25"/>
  </w:num>
  <w:num w:numId="4">
    <w:abstractNumId w:val="5"/>
  </w:num>
  <w:num w:numId="5">
    <w:abstractNumId w:val="1"/>
  </w:num>
  <w:num w:numId="6">
    <w:abstractNumId w:val="2"/>
  </w:num>
  <w:num w:numId="7">
    <w:abstractNumId w:val="24"/>
  </w:num>
  <w:num w:numId="8">
    <w:abstractNumId w:val="23"/>
  </w:num>
  <w:num w:numId="9">
    <w:abstractNumId w:val="19"/>
  </w:num>
  <w:num w:numId="10">
    <w:abstractNumId w:val="13"/>
  </w:num>
  <w:num w:numId="11">
    <w:abstractNumId w:val="7"/>
  </w:num>
  <w:num w:numId="12">
    <w:abstractNumId w:val="29"/>
  </w:num>
  <w:num w:numId="13">
    <w:abstractNumId w:val="9"/>
  </w:num>
  <w:num w:numId="14">
    <w:abstractNumId w:val="27"/>
  </w:num>
  <w:num w:numId="15">
    <w:abstractNumId w:val="14"/>
  </w:num>
  <w:num w:numId="16">
    <w:abstractNumId w:val="12"/>
  </w:num>
  <w:num w:numId="17">
    <w:abstractNumId w:val="28"/>
  </w:num>
  <w:num w:numId="18">
    <w:abstractNumId w:val="32"/>
  </w:num>
  <w:num w:numId="19">
    <w:abstractNumId w:val="26"/>
  </w:num>
  <w:num w:numId="20">
    <w:abstractNumId w:val="21"/>
  </w:num>
  <w:num w:numId="21">
    <w:abstractNumId w:val="3"/>
  </w:num>
  <w:num w:numId="22">
    <w:abstractNumId w:val="17"/>
  </w:num>
  <w:num w:numId="23">
    <w:abstractNumId w:val="16"/>
  </w:num>
  <w:num w:numId="24">
    <w:abstractNumId w:val="22"/>
  </w:num>
  <w:num w:numId="25">
    <w:abstractNumId w:val="18"/>
  </w:num>
  <w:num w:numId="26">
    <w:abstractNumId w:val="10"/>
  </w:num>
  <w:num w:numId="27">
    <w:abstractNumId w:val="15"/>
  </w:num>
  <w:num w:numId="28">
    <w:abstractNumId w:val="4"/>
  </w:num>
  <w:num w:numId="29">
    <w:abstractNumId w:val="6"/>
  </w:num>
  <w:num w:numId="30">
    <w:abstractNumId w:val="0"/>
  </w:num>
  <w:num w:numId="31">
    <w:abstractNumId w:val="20"/>
  </w:num>
  <w:num w:numId="32">
    <w:abstractNumId w:val="31"/>
  </w:num>
  <w:num w:numId="3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NZ"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04"/>
    <w:rsid w:val="000171CF"/>
    <w:rsid w:val="000219B4"/>
    <w:rsid w:val="00044933"/>
    <w:rsid w:val="00044D72"/>
    <w:rsid w:val="00053549"/>
    <w:rsid w:val="000607AB"/>
    <w:rsid w:val="000620FF"/>
    <w:rsid w:val="000868CE"/>
    <w:rsid w:val="000903B5"/>
    <w:rsid w:val="00090FAB"/>
    <w:rsid w:val="000925F9"/>
    <w:rsid w:val="000A1FFB"/>
    <w:rsid w:val="000A2887"/>
    <w:rsid w:val="000C3A59"/>
    <w:rsid w:val="000D7CD2"/>
    <w:rsid w:val="000F2F61"/>
    <w:rsid w:val="00105E3D"/>
    <w:rsid w:val="001417B5"/>
    <w:rsid w:val="00154956"/>
    <w:rsid w:val="00154CCF"/>
    <w:rsid w:val="0016065C"/>
    <w:rsid w:val="00171F40"/>
    <w:rsid w:val="00183E37"/>
    <w:rsid w:val="00191F14"/>
    <w:rsid w:val="00194BB2"/>
    <w:rsid w:val="001B2AEA"/>
    <w:rsid w:val="001D2BAF"/>
    <w:rsid w:val="001F3308"/>
    <w:rsid w:val="001F4E85"/>
    <w:rsid w:val="0020633C"/>
    <w:rsid w:val="00220363"/>
    <w:rsid w:val="0022085F"/>
    <w:rsid w:val="00240D0E"/>
    <w:rsid w:val="00273BC9"/>
    <w:rsid w:val="00273C3E"/>
    <w:rsid w:val="00287569"/>
    <w:rsid w:val="00293153"/>
    <w:rsid w:val="002966F4"/>
    <w:rsid w:val="002B7B35"/>
    <w:rsid w:val="002D07E4"/>
    <w:rsid w:val="002E1A3A"/>
    <w:rsid w:val="00301E20"/>
    <w:rsid w:val="003059C8"/>
    <w:rsid w:val="00314A9A"/>
    <w:rsid w:val="0031527B"/>
    <w:rsid w:val="00324F04"/>
    <w:rsid w:val="00337A47"/>
    <w:rsid w:val="003437EA"/>
    <w:rsid w:val="00352119"/>
    <w:rsid w:val="00356F79"/>
    <w:rsid w:val="00364F6C"/>
    <w:rsid w:val="00365856"/>
    <w:rsid w:val="00380C45"/>
    <w:rsid w:val="003854E5"/>
    <w:rsid w:val="003941C0"/>
    <w:rsid w:val="003972DB"/>
    <w:rsid w:val="003A7E40"/>
    <w:rsid w:val="003C5FB1"/>
    <w:rsid w:val="003E1714"/>
    <w:rsid w:val="003E226A"/>
    <w:rsid w:val="004005A2"/>
    <w:rsid w:val="004420A9"/>
    <w:rsid w:val="004451D9"/>
    <w:rsid w:val="00453C48"/>
    <w:rsid w:val="00456A84"/>
    <w:rsid w:val="00461597"/>
    <w:rsid w:val="00486C11"/>
    <w:rsid w:val="004B3B03"/>
    <w:rsid w:val="004C6887"/>
    <w:rsid w:val="004D18EC"/>
    <w:rsid w:val="004D6ADA"/>
    <w:rsid w:val="004D7B47"/>
    <w:rsid w:val="004E5A17"/>
    <w:rsid w:val="004E73EF"/>
    <w:rsid w:val="005014D1"/>
    <w:rsid w:val="0050600B"/>
    <w:rsid w:val="00523865"/>
    <w:rsid w:val="00535658"/>
    <w:rsid w:val="005443F0"/>
    <w:rsid w:val="00550CA2"/>
    <w:rsid w:val="005720F1"/>
    <w:rsid w:val="005829EB"/>
    <w:rsid w:val="005858FC"/>
    <w:rsid w:val="0059051D"/>
    <w:rsid w:val="00596FF5"/>
    <w:rsid w:val="005A2A41"/>
    <w:rsid w:val="005A3596"/>
    <w:rsid w:val="005A5E5F"/>
    <w:rsid w:val="005B1C90"/>
    <w:rsid w:val="005B5FC1"/>
    <w:rsid w:val="005C25EC"/>
    <w:rsid w:val="005D02AE"/>
    <w:rsid w:val="005D7B1D"/>
    <w:rsid w:val="005E2011"/>
    <w:rsid w:val="005F4E8C"/>
    <w:rsid w:val="00613E63"/>
    <w:rsid w:val="00630D6B"/>
    <w:rsid w:val="00632D81"/>
    <w:rsid w:val="00636D8C"/>
    <w:rsid w:val="00641AC3"/>
    <w:rsid w:val="00643BAB"/>
    <w:rsid w:val="006600CE"/>
    <w:rsid w:val="00673C25"/>
    <w:rsid w:val="00683B97"/>
    <w:rsid w:val="006A6138"/>
    <w:rsid w:val="006B333B"/>
    <w:rsid w:val="006B6614"/>
    <w:rsid w:val="006D2EBC"/>
    <w:rsid w:val="006D5C6F"/>
    <w:rsid w:val="006D7C7C"/>
    <w:rsid w:val="0070669E"/>
    <w:rsid w:val="00711FD4"/>
    <w:rsid w:val="00713FD4"/>
    <w:rsid w:val="00720221"/>
    <w:rsid w:val="00720604"/>
    <w:rsid w:val="007214EE"/>
    <w:rsid w:val="00727D88"/>
    <w:rsid w:val="00731B84"/>
    <w:rsid w:val="00772C98"/>
    <w:rsid w:val="007811ED"/>
    <w:rsid w:val="007902FE"/>
    <w:rsid w:val="00795B5A"/>
    <w:rsid w:val="007B0410"/>
    <w:rsid w:val="007D0E36"/>
    <w:rsid w:val="007F0576"/>
    <w:rsid w:val="007F2BE2"/>
    <w:rsid w:val="008020DC"/>
    <w:rsid w:val="0081402A"/>
    <w:rsid w:val="0082160C"/>
    <w:rsid w:val="00821A53"/>
    <w:rsid w:val="00831D8B"/>
    <w:rsid w:val="0084257F"/>
    <w:rsid w:val="008451DA"/>
    <w:rsid w:val="00847947"/>
    <w:rsid w:val="0085245D"/>
    <w:rsid w:val="008529C4"/>
    <w:rsid w:val="00853E0D"/>
    <w:rsid w:val="008569B5"/>
    <w:rsid w:val="00857A1A"/>
    <w:rsid w:val="00874A44"/>
    <w:rsid w:val="008824E1"/>
    <w:rsid w:val="008A1694"/>
    <w:rsid w:val="008A22F5"/>
    <w:rsid w:val="008A5D2F"/>
    <w:rsid w:val="008B58F9"/>
    <w:rsid w:val="008C2896"/>
    <w:rsid w:val="008D09E4"/>
    <w:rsid w:val="008D2D44"/>
    <w:rsid w:val="008D4A79"/>
    <w:rsid w:val="008F1F25"/>
    <w:rsid w:val="008F74EC"/>
    <w:rsid w:val="009004ED"/>
    <w:rsid w:val="00903453"/>
    <w:rsid w:val="00905261"/>
    <w:rsid w:val="00907B69"/>
    <w:rsid w:val="00907B8A"/>
    <w:rsid w:val="009105BC"/>
    <w:rsid w:val="00916032"/>
    <w:rsid w:val="00927214"/>
    <w:rsid w:val="00944350"/>
    <w:rsid w:val="00953BD8"/>
    <w:rsid w:val="009706C7"/>
    <w:rsid w:val="00972B97"/>
    <w:rsid w:val="0097465E"/>
    <w:rsid w:val="00980FFF"/>
    <w:rsid w:val="0098400D"/>
    <w:rsid w:val="00987317"/>
    <w:rsid w:val="00995D89"/>
    <w:rsid w:val="009C3E4D"/>
    <w:rsid w:val="009C69CA"/>
    <w:rsid w:val="009F739B"/>
    <w:rsid w:val="00A04565"/>
    <w:rsid w:val="00A274AB"/>
    <w:rsid w:val="00A52D51"/>
    <w:rsid w:val="00A57C55"/>
    <w:rsid w:val="00A6486E"/>
    <w:rsid w:val="00A73EA8"/>
    <w:rsid w:val="00A86605"/>
    <w:rsid w:val="00AB1609"/>
    <w:rsid w:val="00AB55B3"/>
    <w:rsid w:val="00AC3E22"/>
    <w:rsid w:val="00AC5484"/>
    <w:rsid w:val="00AC5672"/>
    <w:rsid w:val="00AC62CE"/>
    <w:rsid w:val="00AC7F27"/>
    <w:rsid w:val="00AF3521"/>
    <w:rsid w:val="00B15263"/>
    <w:rsid w:val="00B16F21"/>
    <w:rsid w:val="00B4236F"/>
    <w:rsid w:val="00B475B1"/>
    <w:rsid w:val="00B81605"/>
    <w:rsid w:val="00B81EB6"/>
    <w:rsid w:val="00B85844"/>
    <w:rsid w:val="00B95EFF"/>
    <w:rsid w:val="00BA59BB"/>
    <w:rsid w:val="00BB31BC"/>
    <w:rsid w:val="00BC232B"/>
    <w:rsid w:val="00BC4D10"/>
    <w:rsid w:val="00BF25D4"/>
    <w:rsid w:val="00C03107"/>
    <w:rsid w:val="00C25042"/>
    <w:rsid w:val="00C26F12"/>
    <w:rsid w:val="00C32595"/>
    <w:rsid w:val="00C5696D"/>
    <w:rsid w:val="00C613B2"/>
    <w:rsid w:val="00C76E6C"/>
    <w:rsid w:val="00C80E65"/>
    <w:rsid w:val="00CA3E0D"/>
    <w:rsid w:val="00CC191F"/>
    <w:rsid w:val="00CC44A8"/>
    <w:rsid w:val="00CC5E71"/>
    <w:rsid w:val="00CD36FE"/>
    <w:rsid w:val="00D05BF0"/>
    <w:rsid w:val="00D21E31"/>
    <w:rsid w:val="00D25F1E"/>
    <w:rsid w:val="00D43891"/>
    <w:rsid w:val="00D543E0"/>
    <w:rsid w:val="00D55FDA"/>
    <w:rsid w:val="00D73955"/>
    <w:rsid w:val="00D84968"/>
    <w:rsid w:val="00D92EE6"/>
    <w:rsid w:val="00DA12FA"/>
    <w:rsid w:val="00DB5638"/>
    <w:rsid w:val="00DC0163"/>
    <w:rsid w:val="00E05DE3"/>
    <w:rsid w:val="00E13252"/>
    <w:rsid w:val="00E166C7"/>
    <w:rsid w:val="00E1688E"/>
    <w:rsid w:val="00E22C54"/>
    <w:rsid w:val="00E262BD"/>
    <w:rsid w:val="00E65BD8"/>
    <w:rsid w:val="00E725AD"/>
    <w:rsid w:val="00E9483B"/>
    <w:rsid w:val="00E96017"/>
    <w:rsid w:val="00EC2E62"/>
    <w:rsid w:val="00EE721A"/>
    <w:rsid w:val="00EF3744"/>
    <w:rsid w:val="00F126DF"/>
    <w:rsid w:val="00F13C9E"/>
    <w:rsid w:val="00F15B9D"/>
    <w:rsid w:val="00F31D91"/>
    <w:rsid w:val="00F400D5"/>
    <w:rsid w:val="00F57919"/>
    <w:rsid w:val="00F97A31"/>
    <w:rsid w:val="00FB6073"/>
    <w:rsid w:val="00FC46AF"/>
    <w:rsid w:val="00FD0212"/>
    <w:rsid w:val="00FD57A3"/>
    <w:rsid w:val="00FE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No Spacing" w:qFormat="1"/>
    <w:lsdException w:name="Revision" w:uiPriority="7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ootnote number"/>
    <w:uiPriority w:val="99"/>
    <w:rPr>
      <w:rFonts w:ascii="Times New Roman" w:hAnsi="Times New Roman"/>
      <w:sz w:val="18"/>
      <w:vertAlign w:val="superscript"/>
    </w:rPr>
  </w:style>
  <w:style w:type="character" w:styleId="EndnoteReference">
    <w:name w:val="endnote reference"/>
    <w:aliases w:val="1_G"/>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Footnote Text Char Char Char,Footnote Text Char Char Char Char Char Char Char Char,Footnote Text Char Char Ch Char,FA,Char Char Char Char,Footnote reference"/>
    <w:basedOn w:val="Normal"/>
    <w:link w:val="FootnoteTextChar1"/>
    <w:uiPriority w:val="99"/>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NormalWeb">
    <w:name w:val="Normal (Web)"/>
    <w:basedOn w:val="Normal"/>
    <w:uiPriority w:val="99"/>
    <w:rPr>
      <w:sz w:val="24"/>
      <w:szCs w:val="24"/>
    </w:rPr>
  </w:style>
  <w:style w:type="character" w:styleId="Emphasis">
    <w:name w:val="Emphasis"/>
    <w:uiPriority w:val="20"/>
    <w:qFormat/>
    <w:rPr>
      <w:i/>
      <w:iCs/>
    </w:rPr>
  </w:style>
  <w:style w:type="character" w:customStyle="1" w:styleId="HChGChar">
    <w:name w:val="_ H _Ch_G Char"/>
    <w:link w:val="HChG"/>
    <w:rPr>
      <w:b/>
      <w:sz w:val="28"/>
      <w:lang w:val="en-GB" w:eastAsia="en-US" w:bidi="ar-SA"/>
    </w:rPr>
  </w:style>
  <w:style w:type="character" w:customStyle="1" w:styleId="FootnoteTextChar1">
    <w:name w:val="Footnote Text Char1"/>
    <w:aliases w:val="5_G Char,nota Char,pie Char,independiente Char,Letrero Char,margen Char,fn Char,footnote text Char,Footnote Text Char Char,Footnote Text Char Char Char Char,Footnote Text Char Char Char Char Char Char Char Char Char,FA Char"/>
    <w:link w:val="FootnoteText"/>
    <w:uiPriority w:val="99"/>
    <w:rPr>
      <w:sz w:val="18"/>
      <w:lang w:val="en-GB" w:eastAsia="en-US" w:bidi="ar-SA"/>
    </w:rPr>
  </w:style>
  <w:style w:type="character" w:customStyle="1" w:styleId="SingleTxtGChar">
    <w:name w:val="_ Single Txt_G Char"/>
    <w:link w:val="SingleTxtG"/>
    <w:rPr>
      <w:lang w:val="en-GB" w:eastAsia="en-US" w:bidi="ar-SA"/>
    </w:rPr>
  </w:style>
  <w:style w:type="paragraph" w:styleId="BalloonText">
    <w:name w:val="Balloon Text"/>
    <w:basedOn w:val="Normal"/>
    <w:link w:val="BalloonTextChar"/>
    <w:uiPriority w:val="99"/>
    <w:semiHidden/>
    <w:rsid w:val="005F7497"/>
    <w:rPr>
      <w:rFonts w:ascii="Tahoma" w:hAnsi="Tahoma" w:cs="Tahoma"/>
      <w:sz w:val="16"/>
      <w:szCs w:val="16"/>
    </w:rPr>
  </w:style>
  <w:style w:type="character" w:customStyle="1" w:styleId="Heading1Char">
    <w:name w:val="Heading 1 Char"/>
    <w:aliases w:val="Table_G Char"/>
    <w:link w:val="Heading1"/>
    <w:rsid w:val="00EF33BA"/>
    <w:rPr>
      <w:lang w:val="en-GB"/>
    </w:rPr>
  </w:style>
  <w:style w:type="character" w:customStyle="1" w:styleId="Heading2Char">
    <w:name w:val="Heading 2 Char"/>
    <w:link w:val="Heading2"/>
    <w:rsid w:val="00EF33BA"/>
    <w:rPr>
      <w:lang w:val="en-GB"/>
    </w:rPr>
  </w:style>
  <w:style w:type="character" w:customStyle="1" w:styleId="Heading3Char">
    <w:name w:val="Heading 3 Char"/>
    <w:link w:val="Heading3"/>
    <w:rsid w:val="00EF33BA"/>
    <w:rPr>
      <w:lang w:val="en-GB"/>
    </w:rPr>
  </w:style>
  <w:style w:type="character" w:customStyle="1" w:styleId="Heading4Char">
    <w:name w:val="Heading 4 Char"/>
    <w:link w:val="Heading4"/>
    <w:rsid w:val="00EF33BA"/>
    <w:rPr>
      <w:lang w:val="en-GB"/>
    </w:rPr>
  </w:style>
  <w:style w:type="character" w:customStyle="1" w:styleId="Heading5Char">
    <w:name w:val="Heading 5 Char"/>
    <w:link w:val="Heading5"/>
    <w:rsid w:val="00EF33BA"/>
    <w:rPr>
      <w:lang w:val="en-GB"/>
    </w:rPr>
  </w:style>
  <w:style w:type="character" w:customStyle="1" w:styleId="Heading6Char">
    <w:name w:val="Heading 6 Char"/>
    <w:link w:val="Heading6"/>
    <w:rsid w:val="00EF33BA"/>
    <w:rPr>
      <w:lang w:val="en-GB"/>
    </w:rPr>
  </w:style>
  <w:style w:type="character" w:customStyle="1" w:styleId="Heading7Char">
    <w:name w:val="Heading 7 Char"/>
    <w:link w:val="Heading7"/>
    <w:rsid w:val="00EF33BA"/>
    <w:rPr>
      <w:lang w:val="en-GB"/>
    </w:rPr>
  </w:style>
  <w:style w:type="character" w:customStyle="1" w:styleId="Heading8Char">
    <w:name w:val="Heading 8 Char"/>
    <w:link w:val="Heading8"/>
    <w:rsid w:val="00EF33BA"/>
    <w:rPr>
      <w:lang w:val="en-GB"/>
    </w:rPr>
  </w:style>
  <w:style w:type="character" w:customStyle="1" w:styleId="Heading9Char">
    <w:name w:val="Heading 9 Char"/>
    <w:link w:val="Heading9"/>
    <w:rsid w:val="00EF33BA"/>
    <w:rPr>
      <w:lang w:val="en-GB"/>
    </w:rPr>
  </w:style>
  <w:style w:type="character" w:customStyle="1" w:styleId="HeaderChar">
    <w:name w:val="Header Char"/>
    <w:aliases w:val="6_G Char"/>
    <w:link w:val="Header"/>
    <w:uiPriority w:val="99"/>
    <w:rsid w:val="00EF33BA"/>
    <w:rPr>
      <w:b/>
      <w:sz w:val="18"/>
      <w:lang w:val="en-GB"/>
    </w:rPr>
  </w:style>
  <w:style w:type="character" w:customStyle="1" w:styleId="EndnoteTextChar">
    <w:name w:val="Endnote Text Char"/>
    <w:aliases w:val="2_G Char"/>
    <w:link w:val="EndnoteText"/>
    <w:rsid w:val="00EF33BA"/>
    <w:rPr>
      <w:sz w:val="18"/>
      <w:lang w:val="en-GB"/>
    </w:rPr>
  </w:style>
  <w:style w:type="character" w:customStyle="1" w:styleId="FooterChar">
    <w:name w:val="Footer Char"/>
    <w:aliases w:val="3_G Char"/>
    <w:link w:val="Footer"/>
    <w:uiPriority w:val="99"/>
    <w:rsid w:val="00EF33BA"/>
    <w:rPr>
      <w:sz w:val="16"/>
      <w:lang w:val="en-GB"/>
    </w:rPr>
  </w:style>
  <w:style w:type="character" w:customStyle="1" w:styleId="BalloonTextChar">
    <w:name w:val="Balloon Text Char"/>
    <w:link w:val="BalloonText"/>
    <w:uiPriority w:val="99"/>
    <w:semiHidden/>
    <w:rsid w:val="00EF33BA"/>
    <w:rPr>
      <w:rFonts w:ascii="Tahoma" w:hAnsi="Tahoma" w:cs="Tahoma"/>
      <w:sz w:val="16"/>
      <w:szCs w:val="16"/>
      <w:lang w:val="en-GB"/>
    </w:rPr>
  </w:style>
  <w:style w:type="character" w:styleId="CommentReference">
    <w:name w:val="annotation reference"/>
    <w:uiPriority w:val="99"/>
    <w:rsid w:val="00EF33BA"/>
    <w:rPr>
      <w:sz w:val="16"/>
      <w:szCs w:val="16"/>
    </w:rPr>
  </w:style>
  <w:style w:type="paragraph" w:styleId="CommentText">
    <w:name w:val="annotation text"/>
    <w:basedOn w:val="Normal"/>
    <w:link w:val="CommentTextChar"/>
    <w:uiPriority w:val="99"/>
    <w:rsid w:val="00EF33BA"/>
  </w:style>
  <w:style w:type="character" w:customStyle="1" w:styleId="CommentTextChar">
    <w:name w:val="Comment Text Char"/>
    <w:link w:val="CommentText"/>
    <w:uiPriority w:val="99"/>
    <w:rsid w:val="00EF33BA"/>
    <w:rPr>
      <w:lang w:val="en-GB"/>
    </w:rPr>
  </w:style>
  <w:style w:type="paragraph" w:styleId="CommentSubject">
    <w:name w:val="annotation subject"/>
    <w:basedOn w:val="CommentText"/>
    <w:next w:val="CommentText"/>
    <w:link w:val="CommentSubjectChar"/>
    <w:uiPriority w:val="99"/>
    <w:rsid w:val="00EF33BA"/>
    <w:rPr>
      <w:b/>
      <w:bCs/>
    </w:rPr>
  </w:style>
  <w:style w:type="character" w:customStyle="1" w:styleId="CommentSubjectChar">
    <w:name w:val="Comment Subject Char"/>
    <w:link w:val="CommentSubject"/>
    <w:uiPriority w:val="99"/>
    <w:rsid w:val="00EF33BA"/>
    <w:rPr>
      <w:b/>
      <w:bCs/>
      <w:lang w:val="en-GB"/>
    </w:rPr>
  </w:style>
  <w:style w:type="paragraph" w:customStyle="1" w:styleId="ColorfulShading-Accent11">
    <w:name w:val="Colorful Shading - Accent 11"/>
    <w:hidden/>
    <w:uiPriority w:val="71"/>
    <w:rsid w:val="00273BC9"/>
    <w:rPr>
      <w:lang w:eastAsia="en-US"/>
    </w:rPr>
  </w:style>
  <w:style w:type="character" w:customStyle="1" w:styleId="hps">
    <w:name w:val="hps"/>
    <w:basedOn w:val="DefaultParagraphFont"/>
    <w:rsid w:val="00A52D51"/>
  </w:style>
  <w:style w:type="paragraph" w:customStyle="1" w:styleId="ColorfulList-Accent11">
    <w:name w:val="Colorful List - Accent 11"/>
    <w:basedOn w:val="Normal"/>
    <w:uiPriority w:val="72"/>
    <w:qFormat/>
    <w:rsid w:val="008824E1"/>
    <w:pPr>
      <w:suppressAutoHyphens w:val="0"/>
      <w:spacing w:line="240" w:lineRule="auto"/>
      <w:ind w:left="720"/>
      <w:contextualSpacing/>
    </w:pPr>
    <w:rPr>
      <w:rFonts w:ascii="Cambria" w:eastAsia="MS Mincho" w:hAnsi="Cambria"/>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No Spacing" w:qFormat="1"/>
    <w:lsdException w:name="Revision" w:uiPriority="7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ootnote number"/>
    <w:uiPriority w:val="99"/>
    <w:rPr>
      <w:rFonts w:ascii="Times New Roman" w:hAnsi="Times New Roman"/>
      <w:sz w:val="18"/>
      <w:vertAlign w:val="superscript"/>
    </w:rPr>
  </w:style>
  <w:style w:type="character" w:styleId="EndnoteReference">
    <w:name w:val="endnote reference"/>
    <w:aliases w:val="1_G"/>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Footnote Text Char Char Char,Footnote Text Char Char Char Char Char Char Char Char,Footnote Text Char Char Ch Char,FA,Char Char Char Char,Footnote reference"/>
    <w:basedOn w:val="Normal"/>
    <w:link w:val="FootnoteTextChar1"/>
    <w:uiPriority w:val="99"/>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NormalWeb">
    <w:name w:val="Normal (Web)"/>
    <w:basedOn w:val="Normal"/>
    <w:uiPriority w:val="99"/>
    <w:rPr>
      <w:sz w:val="24"/>
      <w:szCs w:val="24"/>
    </w:rPr>
  </w:style>
  <w:style w:type="character" w:styleId="Emphasis">
    <w:name w:val="Emphasis"/>
    <w:uiPriority w:val="20"/>
    <w:qFormat/>
    <w:rPr>
      <w:i/>
      <w:iCs/>
    </w:rPr>
  </w:style>
  <w:style w:type="character" w:customStyle="1" w:styleId="HChGChar">
    <w:name w:val="_ H _Ch_G Char"/>
    <w:link w:val="HChG"/>
    <w:rPr>
      <w:b/>
      <w:sz w:val="28"/>
      <w:lang w:val="en-GB" w:eastAsia="en-US" w:bidi="ar-SA"/>
    </w:rPr>
  </w:style>
  <w:style w:type="character" w:customStyle="1" w:styleId="FootnoteTextChar1">
    <w:name w:val="Footnote Text Char1"/>
    <w:aliases w:val="5_G Char,nota Char,pie Char,independiente Char,Letrero Char,margen Char,fn Char,footnote text Char,Footnote Text Char Char,Footnote Text Char Char Char Char,Footnote Text Char Char Char Char Char Char Char Char Char,FA Char"/>
    <w:link w:val="FootnoteText"/>
    <w:uiPriority w:val="99"/>
    <w:rPr>
      <w:sz w:val="18"/>
      <w:lang w:val="en-GB" w:eastAsia="en-US" w:bidi="ar-SA"/>
    </w:rPr>
  </w:style>
  <w:style w:type="character" w:customStyle="1" w:styleId="SingleTxtGChar">
    <w:name w:val="_ Single Txt_G Char"/>
    <w:link w:val="SingleTxtG"/>
    <w:rPr>
      <w:lang w:val="en-GB" w:eastAsia="en-US" w:bidi="ar-SA"/>
    </w:rPr>
  </w:style>
  <w:style w:type="paragraph" w:styleId="BalloonText">
    <w:name w:val="Balloon Text"/>
    <w:basedOn w:val="Normal"/>
    <w:link w:val="BalloonTextChar"/>
    <w:uiPriority w:val="99"/>
    <w:semiHidden/>
    <w:rsid w:val="005F7497"/>
    <w:rPr>
      <w:rFonts w:ascii="Tahoma" w:hAnsi="Tahoma" w:cs="Tahoma"/>
      <w:sz w:val="16"/>
      <w:szCs w:val="16"/>
    </w:rPr>
  </w:style>
  <w:style w:type="character" w:customStyle="1" w:styleId="Heading1Char">
    <w:name w:val="Heading 1 Char"/>
    <w:aliases w:val="Table_G Char"/>
    <w:link w:val="Heading1"/>
    <w:rsid w:val="00EF33BA"/>
    <w:rPr>
      <w:lang w:val="en-GB"/>
    </w:rPr>
  </w:style>
  <w:style w:type="character" w:customStyle="1" w:styleId="Heading2Char">
    <w:name w:val="Heading 2 Char"/>
    <w:link w:val="Heading2"/>
    <w:rsid w:val="00EF33BA"/>
    <w:rPr>
      <w:lang w:val="en-GB"/>
    </w:rPr>
  </w:style>
  <w:style w:type="character" w:customStyle="1" w:styleId="Heading3Char">
    <w:name w:val="Heading 3 Char"/>
    <w:link w:val="Heading3"/>
    <w:rsid w:val="00EF33BA"/>
    <w:rPr>
      <w:lang w:val="en-GB"/>
    </w:rPr>
  </w:style>
  <w:style w:type="character" w:customStyle="1" w:styleId="Heading4Char">
    <w:name w:val="Heading 4 Char"/>
    <w:link w:val="Heading4"/>
    <w:rsid w:val="00EF33BA"/>
    <w:rPr>
      <w:lang w:val="en-GB"/>
    </w:rPr>
  </w:style>
  <w:style w:type="character" w:customStyle="1" w:styleId="Heading5Char">
    <w:name w:val="Heading 5 Char"/>
    <w:link w:val="Heading5"/>
    <w:rsid w:val="00EF33BA"/>
    <w:rPr>
      <w:lang w:val="en-GB"/>
    </w:rPr>
  </w:style>
  <w:style w:type="character" w:customStyle="1" w:styleId="Heading6Char">
    <w:name w:val="Heading 6 Char"/>
    <w:link w:val="Heading6"/>
    <w:rsid w:val="00EF33BA"/>
    <w:rPr>
      <w:lang w:val="en-GB"/>
    </w:rPr>
  </w:style>
  <w:style w:type="character" w:customStyle="1" w:styleId="Heading7Char">
    <w:name w:val="Heading 7 Char"/>
    <w:link w:val="Heading7"/>
    <w:rsid w:val="00EF33BA"/>
    <w:rPr>
      <w:lang w:val="en-GB"/>
    </w:rPr>
  </w:style>
  <w:style w:type="character" w:customStyle="1" w:styleId="Heading8Char">
    <w:name w:val="Heading 8 Char"/>
    <w:link w:val="Heading8"/>
    <w:rsid w:val="00EF33BA"/>
    <w:rPr>
      <w:lang w:val="en-GB"/>
    </w:rPr>
  </w:style>
  <w:style w:type="character" w:customStyle="1" w:styleId="Heading9Char">
    <w:name w:val="Heading 9 Char"/>
    <w:link w:val="Heading9"/>
    <w:rsid w:val="00EF33BA"/>
    <w:rPr>
      <w:lang w:val="en-GB"/>
    </w:rPr>
  </w:style>
  <w:style w:type="character" w:customStyle="1" w:styleId="HeaderChar">
    <w:name w:val="Header Char"/>
    <w:aliases w:val="6_G Char"/>
    <w:link w:val="Header"/>
    <w:uiPriority w:val="99"/>
    <w:rsid w:val="00EF33BA"/>
    <w:rPr>
      <w:b/>
      <w:sz w:val="18"/>
      <w:lang w:val="en-GB"/>
    </w:rPr>
  </w:style>
  <w:style w:type="character" w:customStyle="1" w:styleId="EndnoteTextChar">
    <w:name w:val="Endnote Text Char"/>
    <w:aliases w:val="2_G Char"/>
    <w:link w:val="EndnoteText"/>
    <w:rsid w:val="00EF33BA"/>
    <w:rPr>
      <w:sz w:val="18"/>
      <w:lang w:val="en-GB"/>
    </w:rPr>
  </w:style>
  <w:style w:type="character" w:customStyle="1" w:styleId="FooterChar">
    <w:name w:val="Footer Char"/>
    <w:aliases w:val="3_G Char"/>
    <w:link w:val="Footer"/>
    <w:uiPriority w:val="99"/>
    <w:rsid w:val="00EF33BA"/>
    <w:rPr>
      <w:sz w:val="16"/>
      <w:lang w:val="en-GB"/>
    </w:rPr>
  </w:style>
  <w:style w:type="character" w:customStyle="1" w:styleId="BalloonTextChar">
    <w:name w:val="Balloon Text Char"/>
    <w:link w:val="BalloonText"/>
    <w:uiPriority w:val="99"/>
    <w:semiHidden/>
    <w:rsid w:val="00EF33BA"/>
    <w:rPr>
      <w:rFonts w:ascii="Tahoma" w:hAnsi="Tahoma" w:cs="Tahoma"/>
      <w:sz w:val="16"/>
      <w:szCs w:val="16"/>
      <w:lang w:val="en-GB"/>
    </w:rPr>
  </w:style>
  <w:style w:type="character" w:styleId="CommentReference">
    <w:name w:val="annotation reference"/>
    <w:uiPriority w:val="99"/>
    <w:rsid w:val="00EF33BA"/>
    <w:rPr>
      <w:sz w:val="16"/>
      <w:szCs w:val="16"/>
    </w:rPr>
  </w:style>
  <w:style w:type="paragraph" w:styleId="CommentText">
    <w:name w:val="annotation text"/>
    <w:basedOn w:val="Normal"/>
    <w:link w:val="CommentTextChar"/>
    <w:uiPriority w:val="99"/>
    <w:rsid w:val="00EF33BA"/>
  </w:style>
  <w:style w:type="character" w:customStyle="1" w:styleId="CommentTextChar">
    <w:name w:val="Comment Text Char"/>
    <w:link w:val="CommentText"/>
    <w:uiPriority w:val="99"/>
    <w:rsid w:val="00EF33BA"/>
    <w:rPr>
      <w:lang w:val="en-GB"/>
    </w:rPr>
  </w:style>
  <w:style w:type="paragraph" w:styleId="CommentSubject">
    <w:name w:val="annotation subject"/>
    <w:basedOn w:val="CommentText"/>
    <w:next w:val="CommentText"/>
    <w:link w:val="CommentSubjectChar"/>
    <w:uiPriority w:val="99"/>
    <w:rsid w:val="00EF33BA"/>
    <w:rPr>
      <w:b/>
      <w:bCs/>
    </w:rPr>
  </w:style>
  <w:style w:type="character" w:customStyle="1" w:styleId="CommentSubjectChar">
    <w:name w:val="Comment Subject Char"/>
    <w:link w:val="CommentSubject"/>
    <w:uiPriority w:val="99"/>
    <w:rsid w:val="00EF33BA"/>
    <w:rPr>
      <w:b/>
      <w:bCs/>
      <w:lang w:val="en-GB"/>
    </w:rPr>
  </w:style>
  <w:style w:type="paragraph" w:customStyle="1" w:styleId="ColorfulShading-Accent11">
    <w:name w:val="Colorful Shading - Accent 11"/>
    <w:hidden/>
    <w:uiPriority w:val="71"/>
    <w:rsid w:val="00273BC9"/>
    <w:rPr>
      <w:lang w:eastAsia="en-US"/>
    </w:rPr>
  </w:style>
  <w:style w:type="character" w:customStyle="1" w:styleId="hps">
    <w:name w:val="hps"/>
    <w:basedOn w:val="DefaultParagraphFont"/>
    <w:rsid w:val="00A52D51"/>
  </w:style>
  <w:style w:type="paragraph" w:customStyle="1" w:styleId="ColorfulList-Accent11">
    <w:name w:val="Colorful List - Accent 11"/>
    <w:basedOn w:val="Normal"/>
    <w:uiPriority w:val="72"/>
    <w:qFormat/>
    <w:rsid w:val="008824E1"/>
    <w:pPr>
      <w:suppressAutoHyphens w:val="0"/>
      <w:spacing w:line="240" w:lineRule="auto"/>
      <w:ind w:left="720"/>
      <w:contextualSpacing/>
    </w:pPr>
    <w:rPr>
      <w:rFonts w:ascii="Cambria" w:eastAsia="MS Mincho" w:hAnsi="Cambr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962">
      <w:bodyDiv w:val="1"/>
      <w:marLeft w:val="0"/>
      <w:marRight w:val="0"/>
      <w:marTop w:val="0"/>
      <w:marBottom w:val="0"/>
      <w:divBdr>
        <w:top w:val="none" w:sz="0" w:space="0" w:color="auto"/>
        <w:left w:val="none" w:sz="0" w:space="0" w:color="auto"/>
        <w:bottom w:val="none" w:sz="0" w:space="0" w:color="auto"/>
        <w:right w:val="none" w:sz="0" w:space="0" w:color="auto"/>
      </w:divBdr>
    </w:div>
    <w:div w:id="196427150">
      <w:bodyDiv w:val="1"/>
      <w:marLeft w:val="0"/>
      <w:marRight w:val="0"/>
      <w:marTop w:val="0"/>
      <w:marBottom w:val="0"/>
      <w:divBdr>
        <w:top w:val="none" w:sz="0" w:space="0" w:color="auto"/>
        <w:left w:val="none" w:sz="0" w:space="0" w:color="auto"/>
        <w:bottom w:val="none" w:sz="0" w:space="0" w:color="auto"/>
        <w:right w:val="none" w:sz="0" w:space="0" w:color="auto"/>
      </w:divBdr>
    </w:div>
    <w:div w:id="210850179">
      <w:bodyDiv w:val="1"/>
      <w:marLeft w:val="0"/>
      <w:marRight w:val="0"/>
      <w:marTop w:val="0"/>
      <w:marBottom w:val="0"/>
      <w:divBdr>
        <w:top w:val="none" w:sz="0" w:space="0" w:color="auto"/>
        <w:left w:val="none" w:sz="0" w:space="0" w:color="auto"/>
        <w:bottom w:val="none" w:sz="0" w:space="0" w:color="auto"/>
        <w:right w:val="none" w:sz="0" w:space="0" w:color="auto"/>
      </w:divBdr>
    </w:div>
    <w:div w:id="254560029">
      <w:bodyDiv w:val="1"/>
      <w:marLeft w:val="0"/>
      <w:marRight w:val="0"/>
      <w:marTop w:val="0"/>
      <w:marBottom w:val="0"/>
      <w:divBdr>
        <w:top w:val="none" w:sz="0" w:space="0" w:color="auto"/>
        <w:left w:val="none" w:sz="0" w:space="0" w:color="auto"/>
        <w:bottom w:val="none" w:sz="0" w:space="0" w:color="auto"/>
        <w:right w:val="none" w:sz="0" w:space="0" w:color="auto"/>
      </w:divBdr>
    </w:div>
    <w:div w:id="278610392">
      <w:bodyDiv w:val="1"/>
      <w:marLeft w:val="0"/>
      <w:marRight w:val="0"/>
      <w:marTop w:val="0"/>
      <w:marBottom w:val="0"/>
      <w:divBdr>
        <w:top w:val="none" w:sz="0" w:space="0" w:color="auto"/>
        <w:left w:val="none" w:sz="0" w:space="0" w:color="auto"/>
        <w:bottom w:val="none" w:sz="0" w:space="0" w:color="auto"/>
        <w:right w:val="none" w:sz="0" w:space="0" w:color="auto"/>
      </w:divBdr>
    </w:div>
    <w:div w:id="299312188">
      <w:bodyDiv w:val="1"/>
      <w:marLeft w:val="0"/>
      <w:marRight w:val="0"/>
      <w:marTop w:val="0"/>
      <w:marBottom w:val="0"/>
      <w:divBdr>
        <w:top w:val="none" w:sz="0" w:space="0" w:color="auto"/>
        <w:left w:val="none" w:sz="0" w:space="0" w:color="auto"/>
        <w:bottom w:val="none" w:sz="0" w:space="0" w:color="auto"/>
        <w:right w:val="none" w:sz="0" w:space="0" w:color="auto"/>
      </w:divBdr>
    </w:div>
    <w:div w:id="308632204">
      <w:bodyDiv w:val="1"/>
      <w:marLeft w:val="0"/>
      <w:marRight w:val="0"/>
      <w:marTop w:val="0"/>
      <w:marBottom w:val="0"/>
      <w:divBdr>
        <w:top w:val="none" w:sz="0" w:space="0" w:color="auto"/>
        <w:left w:val="none" w:sz="0" w:space="0" w:color="auto"/>
        <w:bottom w:val="none" w:sz="0" w:space="0" w:color="auto"/>
        <w:right w:val="none" w:sz="0" w:space="0" w:color="auto"/>
      </w:divBdr>
      <w:divsChild>
        <w:div w:id="1859151679">
          <w:marLeft w:val="0"/>
          <w:marRight w:val="0"/>
          <w:marTop w:val="0"/>
          <w:marBottom w:val="0"/>
          <w:divBdr>
            <w:top w:val="none" w:sz="0" w:space="0" w:color="auto"/>
            <w:left w:val="none" w:sz="0" w:space="0" w:color="auto"/>
            <w:bottom w:val="none" w:sz="0" w:space="0" w:color="auto"/>
            <w:right w:val="none" w:sz="0" w:space="0" w:color="auto"/>
          </w:divBdr>
        </w:div>
      </w:divsChild>
    </w:div>
    <w:div w:id="341981257">
      <w:bodyDiv w:val="1"/>
      <w:marLeft w:val="0"/>
      <w:marRight w:val="0"/>
      <w:marTop w:val="0"/>
      <w:marBottom w:val="0"/>
      <w:divBdr>
        <w:top w:val="none" w:sz="0" w:space="0" w:color="auto"/>
        <w:left w:val="none" w:sz="0" w:space="0" w:color="auto"/>
        <w:bottom w:val="none" w:sz="0" w:space="0" w:color="auto"/>
        <w:right w:val="none" w:sz="0" w:space="0" w:color="auto"/>
      </w:divBdr>
    </w:div>
    <w:div w:id="400830308">
      <w:bodyDiv w:val="1"/>
      <w:marLeft w:val="0"/>
      <w:marRight w:val="0"/>
      <w:marTop w:val="0"/>
      <w:marBottom w:val="0"/>
      <w:divBdr>
        <w:top w:val="none" w:sz="0" w:space="0" w:color="auto"/>
        <w:left w:val="none" w:sz="0" w:space="0" w:color="auto"/>
        <w:bottom w:val="none" w:sz="0" w:space="0" w:color="auto"/>
        <w:right w:val="none" w:sz="0" w:space="0" w:color="auto"/>
      </w:divBdr>
    </w:div>
    <w:div w:id="451942653">
      <w:bodyDiv w:val="1"/>
      <w:marLeft w:val="0"/>
      <w:marRight w:val="0"/>
      <w:marTop w:val="0"/>
      <w:marBottom w:val="0"/>
      <w:divBdr>
        <w:top w:val="none" w:sz="0" w:space="0" w:color="auto"/>
        <w:left w:val="none" w:sz="0" w:space="0" w:color="auto"/>
        <w:bottom w:val="none" w:sz="0" w:space="0" w:color="auto"/>
        <w:right w:val="none" w:sz="0" w:space="0" w:color="auto"/>
      </w:divBdr>
    </w:div>
    <w:div w:id="506600158">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sChild>
        <w:div w:id="2118013795">
          <w:marLeft w:val="0"/>
          <w:marRight w:val="0"/>
          <w:marTop w:val="0"/>
          <w:marBottom w:val="0"/>
          <w:divBdr>
            <w:top w:val="none" w:sz="0" w:space="0" w:color="auto"/>
            <w:left w:val="none" w:sz="0" w:space="0" w:color="auto"/>
            <w:bottom w:val="none" w:sz="0" w:space="0" w:color="auto"/>
            <w:right w:val="none" w:sz="0" w:space="0" w:color="auto"/>
          </w:divBdr>
          <w:divsChild>
            <w:div w:id="461845254">
              <w:marLeft w:val="0"/>
              <w:marRight w:val="0"/>
              <w:marTop w:val="0"/>
              <w:marBottom w:val="0"/>
              <w:divBdr>
                <w:top w:val="none" w:sz="0" w:space="0" w:color="auto"/>
                <w:left w:val="none" w:sz="0" w:space="0" w:color="auto"/>
                <w:bottom w:val="none" w:sz="0" w:space="0" w:color="auto"/>
                <w:right w:val="none" w:sz="0" w:space="0" w:color="auto"/>
              </w:divBdr>
              <w:divsChild>
                <w:div w:id="1365135590">
                  <w:marLeft w:val="0"/>
                  <w:marRight w:val="0"/>
                  <w:marTop w:val="0"/>
                  <w:marBottom w:val="0"/>
                  <w:divBdr>
                    <w:top w:val="none" w:sz="0" w:space="0" w:color="auto"/>
                    <w:left w:val="none" w:sz="0" w:space="0" w:color="auto"/>
                    <w:bottom w:val="none" w:sz="0" w:space="0" w:color="auto"/>
                    <w:right w:val="none" w:sz="0" w:space="0" w:color="auto"/>
                  </w:divBdr>
                </w:div>
              </w:divsChild>
            </w:div>
            <w:div w:id="1905527507">
              <w:marLeft w:val="0"/>
              <w:marRight w:val="0"/>
              <w:marTop w:val="0"/>
              <w:marBottom w:val="0"/>
              <w:divBdr>
                <w:top w:val="none" w:sz="0" w:space="0" w:color="auto"/>
                <w:left w:val="none" w:sz="0" w:space="0" w:color="auto"/>
                <w:bottom w:val="none" w:sz="0" w:space="0" w:color="auto"/>
                <w:right w:val="none" w:sz="0" w:space="0" w:color="auto"/>
              </w:divBdr>
              <w:divsChild>
                <w:div w:id="11876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537">
      <w:bodyDiv w:val="1"/>
      <w:marLeft w:val="0"/>
      <w:marRight w:val="0"/>
      <w:marTop w:val="0"/>
      <w:marBottom w:val="0"/>
      <w:divBdr>
        <w:top w:val="none" w:sz="0" w:space="0" w:color="auto"/>
        <w:left w:val="none" w:sz="0" w:space="0" w:color="auto"/>
        <w:bottom w:val="none" w:sz="0" w:space="0" w:color="auto"/>
        <w:right w:val="none" w:sz="0" w:space="0" w:color="auto"/>
      </w:divBdr>
      <w:divsChild>
        <w:div w:id="1396507435">
          <w:marLeft w:val="0"/>
          <w:marRight w:val="0"/>
          <w:marTop w:val="0"/>
          <w:marBottom w:val="0"/>
          <w:divBdr>
            <w:top w:val="none" w:sz="0" w:space="0" w:color="auto"/>
            <w:left w:val="none" w:sz="0" w:space="0" w:color="auto"/>
            <w:bottom w:val="none" w:sz="0" w:space="0" w:color="auto"/>
            <w:right w:val="none" w:sz="0" w:space="0" w:color="auto"/>
          </w:divBdr>
          <w:divsChild>
            <w:div w:id="1855804491">
              <w:marLeft w:val="0"/>
              <w:marRight w:val="0"/>
              <w:marTop w:val="0"/>
              <w:marBottom w:val="0"/>
              <w:divBdr>
                <w:top w:val="none" w:sz="0" w:space="0" w:color="auto"/>
                <w:left w:val="none" w:sz="0" w:space="0" w:color="auto"/>
                <w:bottom w:val="none" w:sz="0" w:space="0" w:color="auto"/>
                <w:right w:val="none" w:sz="0" w:space="0" w:color="auto"/>
              </w:divBdr>
              <w:divsChild>
                <w:div w:id="545918473">
                  <w:marLeft w:val="0"/>
                  <w:marRight w:val="0"/>
                  <w:marTop w:val="0"/>
                  <w:marBottom w:val="0"/>
                  <w:divBdr>
                    <w:top w:val="none" w:sz="0" w:space="0" w:color="auto"/>
                    <w:left w:val="none" w:sz="0" w:space="0" w:color="auto"/>
                    <w:bottom w:val="none" w:sz="0" w:space="0" w:color="auto"/>
                    <w:right w:val="none" w:sz="0" w:space="0" w:color="auto"/>
                  </w:divBdr>
                  <w:divsChild>
                    <w:div w:id="1201013858">
                      <w:marLeft w:val="0"/>
                      <w:marRight w:val="0"/>
                      <w:marTop w:val="0"/>
                      <w:marBottom w:val="0"/>
                      <w:divBdr>
                        <w:top w:val="none" w:sz="0" w:space="0" w:color="auto"/>
                        <w:left w:val="none" w:sz="0" w:space="0" w:color="auto"/>
                        <w:bottom w:val="none" w:sz="0" w:space="0" w:color="auto"/>
                        <w:right w:val="none" w:sz="0" w:space="0" w:color="auto"/>
                      </w:divBdr>
                      <w:divsChild>
                        <w:div w:id="992181035">
                          <w:marLeft w:val="0"/>
                          <w:marRight w:val="0"/>
                          <w:marTop w:val="0"/>
                          <w:marBottom w:val="300"/>
                          <w:divBdr>
                            <w:top w:val="none" w:sz="0" w:space="0" w:color="auto"/>
                            <w:left w:val="none" w:sz="0" w:space="0" w:color="auto"/>
                            <w:bottom w:val="none" w:sz="0" w:space="0" w:color="auto"/>
                            <w:right w:val="none" w:sz="0" w:space="0" w:color="auto"/>
                          </w:divBdr>
                          <w:divsChild>
                            <w:div w:id="539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06153">
      <w:bodyDiv w:val="1"/>
      <w:marLeft w:val="0"/>
      <w:marRight w:val="0"/>
      <w:marTop w:val="0"/>
      <w:marBottom w:val="0"/>
      <w:divBdr>
        <w:top w:val="none" w:sz="0" w:space="0" w:color="auto"/>
        <w:left w:val="none" w:sz="0" w:space="0" w:color="auto"/>
        <w:bottom w:val="none" w:sz="0" w:space="0" w:color="auto"/>
        <w:right w:val="none" w:sz="0" w:space="0" w:color="auto"/>
      </w:divBdr>
    </w:div>
    <w:div w:id="619922284">
      <w:bodyDiv w:val="1"/>
      <w:marLeft w:val="0"/>
      <w:marRight w:val="0"/>
      <w:marTop w:val="0"/>
      <w:marBottom w:val="0"/>
      <w:divBdr>
        <w:top w:val="none" w:sz="0" w:space="0" w:color="auto"/>
        <w:left w:val="none" w:sz="0" w:space="0" w:color="auto"/>
        <w:bottom w:val="none" w:sz="0" w:space="0" w:color="auto"/>
        <w:right w:val="none" w:sz="0" w:space="0" w:color="auto"/>
      </w:divBdr>
      <w:divsChild>
        <w:div w:id="687369832">
          <w:marLeft w:val="0"/>
          <w:marRight w:val="0"/>
          <w:marTop w:val="0"/>
          <w:marBottom w:val="0"/>
          <w:divBdr>
            <w:top w:val="none" w:sz="0" w:space="0" w:color="auto"/>
            <w:left w:val="none" w:sz="0" w:space="0" w:color="auto"/>
            <w:bottom w:val="none" w:sz="0" w:space="0" w:color="auto"/>
            <w:right w:val="none" w:sz="0" w:space="0" w:color="auto"/>
          </w:divBdr>
        </w:div>
      </w:divsChild>
    </w:div>
    <w:div w:id="696278118">
      <w:bodyDiv w:val="1"/>
      <w:marLeft w:val="0"/>
      <w:marRight w:val="0"/>
      <w:marTop w:val="0"/>
      <w:marBottom w:val="0"/>
      <w:divBdr>
        <w:top w:val="none" w:sz="0" w:space="0" w:color="auto"/>
        <w:left w:val="none" w:sz="0" w:space="0" w:color="auto"/>
        <w:bottom w:val="none" w:sz="0" w:space="0" w:color="auto"/>
        <w:right w:val="none" w:sz="0" w:space="0" w:color="auto"/>
      </w:divBdr>
    </w:div>
    <w:div w:id="817386041">
      <w:bodyDiv w:val="1"/>
      <w:marLeft w:val="0"/>
      <w:marRight w:val="0"/>
      <w:marTop w:val="0"/>
      <w:marBottom w:val="0"/>
      <w:divBdr>
        <w:top w:val="none" w:sz="0" w:space="0" w:color="auto"/>
        <w:left w:val="none" w:sz="0" w:space="0" w:color="auto"/>
        <w:bottom w:val="none" w:sz="0" w:space="0" w:color="auto"/>
        <w:right w:val="none" w:sz="0" w:space="0" w:color="auto"/>
      </w:divBdr>
      <w:divsChild>
        <w:div w:id="169685040">
          <w:marLeft w:val="0"/>
          <w:marRight w:val="0"/>
          <w:marTop w:val="0"/>
          <w:marBottom w:val="0"/>
          <w:divBdr>
            <w:top w:val="none" w:sz="0" w:space="0" w:color="auto"/>
            <w:left w:val="none" w:sz="0" w:space="0" w:color="auto"/>
            <w:bottom w:val="none" w:sz="0" w:space="0" w:color="auto"/>
            <w:right w:val="none" w:sz="0" w:space="0" w:color="auto"/>
          </w:divBdr>
        </w:div>
      </w:divsChild>
    </w:div>
    <w:div w:id="832911097">
      <w:bodyDiv w:val="1"/>
      <w:marLeft w:val="0"/>
      <w:marRight w:val="0"/>
      <w:marTop w:val="0"/>
      <w:marBottom w:val="0"/>
      <w:divBdr>
        <w:top w:val="none" w:sz="0" w:space="0" w:color="auto"/>
        <w:left w:val="none" w:sz="0" w:space="0" w:color="auto"/>
        <w:bottom w:val="none" w:sz="0" w:space="0" w:color="auto"/>
        <w:right w:val="none" w:sz="0" w:space="0" w:color="auto"/>
      </w:divBdr>
    </w:div>
    <w:div w:id="867766329">
      <w:bodyDiv w:val="1"/>
      <w:marLeft w:val="0"/>
      <w:marRight w:val="0"/>
      <w:marTop w:val="0"/>
      <w:marBottom w:val="0"/>
      <w:divBdr>
        <w:top w:val="none" w:sz="0" w:space="0" w:color="auto"/>
        <w:left w:val="none" w:sz="0" w:space="0" w:color="auto"/>
        <w:bottom w:val="none" w:sz="0" w:space="0" w:color="auto"/>
        <w:right w:val="none" w:sz="0" w:space="0" w:color="auto"/>
      </w:divBdr>
    </w:div>
    <w:div w:id="899824332">
      <w:bodyDiv w:val="1"/>
      <w:marLeft w:val="0"/>
      <w:marRight w:val="0"/>
      <w:marTop w:val="0"/>
      <w:marBottom w:val="0"/>
      <w:divBdr>
        <w:top w:val="none" w:sz="0" w:space="0" w:color="auto"/>
        <w:left w:val="none" w:sz="0" w:space="0" w:color="auto"/>
        <w:bottom w:val="none" w:sz="0" w:space="0" w:color="auto"/>
        <w:right w:val="none" w:sz="0" w:space="0" w:color="auto"/>
      </w:divBdr>
    </w:div>
    <w:div w:id="904684552">
      <w:bodyDiv w:val="1"/>
      <w:marLeft w:val="0"/>
      <w:marRight w:val="0"/>
      <w:marTop w:val="0"/>
      <w:marBottom w:val="0"/>
      <w:divBdr>
        <w:top w:val="none" w:sz="0" w:space="0" w:color="auto"/>
        <w:left w:val="none" w:sz="0" w:space="0" w:color="auto"/>
        <w:bottom w:val="none" w:sz="0" w:space="0" w:color="auto"/>
        <w:right w:val="none" w:sz="0" w:space="0" w:color="auto"/>
      </w:divBdr>
    </w:div>
    <w:div w:id="1106123722">
      <w:bodyDiv w:val="1"/>
      <w:marLeft w:val="0"/>
      <w:marRight w:val="0"/>
      <w:marTop w:val="0"/>
      <w:marBottom w:val="0"/>
      <w:divBdr>
        <w:top w:val="none" w:sz="0" w:space="0" w:color="auto"/>
        <w:left w:val="none" w:sz="0" w:space="0" w:color="auto"/>
        <w:bottom w:val="none" w:sz="0" w:space="0" w:color="auto"/>
        <w:right w:val="none" w:sz="0" w:space="0" w:color="auto"/>
      </w:divBdr>
    </w:div>
    <w:div w:id="1214348391">
      <w:bodyDiv w:val="1"/>
      <w:marLeft w:val="0"/>
      <w:marRight w:val="0"/>
      <w:marTop w:val="0"/>
      <w:marBottom w:val="0"/>
      <w:divBdr>
        <w:top w:val="none" w:sz="0" w:space="0" w:color="auto"/>
        <w:left w:val="none" w:sz="0" w:space="0" w:color="auto"/>
        <w:bottom w:val="none" w:sz="0" w:space="0" w:color="auto"/>
        <w:right w:val="none" w:sz="0" w:space="0" w:color="auto"/>
      </w:divBdr>
    </w:div>
    <w:div w:id="1253050453">
      <w:bodyDiv w:val="1"/>
      <w:marLeft w:val="0"/>
      <w:marRight w:val="0"/>
      <w:marTop w:val="0"/>
      <w:marBottom w:val="0"/>
      <w:divBdr>
        <w:top w:val="none" w:sz="0" w:space="0" w:color="auto"/>
        <w:left w:val="none" w:sz="0" w:space="0" w:color="auto"/>
        <w:bottom w:val="none" w:sz="0" w:space="0" w:color="auto"/>
        <w:right w:val="none" w:sz="0" w:space="0" w:color="auto"/>
      </w:divBdr>
    </w:div>
    <w:div w:id="1388993411">
      <w:bodyDiv w:val="1"/>
      <w:marLeft w:val="0"/>
      <w:marRight w:val="0"/>
      <w:marTop w:val="0"/>
      <w:marBottom w:val="0"/>
      <w:divBdr>
        <w:top w:val="none" w:sz="0" w:space="0" w:color="auto"/>
        <w:left w:val="none" w:sz="0" w:space="0" w:color="auto"/>
        <w:bottom w:val="none" w:sz="0" w:space="0" w:color="auto"/>
        <w:right w:val="none" w:sz="0" w:space="0" w:color="auto"/>
      </w:divBdr>
    </w:div>
    <w:div w:id="1411462521">
      <w:bodyDiv w:val="1"/>
      <w:marLeft w:val="0"/>
      <w:marRight w:val="0"/>
      <w:marTop w:val="0"/>
      <w:marBottom w:val="0"/>
      <w:divBdr>
        <w:top w:val="none" w:sz="0" w:space="0" w:color="auto"/>
        <w:left w:val="none" w:sz="0" w:space="0" w:color="auto"/>
        <w:bottom w:val="none" w:sz="0" w:space="0" w:color="auto"/>
        <w:right w:val="none" w:sz="0" w:space="0" w:color="auto"/>
      </w:divBdr>
    </w:div>
    <w:div w:id="1436709598">
      <w:bodyDiv w:val="1"/>
      <w:marLeft w:val="0"/>
      <w:marRight w:val="0"/>
      <w:marTop w:val="0"/>
      <w:marBottom w:val="0"/>
      <w:divBdr>
        <w:top w:val="none" w:sz="0" w:space="0" w:color="auto"/>
        <w:left w:val="none" w:sz="0" w:space="0" w:color="auto"/>
        <w:bottom w:val="none" w:sz="0" w:space="0" w:color="auto"/>
        <w:right w:val="none" w:sz="0" w:space="0" w:color="auto"/>
      </w:divBdr>
    </w:div>
    <w:div w:id="1477142430">
      <w:bodyDiv w:val="1"/>
      <w:marLeft w:val="0"/>
      <w:marRight w:val="0"/>
      <w:marTop w:val="0"/>
      <w:marBottom w:val="0"/>
      <w:divBdr>
        <w:top w:val="none" w:sz="0" w:space="0" w:color="auto"/>
        <w:left w:val="none" w:sz="0" w:space="0" w:color="auto"/>
        <w:bottom w:val="none" w:sz="0" w:space="0" w:color="auto"/>
        <w:right w:val="none" w:sz="0" w:space="0" w:color="auto"/>
      </w:divBdr>
    </w:div>
    <w:div w:id="1497264200">
      <w:bodyDiv w:val="1"/>
      <w:marLeft w:val="0"/>
      <w:marRight w:val="0"/>
      <w:marTop w:val="0"/>
      <w:marBottom w:val="0"/>
      <w:divBdr>
        <w:top w:val="none" w:sz="0" w:space="0" w:color="auto"/>
        <w:left w:val="none" w:sz="0" w:space="0" w:color="auto"/>
        <w:bottom w:val="none" w:sz="0" w:space="0" w:color="auto"/>
        <w:right w:val="none" w:sz="0" w:space="0" w:color="auto"/>
      </w:divBdr>
    </w:div>
    <w:div w:id="1653753402">
      <w:bodyDiv w:val="1"/>
      <w:marLeft w:val="0"/>
      <w:marRight w:val="0"/>
      <w:marTop w:val="0"/>
      <w:marBottom w:val="0"/>
      <w:divBdr>
        <w:top w:val="none" w:sz="0" w:space="0" w:color="auto"/>
        <w:left w:val="none" w:sz="0" w:space="0" w:color="auto"/>
        <w:bottom w:val="none" w:sz="0" w:space="0" w:color="auto"/>
        <w:right w:val="none" w:sz="0" w:space="0" w:color="auto"/>
      </w:divBdr>
    </w:div>
    <w:div w:id="1659530534">
      <w:bodyDiv w:val="1"/>
      <w:marLeft w:val="0"/>
      <w:marRight w:val="0"/>
      <w:marTop w:val="0"/>
      <w:marBottom w:val="0"/>
      <w:divBdr>
        <w:top w:val="none" w:sz="0" w:space="0" w:color="auto"/>
        <w:left w:val="none" w:sz="0" w:space="0" w:color="auto"/>
        <w:bottom w:val="none" w:sz="0" w:space="0" w:color="auto"/>
        <w:right w:val="none" w:sz="0" w:space="0" w:color="auto"/>
      </w:divBdr>
      <w:divsChild>
        <w:div w:id="1718359468">
          <w:marLeft w:val="0"/>
          <w:marRight w:val="0"/>
          <w:marTop w:val="0"/>
          <w:marBottom w:val="0"/>
          <w:divBdr>
            <w:top w:val="none" w:sz="0" w:space="0" w:color="auto"/>
            <w:left w:val="none" w:sz="0" w:space="0" w:color="auto"/>
            <w:bottom w:val="none" w:sz="0" w:space="0" w:color="auto"/>
            <w:right w:val="none" w:sz="0" w:space="0" w:color="auto"/>
          </w:divBdr>
        </w:div>
      </w:divsChild>
    </w:div>
    <w:div w:id="1665546009">
      <w:bodyDiv w:val="1"/>
      <w:marLeft w:val="0"/>
      <w:marRight w:val="0"/>
      <w:marTop w:val="0"/>
      <w:marBottom w:val="0"/>
      <w:divBdr>
        <w:top w:val="none" w:sz="0" w:space="0" w:color="auto"/>
        <w:left w:val="none" w:sz="0" w:space="0" w:color="auto"/>
        <w:bottom w:val="none" w:sz="0" w:space="0" w:color="auto"/>
        <w:right w:val="none" w:sz="0" w:space="0" w:color="auto"/>
      </w:divBdr>
      <w:divsChild>
        <w:div w:id="1498154827">
          <w:marLeft w:val="0"/>
          <w:marRight w:val="0"/>
          <w:marTop w:val="0"/>
          <w:marBottom w:val="0"/>
          <w:divBdr>
            <w:top w:val="none" w:sz="0" w:space="0" w:color="auto"/>
            <w:left w:val="none" w:sz="0" w:space="0" w:color="auto"/>
            <w:bottom w:val="none" w:sz="0" w:space="0" w:color="auto"/>
            <w:right w:val="none" w:sz="0" w:space="0" w:color="auto"/>
          </w:divBdr>
          <w:divsChild>
            <w:div w:id="1927223026">
              <w:marLeft w:val="0"/>
              <w:marRight w:val="0"/>
              <w:marTop w:val="0"/>
              <w:marBottom w:val="0"/>
              <w:divBdr>
                <w:top w:val="none" w:sz="0" w:space="0" w:color="auto"/>
                <w:left w:val="none" w:sz="0" w:space="0" w:color="auto"/>
                <w:bottom w:val="none" w:sz="0" w:space="0" w:color="auto"/>
                <w:right w:val="none" w:sz="0" w:space="0" w:color="auto"/>
              </w:divBdr>
              <w:divsChild>
                <w:div w:id="305015997">
                  <w:marLeft w:val="0"/>
                  <w:marRight w:val="0"/>
                  <w:marTop w:val="0"/>
                  <w:marBottom w:val="0"/>
                  <w:divBdr>
                    <w:top w:val="none" w:sz="0" w:space="0" w:color="auto"/>
                    <w:left w:val="none" w:sz="0" w:space="0" w:color="auto"/>
                    <w:bottom w:val="none" w:sz="0" w:space="0" w:color="auto"/>
                    <w:right w:val="none" w:sz="0" w:space="0" w:color="auto"/>
                  </w:divBdr>
                  <w:divsChild>
                    <w:div w:id="1081828600">
                      <w:marLeft w:val="0"/>
                      <w:marRight w:val="0"/>
                      <w:marTop w:val="0"/>
                      <w:marBottom w:val="0"/>
                      <w:divBdr>
                        <w:top w:val="none" w:sz="0" w:space="0" w:color="auto"/>
                        <w:left w:val="none" w:sz="0" w:space="0" w:color="auto"/>
                        <w:bottom w:val="none" w:sz="0" w:space="0" w:color="auto"/>
                        <w:right w:val="none" w:sz="0" w:space="0" w:color="auto"/>
                      </w:divBdr>
                      <w:divsChild>
                        <w:div w:id="794368724">
                          <w:marLeft w:val="0"/>
                          <w:marRight w:val="0"/>
                          <w:marTop w:val="0"/>
                          <w:marBottom w:val="300"/>
                          <w:divBdr>
                            <w:top w:val="none" w:sz="0" w:space="0" w:color="auto"/>
                            <w:left w:val="none" w:sz="0" w:space="0" w:color="auto"/>
                            <w:bottom w:val="none" w:sz="0" w:space="0" w:color="auto"/>
                            <w:right w:val="none" w:sz="0" w:space="0" w:color="auto"/>
                          </w:divBdr>
                          <w:divsChild>
                            <w:div w:id="8034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80047">
      <w:bodyDiv w:val="1"/>
      <w:marLeft w:val="0"/>
      <w:marRight w:val="0"/>
      <w:marTop w:val="0"/>
      <w:marBottom w:val="0"/>
      <w:divBdr>
        <w:top w:val="none" w:sz="0" w:space="0" w:color="auto"/>
        <w:left w:val="none" w:sz="0" w:space="0" w:color="auto"/>
        <w:bottom w:val="none" w:sz="0" w:space="0" w:color="auto"/>
        <w:right w:val="none" w:sz="0" w:space="0" w:color="auto"/>
      </w:divBdr>
    </w:div>
    <w:div w:id="1703819546">
      <w:bodyDiv w:val="1"/>
      <w:marLeft w:val="0"/>
      <w:marRight w:val="0"/>
      <w:marTop w:val="0"/>
      <w:marBottom w:val="0"/>
      <w:divBdr>
        <w:top w:val="none" w:sz="0" w:space="0" w:color="auto"/>
        <w:left w:val="none" w:sz="0" w:space="0" w:color="auto"/>
        <w:bottom w:val="none" w:sz="0" w:space="0" w:color="auto"/>
        <w:right w:val="none" w:sz="0" w:space="0" w:color="auto"/>
      </w:divBdr>
    </w:div>
    <w:div w:id="1745177255">
      <w:bodyDiv w:val="1"/>
      <w:marLeft w:val="0"/>
      <w:marRight w:val="0"/>
      <w:marTop w:val="0"/>
      <w:marBottom w:val="0"/>
      <w:divBdr>
        <w:top w:val="none" w:sz="0" w:space="0" w:color="auto"/>
        <w:left w:val="none" w:sz="0" w:space="0" w:color="auto"/>
        <w:bottom w:val="none" w:sz="0" w:space="0" w:color="auto"/>
        <w:right w:val="none" w:sz="0" w:space="0" w:color="auto"/>
      </w:divBdr>
      <w:divsChild>
        <w:div w:id="535507597">
          <w:marLeft w:val="0"/>
          <w:marRight w:val="0"/>
          <w:marTop w:val="0"/>
          <w:marBottom w:val="0"/>
          <w:divBdr>
            <w:top w:val="none" w:sz="0" w:space="0" w:color="auto"/>
            <w:left w:val="none" w:sz="0" w:space="0" w:color="auto"/>
            <w:bottom w:val="none" w:sz="0" w:space="0" w:color="auto"/>
            <w:right w:val="none" w:sz="0" w:space="0" w:color="auto"/>
          </w:divBdr>
        </w:div>
      </w:divsChild>
    </w:div>
    <w:div w:id="1762798344">
      <w:bodyDiv w:val="1"/>
      <w:marLeft w:val="0"/>
      <w:marRight w:val="0"/>
      <w:marTop w:val="0"/>
      <w:marBottom w:val="0"/>
      <w:divBdr>
        <w:top w:val="none" w:sz="0" w:space="0" w:color="auto"/>
        <w:left w:val="none" w:sz="0" w:space="0" w:color="auto"/>
        <w:bottom w:val="none" w:sz="0" w:space="0" w:color="auto"/>
        <w:right w:val="none" w:sz="0" w:space="0" w:color="auto"/>
      </w:divBdr>
    </w:div>
    <w:div w:id="1793356252">
      <w:bodyDiv w:val="1"/>
      <w:marLeft w:val="0"/>
      <w:marRight w:val="0"/>
      <w:marTop w:val="0"/>
      <w:marBottom w:val="0"/>
      <w:divBdr>
        <w:top w:val="none" w:sz="0" w:space="0" w:color="auto"/>
        <w:left w:val="none" w:sz="0" w:space="0" w:color="auto"/>
        <w:bottom w:val="none" w:sz="0" w:space="0" w:color="auto"/>
        <w:right w:val="none" w:sz="0" w:space="0" w:color="auto"/>
      </w:divBdr>
    </w:div>
    <w:div w:id="1932860188">
      <w:bodyDiv w:val="1"/>
      <w:marLeft w:val="0"/>
      <w:marRight w:val="0"/>
      <w:marTop w:val="0"/>
      <w:marBottom w:val="0"/>
      <w:divBdr>
        <w:top w:val="none" w:sz="0" w:space="0" w:color="auto"/>
        <w:left w:val="none" w:sz="0" w:space="0" w:color="auto"/>
        <w:bottom w:val="none" w:sz="0" w:space="0" w:color="auto"/>
        <w:right w:val="none" w:sz="0" w:space="0" w:color="auto"/>
      </w:divBdr>
      <w:divsChild>
        <w:div w:id="885878121">
          <w:marLeft w:val="0"/>
          <w:marRight w:val="0"/>
          <w:marTop w:val="0"/>
          <w:marBottom w:val="0"/>
          <w:divBdr>
            <w:top w:val="none" w:sz="0" w:space="0" w:color="auto"/>
            <w:left w:val="none" w:sz="0" w:space="0" w:color="auto"/>
            <w:bottom w:val="none" w:sz="0" w:space="0" w:color="auto"/>
            <w:right w:val="none" w:sz="0" w:space="0" w:color="auto"/>
          </w:divBdr>
        </w:div>
      </w:divsChild>
    </w:div>
    <w:div w:id="2039311052">
      <w:bodyDiv w:val="1"/>
      <w:marLeft w:val="0"/>
      <w:marRight w:val="0"/>
      <w:marTop w:val="0"/>
      <w:marBottom w:val="0"/>
      <w:divBdr>
        <w:top w:val="none" w:sz="0" w:space="0" w:color="auto"/>
        <w:left w:val="none" w:sz="0" w:space="0" w:color="auto"/>
        <w:bottom w:val="none" w:sz="0" w:space="0" w:color="auto"/>
        <w:right w:val="none" w:sz="0" w:space="0" w:color="auto"/>
      </w:divBdr>
    </w:div>
    <w:div w:id="2054191984">
      <w:bodyDiv w:val="1"/>
      <w:marLeft w:val="0"/>
      <w:marRight w:val="0"/>
      <w:marTop w:val="0"/>
      <w:marBottom w:val="0"/>
      <w:divBdr>
        <w:top w:val="none" w:sz="0" w:space="0" w:color="auto"/>
        <w:left w:val="none" w:sz="0" w:space="0" w:color="auto"/>
        <w:bottom w:val="none" w:sz="0" w:space="0" w:color="auto"/>
        <w:right w:val="none" w:sz="0" w:space="0" w:color="auto"/>
      </w:divBdr>
    </w:div>
    <w:div w:id="21403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16320&amp;LangID=E" TargetMode="External"/><Relationship Id="rId1" Type="http://schemas.openxmlformats.org/officeDocument/2006/relationships/hyperlink" Target="http://www.ohchr.org/EN/NewsEvents/Pages/DisplayNews.aspx?NewsID=16243&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BCDD-7FB1-4EB9-AB5A-B6496574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7719</CharactersWithSpaces>
  <SharedDoc>false</SharedDoc>
  <HLinks>
    <vt:vector size="12" baseType="variant">
      <vt:variant>
        <vt:i4>2228333</vt:i4>
      </vt:variant>
      <vt:variant>
        <vt:i4>3</vt:i4>
      </vt:variant>
      <vt:variant>
        <vt:i4>0</vt:i4>
      </vt:variant>
      <vt:variant>
        <vt:i4>5</vt:i4>
      </vt:variant>
      <vt:variant>
        <vt:lpwstr>http://www.ohchr.org/EN/NewsEvents/Pages/DisplayNews.aspx?NewsID=16320&amp;LangID=E</vt:lpwstr>
      </vt:variant>
      <vt:variant>
        <vt:lpwstr/>
      </vt:variant>
      <vt:variant>
        <vt:i4>6881318</vt:i4>
      </vt:variant>
      <vt:variant>
        <vt:i4>0</vt:i4>
      </vt:variant>
      <vt:variant>
        <vt:i4>0</vt:i4>
      </vt:variant>
      <vt:variant>
        <vt:i4>5</vt:i4>
      </vt:variant>
      <vt:variant>
        <vt:lpwstr>http://www.ohchr.org/EN/NewsEvents/Pages/DisplayNews.aspx?NewsID=16243&amp;LangID=E</vt:lpwstr>
      </vt:variant>
      <vt:variant>
        <vt:lpwstr>sthash.qiDVxUAp.dpuf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Philip Alston</dc:creator>
  <cp:lastModifiedBy>Somova Iuliia</cp:lastModifiedBy>
  <cp:revision>2</cp:revision>
  <cp:lastPrinted>2014-02-21T07:35:00Z</cp:lastPrinted>
  <dcterms:created xsi:type="dcterms:W3CDTF">2015-09-14T12:46:00Z</dcterms:created>
  <dcterms:modified xsi:type="dcterms:W3CDTF">2015-09-14T12:46:00Z</dcterms:modified>
</cp:coreProperties>
</file>