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E6" w:rsidRPr="000D054B" w:rsidRDefault="00CD79E6" w:rsidP="00CD79E6">
      <w:pPr>
        <w:spacing w:line="240" w:lineRule="auto"/>
        <w:rPr>
          <w:sz w:val="6"/>
        </w:rPr>
        <w:sectPr w:rsidR="00CD79E6" w:rsidRPr="000D054B" w:rsidSect="00B825F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0D054B">
        <w:rPr>
          <w:rStyle w:val="CommentReference"/>
          <w:szCs w:val="20"/>
        </w:rPr>
        <w:commentReference w:id="0"/>
      </w:r>
      <w:bookmarkStart w:id="1" w:name="_GoBack"/>
      <w:bookmarkEnd w:id="1"/>
    </w:p>
    <w:p w:rsidR="00CD79E6" w:rsidRPr="000D054B" w:rsidRDefault="00CD79E6" w:rsidP="00CD79E6">
      <w:pPr>
        <w:pStyle w:val="H1"/>
      </w:pPr>
      <w:r w:rsidRPr="000D054B">
        <w:lastRenderedPageBreak/>
        <w:t>Consejo de Derechos Humanos</w:t>
      </w:r>
    </w:p>
    <w:p w:rsidR="00CD79E6" w:rsidRPr="000D054B" w:rsidRDefault="000D054B" w:rsidP="00CD79E6">
      <w:pPr>
        <w:pStyle w:val="H23"/>
      </w:pPr>
      <w:r>
        <w:t>30º</w:t>
      </w:r>
      <w:r w:rsidR="00CD79E6" w:rsidRPr="000D054B">
        <w:t xml:space="preserve"> período de sesiones</w:t>
      </w:r>
    </w:p>
    <w:p w:rsidR="000D054B" w:rsidRDefault="000D054B" w:rsidP="000D054B">
      <w:pPr>
        <w:tabs>
          <w:tab w:val="left" w:pos="475"/>
          <w:tab w:val="left" w:pos="965"/>
          <w:tab w:val="left" w:pos="1440"/>
          <w:tab w:val="left" w:pos="1915"/>
          <w:tab w:val="left" w:pos="2405"/>
          <w:tab w:val="left" w:pos="2880"/>
          <w:tab w:val="left" w:pos="3355"/>
        </w:tabs>
      </w:pPr>
      <w:r>
        <w:t>T</w:t>
      </w:r>
      <w:r w:rsidRPr="00DE7899">
        <w:t>ema 3 de la agenda</w:t>
      </w:r>
    </w:p>
    <w:p w:rsidR="000D054B" w:rsidRDefault="000D054B" w:rsidP="000D054B">
      <w:pPr>
        <w:tabs>
          <w:tab w:val="left" w:pos="475"/>
          <w:tab w:val="left" w:pos="965"/>
          <w:tab w:val="left" w:pos="1440"/>
          <w:tab w:val="left" w:pos="1915"/>
          <w:tab w:val="left" w:pos="2405"/>
          <w:tab w:val="left" w:pos="2880"/>
          <w:tab w:val="left" w:pos="3355"/>
        </w:tabs>
        <w:rPr>
          <w:b/>
        </w:rPr>
      </w:pPr>
      <w:r w:rsidRPr="000D054B">
        <w:rPr>
          <w:b/>
        </w:rPr>
        <w:t>Promoción y protección</w:t>
      </w:r>
      <w:r w:rsidR="00BB4848">
        <w:rPr>
          <w:b/>
        </w:rPr>
        <w:t xml:space="preserve"> de todos los derechos</w:t>
      </w:r>
      <w:r w:rsidR="00BB4848">
        <w:rPr>
          <w:b/>
        </w:rPr>
        <w:br/>
      </w:r>
      <w:r>
        <w:rPr>
          <w:b/>
        </w:rPr>
        <w:t>humanos,</w:t>
      </w:r>
      <w:r w:rsidR="00BB4848">
        <w:rPr>
          <w:b/>
        </w:rPr>
        <w:t xml:space="preserve"> </w:t>
      </w:r>
      <w:r w:rsidRPr="000D054B">
        <w:rPr>
          <w:b/>
        </w:rPr>
        <w:t>civiles, políticos, eco</w:t>
      </w:r>
      <w:r w:rsidR="00BB4848">
        <w:rPr>
          <w:b/>
        </w:rPr>
        <w:t>nómicos, sociales</w:t>
      </w:r>
      <w:r w:rsidR="00BB4848">
        <w:rPr>
          <w:b/>
        </w:rPr>
        <w:br/>
      </w:r>
      <w:r>
        <w:rPr>
          <w:b/>
        </w:rPr>
        <w:t>y culturales,</w:t>
      </w:r>
      <w:r w:rsidR="00BB4848">
        <w:rPr>
          <w:b/>
        </w:rPr>
        <w:t xml:space="preserve"> </w:t>
      </w:r>
      <w:r w:rsidRPr="000D054B">
        <w:rPr>
          <w:b/>
        </w:rPr>
        <w:t>incluido el derecho al desarrollo</w:t>
      </w:r>
    </w:p>
    <w:p w:rsidR="000D054B" w:rsidRPr="000D054B" w:rsidRDefault="000D054B" w:rsidP="000D054B">
      <w:pPr>
        <w:tabs>
          <w:tab w:val="left" w:pos="475"/>
          <w:tab w:val="left" w:pos="965"/>
          <w:tab w:val="left" w:pos="1440"/>
          <w:tab w:val="left" w:pos="1915"/>
          <w:tab w:val="left" w:pos="2405"/>
          <w:tab w:val="left" w:pos="2880"/>
          <w:tab w:val="left" w:pos="3355"/>
        </w:tabs>
        <w:spacing w:line="120" w:lineRule="exact"/>
        <w:rPr>
          <w:b/>
          <w:sz w:val="10"/>
        </w:rPr>
      </w:pPr>
    </w:p>
    <w:p w:rsidR="000D054B" w:rsidRPr="000D054B" w:rsidRDefault="000D054B" w:rsidP="000D054B">
      <w:pPr>
        <w:tabs>
          <w:tab w:val="left" w:pos="475"/>
          <w:tab w:val="left" w:pos="965"/>
          <w:tab w:val="left" w:pos="1440"/>
          <w:tab w:val="left" w:pos="1915"/>
          <w:tab w:val="left" w:pos="2405"/>
          <w:tab w:val="left" w:pos="2880"/>
          <w:tab w:val="left" w:pos="3355"/>
        </w:tabs>
        <w:spacing w:line="120" w:lineRule="exact"/>
        <w:rPr>
          <w:b/>
          <w:sz w:val="10"/>
        </w:rPr>
      </w:pPr>
    </w:p>
    <w:p w:rsidR="000D054B" w:rsidRPr="000D054B" w:rsidRDefault="000D054B" w:rsidP="000D054B">
      <w:pPr>
        <w:tabs>
          <w:tab w:val="left" w:pos="475"/>
          <w:tab w:val="left" w:pos="965"/>
          <w:tab w:val="left" w:pos="1440"/>
          <w:tab w:val="left" w:pos="1915"/>
          <w:tab w:val="left" w:pos="2405"/>
          <w:tab w:val="left" w:pos="2880"/>
          <w:tab w:val="left" w:pos="3355"/>
        </w:tabs>
        <w:spacing w:line="120" w:lineRule="exact"/>
        <w:rPr>
          <w:b/>
          <w:sz w:val="10"/>
        </w:rPr>
      </w:pPr>
    </w:p>
    <w:p w:rsidR="000D054B" w:rsidRDefault="000D054B" w:rsidP="000D05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E7899">
        <w:tab/>
      </w:r>
      <w:r w:rsidRPr="00DE7899">
        <w:tab/>
        <w:t xml:space="preserve">Informe de la Experta </w:t>
      </w:r>
      <w:r>
        <w:t>Independiente sobre el disfrute</w:t>
      </w:r>
      <w:r w:rsidR="00BB4848">
        <w:br/>
      </w:r>
      <w:r>
        <w:t>de</w:t>
      </w:r>
      <w:r w:rsidR="00BB4848">
        <w:t xml:space="preserve"> </w:t>
      </w:r>
      <w:r w:rsidRPr="00DE7899">
        <w:t>todos los derec</w:t>
      </w:r>
      <w:r w:rsidR="00BB4848">
        <w:t>hos humanos por las personas de</w:t>
      </w:r>
      <w:r w:rsidR="00BB4848">
        <w:br/>
      </w:r>
      <w:r w:rsidRPr="00DE7899">
        <w:t>edad</w:t>
      </w:r>
      <w:r>
        <w:t>,</w:t>
      </w:r>
      <w:r w:rsidR="00BB4848">
        <w:t xml:space="preserve"> </w:t>
      </w:r>
      <w:r w:rsidRPr="00DE7899">
        <w:t>Rosa Kornfeld-Matte</w:t>
      </w:r>
    </w:p>
    <w:p w:rsidR="000D054B" w:rsidRPr="000D054B" w:rsidRDefault="000D054B" w:rsidP="000D054B">
      <w:pPr>
        <w:spacing w:line="120" w:lineRule="exact"/>
        <w:rPr>
          <w:sz w:val="10"/>
        </w:rPr>
      </w:pPr>
    </w:p>
    <w:p w:rsidR="000D054B" w:rsidRPr="000D054B" w:rsidRDefault="000D054B" w:rsidP="000D054B">
      <w:pPr>
        <w:spacing w:line="120" w:lineRule="exact"/>
        <w:rPr>
          <w:sz w:val="10"/>
        </w:rPr>
      </w:pPr>
    </w:p>
    <w:p w:rsidR="000D054B" w:rsidRDefault="000D054B" w:rsidP="000D05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E7899">
        <w:tab/>
      </w:r>
      <w:r w:rsidRPr="00DE7899">
        <w:tab/>
        <w:t>Adición</w:t>
      </w:r>
    </w:p>
    <w:p w:rsidR="000D054B" w:rsidRPr="000D054B" w:rsidRDefault="000D054B" w:rsidP="000D054B">
      <w:pPr>
        <w:spacing w:line="120" w:lineRule="exact"/>
        <w:rPr>
          <w:sz w:val="10"/>
        </w:rPr>
      </w:pPr>
    </w:p>
    <w:p w:rsidR="000D054B" w:rsidRPr="000D054B" w:rsidRDefault="000D054B" w:rsidP="000D054B">
      <w:pPr>
        <w:spacing w:line="120" w:lineRule="exact"/>
        <w:rPr>
          <w:sz w:val="10"/>
        </w:rPr>
      </w:pPr>
    </w:p>
    <w:p w:rsidR="000D054B" w:rsidRDefault="000D054B" w:rsidP="000D05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vertAlign w:val="superscript"/>
        </w:rPr>
      </w:pPr>
      <w:r w:rsidRPr="00DE7899">
        <w:tab/>
      </w:r>
      <w:r w:rsidRPr="00DE7899">
        <w:tab/>
        <w:t>Misión a Austria</w:t>
      </w:r>
      <w:r w:rsidRPr="005B0648">
        <w:rPr>
          <w:b w:val="0"/>
          <w:bCs/>
          <w:sz w:val="20"/>
          <w:szCs w:val="20"/>
        </w:rPr>
        <w:footnoteReference w:customMarkFollows="1" w:id="1"/>
        <w:t>*</w:t>
      </w:r>
    </w:p>
    <w:p w:rsidR="000D054B" w:rsidRP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D054B" w:rsidTr="000D054B">
        <w:tc>
          <w:tcPr>
            <w:tcW w:w="10051" w:type="dxa"/>
            <w:tcBorders>
              <w:top w:val="single" w:sz="2" w:space="0" w:color="auto"/>
            </w:tcBorders>
            <w:shd w:val="clear" w:color="auto" w:fill="auto"/>
          </w:tcPr>
          <w:p w:rsidR="000D054B" w:rsidRPr="000D054B" w:rsidRDefault="000D054B" w:rsidP="000D054B">
            <w:pPr>
              <w:tabs>
                <w:tab w:val="left" w:pos="240"/>
              </w:tabs>
              <w:spacing w:before="240" w:after="120"/>
              <w:rPr>
                <w:i/>
                <w:sz w:val="24"/>
              </w:rPr>
            </w:pPr>
            <w:r>
              <w:rPr>
                <w:i/>
                <w:sz w:val="24"/>
              </w:rPr>
              <w:tab/>
              <w:t>Resumen</w:t>
            </w:r>
          </w:p>
        </w:tc>
      </w:tr>
      <w:tr w:rsidR="000D054B" w:rsidTr="000D054B">
        <w:tc>
          <w:tcPr>
            <w:tcW w:w="10051" w:type="dxa"/>
            <w:shd w:val="clear" w:color="auto" w:fill="auto"/>
          </w:tcPr>
          <w:p w:rsidR="000D054B" w:rsidRPr="000D054B" w:rsidRDefault="000D054B" w:rsidP="00544957">
            <w:pPr>
              <w:pStyle w:val="SingleTxt"/>
            </w:pPr>
            <w:r>
              <w:tab/>
            </w:r>
            <w:r w:rsidRPr="000D054B">
              <w:t xml:space="preserve">En el presente informe, la Experta Independiente sobre el disfrute de todos los derechos humanos por las personas de edad presenta las conclusiones de su visita a Austria, que tuvo lugar del 22 al 30 de enero de 2015. La visita tenía como objetivo principal identificar las mejores prácticas y las lagunas en la aplicación de la legislación relativa a la promoción y la protección de los derechos de las personas de edad. En el informe, la Experta Independiente evalúa la aplicación de los instrumentos internacionales existentes y de las leyes y las políticas relativas al disfrute de todos los derechos humanos por las personas de edad en Austria. Sobre la base de la información recopilada antes, </w:t>
            </w:r>
            <w:r w:rsidR="00544957">
              <w:t>a lo largo</w:t>
            </w:r>
            <w:r w:rsidRPr="000D054B">
              <w:t xml:space="preserve"> y después de la visita, la Experta Independiente analiza los problemas a los que se enfrentan las personas de edad para el ejercicio de todos los derechos humanos, prestando especial atención a las personas</w:t>
            </w:r>
            <w:r w:rsidR="00BB4848">
              <w:t xml:space="preserve"> y los</w:t>
            </w:r>
            <w:r w:rsidRPr="000D054B">
              <w:t xml:space="preserve"> grupos </w:t>
            </w:r>
            <w:r w:rsidR="00BB4848">
              <w:t>marginado</w:t>
            </w:r>
            <w:r w:rsidRPr="000D054B">
              <w:t>s. Asimismo, examina las medidas para promover la apl</w:t>
            </w:r>
            <w:r w:rsidR="00BB4848">
              <w:t xml:space="preserve">icación de aquellas leyes y </w:t>
            </w:r>
            <w:r w:rsidRPr="000D054B">
              <w:t>políticas en vigor que contribuyen a la promoción y la protección de los derechos de las personas de edad.</w:t>
            </w:r>
          </w:p>
        </w:tc>
      </w:tr>
      <w:tr w:rsidR="000D054B" w:rsidTr="000D054B">
        <w:tc>
          <w:tcPr>
            <w:tcW w:w="10051" w:type="dxa"/>
            <w:tcBorders>
              <w:bottom w:val="single" w:sz="2" w:space="0" w:color="auto"/>
            </w:tcBorders>
            <w:shd w:val="clear" w:color="auto" w:fill="auto"/>
          </w:tcPr>
          <w:p w:rsidR="000D054B" w:rsidRPr="000D054B" w:rsidRDefault="000D054B" w:rsidP="000D054B">
            <w:pPr>
              <w:pStyle w:val="SingleTxt"/>
            </w:pPr>
          </w:p>
        </w:tc>
      </w:tr>
    </w:tbl>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0D054B">
      <w:pPr>
        <w:spacing w:line="120" w:lineRule="exact"/>
        <w:rPr>
          <w:sz w:val="10"/>
        </w:rPr>
      </w:pPr>
    </w:p>
    <w:p w:rsidR="000D054B" w:rsidRDefault="000D054B" w:rsidP="00BB48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r w:rsidRPr="00DE7899">
        <w:rPr>
          <w:lang w:val="en-US"/>
        </w:rPr>
        <w:t>Anexo</w:t>
      </w:r>
    </w:p>
    <w:p w:rsidR="00BB4848" w:rsidRPr="00BB4848" w:rsidRDefault="00BB4848" w:rsidP="00BB4848">
      <w:pPr>
        <w:spacing w:line="120" w:lineRule="exact"/>
        <w:rPr>
          <w:sz w:val="10"/>
          <w:lang w:val="en-US"/>
        </w:rPr>
      </w:pPr>
    </w:p>
    <w:p w:rsidR="00BB4848" w:rsidRPr="00BB4848" w:rsidRDefault="00BB4848" w:rsidP="00BB4848">
      <w:pPr>
        <w:spacing w:line="120" w:lineRule="exact"/>
        <w:rPr>
          <w:sz w:val="10"/>
          <w:lang w:val="en-US"/>
        </w:rPr>
      </w:pPr>
    </w:p>
    <w:p w:rsidR="00BB4848" w:rsidRPr="00BB4848" w:rsidRDefault="00BB4848" w:rsidP="00BB4848">
      <w:pPr>
        <w:spacing w:line="120" w:lineRule="exact"/>
        <w:rPr>
          <w:sz w:val="10"/>
          <w:lang w:val="en-US"/>
        </w:rPr>
      </w:pPr>
    </w:p>
    <w:p w:rsidR="000D054B" w:rsidRDefault="000D054B" w:rsidP="00BB4848">
      <w:pPr>
        <w:pStyle w:val="SingleTxt"/>
        <w:jc w:val="right"/>
        <w:rPr>
          <w:i/>
          <w:lang w:val="en-US"/>
        </w:rPr>
      </w:pPr>
      <w:r w:rsidRPr="00BB4848">
        <w:rPr>
          <w:i/>
          <w:lang w:val="en-US"/>
        </w:rPr>
        <w:t>[Inglés únicamente]</w:t>
      </w:r>
    </w:p>
    <w:p w:rsidR="00BB4848" w:rsidRPr="007A5ABC" w:rsidRDefault="00BB4848" w:rsidP="00BB4848">
      <w:pPr>
        <w:pStyle w:val="HChG"/>
        <w:rPr>
          <w:lang w:val="en-GB"/>
        </w:rPr>
      </w:pPr>
      <w:r>
        <w:rPr>
          <w:rFonts w:eastAsia="MS Mincho"/>
          <w:lang w:val="en-GB"/>
        </w:rPr>
        <w:tab/>
      </w:r>
      <w:r>
        <w:rPr>
          <w:rFonts w:eastAsia="MS Mincho"/>
          <w:lang w:val="en-GB"/>
        </w:rPr>
        <w:tab/>
      </w:r>
      <w:r w:rsidRPr="007A5ABC">
        <w:rPr>
          <w:rFonts w:eastAsia="MS Mincho"/>
          <w:lang w:val="en-GB"/>
        </w:rPr>
        <w:t xml:space="preserve">Report of the Independent Expert on the enjoyment of all human rights by older persons, Rosa Kornfeld-Matte, </w:t>
      </w:r>
      <w:r w:rsidRPr="007A5ABC">
        <w:rPr>
          <w:rFonts w:eastAsia="MS Mincho"/>
          <w:lang w:val="en-GB"/>
        </w:rPr>
        <w:br/>
        <w:t xml:space="preserve">on </w:t>
      </w:r>
      <w:r w:rsidRPr="007A5ABC">
        <w:rPr>
          <w:lang w:val="en-GB"/>
        </w:rPr>
        <w:t>her mission to Austria</w:t>
      </w:r>
    </w:p>
    <w:p w:rsidR="00BB4848" w:rsidRPr="00BB4848" w:rsidRDefault="00BB4848" w:rsidP="00BB4848">
      <w:pPr>
        <w:spacing w:after="120"/>
        <w:outlineLvl w:val="0"/>
        <w:rPr>
          <w:i/>
          <w:sz w:val="18"/>
          <w:lang w:val="en-US"/>
        </w:rPr>
      </w:pPr>
      <w:r w:rsidRPr="00BB4848">
        <w:rPr>
          <w:sz w:val="28"/>
          <w:lang w:val="en-US"/>
        </w:rPr>
        <w:t>Contents</w:t>
      </w:r>
    </w:p>
    <w:p w:rsidR="00BB4848" w:rsidRPr="00BB4848" w:rsidRDefault="00BB4848" w:rsidP="00BB4848">
      <w:pPr>
        <w:tabs>
          <w:tab w:val="right" w:pos="8929"/>
          <w:tab w:val="right" w:pos="9638"/>
        </w:tabs>
        <w:spacing w:after="120"/>
        <w:ind w:left="283"/>
        <w:rPr>
          <w:lang w:val="en-US"/>
        </w:rPr>
      </w:pPr>
      <w:r w:rsidRPr="00BB4848">
        <w:rPr>
          <w:i/>
          <w:sz w:val="18"/>
          <w:lang w:val="en-US"/>
        </w:rPr>
        <w:tab/>
      </w:r>
      <w:r w:rsidRPr="00BB4848">
        <w:rPr>
          <w:i/>
          <w:sz w:val="18"/>
          <w:lang w:val="en-US"/>
        </w:rPr>
        <w:tab/>
        <w:t>Page</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t>I.</w:t>
      </w:r>
      <w:r w:rsidRPr="00BB4848">
        <w:rPr>
          <w:lang w:val="en-US"/>
        </w:rPr>
        <w:tab/>
        <w:t>Introduction</w:t>
      </w:r>
      <w:r w:rsidRPr="00BB4848">
        <w:rPr>
          <w:lang w:val="en-US"/>
        </w:rPr>
        <w:tab/>
        <w:t>.</w:t>
      </w:r>
      <w:r w:rsidRPr="00BB4848">
        <w:rPr>
          <w:lang w:val="en-US"/>
        </w:rPr>
        <w:tab/>
        <w:t>3</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t>II.</w:t>
      </w:r>
      <w:r w:rsidRPr="00BB4848">
        <w:rPr>
          <w:lang w:val="en-US"/>
        </w:rPr>
        <w:tab/>
        <w:t>Background and context</w:t>
      </w:r>
      <w:r w:rsidRPr="00BB4848">
        <w:rPr>
          <w:lang w:val="en-US"/>
        </w:rPr>
        <w:tab/>
      </w:r>
      <w:r w:rsidRPr="00BB4848">
        <w:rPr>
          <w:lang w:val="en-US"/>
        </w:rPr>
        <w:tab/>
        <w:t>3</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t>III.</w:t>
      </w:r>
      <w:r w:rsidRPr="00BB4848">
        <w:rPr>
          <w:lang w:val="en-US"/>
        </w:rPr>
        <w:tab/>
        <w:t>Administrative, legal, institutional and policy framework</w:t>
      </w:r>
      <w:r w:rsidRPr="00BB4848">
        <w:rPr>
          <w:lang w:val="en-US"/>
        </w:rPr>
        <w:tab/>
      </w:r>
      <w:r w:rsidRPr="00BB4848">
        <w:rPr>
          <w:lang w:val="en-US"/>
        </w:rPr>
        <w:tab/>
        <w:t>3</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t>IV.</w:t>
      </w:r>
      <w:r w:rsidRPr="00BB4848">
        <w:rPr>
          <w:lang w:val="en-US"/>
        </w:rPr>
        <w:tab/>
        <w:t>Independent Expert’s main findings</w:t>
      </w:r>
      <w:r w:rsidRPr="00BB4848">
        <w:rPr>
          <w:lang w:val="en-US"/>
        </w:rPr>
        <w:tab/>
      </w:r>
      <w:r w:rsidRPr="00BB4848">
        <w:rPr>
          <w:lang w:val="en-US"/>
        </w:rPr>
        <w:tab/>
        <w:t>5</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A.</w:t>
      </w:r>
      <w:r w:rsidRPr="00BB4848">
        <w:rPr>
          <w:lang w:val="en-US"/>
        </w:rPr>
        <w:tab/>
        <w:t>Discrimination</w:t>
      </w:r>
      <w:r w:rsidRPr="00BB4848">
        <w:rPr>
          <w:lang w:val="en-US"/>
        </w:rPr>
        <w:tab/>
      </w:r>
      <w:r w:rsidRPr="00BB4848">
        <w:rPr>
          <w:lang w:val="en-US"/>
        </w:rPr>
        <w:tab/>
        <w:t>5</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B.</w:t>
      </w:r>
      <w:r w:rsidRPr="00BB4848">
        <w:rPr>
          <w:lang w:val="en-US"/>
        </w:rPr>
        <w:tab/>
        <w:t>Violence and abuse</w:t>
      </w:r>
      <w:r w:rsidRPr="00BB4848">
        <w:rPr>
          <w:lang w:val="en-US"/>
        </w:rPr>
        <w:tab/>
      </w:r>
      <w:r w:rsidRPr="00BB4848">
        <w:rPr>
          <w:lang w:val="en-US"/>
        </w:rPr>
        <w:tab/>
        <w:t>6</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C.</w:t>
      </w:r>
      <w:r w:rsidRPr="00BB4848">
        <w:rPr>
          <w:lang w:val="en-US"/>
        </w:rPr>
        <w:tab/>
        <w:t>Adequate standard of living</w:t>
      </w:r>
      <w:r w:rsidRPr="00BB4848">
        <w:rPr>
          <w:lang w:val="en-US"/>
        </w:rPr>
        <w:tab/>
      </w:r>
      <w:r w:rsidRPr="00BB4848">
        <w:rPr>
          <w:lang w:val="en-US"/>
        </w:rPr>
        <w:tab/>
        <w:t>7</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D.</w:t>
      </w:r>
      <w:r w:rsidRPr="00BB4848">
        <w:rPr>
          <w:lang w:val="en-US"/>
        </w:rPr>
        <w:tab/>
        <w:t>Social protection and the right to social security</w:t>
      </w:r>
      <w:r w:rsidRPr="00BB4848">
        <w:rPr>
          <w:lang w:val="en-US"/>
        </w:rPr>
        <w:tab/>
      </w:r>
      <w:r w:rsidRPr="00BB4848">
        <w:rPr>
          <w:lang w:val="en-US"/>
        </w:rPr>
        <w:tab/>
        <w:t>8</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E.</w:t>
      </w:r>
      <w:r w:rsidRPr="00BB4848">
        <w:rPr>
          <w:lang w:val="en-US"/>
        </w:rPr>
        <w:tab/>
        <w:t>Education, training and lifelong learning</w:t>
      </w:r>
      <w:r w:rsidRPr="00BB4848">
        <w:rPr>
          <w:lang w:val="en-US"/>
        </w:rPr>
        <w:tab/>
      </w:r>
      <w:r w:rsidRPr="00BB4848">
        <w:rPr>
          <w:lang w:val="en-US"/>
        </w:rPr>
        <w:tab/>
        <w:t>9</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r>
      <w:r w:rsidR="005C7BD6">
        <w:rPr>
          <w:lang w:val="en-US"/>
        </w:rPr>
        <w:t>F.</w:t>
      </w:r>
      <w:r w:rsidR="005C7BD6">
        <w:rPr>
          <w:lang w:val="en-US"/>
        </w:rPr>
        <w:tab/>
        <w:t>Independence and autonomy</w:t>
      </w:r>
      <w:r w:rsidR="005C7BD6">
        <w:rPr>
          <w:lang w:val="en-US"/>
        </w:rPr>
        <w:tab/>
      </w:r>
      <w:r w:rsidR="005C7BD6">
        <w:rPr>
          <w:lang w:val="en-US"/>
        </w:rPr>
        <w:tab/>
        <w:t>9</w:t>
      </w:r>
    </w:p>
    <w:p w:rsidR="00BB4848" w:rsidRPr="00BB4848" w:rsidRDefault="005C7BD6" w:rsidP="00BB4848">
      <w:pPr>
        <w:tabs>
          <w:tab w:val="right" w:pos="850"/>
          <w:tab w:val="left" w:pos="1134"/>
          <w:tab w:val="left" w:pos="1559"/>
          <w:tab w:val="left" w:leader="dot" w:pos="8929"/>
          <w:tab w:val="right" w:pos="9638"/>
        </w:tabs>
        <w:spacing w:after="120"/>
        <w:rPr>
          <w:lang w:val="en-US"/>
        </w:rPr>
      </w:pPr>
      <w:r>
        <w:rPr>
          <w:lang w:val="en-US"/>
        </w:rPr>
        <w:tab/>
      </w:r>
      <w:r>
        <w:rPr>
          <w:lang w:val="en-US"/>
        </w:rPr>
        <w:tab/>
        <w:t>G.</w:t>
      </w:r>
      <w:r>
        <w:rPr>
          <w:lang w:val="en-US"/>
        </w:rPr>
        <w:tab/>
        <w:t>Care</w:t>
      </w:r>
      <w:r>
        <w:rPr>
          <w:lang w:val="en-US"/>
        </w:rPr>
        <w:tab/>
      </w:r>
      <w:r>
        <w:rPr>
          <w:lang w:val="en-US"/>
        </w:rPr>
        <w:tab/>
        <w:t>10</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t>V.</w:t>
      </w:r>
      <w:r w:rsidRPr="00BB4848">
        <w:rPr>
          <w:lang w:val="en-US"/>
        </w:rPr>
        <w:tab/>
        <w:t>Con</w:t>
      </w:r>
      <w:r w:rsidR="005C7BD6">
        <w:rPr>
          <w:lang w:val="en-US"/>
        </w:rPr>
        <w:t>clusions and recommendations</w:t>
      </w:r>
      <w:r w:rsidR="005C7BD6">
        <w:rPr>
          <w:lang w:val="en-US"/>
        </w:rPr>
        <w:tab/>
      </w:r>
      <w:r w:rsidR="005C7BD6">
        <w:rPr>
          <w:lang w:val="en-US"/>
        </w:rPr>
        <w:tab/>
        <w:t>15</w:t>
      </w:r>
    </w:p>
    <w:p w:rsidR="00BB4848" w:rsidRPr="00BB4848" w:rsidRDefault="005C7BD6" w:rsidP="00BB4848">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t>Discrimination</w:t>
      </w:r>
      <w:r>
        <w:rPr>
          <w:lang w:val="en-US"/>
        </w:rPr>
        <w:tab/>
      </w:r>
      <w:r>
        <w:rPr>
          <w:lang w:val="en-US"/>
        </w:rPr>
        <w:tab/>
        <w:t>16</w:t>
      </w:r>
    </w:p>
    <w:p w:rsidR="00BB4848" w:rsidRPr="00BB4848" w:rsidRDefault="005C7BD6" w:rsidP="00BB4848">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w:t>
      </w:r>
      <w:r>
        <w:rPr>
          <w:lang w:val="en-US"/>
        </w:rPr>
        <w:tab/>
        <w:t>Violence and abuse</w:t>
      </w:r>
      <w:r>
        <w:rPr>
          <w:lang w:val="en-US"/>
        </w:rPr>
        <w:tab/>
      </w:r>
      <w:r>
        <w:rPr>
          <w:lang w:val="en-US"/>
        </w:rPr>
        <w:tab/>
        <w:t>17</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t>C.</w:t>
      </w:r>
      <w:r w:rsidR="005C7BD6">
        <w:rPr>
          <w:lang w:val="en-US"/>
        </w:rPr>
        <w:tab/>
        <w:t>Adequate standard of living</w:t>
      </w:r>
      <w:r w:rsidR="005C7BD6">
        <w:rPr>
          <w:lang w:val="en-US"/>
        </w:rPr>
        <w:tab/>
      </w:r>
      <w:r w:rsidR="005C7BD6">
        <w:rPr>
          <w:lang w:val="en-US"/>
        </w:rPr>
        <w:tab/>
        <w:t>18</w:t>
      </w:r>
    </w:p>
    <w:p w:rsidR="00BB4848" w:rsidRPr="00BB4848" w:rsidRDefault="00BB4848" w:rsidP="00BB4848">
      <w:pPr>
        <w:tabs>
          <w:tab w:val="right" w:pos="850"/>
          <w:tab w:val="left" w:pos="1134"/>
          <w:tab w:val="left" w:pos="1559"/>
          <w:tab w:val="left" w:leader="dot" w:pos="8929"/>
          <w:tab w:val="right" w:pos="9638"/>
        </w:tabs>
        <w:spacing w:after="120"/>
        <w:rPr>
          <w:lang w:val="en-US"/>
        </w:rPr>
      </w:pPr>
      <w:r w:rsidRPr="00BB4848">
        <w:rPr>
          <w:lang w:val="en-US"/>
        </w:rPr>
        <w:tab/>
      </w:r>
      <w:r w:rsidRPr="00BB4848">
        <w:rPr>
          <w:lang w:val="en-US"/>
        </w:rPr>
        <w:tab/>
        <w:t>D.</w:t>
      </w:r>
      <w:r w:rsidRPr="00BB4848">
        <w:rPr>
          <w:lang w:val="en-US"/>
        </w:rPr>
        <w:tab/>
        <w:t>Social protection, and education, tr</w:t>
      </w:r>
      <w:r w:rsidR="005C7BD6">
        <w:rPr>
          <w:lang w:val="en-US"/>
        </w:rPr>
        <w:t>aining and lifelong learning</w:t>
      </w:r>
      <w:r w:rsidR="005C7BD6">
        <w:rPr>
          <w:lang w:val="en-US"/>
        </w:rPr>
        <w:tab/>
      </w:r>
      <w:r w:rsidR="005C7BD6">
        <w:rPr>
          <w:lang w:val="en-US"/>
        </w:rPr>
        <w:tab/>
        <w:t>18</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r w:rsidRPr="00BB4848">
        <w:rPr>
          <w:lang w:val="en-US"/>
        </w:rPr>
        <w:tab/>
      </w:r>
      <w:r w:rsidRPr="00BB4848">
        <w:rPr>
          <w:lang w:val="en-US"/>
        </w:rPr>
        <w:tab/>
      </w:r>
      <w:r w:rsidR="005C7BD6">
        <w:rPr>
          <w:lang w:val="en-US"/>
        </w:rPr>
        <w:t>E.</w:t>
      </w:r>
      <w:r w:rsidR="005C7BD6">
        <w:rPr>
          <w:lang w:val="en-US"/>
        </w:rPr>
        <w:tab/>
        <w:t>Independence and autonomy</w:t>
      </w:r>
      <w:r w:rsidR="005C7BD6">
        <w:rPr>
          <w:lang w:val="en-US"/>
        </w:rPr>
        <w:tab/>
      </w:r>
      <w:r w:rsidR="005C7BD6">
        <w:rPr>
          <w:lang w:val="en-US"/>
        </w:rPr>
        <w:tab/>
        <w:t>18</w:t>
      </w:r>
    </w:p>
    <w:p w:rsidR="00BB4848" w:rsidRPr="00BB4848" w:rsidRDefault="005C7BD6" w:rsidP="00BB4848">
      <w:pPr>
        <w:tabs>
          <w:tab w:val="right" w:pos="850"/>
          <w:tab w:val="left" w:pos="1134"/>
          <w:tab w:val="left" w:pos="1559"/>
          <w:tab w:val="left" w:leader="dot" w:pos="8929"/>
          <w:tab w:val="right" w:pos="9638"/>
        </w:tabs>
        <w:spacing w:after="120"/>
        <w:rPr>
          <w:lang w:val="en-US"/>
        </w:rPr>
      </w:pPr>
      <w:r>
        <w:rPr>
          <w:lang w:val="en-US"/>
        </w:rPr>
        <w:tab/>
      </w:r>
      <w:r>
        <w:rPr>
          <w:lang w:val="en-US"/>
        </w:rPr>
        <w:tab/>
        <w:t>F.</w:t>
      </w:r>
      <w:r>
        <w:rPr>
          <w:lang w:val="en-US"/>
        </w:rPr>
        <w:tab/>
        <w:t>Care</w:t>
      </w:r>
      <w:r>
        <w:rPr>
          <w:lang w:val="en-US"/>
        </w:rPr>
        <w:tab/>
      </w:r>
      <w:r>
        <w:rPr>
          <w:lang w:val="en-US"/>
        </w:rPr>
        <w:tab/>
        <w:t>19</w:t>
      </w:r>
    </w:p>
    <w:p w:rsidR="00BB4848" w:rsidRPr="00BB4848" w:rsidRDefault="00BB4848" w:rsidP="00BB4848">
      <w:pPr>
        <w:tabs>
          <w:tab w:val="right" w:pos="850"/>
          <w:tab w:val="left" w:pos="1134"/>
          <w:tab w:val="left" w:pos="1559"/>
          <w:tab w:val="left" w:pos="1984"/>
          <w:tab w:val="left" w:leader="dot" w:pos="8929"/>
          <w:tab w:val="right" w:pos="9638"/>
        </w:tabs>
        <w:spacing w:after="120"/>
        <w:rPr>
          <w:lang w:val="en-US"/>
        </w:rPr>
      </w:pPr>
    </w:p>
    <w:p w:rsidR="00BB4848" w:rsidRPr="006D13F0" w:rsidRDefault="00BB4848" w:rsidP="00BB4848">
      <w:pPr>
        <w:pStyle w:val="HChG"/>
      </w:pPr>
      <w:r w:rsidRPr="007A5ABC">
        <w:rPr>
          <w:lang w:val="en-GB"/>
        </w:rPr>
        <w:br w:type="page"/>
      </w:r>
      <w:r w:rsidRPr="007A5ABC">
        <w:rPr>
          <w:lang w:val="en-GB"/>
        </w:rPr>
        <w:lastRenderedPageBreak/>
        <w:tab/>
        <w:t>I.</w:t>
      </w:r>
      <w:r w:rsidRPr="007A5ABC">
        <w:rPr>
          <w:lang w:val="en-GB"/>
        </w:rPr>
        <w:tab/>
        <w:t>Introduction</w:t>
      </w:r>
    </w:p>
    <w:p w:rsidR="00BB4848" w:rsidRPr="007A5ABC" w:rsidRDefault="00BB4848" w:rsidP="00BB4848">
      <w:pPr>
        <w:pStyle w:val="SingleTxtG"/>
        <w:numPr>
          <w:ilvl w:val="0"/>
          <w:numId w:val="9"/>
        </w:numPr>
        <w:rPr>
          <w:lang w:val="en-GB"/>
        </w:rPr>
      </w:pPr>
      <w:r w:rsidRPr="007A5ABC">
        <w:rPr>
          <w:lang w:val="en-GB"/>
        </w:rPr>
        <w:t xml:space="preserve">Pursuant to Human Rights Council resolution 20/24, the Independent Expert on the enjoyment of all human rights by older persons conducted an official visit to Austria from 22 to 30 January 2015, at the invitation of the Government. The purpose of the visit was to identify best practices and gaps in the implementation of existing law relating to the promotion and protection of the rights of older persons in that country. During her visit, </w:t>
      </w:r>
      <w:r>
        <w:rPr>
          <w:lang w:val="en-GB"/>
        </w:rPr>
        <w:t>she</w:t>
      </w:r>
      <w:r w:rsidRPr="007A5ABC">
        <w:rPr>
          <w:lang w:val="en-GB"/>
        </w:rPr>
        <w:t xml:space="preserve"> met government representatives, non-governmental organizations and others working on issues related to older persons. The Independent Expert thanks the Government of Austria for extending </w:t>
      </w:r>
      <w:r>
        <w:rPr>
          <w:lang w:val="en-GB"/>
        </w:rPr>
        <w:t xml:space="preserve">this </w:t>
      </w:r>
      <w:r w:rsidRPr="007A5ABC">
        <w:rPr>
          <w:lang w:val="en-GB"/>
        </w:rPr>
        <w:t xml:space="preserve">invitation to her and for its cooperation throughout the visit. </w:t>
      </w:r>
    </w:p>
    <w:p w:rsidR="00BB4848" w:rsidRPr="007A5ABC" w:rsidRDefault="00BB4848" w:rsidP="00BB4848">
      <w:pPr>
        <w:pStyle w:val="HChG"/>
        <w:outlineLvl w:val="0"/>
        <w:rPr>
          <w:lang w:val="en-GB"/>
        </w:rPr>
      </w:pPr>
      <w:r w:rsidRPr="007A5ABC">
        <w:rPr>
          <w:lang w:val="en-GB"/>
        </w:rPr>
        <w:tab/>
        <w:t>II.</w:t>
      </w:r>
      <w:r w:rsidRPr="007A5ABC">
        <w:rPr>
          <w:lang w:val="en-GB"/>
        </w:rPr>
        <w:tab/>
        <w:t>Background and context</w:t>
      </w:r>
    </w:p>
    <w:p w:rsidR="00BB4848" w:rsidRPr="007A5ABC" w:rsidRDefault="00BB4848" w:rsidP="00BB4848">
      <w:pPr>
        <w:pStyle w:val="SingleTxtG"/>
        <w:numPr>
          <w:ilvl w:val="0"/>
          <w:numId w:val="9"/>
        </w:numPr>
        <w:rPr>
          <w:lang w:val="en-GB"/>
        </w:rPr>
      </w:pPr>
      <w:r w:rsidRPr="007A5ABC">
        <w:rPr>
          <w:lang w:val="en-GB"/>
        </w:rPr>
        <w:t xml:space="preserve">More than 18.4 per cent of </w:t>
      </w:r>
      <w:r>
        <w:rPr>
          <w:lang w:val="en-GB"/>
        </w:rPr>
        <w:t xml:space="preserve">the </w:t>
      </w:r>
      <w:r w:rsidRPr="007A5ABC">
        <w:rPr>
          <w:lang w:val="en-GB"/>
        </w:rPr>
        <w:t xml:space="preserve">population </w:t>
      </w:r>
      <w:r>
        <w:rPr>
          <w:lang w:val="en-GB"/>
        </w:rPr>
        <w:t xml:space="preserve">of Austria </w:t>
      </w:r>
      <w:r w:rsidRPr="007A5ABC">
        <w:rPr>
          <w:lang w:val="en-GB"/>
        </w:rPr>
        <w:t>is currently 65 years of age or above and the age structure will continue to shift significantly towards older persons in the years to come</w:t>
      </w:r>
      <w:r w:rsidRPr="00477A14">
        <w:rPr>
          <w:lang w:val="en-GB"/>
        </w:rPr>
        <w:t xml:space="preserve">. </w:t>
      </w:r>
      <w:r w:rsidRPr="007A5ABC">
        <w:rPr>
          <w:lang w:val="en-GB"/>
        </w:rPr>
        <w:t>It is estimated that the figures will rise to almost 24 per cent of a population of slightly more than 8 million people in 2030.</w:t>
      </w:r>
      <w:r>
        <w:rPr>
          <w:rStyle w:val="FootnoteReference"/>
          <w:lang w:val="en-GB"/>
        </w:rPr>
        <w:footnoteReference w:id="2"/>
      </w:r>
    </w:p>
    <w:p w:rsidR="00BB4848" w:rsidRPr="007A5ABC" w:rsidRDefault="00BB4848" w:rsidP="00BB4848">
      <w:pPr>
        <w:pStyle w:val="SingleTxtG"/>
        <w:numPr>
          <w:ilvl w:val="0"/>
          <w:numId w:val="9"/>
        </w:numPr>
        <w:rPr>
          <w:lang w:val="en-GB"/>
        </w:rPr>
      </w:pPr>
      <w:r w:rsidRPr="007A5ABC">
        <w:rPr>
          <w:lang w:val="en-GB"/>
        </w:rPr>
        <w:t xml:space="preserve">The group of older persons aged between 65 and 79 will grow drastically as the baby-boomer generation grows old and as a result of the steady increase in life expectancy. There will also be significant increases in the share of </w:t>
      </w:r>
      <w:r>
        <w:rPr>
          <w:lang w:val="en-GB"/>
        </w:rPr>
        <w:t xml:space="preserve">the </w:t>
      </w:r>
      <w:r w:rsidRPr="007A5ABC">
        <w:rPr>
          <w:lang w:val="en-GB"/>
        </w:rPr>
        <w:t xml:space="preserve">very old, i.e. </w:t>
      </w:r>
      <w:r>
        <w:rPr>
          <w:lang w:val="en-GB"/>
        </w:rPr>
        <w:t xml:space="preserve">those </w:t>
      </w:r>
      <w:r w:rsidRPr="007A5ABC">
        <w:rPr>
          <w:lang w:val="en-GB"/>
        </w:rPr>
        <w:t>aged 80 years and more, from around 400,000 in 2011 to almost 1 million in 2050.</w:t>
      </w:r>
    </w:p>
    <w:p w:rsidR="00BB4848" w:rsidRPr="007A5ABC" w:rsidRDefault="00BB4848" w:rsidP="00BB4848">
      <w:pPr>
        <w:pStyle w:val="SingleTxtG"/>
        <w:numPr>
          <w:ilvl w:val="0"/>
          <w:numId w:val="9"/>
        </w:numPr>
        <w:rPr>
          <w:lang w:val="en-GB"/>
        </w:rPr>
      </w:pPr>
      <w:r w:rsidRPr="007A5ABC">
        <w:rPr>
          <w:lang w:val="en-GB"/>
        </w:rPr>
        <w:t>In the independent Global AgeWatch Index,</w:t>
      </w:r>
      <w:r w:rsidRPr="007A5ABC">
        <w:rPr>
          <w:rStyle w:val="FootnoteReference"/>
          <w:lang w:val="en-GB"/>
        </w:rPr>
        <w:footnoteReference w:id="3"/>
      </w:r>
      <w:r w:rsidRPr="007A5ABC">
        <w:rPr>
          <w:lang w:val="en-GB"/>
        </w:rPr>
        <w:t xml:space="preserve"> Austria ranks fourteenth. This was congruent with the Independent Expert’s findings during her visits. She also noted a number of positive initiatives and good practices adopted in Austria to ensure the enjoyment by older persons of all human rights. In particular, she appreciated the institutionalization of the participation of older persons in decision-making through the Senior Citizen Council and commended Austria on its adoption of the federal plan regarding older persons. </w:t>
      </w:r>
    </w:p>
    <w:p w:rsidR="00BB4848" w:rsidRPr="007A5ABC" w:rsidRDefault="00BB4848" w:rsidP="00BB4848">
      <w:pPr>
        <w:pStyle w:val="HChG"/>
        <w:outlineLvl w:val="0"/>
        <w:rPr>
          <w:lang w:val="en-GB"/>
        </w:rPr>
      </w:pPr>
      <w:r w:rsidRPr="007A5ABC">
        <w:rPr>
          <w:lang w:val="en-GB"/>
        </w:rPr>
        <w:tab/>
        <w:t>III.</w:t>
      </w:r>
      <w:r w:rsidRPr="007A5ABC">
        <w:rPr>
          <w:lang w:val="en-GB"/>
        </w:rPr>
        <w:tab/>
        <w:t>Administrative, legal, institutional and policy framework</w:t>
      </w:r>
    </w:p>
    <w:p w:rsidR="00BB4848" w:rsidRPr="007A5ABC" w:rsidRDefault="00BB4848" w:rsidP="00BB4848">
      <w:pPr>
        <w:pStyle w:val="SingleTxtG"/>
        <w:numPr>
          <w:ilvl w:val="0"/>
          <w:numId w:val="9"/>
        </w:numPr>
        <w:rPr>
          <w:lang w:val="en-GB"/>
        </w:rPr>
      </w:pPr>
      <w:r w:rsidRPr="007A5ABC">
        <w:rPr>
          <w:lang w:val="en-GB"/>
        </w:rPr>
        <w:t>Austria is a federal republic comprised of nine independent federal provinces (Länder)</w:t>
      </w:r>
      <w:r>
        <w:rPr>
          <w:lang w:val="en-GB"/>
        </w:rPr>
        <w:t xml:space="preserve"> that</w:t>
      </w:r>
      <w:r w:rsidRPr="007A5ABC">
        <w:rPr>
          <w:lang w:val="en-GB"/>
        </w:rPr>
        <w:t xml:space="preserve"> are administered by local governments headed by a provincial Governor. The Länder enjoy certain autonomy, including constitutional authority to enact certain legislation and take administrative decisions. Nevertheless, most public affairs fall under the competence of the federal authority</w:t>
      </w:r>
      <w:r>
        <w:rPr>
          <w:lang w:val="en-GB"/>
        </w:rPr>
        <w:t>.</w:t>
      </w:r>
    </w:p>
    <w:p w:rsidR="00BB4848" w:rsidRPr="007A5ABC" w:rsidRDefault="00BB4848" w:rsidP="00BB4848">
      <w:pPr>
        <w:pStyle w:val="SingleTxtG"/>
        <w:numPr>
          <w:ilvl w:val="0"/>
          <w:numId w:val="9"/>
        </w:numPr>
        <w:rPr>
          <w:lang w:val="en-GB"/>
        </w:rPr>
      </w:pPr>
      <w:r w:rsidRPr="007A5ABC">
        <w:rPr>
          <w:lang w:val="en-GB"/>
        </w:rPr>
        <w:t xml:space="preserve">Austria has ratified several international treaties that are of particular importance to older persons and </w:t>
      </w:r>
      <w:r>
        <w:rPr>
          <w:lang w:val="en-GB"/>
        </w:rPr>
        <w:t>that</w:t>
      </w:r>
      <w:r w:rsidRPr="007A5ABC">
        <w:rPr>
          <w:lang w:val="en-GB"/>
        </w:rPr>
        <w:t xml:space="preserve"> include direct or indirect references to </w:t>
      </w:r>
      <w:r>
        <w:rPr>
          <w:lang w:val="en-GB"/>
        </w:rPr>
        <w:t xml:space="preserve">the </w:t>
      </w:r>
      <w:r w:rsidRPr="007A5ABC">
        <w:rPr>
          <w:lang w:val="en-GB"/>
        </w:rPr>
        <w:t xml:space="preserve">human rights of older persons. It is party to the Convention against Torture and Other Cruel, Inhuman or Degrading Treatment or Punishment and its Optional Protocol, the International Covenant on Civil and Political Rights and its Second Optional, the International Convention for the Protection of All Persons from Enforced Disappearance, the Convention on the Elimination of All Forms of Discrimination against Women, the International Convention on the Elimination of All Forms of Racial Discrimination, the International Covenant on Economic, Social and Cultural Rights and the Convention on the Rights of Persons with Disabilities. It is not, however, party to the International Convention on the Protection of the Rights of </w:t>
      </w:r>
      <w:r>
        <w:rPr>
          <w:lang w:val="en-GB"/>
        </w:rPr>
        <w:t>A</w:t>
      </w:r>
      <w:r w:rsidRPr="007A5ABC">
        <w:rPr>
          <w:lang w:val="en-GB"/>
        </w:rPr>
        <w:t>ll Migrant Workers and Members of Their Families or the Optional Protocol to the International Covenant on Economic, Social and Cultural Rights.</w:t>
      </w:r>
    </w:p>
    <w:p w:rsidR="00BB4848" w:rsidRPr="007A5ABC" w:rsidRDefault="00BB4848" w:rsidP="00BB4848">
      <w:pPr>
        <w:pStyle w:val="SingleTxtG"/>
        <w:numPr>
          <w:ilvl w:val="0"/>
          <w:numId w:val="9"/>
        </w:numPr>
        <w:rPr>
          <w:lang w:val="en-GB"/>
        </w:rPr>
      </w:pPr>
      <w:r>
        <w:rPr>
          <w:lang w:val="en-GB"/>
        </w:rPr>
        <w:t>T</w:t>
      </w:r>
      <w:r w:rsidRPr="007A5ABC">
        <w:rPr>
          <w:lang w:val="en-GB"/>
        </w:rPr>
        <w:t>he Convention on the Rights of Persons with Disabilities</w:t>
      </w:r>
      <w:r>
        <w:rPr>
          <w:lang w:val="en-GB"/>
        </w:rPr>
        <w:t xml:space="preserve"> in particular</w:t>
      </w:r>
      <w:r w:rsidRPr="007A5ABC">
        <w:rPr>
          <w:lang w:val="en-GB"/>
        </w:rPr>
        <w:t xml:space="preserve"> contains a number of references to age and older persons, such as </w:t>
      </w:r>
      <w:r w:rsidRPr="008323EC">
        <w:rPr>
          <w:lang w:val="en-GB"/>
        </w:rPr>
        <w:t xml:space="preserve">article 16 </w:t>
      </w:r>
      <w:r>
        <w:rPr>
          <w:lang w:val="en-GB"/>
        </w:rPr>
        <w:t>(2)</w:t>
      </w:r>
      <w:r w:rsidRPr="008323EC">
        <w:rPr>
          <w:lang w:val="en-GB"/>
        </w:rPr>
        <w:t xml:space="preserve">, </w:t>
      </w:r>
      <w:r>
        <w:rPr>
          <w:lang w:val="en-GB"/>
        </w:rPr>
        <w:t>on</w:t>
      </w:r>
      <w:r w:rsidRPr="008323EC">
        <w:rPr>
          <w:lang w:val="en-GB"/>
        </w:rPr>
        <w:t xml:space="preserve"> age-sensitive measures </w:t>
      </w:r>
      <w:r>
        <w:rPr>
          <w:lang w:val="en-GB"/>
        </w:rPr>
        <w:t>to</w:t>
      </w:r>
      <w:r w:rsidRPr="008323EC">
        <w:rPr>
          <w:lang w:val="en-GB"/>
        </w:rPr>
        <w:t xml:space="preserve"> protect against exploitation, violence and abuse</w:t>
      </w:r>
      <w:r>
        <w:rPr>
          <w:lang w:val="en-GB"/>
        </w:rPr>
        <w:t>;</w:t>
      </w:r>
      <w:r w:rsidRPr="0073758E">
        <w:rPr>
          <w:lang w:val="en-GB"/>
        </w:rPr>
        <w:t xml:space="preserve"> </w:t>
      </w:r>
      <w:r w:rsidRPr="007A5ABC">
        <w:rPr>
          <w:lang w:val="en-GB"/>
        </w:rPr>
        <w:t xml:space="preserve">article 25 (b), </w:t>
      </w:r>
      <w:r>
        <w:rPr>
          <w:lang w:val="en-GB"/>
        </w:rPr>
        <w:t>on</w:t>
      </w:r>
      <w:r w:rsidRPr="007A5ABC">
        <w:rPr>
          <w:lang w:val="en-GB"/>
        </w:rPr>
        <w:t xml:space="preserve"> </w:t>
      </w:r>
      <w:r>
        <w:rPr>
          <w:lang w:val="en-GB"/>
        </w:rPr>
        <w:t xml:space="preserve">the </w:t>
      </w:r>
      <w:r w:rsidRPr="007A5ABC">
        <w:rPr>
          <w:lang w:val="en-GB"/>
        </w:rPr>
        <w:t>right to health</w:t>
      </w:r>
      <w:r>
        <w:rPr>
          <w:lang w:val="en-GB"/>
        </w:rPr>
        <w:t>;</w:t>
      </w:r>
      <w:r w:rsidRPr="007A5ABC">
        <w:rPr>
          <w:lang w:val="en-GB"/>
        </w:rPr>
        <w:t xml:space="preserve"> </w:t>
      </w:r>
      <w:r>
        <w:rPr>
          <w:lang w:val="en-GB"/>
        </w:rPr>
        <w:t xml:space="preserve">and </w:t>
      </w:r>
      <w:r w:rsidRPr="007A5ABC">
        <w:rPr>
          <w:lang w:val="en-GB"/>
        </w:rPr>
        <w:t xml:space="preserve">article 28 </w:t>
      </w:r>
      <w:r>
        <w:rPr>
          <w:lang w:val="en-GB"/>
        </w:rPr>
        <w:t>(</w:t>
      </w:r>
      <w:r w:rsidRPr="007A5ABC">
        <w:rPr>
          <w:lang w:val="en-GB"/>
        </w:rPr>
        <w:t>2</w:t>
      </w:r>
      <w:r>
        <w:rPr>
          <w:lang w:val="en-GB"/>
        </w:rPr>
        <w:t>)</w:t>
      </w:r>
      <w:r w:rsidRPr="007A5ABC">
        <w:rPr>
          <w:lang w:val="en-GB"/>
        </w:rPr>
        <w:t xml:space="preserve"> (b)</w:t>
      </w:r>
      <w:r>
        <w:rPr>
          <w:lang w:val="en-GB"/>
        </w:rPr>
        <w:t>,</w:t>
      </w:r>
      <w:r w:rsidRPr="007A5ABC">
        <w:rPr>
          <w:lang w:val="en-GB"/>
        </w:rPr>
        <w:t xml:space="preserve"> on the right to an adequate standard of living.</w:t>
      </w:r>
    </w:p>
    <w:p w:rsidR="00BB4848" w:rsidRPr="007A5ABC" w:rsidRDefault="00BB4848" w:rsidP="00BB4848">
      <w:pPr>
        <w:pStyle w:val="SingleTxtG"/>
        <w:numPr>
          <w:ilvl w:val="0"/>
          <w:numId w:val="9"/>
        </w:numPr>
        <w:rPr>
          <w:lang w:val="en-GB"/>
        </w:rPr>
      </w:pPr>
      <w:r w:rsidRPr="007A5ABC">
        <w:rPr>
          <w:lang w:val="en-GB"/>
        </w:rPr>
        <w:t xml:space="preserve">As a member of the European Union, Austria is obliged to conform to the European Union </w:t>
      </w:r>
      <w:r w:rsidRPr="007A5ABC">
        <w:rPr>
          <w:i/>
          <w:lang w:val="en-GB"/>
        </w:rPr>
        <w:t>acquis communautaire</w:t>
      </w:r>
      <w:r w:rsidRPr="007A5ABC">
        <w:rPr>
          <w:lang w:val="en-GB"/>
        </w:rPr>
        <w:t xml:space="preserve"> and the standards it sets. Most notably in this regard is article 25 of the Charter of Fundamental Rights of the European Union, which calls on </w:t>
      </w:r>
      <w:r>
        <w:rPr>
          <w:lang w:val="en-GB"/>
        </w:rPr>
        <w:t>m</w:t>
      </w:r>
      <w:r w:rsidRPr="007A5ABC">
        <w:rPr>
          <w:lang w:val="en-GB"/>
        </w:rPr>
        <w:t>ember States to recognize and respect the rights of the elderly to lead a life of dignity and independence and to participate in social and cultural life. In accordance with article 23 of the European Social Charter, Austria furthermore committed itself to adopting or encouraging appropriate measures to ensure social rights of older persons with regard to participation, independence and self-determination.</w:t>
      </w:r>
    </w:p>
    <w:p w:rsidR="00BB4848" w:rsidRPr="007A5ABC" w:rsidRDefault="00BB4848" w:rsidP="00BB4848">
      <w:pPr>
        <w:pStyle w:val="SingleTxtG"/>
        <w:numPr>
          <w:ilvl w:val="0"/>
          <w:numId w:val="9"/>
        </w:numPr>
        <w:rPr>
          <w:lang w:val="en-GB"/>
        </w:rPr>
      </w:pPr>
      <w:r w:rsidRPr="007A5ABC">
        <w:rPr>
          <w:lang w:val="en-GB"/>
        </w:rPr>
        <w:t>Austria has also ratified most of the Council of Europe treaties on human rights and culture. It is not, however, party to Protocol No. 12 of the European Convention on Human Rights, which includes a general prohibition on discrimination, and the European Convention on the Legal Status of Migrant Workers.</w:t>
      </w:r>
    </w:p>
    <w:p w:rsidR="00BB4848" w:rsidRPr="007A5ABC" w:rsidRDefault="00BB4848" w:rsidP="00BB4848">
      <w:pPr>
        <w:pStyle w:val="SingleTxtG"/>
        <w:numPr>
          <w:ilvl w:val="0"/>
          <w:numId w:val="9"/>
        </w:numPr>
        <w:rPr>
          <w:lang w:val="en-GB"/>
        </w:rPr>
      </w:pPr>
      <w:r w:rsidRPr="007A5ABC">
        <w:rPr>
          <w:lang w:val="en-GB"/>
        </w:rPr>
        <w:t xml:space="preserve">Austria, moreover, protects human rights, including the human rights of older persons, in its Constitution and in numerous individual laws. The European Convention on Human Rights does not only have the status of a treaty under international law, but is directly applicable to federal constitutional law and therefore part of the Austrian Constitution. Moreover, article 7, paragraph 1, of the Austrian Constitution provides that all nationals are equal before the law and that privileges based upon birth, sex, estate, class or religion are inadmissible. No one shall be discriminated against </w:t>
      </w:r>
      <w:r>
        <w:rPr>
          <w:lang w:val="en-GB"/>
        </w:rPr>
        <w:t>on the grounds of</w:t>
      </w:r>
      <w:r w:rsidRPr="007A5ABC">
        <w:rPr>
          <w:lang w:val="en-GB"/>
        </w:rPr>
        <w:t xml:space="preserve"> disability.</w:t>
      </w:r>
    </w:p>
    <w:p w:rsidR="00BB4848" w:rsidRPr="007A5ABC" w:rsidRDefault="00BB4848" w:rsidP="00BB4848">
      <w:pPr>
        <w:pStyle w:val="SingleTxtG"/>
        <w:numPr>
          <w:ilvl w:val="0"/>
          <w:numId w:val="9"/>
        </w:numPr>
        <w:rPr>
          <w:lang w:val="en-GB"/>
        </w:rPr>
      </w:pPr>
      <w:r w:rsidRPr="007A5ABC">
        <w:rPr>
          <w:lang w:val="en-GB"/>
        </w:rPr>
        <w:t>In 2012, further to section 11, paragraph 2</w:t>
      </w:r>
      <w:r>
        <w:rPr>
          <w:lang w:val="en-GB"/>
        </w:rPr>
        <w:t>,</w:t>
      </w:r>
      <w:r w:rsidRPr="007A5ABC">
        <w:rPr>
          <w:lang w:val="en-GB"/>
        </w:rPr>
        <w:t xml:space="preserve"> of the Federal Senior Citizens Act,</w:t>
      </w:r>
      <w:r w:rsidRPr="007A5ABC">
        <w:rPr>
          <w:rStyle w:val="FootnoteReference"/>
          <w:lang w:val="en-GB"/>
        </w:rPr>
        <w:footnoteReference w:id="4"/>
      </w:r>
      <w:r w:rsidRPr="007A5ABC">
        <w:rPr>
          <w:lang w:val="en-GB"/>
        </w:rPr>
        <w:t xml:space="preserve"> Austria adopted </w:t>
      </w:r>
      <w:r>
        <w:rPr>
          <w:lang w:val="en-GB"/>
        </w:rPr>
        <w:t xml:space="preserve">a </w:t>
      </w:r>
      <w:r w:rsidRPr="007A5ABC">
        <w:rPr>
          <w:lang w:val="en-GB"/>
        </w:rPr>
        <w:t xml:space="preserve">federal plan </w:t>
      </w:r>
      <w:r>
        <w:rPr>
          <w:lang w:val="en-GB"/>
        </w:rPr>
        <w:t>ageing entitled “</w:t>
      </w:r>
      <w:r w:rsidRPr="007A5ABC">
        <w:rPr>
          <w:lang w:val="en-GB"/>
        </w:rPr>
        <w:t>Ageing and Future: Federal Plan for Senior Citizens</w:t>
      </w:r>
      <w:r>
        <w:rPr>
          <w:i/>
          <w:lang w:val="en-GB"/>
        </w:rPr>
        <w:t>”</w:t>
      </w:r>
      <w:r w:rsidRPr="007A5ABC">
        <w:rPr>
          <w:lang w:val="en-GB"/>
        </w:rPr>
        <w:t xml:space="preserve">. </w:t>
      </w:r>
      <w:r>
        <w:rPr>
          <w:lang w:val="en-GB"/>
        </w:rPr>
        <w:t>T</w:t>
      </w:r>
      <w:r w:rsidRPr="007A5ABC">
        <w:rPr>
          <w:lang w:val="en-GB"/>
        </w:rPr>
        <w:t>his research-based long-term plan is a cornerstone of Austrian policy regarding older persons. It seeks to guarantee and to improve the quality of life of older persons and to ensure their active involvement and participation in all spheres of life</w:t>
      </w:r>
      <w:r>
        <w:rPr>
          <w:lang w:val="en-GB"/>
        </w:rPr>
        <w:t>. It</w:t>
      </w:r>
      <w:r w:rsidRPr="007A5ABC">
        <w:rPr>
          <w:lang w:val="en-GB"/>
        </w:rPr>
        <w:t xml:space="preserve"> contains specific recommendations in a </w:t>
      </w:r>
      <w:r>
        <w:rPr>
          <w:lang w:val="en-GB"/>
        </w:rPr>
        <w:t>large number</w:t>
      </w:r>
      <w:r w:rsidRPr="007A5ABC">
        <w:rPr>
          <w:lang w:val="en-GB"/>
        </w:rPr>
        <w:t xml:space="preserve"> of areas, including participation, </w:t>
      </w:r>
      <w:r>
        <w:rPr>
          <w:lang w:val="en-GB"/>
        </w:rPr>
        <w:t xml:space="preserve">the </w:t>
      </w:r>
      <w:r w:rsidRPr="007A5ABC">
        <w:rPr>
          <w:lang w:val="en-GB"/>
        </w:rPr>
        <w:t xml:space="preserve">economic situation, employment, health, education, older women, generations, housing and mobility, care and nursing, social security, media, discrimination and violence, migrants, and infrastructure. Beyond the federal level, each of the provinces has developed policies, plans and programmes </w:t>
      </w:r>
      <w:r>
        <w:rPr>
          <w:lang w:val="en-GB"/>
        </w:rPr>
        <w:t xml:space="preserve">that </w:t>
      </w:r>
      <w:r w:rsidRPr="007A5ABC">
        <w:rPr>
          <w:lang w:val="en-GB"/>
        </w:rPr>
        <w:t>deal specifically with older persons.</w:t>
      </w:r>
      <w:r>
        <w:rPr>
          <w:lang w:val="en-GB"/>
        </w:rPr>
        <w:t xml:space="preserve"> Austria’s national action plan on disability 2012–2020 also devotes a chapter to older persons with disabilities.</w:t>
      </w:r>
    </w:p>
    <w:p w:rsidR="00BB4848" w:rsidRPr="007A5ABC" w:rsidRDefault="00BB4848" w:rsidP="00BB4848">
      <w:pPr>
        <w:pStyle w:val="SingleTxtG"/>
        <w:numPr>
          <w:ilvl w:val="0"/>
          <w:numId w:val="9"/>
        </w:numPr>
        <w:rPr>
          <w:lang w:val="en-GB"/>
        </w:rPr>
      </w:pPr>
      <w:r w:rsidRPr="007A5ABC">
        <w:rPr>
          <w:lang w:val="en-GB" w:eastAsia="de-DE"/>
        </w:rPr>
        <w:t>The responsibility for older persons in Austria extends across several ministries. The t</w:t>
      </w:r>
      <w:r w:rsidRPr="007A5ABC">
        <w:rPr>
          <w:lang w:val="en-GB"/>
        </w:rPr>
        <w:t xml:space="preserve">wo main ministries dealing with issues of concern to older persons are the Ministry of Labour, Social Affairs and Consumer Protection, and the Ministry of Health. As far as legislation and its enforcement are concerned, the </w:t>
      </w:r>
      <w:r>
        <w:rPr>
          <w:lang w:val="en-GB"/>
        </w:rPr>
        <w:t>f</w:t>
      </w:r>
      <w:r w:rsidRPr="007A5ABC">
        <w:rPr>
          <w:lang w:val="en-GB"/>
        </w:rPr>
        <w:t>ederal Government plays a central role; however, many competencies are delegated to the provinces or to the social security institutions.</w:t>
      </w:r>
    </w:p>
    <w:p w:rsidR="00BB4848" w:rsidRPr="007A5ABC" w:rsidRDefault="00BB4848" w:rsidP="00BB4848">
      <w:pPr>
        <w:pStyle w:val="SingleTxtG"/>
        <w:numPr>
          <w:ilvl w:val="0"/>
          <w:numId w:val="9"/>
        </w:numPr>
        <w:rPr>
          <w:lang w:val="en-GB"/>
        </w:rPr>
      </w:pPr>
      <w:r w:rsidRPr="007A5ABC">
        <w:rPr>
          <w:lang w:val="en-GB"/>
        </w:rPr>
        <w:t xml:space="preserve">Since July 2012, the Austrian Ombudsman Board </w:t>
      </w:r>
      <w:r>
        <w:rPr>
          <w:lang w:val="en-GB"/>
        </w:rPr>
        <w:t>has been</w:t>
      </w:r>
      <w:r w:rsidRPr="007A5ABC">
        <w:rPr>
          <w:lang w:val="en-GB"/>
        </w:rPr>
        <w:t xml:space="preserve"> responsible for protecting and promoting compliance with human rights</w:t>
      </w:r>
      <w:r>
        <w:rPr>
          <w:lang w:val="en-GB"/>
        </w:rPr>
        <w:t>,</w:t>
      </w:r>
      <w:r w:rsidRPr="007A5ABC">
        <w:rPr>
          <w:lang w:val="en-GB"/>
        </w:rPr>
        <w:t xml:space="preserve"> and its monitoring activities therefore extend to ensuring </w:t>
      </w:r>
      <w:r>
        <w:rPr>
          <w:lang w:val="en-GB"/>
        </w:rPr>
        <w:t xml:space="preserve">the </w:t>
      </w:r>
      <w:r w:rsidRPr="007A5ABC">
        <w:rPr>
          <w:lang w:val="en-GB"/>
        </w:rPr>
        <w:t xml:space="preserve">human rights of older people. </w:t>
      </w:r>
      <w:r w:rsidRPr="00353548">
        <w:rPr>
          <w:lang w:val="en-GB"/>
        </w:rPr>
        <w:t xml:space="preserve">It also acts as </w:t>
      </w:r>
      <w:r>
        <w:rPr>
          <w:lang w:val="en-GB"/>
        </w:rPr>
        <w:t>a n</w:t>
      </w:r>
      <w:r w:rsidRPr="00353548">
        <w:rPr>
          <w:lang w:val="en-GB"/>
        </w:rPr>
        <w:t xml:space="preserve">ational </w:t>
      </w:r>
      <w:r>
        <w:rPr>
          <w:lang w:val="en-GB"/>
        </w:rPr>
        <w:t>p</w:t>
      </w:r>
      <w:r w:rsidRPr="00353548">
        <w:rPr>
          <w:lang w:val="en-GB"/>
        </w:rPr>
        <w:t xml:space="preserve">revention </w:t>
      </w:r>
      <w:r>
        <w:rPr>
          <w:lang w:val="en-GB"/>
        </w:rPr>
        <w:t>m</w:t>
      </w:r>
      <w:r w:rsidRPr="00353548">
        <w:rPr>
          <w:lang w:val="en-GB"/>
        </w:rPr>
        <w:t xml:space="preserve">echanism and monitors human rights in all institutions and facilities where people with </w:t>
      </w:r>
      <w:r>
        <w:rPr>
          <w:lang w:val="en-GB"/>
        </w:rPr>
        <w:t>or</w:t>
      </w:r>
      <w:r w:rsidRPr="00353548">
        <w:rPr>
          <w:lang w:val="en-GB"/>
        </w:rPr>
        <w:t xml:space="preserve"> without disabilities are in danger of being particularly </w:t>
      </w:r>
      <w:r>
        <w:rPr>
          <w:lang w:val="en-GB"/>
        </w:rPr>
        <w:t xml:space="preserve">vulnerable to </w:t>
      </w:r>
      <w:r w:rsidRPr="00353548">
        <w:rPr>
          <w:lang w:val="en-GB"/>
        </w:rPr>
        <w:t>abuse, inhumane treatment and measures that deprive them of liberty</w:t>
      </w:r>
      <w:r>
        <w:rPr>
          <w:lang w:val="en-GB"/>
        </w:rPr>
        <w:t xml:space="preserve">. These institutions include </w:t>
      </w:r>
      <w:r w:rsidRPr="00353548">
        <w:rPr>
          <w:lang w:val="en-GB"/>
        </w:rPr>
        <w:t>correctional institutions, police stations, psychiatric facilities and facilities for persons with disabilities, older persons’ homes and long-term care facilities</w:t>
      </w:r>
      <w:r>
        <w:rPr>
          <w:lang w:val="en-GB"/>
        </w:rPr>
        <w:t>.</w:t>
      </w:r>
    </w:p>
    <w:p w:rsidR="00BB4848" w:rsidRPr="007A5ABC" w:rsidRDefault="00BB4848" w:rsidP="00BB4848">
      <w:pPr>
        <w:pStyle w:val="SingleTxtG"/>
        <w:numPr>
          <w:ilvl w:val="0"/>
          <w:numId w:val="9"/>
        </w:numPr>
        <w:rPr>
          <w:lang w:val="en-GB"/>
        </w:rPr>
      </w:pPr>
      <w:r w:rsidRPr="007A5ABC">
        <w:rPr>
          <w:lang w:val="en-GB"/>
        </w:rPr>
        <w:t xml:space="preserve">To strengthen the participation of older persons in relation to issues affecting them and to establish an institutionalized dialogue, the Federal Senior Citizens Advisory Council was created. It makes proposals for social, economic, health policy, housing policy and cultural measures in senior citizens’ policy. </w:t>
      </w:r>
    </w:p>
    <w:p w:rsidR="00BB4848" w:rsidRPr="007A5ABC" w:rsidRDefault="00BB4848" w:rsidP="00BB4848">
      <w:pPr>
        <w:pStyle w:val="SingleTxtG"/>
        <w:numPr>
          <w:ilvl w:val="0"/>
          <w:numId w:val="9"/>
        </w:numPr>
        <w:rPr>
          <w:lang w:val="en-GB"/>
        </w:rPr>
      </w:pPr>
      <w:r w:rsidRPr="007A5ABC">
        <w:rPr>
          <w:lang w:val="en-GB"/>
        </w:rPr>
        <w:t xml:space="preserve">The Council is the official representation of older persons and has the same status as social partners, i.e. the statutory representative bodies of employees, business people and farmers, in all matters affecting the interests of older persons. </w:t>
      </w:r>
      <w:r>
        <w:rPr>
          <w:lang w:val="en-GB"/>
        </w:rPr>
        <w:t>It</w:t>
      </w:r>
      <w:r w:rsidRPr="007A5ABC">
        <w:rPr>
          <w:lang w:val="en-GB"/>
        </w:rPr>
        <w:t xml:space="preserve"> is an umbrella organization of Austrian associations for senior citizens and a mechanism for dialogue between political decision makers and the representatives of older persons to ensure that the concerns of older persons and the proposals on how to address them are brought to the attention of the Government </w:t>
      </w:r>
      <w:r>
        <w:rPr>
          <w:lang w:val="en-GB"/>
        </w:rPr>
        <w:t>through</w:t>
      </w:r>
      <w:r w:rsidRPr="007A5ABC">
        <w:rPr>
          <w:lang w:val="en-GB"/>
        </w:rPr>
        <w:t xml:space="preserve"> the Minister of Labour, Social Affairs and Consumer Protection. This body helps to ensure the political participation of older persons</w:t>
      </w:r>
      <w:r>
        <w:rPr>
          <w:lang w:val="en-GB"/>
        </w:rPr>
        <w:t>,</w:t>
      </w:r>
      <w:r w:rsidRPr="007A5ABC">
        <w:rPr>
          <w:lang w:val="en-GB"/>
        </w:rPr>
        <w:t xml:space="preserve"> as it provides for rights to co-determination in a number of important areas: </w:t>
      </w:r>
      <w:r>
        <w:rPr>
          <w:lang w:val="en-GB"/>
        </w:rPr>
        <w:t>t</w:t>
      </w:r>
      <w:r w:rsidRPr="007A5ABC">
        <w:rPr>
          <w:lang w:val="en-GB"/>
        </w:rPr>
        <w:t xml:space="preserve">he active design of future senior citizens’ policy in Austria; </w:t>
      </w:r>
      <w:r>
        <w:rPr>
          <w:lang w:val="en-GB"/>
        </w:rPr>
        <w:t>t</w:t>
      </w:r>
      <w:r w:rsidRPr="007A5ABC">
        <w:rPr>
          <w:lang w:val="en-GB"/>
        </w:rPr>
        <w:t xml:space="preserve">he Commission of Experts on Pension Reform; </w:t>
      </w:r>
      <w:r>
        <w:rPr>
          <w:lang w:val="en-GB"/>
        </w:rPr>
        <w:t>t</w:t>
      </w:r>
      <w:r w:rsidRPr="007A5ABC">
        <w:rPr>
          <w:lang w:val="en-GB"/>
        </w:rPr>
        <w:t xml:space="preserve">he autonomous administration of the social insurance institutions; </w:t>
      </w:r>
      <w:r>
        <w:rPr>
          <w:lang w:val="en-GB"/>
        </w:rPr>
        <w:t>and t</w:t>
      </w:r>
      <w:r w:rsidRPr="007A5ABC">
        <w:rPr>
          <w:lang w:val="en-GB"/>
        </w:rPr>
        <w:t>he Advisory Council of the Federation of Austrian Social Insurance Institutions.</w:t>
      </w:r>
    </w:p>
    <w:p w:rsidR="00BB4848" w:rsidRPr="007A5ABC" w:rsidRDefault="00BB4848" w:rsidP="00BB4848">
      <w:pPr>
        <w:pStyle w:val="HChG"/>
        <w:outlineLvl w:val="0"/>
        <w:rPr>
          <w:lang w:val="en-GB"/>
        </w:rPr>
      </w:pPr>
      <w:r w:rsidRPr="007A5ABC">
        <w:rPr>
          <w:lang w:val="en-GB"/>
        </w:rPr>
        <w:tab/>
        <w:t>IV.</w:t>
      </w:r>
      <w:r w:rsidRPr="007A5ABC">
        <w:rPr>
          <w:lang w:val="en-GB"/>
        </w:rPr>
        <w:tab/>
        <w:t>Independent Expert’s main findings</w:t>
      </w:r>
    </w:p>
    <w:p w:rsidR="00BB4848" w:rsidRPr="007A5ABC" w:rsidRDefault="00BB4848" w:rsidP="00BB4848">
      <w:pPr>
        <w:pStyle w:val="H1G"/>
        <w:outlineLvl w:val="0"/>
        <w:rPr>
          <w:lang w:val="en-GB"/>
        </w:rPr>
      </w:pPr>
      <w:r w:rsidRPr="007A5ABC">
        <w:rPr>
          <w:lang w:val="en-GB" w:eastAsia="en-GB"/>
        </w:rPr>
        <w:tab/>
        <w:t>A.</w:t>
      </w:r>
      <w:r w:rsidRPr="007A5ABC">
        <w:rPr>
          <w:lang w:val="en-GB" w:eastAsia="en-GB"/>
        </w:rPr>
        <w:tab/>
        <w:t>Discrimination</w:t>
      </w:r>
    </w:p>
    <w:p w:rsidR="00BB4848" w:rsidRPr="007A5ABC" w:rsidRDefault="00BB4848" w:rsidP="00BB4848">
      <w:pPr>
        <w:pStyle w:val="SingleTxtG"/>
        <w:numPr>
          <w:ilvl w:val="0"/>
          <w:numId w:val="9"/>
        </w:numPr>
        <w:rPr>
          <w:lang w:val="en-GB"/>
        </w:rPr>
      </w:pPr>
      <w:r w:rsidRPr="007A5ABC">
        <w:rPr>
          <w:lang w:val="en-GB"/>
        </w:rPr>
        <w:t>The Equal Treatment Act</w:t>
      </w:r>
      <w:r w:rsidRPr="007A5ABC">
        <w:rPr>
          <w:rStyle w:val="FootnoteReference"/>
          <w:lang w:val="en-GB"/>
        </w:rPr>
        <w:footnoteReference w:id="5"/>
      </w:r>
      <w:r w:rsidRPr="007A5ABC">
        <w:rPr>
          <w:lang w:val="en-GB"/>
        </w:rPr>
        <w:t xml:space="preserve"> and its latest amendment, which entered into force in August 2013, prohibit any direct and indirect discrimination </w:t>
      </w:r>
      <w:r>
        <w:rPr>
          <w:lang w:val="en-GB"/>
        </w:rPr>
        <w:t>in</w:t>
      </w:r>
      <w:r w:rsidRPr="007A5ABC">
        <w:rPr>
          <w:lang w:val="en-GB"/>
        </w:rPr>
        <w:t xml:space="preserve"> the workplace, including on the basis of age.</w:t>
      </w:r>
    </w:p>
    <w:p w:rsidR="00BB4848" w:rsidRPr="007A5ABC" w:rsidRDefault="00BB4848" w:rsidP="00BB4848">
      <w:pPr>
        <w:pStyle w:val="SingleTxtG"/>
        <w:numPr>
          <w:ilvl w:val="0"/>
          <w:numId w:val="9"/>
        </w:numPr>
        <w:rPr>
          <w:lang w:val="en-GB"/>
        </w:rPr>
      </w:pPr>
      <w:r w:rsidRPr="007A5ABC">
        <w:rPr>
          <w:lang w:val="en-GB"/>
        </w:rPr>
        <w:t>Protection against discrimination at the level of the Länder most importantly concerns public employment. With the exception of Lower Austria, all provinces extended the scope of anti-discrimination protection beyond the employment sphere to access to and supply of goods and services, housing, social security and benefits and health</w:t>
      </w:r>
      <w:r>
        <w:rPr>
          <w:lang w:val="en-GB"/>
        </w:rPr>
        <w:t>.</w:t>
      </w:r>
    </w:p>
    <w:p w:rsidR="00BB4848" w:rsidRPr="007A5ABC" w:rsidRDefault="00BB4848" w:rsidP="00BB4848">
      <w:pPr>
        <w:pStyle w:val="SingleTxtG"/>
        <w:numPr>
          <w:ilvl w:val="0"/>
          <w:numId w:val="9"/>
        </w:numPr>
        <w:rPr>
          <w:lang w:val="en-GB"/>
        </w:rPr>
      </w:pPr>
      <w:r w:rsidRPr="007A5ABC">
        <w:rPr>
          <w:lang w:val="en-GB"/>
        </w:rPr>
        <w:t xml:space="preserve">The Ombud for Equal Treatment is an independent </w:t>
      </w:r>
      <w:r>
        <w:rPr>
          <w:lang w:val="en-GB"/>
        </w:rPr>
        <w:t>S</w:t>
      </w:r>
      <w:r w:rsidRPr="007A5ABC">
        <w:rPr>
          <w:lang w:val="en-GB"/>
        </w:rPr>
        <w:t xml:space="preserve">tate agency that consists of three </w:t>
      </w:r>
      <w:r>
        <w:rPr>
          <w:lang w:val="en-GB"/>
        </w:rPr>
        <w:t xml:space="preserve">individuals, </w:t>
      </w:r>
      <w:r w:rsidRPr="007A5ABC">
        <w:rPr>
          <w:lang w:val="en-GB"/>
        </w:rPr>
        <w:t>one of wh</w:t>
      </w:r>
      <w:r>
        <w:rPr>
          <w:lang w:val="en-GB"/>
        </w:rPr>
        <w:t>om</w:t>
      </w:r>
      <w:r w:rsidRPr="007A5ABC">
        <w:rPr>
          <w:lang w:val="en-GB"/>
        </w:rPr>
        <w:t xml:space="preserve"> </w:t>
      </w:r>
      <w:r>
        <w:rPr>
          <w:lang w:val="en-GB"/>
        </w:rPr>
        <w:t xml:space="preserve">deals </w:t>
      </w:r>
      <w:r w:rsidRPr="007A5ABC">
        <w:rPr>
          <w:lang w:val="en-GB"/>
        </w:rPr>
        <w:t>specifically with discrimination on the grounds of age. Its mandate</w:t>
      </w:r>
      <w:r>
        <w:rPr>
          <w:lang w:val="en-GB"/>
        </w:rPr>
        <w:t>,</w:t>
      </w:r>
      <w:r w:rsidRPr="007A5ABC">
        <w:rPr>
          <w:lang w:val="en-GB"/>
        </w:rPr>
        <w:t xml:space="preserve"> however</w:t>
      </w:r>
      <w:r>
        <w:rPr>
          <w:lang w:val="en-GB"/>
        </w:rPr>
        <w:t>, is</w:t>
      </w:r>
      <w:r w:rsidRPr="007A5ABC">
        <w:rPr>
          <w:lang w:val="en-GB"/>
        </w:rPr>
        <w:t xml:space="preserve"> limited to the area of employment and occupation. </w:t>
      </w:r>
      <w:r>
        <w:rPr>
          <w:lang w:val="en-GB"/>
        </w:rPr>
        <w:t>I</w:t>
      </w:r>
      <w:r w:rsidRPr="007A5ABC">
        <w:rPr>
          <w:lang w:val="en-GB"/>
        </w:rPr>
        <w:t xml:space="preserve">rrespective of </w:t>
      </w:r>
      <w:r>
        <w:rPr>
          <w:lang w:val="en-GB"/>
        </w:rPr>
        <w:t xml:space="preserve">a person’s </w:t>
      </w:r>
      <w:r w:rsidRPr="007A5ABC">
        <w:rPr>
          <w:lang w:val="en-GB"/>
        </w:rPr>
        <w:t>race, ethnic origin, religion, age and sexual orientation</w:t>
      </w:r>
      <w:r>
        <w:rPr>
          <w:lang w:val="en-GB"/>
        </w:rPr>
        <w:t>,</w:t>
      </w:r>
      <w:r w:rsidRPr="007A5ABC">
        <w:rPr>
          <w:lang w:val="en-GB"/>
        </w:rPr>
        <w:t xml:space="preserve"> </w:t>
      </w:r>
      <w:r>
        <w:rPr>
          <w:lang w:val="en-GB"/>
        </w:rPr>
        <w:t xml:space="preserve">the agency </w:t>
      </w:r>
      <w:r w:rsidRPr="007A5ABC">
        <w:rPr>
          <w:lang w:val="en-GB"/>
        </w:rPr>
        <w:t xml:space="preserve">is responsible for </w:t>
      </w:r>
      <w:r w:rsidRPr="00806FA6">
        <w:rPr>
          <w:lang w:val="en-GB"/>
        </w:rPr>
        <w:t>counselling</w:t>
      </w:r>
      <w:r w:rsidRPr="007A5ABC">
        <w:rPr>
          <w:lang w:val="en-GB"/>
        </w:rPr>
        <w:t xml:space="preserve"> and supporting victims of discrimination</w:t>
      </w:r>
      <w:r>
        <w:rPr>
          <w:lang w:val="en-GB"/>
        </w:rPr>
        <w:t xml:space="preserve"> </w:t>
      </w:r>
      <w:r w:rsidRPr="008E7CB6">
        <w:rPr>
          <w:lang w:val="en-GB"/>
        </w:rPr>
        <w:t>in relation to employment</w:t>
      </w:r>
      <w:r w:rsidRPr="007A5ABC">
        <w:rPr>
          <w:lang w:val="en-GB"/>
        </w:rPr>
        <w:t xml:space="preserve">. </w:t>
      </w:r>
      <w:r>
        <w:rPr>
          <w:lang w:val="en-GB"/>
        </w:rPr>
        <w:t>It</w:t>
      </w:r>
      <w:r w:rsidRPr="007A5ABC">
        <w:rPr>
          <w:lang w:val="en-GB"/>
        </w:rPr>
        <w:t xml:space="preserve"> can conduct independent </w:t>
      </w:r>
      <w:r>
        <w:rPr>
          <w:lang w:val="en-GB"/>
        </w:rPr>
        <w:t>e</w:t>
      </w:r>
      <w:r w:rsidRPr="007A5ABC">
        <w:rPr>
          <w:lang w:val="en-GB"/>
        </w:rPr>
        <w:t>nquiries and surveys, publish independent reports and make recommendations on discrimination</w:t>
      </w:r>
      <w:r>
        <w:rPr>
          <w:lang w:val="en-GB"/>
        </w:rPr>
        <w:t>-</w:t>
      </w:r>
      <w:r w:rsidRPr="007A5ABC">
        <w:rPr>
          <w:lang w:val="en-GB"/>
        </w:rPr>
        <w:t>related issues. In practice</w:t>
      </w:r>
      <w:r>
        <w:rPr>
          <w:lang w:val="en-GB"/>
        </w:rPr>
        <w:t>,</w:t>
      </w:r>
      <w:r w:rsidRPr="007A5ABC">
        <w:rPr>
          <w:lang w:val="en-GB"/>
        </w:rPr>
        <w:t xml:space="preserve"> it mostly negotiates out-of-court settlement</w:t>
      </w:r>
      <w:r>
        <w:rPr>
          <w:lang w:val="en-GB"/>
        </w:rPr>
        <w:t>s</w:t>
      </w:r>
      <w:r w:rsidRPr="007A5ABC">
        <w:rPr>
          <w:lang w:val="en-GB"/>
        </w:rPr>
        <w:t xml:space="preserve"> and has almost no role before the courts. It can also</w:t>
      </w:r>
      <w:r>
        <w:rPr>
          <w:lang w:val="en-GB"/>
        </w:rPr>
        <w:t>,</w:t>
      </w:r>
      <w:r w:rsidRPr="007A5ABC">
        <w:rPr>
          <w:lang w:val="en-GB"/>
        </w:rPr>
        <w:t xml:space="preserve"> however</w:t>
      </w:r>
      <w:r>
        <w:rPr>
          <w:lang w:val="en-GB"/>
        </w:rPr>
        <w:t>,</w:t>
      </w:r>
      <w:r w:rsidRPr="007A5ABC">
        <w:rPr>
          <w:lang w:val="en-GB"/>
        </w:rPr>
        <w:t xml:space="preserve"> initiate proceedings before the Equal Treatment Commission at the request of the person concerned.</w:t>
      </w:r>
    </w:p>
    <w:p w:rsidR="00BB4848" w:rsidRPr="007A5ABC" w:rsidRDefault="00BB4848" w:rsidP="00BB4848">
      <w:pPr>
        <w:pStyle w:val="SingleTxtG"/>
        <w:numPr>
          <w:ilvl w:val="0"/>
          <w:numId w:val="9"/>
        </w:numPr>
        <w:rPr>
          <w:lang w:val="en-GB"/>
        </w:rPr>
      </w:pPr>
      <w:r w:rsidRPr="007A5ABC">
        <w:rPr>
          <w:lang w:val="en-GB"/>
        </w:rPr>
        <w:t xml:space="preserve">Despite </w:t>
      </w:r>
      <w:r>
        <w:rPr>
          <w:lang w:val="en-GB"/>
        </w:rPr>
        <w:t xml:space="preserve">the </w:t>
      </w:r>
      <w:r w:rsidRPr="007A5ABC">
        <w:rPr>
          <w:lang w:val="en-GB"/>
        </w:rPr>
        <w:t xml:space="preserve">comprehensive legal framework, enforcement of anti-discrimination provisions </w:t>
      </w:r>
      <w:r>
        <w:rPr>
          <w:lang w:val="en-GB"/>
        </w:rPr>
        <w:t xml:space="preserve">in Austria </w:t>
      </w:r>
      <w:r w:rsidRPr="007A5ABC">
        <w:rPr>
          <w:lang w:val="en-GB"/>
        </w:rPr>
        <w:t>remains deficient. One reason is that the legal framework is complex and fragmented, and that instead of a single mechanism there are a number of parallel systems at the federal level</w:t>
      </w:r>
      <w:r>
        <w:rPr>
          <w:lang w:val="en-GB"/>
        </w:rPr>
        <w:t xml:space="preserve"> and at </w:t>
      </w:r>
      <w:r w:rsidRPr="007A5ABC">
        <w:rPr>
          <w:lang w:val="en-GB"/>
        </w:rPr>
        <w:t>the level</w:t>
      </w:r>
      <w:r>
        <w:rPr>
          <w:lang w:val="en-GB"/>
        </w:rPr>
        <w:t xml:space="preserve"> </w:t>
      </w:r>
      <w:r w:rsidRPr="007A5ABC">
        <w:rPr>
          <w:lang w:val="en-GB"/>
        </w:rPr>
        <w:t>of the provinces, as well as for disability</w:t>
      </w:r>
      <w:r>
        <w:rPr>
          <w:lang w:val="en-GB"/>
        </w:rPr>
        <w:t>-</w:t>
      </w:r>
      <w:r w:rsidRPr="007A5ABC">
        <w:rPr>
          <w:lang w:val="en-GB"/>
        </w:rPr>
        <w:t>related matters.</w:t>
      </w:r>
      <w:r>
        <w:rPr>
          <w:rStyle w:val="FootnoteReference"/>
          <w:lang w:val="en-GB"/>
        </w:rPr>
        <w:footnoteReference w:id="6"/>
      </w:r>
      <w:r w:rsidRPr="007A5ABC">
        <w:rPr>
          <w:lang w:val="en-GB"/>
        </w:rPr>
        <w:t xml:space="preserve"> Resources of</w:t>
      </w:r>
      <w:r>
        <w:rPr>
          <w:lang w:val="en-GB"/>
        </w:rPr>
        <w:t xml:space="preserve"> the f</w:t>
      </w:r>
      <w:r w:rsidRPr="007A5ABC">
        <w:rPr>
          <w:lang w:val="en-GB"/>
        </w:rPr>
        <w:t xml:space="preserve">ederal </w:t>
      </w:r>
      <w:r>
        <w:rPr>
          <w:lang w:val="en-GB"/>
        </w:rPr>
        <w:t>e</w:t>
      </w:r>
      <w:r w:rsidRPr="007A5ABC">
        <w:rPr>
          <w:lang w:val="en-GB"/>
        </w:rPr>
        <w:t xml:space="preserve">quality </w:t>
      </w:r>
      <w:r>
        <w:rPr>
          <w:lang w:val="en-GB"/>
        </w:rPr>
        <w:t>b</w:t>
      </w:r>
      <w:r w:rsidRPr="007A5ABC">
        <w:rPr>
          <w:lang w:val="en-GB"/>
        </w:rPr>
        <w:t xml:space="preserve">odies are </w:t>
      </w:r>
      <w:r>
        <w:rPr>
          <w:lang w:val="en-GB"/>
        </w:rPr>
        <w:t xml:space="preserve">also </w:t>
      </w:r>
      <w:r w:rsidRPr="007A5ABC">
        <w:rPr>
          <w:lang w:val="en-GB"/>
        </w:rPr>
        <w:t>insufficient. Another reason is the lack of awareness among the population, including about the existence of specific legislation.</w:t>
      </w:r>
    </w:p>
    <w:p w:rsidR="00BB4848" w:rsidRPr="007A5ABC" w:rsidRDefault="00BB4848" w:rsidP="00BB4848">
      <w:pPr>
        <w:pStyle w:val="SingleTxtG"/>
        <w:numPr>
          <w:ilvl w:val="0"/>
          <w:numId w:val="9"/>
        </w:numPr>
        <w:rPr>
          <w:lang w:val="en-GB"/>
        </w:rPr>
      </w:pPr>
      <w:r w:rsidRPr="007A5ABC">
        <w:rPr>
          <w:lang w:val="en-GB"/>
        </w:rPr>
        <w:t>Discrimination in access to facilities and services in Austria remains a concern. Financial services, such as loans or mortgages, or insurance</w:t>
      </w:r>
      <w:r>
        <w:rPr>
          <w:lang w:val="en-GB"/>
        </w:rPr>
        <w:t>,</w:t>
      </w:r>
      <w:r w:rsidRPr="007A5ABC">
        <w:rPr>
          <w:lang w:val="en-GB"/>
        </w:rPr>
        <w:t xml:space="preserve"> are often not available to older people or are prohibitively expensive because of the inappropriate use of age as a criterion, including </w:t>
      </w:r>
      <w:r>
        <w:rPr>
          <w:lang w:val="en-GB"/>
        </w:rPr>
        <w:t>for</w:t>
      </w:r>
      <w:r w:rsidRPr="007A5ABC">
        <w:rPr>
          <w:lang w:val="en-GB"/>
        </w:rPr>
        <w:t xml:space="preserve"> determining risk. The Independent Expert was pleased to learn during her visit that it </w:t>
      </w:r>
      <w:r>
        <w:rPr>
          <w:lang w:val="en-GB"/>
        </w:rPr>
        <w:t>was</w:t>
      </w:r>
      <w:r w:rsidRPr="007A5ABC">
        <w:rPr>
          <w:lang w:val="en-GB"/>
        </w:rPr>
        <w:t xml:space="preserve"> planned to extend the scope of the Equal Treatment Act to include access to and supply with publicly available goods and services, including housing space. </w:t>
      </w:r>
    </w:p>
    <w:p w:rsidR="00BB4848" w:rsidRPr="007A5ABC" w:rsidRDefault="00BB4848" w:rsidP="00BB4848">
      <w:pPr>
        <w:pStyle w:val="H1G"/>
        <w:outlineLvl w:val="0"/>
        <w:rPr>
          <w:lang w:val="en-GB" w:eastAsia="en-GB"/>
        </w:rPr>
      </w:pPr>
      <w:r w:rsidRPr="007A5ABC">
        <w:rPr>
          <w:lang w:val="en-GB" w:eastAsia="en-GB"/>
        </w:rPr>
        <w:tab/>
        <w:t>B.</w:t>
      </w:r>
      <w:r w:rsidRPr="007A5ABC">
        <w:rPr>
          <w:lang w:val="en-GB" w:eastAsia="en-GB"/>
        </w:rPr>
        <w:tab/>
        <w:t>Violence and abuse</w:t>
      </w:r>
    </w:p>
    <w:p w:rsidR="00BB4848" w:rsidRPr="007A5ABC" w:rsidRDefault="00BB4848" w:rsidP="00BB4848">
      <w:pPr>
        <w:pStyle w:val="SingleTxtG"/>
        <w:numPr>
          <w:ilvl w:val="0"/>
          <w:numId w:val="9"/>
        </w:numPr>
        <w:rPr>
          <w:lang w:val="en-GB"/>
        </w:rPr>
      </w:pPr>
      <w:r w:rsidRPr="007A5ABC">
        <w:rPr>
          <w:lang w:val="en-GB"/>
        </w:rPr>
        <w:t>Violence against older persons in Austria remains a taboo</w:t>
      </w:r>
      <w:r>
        <w:rPr>
          <w:lang w:val="en-GB"/>
        </w:rPr>
        <w:t xml:space="preserve"> subject</w:t>
      </w:r>
      <w:r w:rsidRPr="007A5ABC">
        <w:rPr>
          <w:lang w:val="en-GB"/>
        </w:rPr>
        <w:t>. It often happens inconspicuously and in many cases goes unnoticed although there are indications that violence occurs rather frequently in all types of settings.</w:t>
      </w:r>
      <w:r>
        <w:rPr>
          <w:rStyle w:val="FootnoteReference"/>
          <w:lang w:val="en-GB"/>
        </w:rPr>
        <w:footnoteReference w:id="7"/>
      </w:r>
      <w:r w:rsidRPr="007A5ABC">
        <w:rPr>
          <w:lang w:val="en-GB"/>
        </w:rPr>
        <w:t xml:space="preserve"> Violence against older persons takes many different forms, including discrimination in the public sphere, linguistic discrimination, isolation, neglect and financial exploitation, psychological violence, the withholding of basic needs and physical attacks.</w:t>
      </w:r>
    </w:p>
    <w:p w:rsidR="00BB4848" w:rsidRDefault="00BB4848" w:rsidP="00BB4848">
      <w:pPr>
        <w:pStyle w:val="SingleTxtG"/>
        <w:numPr>
          <w:ilvl w:val="0"/>
          <w:numId w:val="9"/>
        </w:numPr>
        <w:rPr>
          <w:lang w:val="en-GB"/>
        </w:rPr>
      </w:pPr>
      <w:r w:rsidRPr="007A5ABC">
        <w:rPr>
          <w:lang w:val="en-GB"/>
        </w:rPr>
        <w:t xml:space="preserve">Further improvements regarding the protection of and support for </w:t>
      </w:r>
      <w:r>
        <w:rPr>
          <w:lang w:val="en-GB"/>
        </w:rPr>
        <w:t xml:space="preserve">victims of </w:t>
      </w:r>
      <w:r w:rsidRPr="007A5ABC">
        <w:rPr>
          <w:lang w:val="en-GB"/>
        </w:rPr>
        <w:t xml:space="preserve">violence were made in 2009, with the amendment of the Protection </w:t>
      </w:r>
      <w:r>
        <w:rPr>
          <w:lang w:val="en-GB"/>
        </w:rPr>
        <w:t>a</w:t>
      </w:r>
      <w:r w:rsidRPr="007A5ABC">
        <w:rPr>
          <w:lang w:val="en-GB"/>
        </w:rPr>
        <w:t>gainst Violence Act. Under the Act</w:t>
      </w:r>
      <w:r>
        <w:rPr>
          <w:lang w:val="en-GB"/>
        </w:rPr>
        <w:t>,</w:t>
      </w:r>
      <w:r w:rsidRPr="007A5ABC">
        <w:rPr>
          <w:lang w:val="en-GB"/>
        </w:rPr>
        <w:t xml:space="preserve"> police can impose a </w:t>
      </w:r>
      <w:r>
        <w:rPr>
          <w:lang w:val="en-GB"/>
        </w:rPr>
        <w:t xml:space="preserve">two-week </w:t>
      </w:r>
      <w:r w:rsidRPr="007A5ABC">
        <w:rPr>
          <w:lang w:val="en-GB"/>
        </w:rPr>
        <w:t>barring order in cases of violence</w:t>
      </w:r>
      <w:r>
        <w:rPr>
          <w:lang w:val="en-GB"/>
        </w:rPr>
        <w:t>,</w:t>
      </w:r>
      <w:r w:rsidRPr="007A5ABC">
        <w:rPr>
          <w:lang w:val="en-GB"/>
        </w:rPr>
        <w:t xml:space="preserve"> evicting the endangering person from the dwelling with immediate effect, so that the victim can stay there safely.</w:t>
      </w:r>
    </w:p>
    <w:p w:rsidR="00BB4848" w:rsidRPr="007A5ABC" w:rsidRDefault="00BB4848" w:rsidP="00BB4848">
      <w:pPr>
        <w:pStyle w:val="SingleTxtG"/>
        <w:numPr>
          <w:ilvl w:val="0"/>
          <w:numId w:val="9"/>
        </w:numPr>
        <w:rPr>
          <w:lang w:val="en-GB"/>
        </w:rPr>
      </w:pPr>
      <w:r w:rsidRPr="007A5ABC">
        <w:rPr>
          <w:lang w:val="en-GB"/>
        </w:rPr>
        <w:t xml:space="preserve">If there is a need to prolong the protective measures beyond this term, victims can apply to court for a temporary injunction under civil law against the perpetrator, which will order the perpetrator to leave the apartment and forbid </w:t>
      </w:r>
      <w:r>
        <w:rPr>
          <w:lang w:val="en-GB"/>
        </w:rPr>
        <w:t>the person</w:t>
      </w:r>
      <w:r w:rsidRPr="007A5ABC">
        <w:rPr>
          <w:lang w:val="en-GB"/>
        </w:rPr>
        <w:t xml:space="preserve"> to return to it. While the measures have been effective in cases of violence against women, they are of lesser effect in relation to violence against older persons because </w:t>
      </w:r>
      <w:r>
        <w:rPr>
          <w:lang w:val="en-GB"/>
        </w:rPr>
        <w:t xml:space="preserve">of </w:t>
      </w:r>
      <w:r w:rsidRPr="007A5ABC">
        <w:rPr>
          <w:lang w:val="en-GB"/>
        </w:rPr>
        <w:t xml:space="preserve">the interdependence between the person in need of care and the caregiver. </w:t>
      </w:r>
    </w:p>
    <w:p w:rsidR="00BB4848" w:rsidRPr="007A5ABC" w:rsidRDefault="00BB4848" w:rsidP="00BB4848">
      <w:pPr>
        <w:pStyle w:val="SingleTxtG"/>
        <w:numPr>
          <w:ilvl w:val="0"/>
          <w:numId w:val="9"/>
        </w:numPr>
        <w:rPr>
          <w:lang w:val="en-GB"/>
        </w:rPr>
      </w:pPr>
      <w:r w:rsidRPr="007A5ABC">
        <w:rPr>
          <w:lang w:val="en-GB"/>
        </w:rPr>
        <w:t xml:space="preserve">There </w:t>
      </w:r>
      <w:r>
        <w:rPr>
          <w:lang w:val="en-GB"/>
        </w:rPr>
        <w:t xml:space="preserve">are </w:t>
      </w:r>
      <w:r w:rsidRPr="007A5ABC">
        <w:rPr>
          <w:lang w:val="en-GB"/>
        </w:rPr>
        <w:t>no representative data concerning domestic violence against older person</w:t>
      </w:r>
      <w:r>
        <w:rPr>
          <w:lang w:val="en-GB"/>
        </w:rPr>
        <w:t>s</w:t>
      </w:r>
      <w:r w:rsidRPr="007A5ABC">
        <w:rPr>
          <w:lang w:val="en-GB"/>
        </w:rPr>
        <w:t xml:space="preserve"> for Austria, </w:t>
      </w:r>
      <w:r>
        <w:rPr>
          <w:lang w:val="en-GB"/>
        </w:rPr>
        <w:t xml:space="preserve">in part because </w:t>
      </w:r>
      <w:r w:rsidRPr="007A5ABC">
        <w:rPr>
          <w:lang w:val="en-GB"/>
        </w:rPr>
        <w:t>criminal statistics</w:t>
      </w:r>
      <w:r>
        <w:rPr>
          <w:lang w:val="en-GB"/>
        </w:rPr>
        <w:t xml:space="preserve"> are not disaggregated by age</w:t>
      </w:r>
      <w:r w:rsidRPr="007A5ABC">
        <w:rPr>
          <w:lang w:val="en-GB"/>
        </w:rPr>
        <w:t xml:space="preserve">. Reasons for underreporting </w:t>
      </w:r>
      <w:r>
        <w:rPr>
          <w:lang w:val="en-GB"/>
        </w:rPr>
        <w:t>include</w:t>
      </w:r>
      <w:r w:rsidRPr="007A5ABC">
        <w:rPr>
          <w:lang w:val="en-GB"/>
        </w:rPr>
        <w:t xml:space="preserve"> the privacy barrier in family relationships, the lack of awareness and the fear </w:t>
      </w:r>
      <w:r>
        <w:rPr>
          <w:lang w:val="en-GB"/>
        </w:rPr>
        <w:t xml:space="preserve">that </w:t>
      </w:r>
      <w:r w:rsidRPr="007A5ABC">
        <w:rPr>
          <w:lang w:val="en-GB"/>
        </w:rPr>
        <w:t xml:space="preserve">older persons </w:t>
      </w:r>
      <w:r>
        <w:rPr>
          <w:lang w:val="en-GB"/>
        </w:rPr>
        <w:t>have of</w:t>
      </w:r>
      <w:r w:rsidRPr="007A5ABC">
        <w:rPr>
          <w:lang w:val="en-GB"/>
        </w:rPr>
        <w:t xml:space="preserve"> reprisals by the caregivers. Moreover, collective prejudice against older people and public awareness influence the way in which abuse and violence is perceived, recognized and reported. </w:t>
      </w:r>
    </w:p>
    <w:p w:rsidR="00BB4848" w:rsidRPr="007A5ABC" w:rsidRDefault="00BB4848" w:rsidP="00BB4848">
      <w:pPr>
        <w:pStyle w:val="SingleTxtG"/>
        <w:numPr>
          <w:ilvl w:val="0"/>
          <w:numId w:val="9"/>
        </w:numPr>
        <w:rPr>
          <w:lang w:val="en-GB"/>
        </w:rPr>
      </w:pPr>
      <w:r>
        <w:rPr>
          <w:lang w:val="en-GB"/>
        </w:rPr>
        <w:t xml:space="preserve">Eighty </w:t>
      </w:r>
      <w:r w:rsidRPr="007A5ABC">
        <w:rPr>
          <w:lang w:val="en-GB"/>
        </w:rPr>
        <w:t>per</w:t>
      </w:r>
      <w:r>
        <w:rPr>
          <w:lang w:val="en-GB"/>
        </w:rPr>
        <w:t xml:space="preserve"> </w:t>
      </w:r>
      <w:r w:rsidRPr="007A5ABC">
        <w:rPr>
          <w:lang w:val="en-GB"/>
        </w:rPr>
        <w:t>cent of Austria</w:t>
      </w:r>
      <w:r>
        <w:rPr>
          <w:lang w:val="en-GB"/>
        </w:rPr>
        <w:t>n</w:t>
      </w:r>
      <w:r w:rsidRPr="007A5ABC">
        <w:rPr>
          <w:lang w:val="en-GB"/>
        </w:rPr>
        <w:t xml:space="preserve"> older persons are cared for at home within the family. According to a study carried out by the Ministry for Labour, Social Affairs and Consumer Protection in 2012</w:t>
      </w:r>
      <w:r w:rsidRPr="00AF6A59">
        <w:rPr>
          <w:lang w:val="en-GB"/>
        </w:rPr>
        <w:t>,</w:t>
      </w:r>
      <w:r w:rsidRPr="007A5ABC">
        <w:rPr>
          <w:rStyle w:val="FootnoteReference"/>
          <w:lang w:val="en-GB"/>
        </w:rPr>
        <w:footnoteReference w:id="8"/>
      </w:r>
      <w:r w:rsidRPr="00AF6A59">
        <w:rPr>
          <w:lang w:val="en-GB"/>
        </w:rPr>
        <w:t xml:space="preserve"> </w:t>
      </w:r>
      <w:r w:rsidRPr="007A5ABC">
        <w:rPr>
          <w:lang w:val="en-GB"/>
        </w:rPr>
        <w:t xml:space="preserve">the persons close to older people thus constitute the greatest danger for them in relative terms. Most common forms of abuse are financial exploitation, such as the use of the pension or care allowance of the old person, followed by frequent occurrences of verbal abuse, threats and neglect. </w:t>
      </w:r>
    </w:p>
    <w:p w:rsidR="00BB4848" w:rsidRPr="007A5ABC" w:rsidRDefault="00BB4848" w:rsidP="00BB4848">
      <w:pPr>
        <w:pStyle w:val="SingleTxtG"/>
        <w:numPr>
          <w:ilvl w:val="0"/>
          <w:numId w:val="9"/>
        </w:numPr>
        <w:rPr>
          <w:lang w:val="en-GB"/>
        </w:rPr>
      </w:pPr>
      <w:r w:rsidRPr="007A5ABC">
        <w:rPr>
          <w:lang w:val="en-GB"/>
        </w:rPr>
        <w:t xml:space="preserve">Violence against older people in family settings differs from </w:t>
      </w:r>
      <w:r>
        <w:rPr>
          <w:lang w:val="en-GB"/>
        </w:rPr>
        <w:t>violence</w:t>
      </w:r>
      <w:r w:rsidRPr="007A5ABC">
        <w:rPr>
          <w:lang w:val="en-GB"/>
        </w:rPr>
        <w:t xml:space="preserve"> in institutional settings. The most common complaints in institutional settings relate to structural problems in homes for </w:t>
      </w:r>
      <w:r>
        <w:rPr>
          <w:lang w:val="en-GB"/>
        </w:rPr>
        <w:t xml:space="preserve">the </w:t>
      </w:r>
      <w:r w:rsidRPr="007A5ABC">
        <w:rPr>
          <w:lang w:val="en-GB"/>
        </w:rPr>
        <w:t>elderly and hospitals, rather than incidents involving individual caregivers. There are also frequent complaints about incidents in public places, such as public transport, public offices and shops regarding discrimination or verbal abuse.</w:t>
      </w:r>
    </w:p>
    <w:p w:rsidR="00BB4848" w:rsidRPr="007A5ABC" w:rsidRDefault="00BB4848" w:rsidP="00BB4848">
      <w:pPr>
        <w:pStyle w:val="SingleTxtG"/>
        <w:numPr>
          <w:ilvl w:val="0"/>
          <w:numId w:val="9"/>
        </w:numPr>
        <w:rPr>
          <w:lang w:val="en-GB"/>
        </w:rPr>
      </w:pPr>
      <w:r>
        <w:rPr>
          <w:lang w:val="en-GB"/>
        </w:rPr>
        <w:t xml:space="preserve">It has been </w:t>
      </w:r>
      <w:r w:rsidRPr="007A5ABC">
        <w:rPr>
          <w:lang w:val="en-GB"/>
        </w:rPr>
        <w:t xml:space="preserve">estimated that one out of four older women living in private households in Austria are victims of violence and abuse, of </w:t>
      </w:r>
      <w:r>
        <w:rPr>
          <w:lang w:val="en-GB"/>
        </w:rPr>
        <w:t>whom</w:t>
      </w:r>
      <w:r w:rsidRPr="007A5ABC">
        <w:rPr>
          <w:lang w:val="en-GB"/>
        </w:rPr>
        <w:t xml:space="preserve"> 4.5 per</w:t>
      </w:r>
      <w:r>
        <w:rPr>
          <w:lang w:val="en-GB"/>
        </w:rPr>
        <w:t xml:space="preserve"> </w:t>
      </w:r>
      <w:r w:rsidRPr="007A5ABC">
        <w:rPr>
          <w:lang w:val="en-GB"/>
        </w:rPr>
        <w:t>cent are victims of frequent and multiple forms of violence.</w:t>
      </w:r>
      <w:r w:rsidRPr="007A5ABC">
        <w:rPr>
          <w:rStyle w:val="FootnoteReference"/>
          <w:lang w:val="en-GB"/>
        </w:rPr>
        <w:footnoteReference w:id="9"/>
      </w:r>
      <w:r w:rsidRPr="007A5ABC">
        <w:rPr>
          <w:lang w:val="en-GB"/>
        </w:rPr>
        <w:t xml:space="preserve"> In cases of emotional and sexual abuse and the violation of personal rights, the perpetrator was most frequently the partner or spouse, wh</w:t>
      </w:r>
      <w:r>
        <w:rPr>
          <w:lang w:val="en-GB"/>
        </w:rPr>
        <w:t xml:space="preserve">ereas </w:t>
      </w:r>
      <w:r w:rsidRPr="007A5ABC">
        <w:rPr>
          <w:lang w:val="en-GB"/>
        </w:rPr>
        <w:t xml:space="preserve"> </w:t>
      </w:r>
      <w:r w:rsidRPr="00D03D27">
        <w:rPr>
          <w:lang w:val="en-GB"/>
        </w:rPr>
        <w:t>in cases of neglect and financial abuse</w:t>
      </w:r>
      <w:r>
        <w:rPr>
          <w:lang w:val="en-GB"/>
        </w:rPr>
        <w:t>, it is the</w:t>
      </w:r>
      <w:r w:rsidRPr="00806FA6">
        <w:rPr>
          <w:lang w:val="en-GB"/>
        </w:rPr>
        <w:t xml:space="preserve"> </w:t>
      </w:r>
      <w:r w:rsidRPr="007A5ABC">
        <w:rPr>
          <w:lang w:val="en-GB"/>
        </w:rPr>
        <w:t>children or children</w:t>
      </w:r>
      <w:r>
        <w:rPr>
          <w:lang w:val="en-GB"/>
        </w:rPr>
        <w:t>-</w:t>
      </w:r>
      <w:r w:rsidRPr="007A5ABC">
        <w:rPr>
          <w:lang w:val="en-GB"/>
        </w:rPr>
        <w:t>in</w:t>
      </w:r>
      <w:r>
        <w:rPr>
          <w:lang w:val="en-GB"/>
        </w:rPr>
        <w:t>-</w:t>
      </w:r>
      <w:r w:rsidRPr="007A5ABC">
        <w:rPr>
          <w:lang w:val="en-GB"/>
        </w:rPr>
        <w:t xml:space="preserve">law </w:t>
      </w:r>
      <w:r>
        <w:rPr>
          <w:lang w:val="en-GB"/>
        </w:rPr>
        <w:t xml:space="preserve">who </w:t>
      </w:r>
      <w:r w:rsidRPr="007A5ABC">
        <w:rPr>
          <w:lang w:val="en-GB"/>
        </w:rPr>
        <w:t>are most frequently involved. There are also some cases of neglect, financial abuse and the violation of rights committed by paid caregivers.</w:t>
      </w:r>
      <w:r w:rsidRPr="007A5ABC">
        <w:rPr>
          <w:rStyle w:val="FootnoteReference"/>
          <w:lang w:val="en-GB"/>
        </w:rPr>
        <w:footnoteReference w:id="10"/>
      </w:r>
      <w:r w:rsidRPr="007A5ABC">
        <w:rPr>
          <w:lang w:val="en-GB"/>
        </w:rPr>
        <w:t xml:space="preserve"> </w:t>
      </w:r>
    </w:p>
    <w:p w:rsidR="00BB4848" w:rsidRPr="007A5ABC" w:rsidRDefault="00BB4848" w:rsidP="00BB4848">
      <w:pPr>
        <w:pStyle w:val="SingleTxtG"/>
        <w:numPr>
          <w:ilvl w:val="0"/>
          <w:numId w:val="9"/>
        </w:numPr>
        <w:rPr>
          <w:lang w:val="en-GB"/>
        </w:rPr>
      </w:pPr>
      <w:r>
        <w:rPr>
          <w:lang w:val="en-GB"/>
        </w:rPr>
        <w:t>S</w:t>
      </w:r>
      <w:r w:rsidRPr="007A5ABC">
        <w:rPr>
          <w:lang w:val="en-GB"/>
        </w:rPr>
        <w:t xml:space="preserve">ome of the measures that </w:t>
      </w:r>
      <w:r>
        <w:rPr>
          <w:lang w:val="en-GB"/>
        </w:rPr>
        <w:t xml:space="preserve">have </w:t>
      </w:r>
      <w:r w:rsidRPr="007A5ABC">
        <w:rPr>
          <w:lang w:val="en-GB"/>
        </w:rPr>
        <w:t xml:space="preserve">proved effective </w:t>
      </w:r>
      <w:r>
        <w:rPr>
          <w:lang w:val="en-GB"/>
        </w:rPr>
        <w:t>in</w:t>
      </w:r>
      <w:r w:rsidRPr="007A5ABC">
        <w:rPr>
          <w:lang w:val="en-GB"/>
        </w:rPr>
        <w:t xml:space="preserve"> address</w:t>
      </w:r>
      <w:r>
        <w:rPr>
          <w:lang w:val="en-GB"/>
        </w:rPr>
        <w:t>ing</w:t>
      </w:r>
      <w:r w:rsidRPr="007A5ABC">
        <w:rPr>
          <w:lang w:val="en-GB"/>
        </w:rPr>
        <w:t xml:space="preserve"> the issue of violence against women are not suited to manag</w:t>
      </w:r>
      <w:r>
        <w:rPr>
          <w:lang w:val="en-GB"/>
        </w:rPr>
        <w:t>ing</w:t>
      </w:r>
      <w:r w:rsidRPr="007A5ABC">
        <w:rPr>
          <w:lang w:val="en-GB"/>
        </w:rPr>
        <w:t xml:space="preserve"> conflict constellations and violent relationships involving older women. Older women generally do not resort to the possibility </w:t>
      </w:r>
      <w:r>
        <w:rPr>
          <w:lang w:val="en-GB"/>
        </w:rPr>
        <w:t>of</w:t>
      </w:r>
      <w:r w:rsidRPr="007A5ABC">
        <w:rPr>
          <w:lang w:val="en-GB"/>
        </w:rPr>
        <w:t xml:space="preserve"> stay</w:t>
      </w:r>
      <w:r>
        <w:rPr>
          <w:lang w:val="en-GB"/>
        </w:rPr>
        <w:t>ing</w:t>
      </w:r>
      <w:r w:rsidRPr="007A5ABC">
        <w:rPr>
          <w:lang w:val="en-GB"/>
        </w:rPr>
        <w:t xml:space="preserve"> at a women’s shelter.</w:t>
      </w:r>
    </w:p>
    <w:p w:rsidR="00BB4848" w:rsidRPr="007A5ABC" w:rsidRDefault="00BB4848" w:rsidP="00BB4848">
      <w:pPr>
        <w:pStyle w:val="H1G"/>
        <w:outlineLvl w:val="0"/>
        <w:rPr>
          <w:lang w:val="en-GB" w:eastAsia="en-GB"/>
        </w:rPr>
      </w:pPr>
      <w:r w:rsidRPr="007A5ABC">
        <w:rPr>
          <w:lang w:val="en-GB" w:eastAsia="en-GB"/>
        </w:rPr>
        <w:tab/>
        <w:t>C.</w:t>
      </w:r>
      <w:r w:rsidRPr="007A5ABC">
        <w:rPr>
          <w:lang w:val="en-GB" w:eastAsia="en-GB"/>
        </w:rPr>
        <w:tab/>
        <w:t xml:space="preserve">Adequate standard of living </w:t>
      </w:r>
    </w:p>
    <w:p w:rsidR="00BB4848" w:rsidRPr="007A5ABC" w:rsidRDefault="00BB4848" w:rsidP="00BB4848">
      <w:pPr>
        <w:pStyle w:val="SingleTxtG"/>
        <w:numPr>
          <w:ilvl w:val="0"/>
          <w:numId w:val="9"/>
        </w:numPr>
        <w:rPr>
          <w:lang w:val="en-GB"/>
        </w:rPr>
      </w:pPr>
      <w:r w:rsidRPr="007A5ABC">
        <w:rPr>
          <w:lang w:val="en-GB"/>
        </w:rPr>
        <w:t>On average, older persons in Austria enjoy</w:t>
      </w:r>
      <w:r>
        <w:rPr>
          <w:lang w:val="en-GB"/>
        </w:rPr>
        <w:t xml:space="preserve"> a</w:t>
      </w:r>
      <w:r w:rsidRPr="007A5ABC">
        <w:rPr>
          <w:lang w:val="en-GB"/>
        </w:rPr>
        <w:t xml:space="preserve"> relatively high living standard</w:t>
      </w:r>
      <w:r>
        <w:rPr>
          <w:lang w:val="en-GB"/>
        </w:rPr>
        <w:t>.</w:t>
      </w:r>
      <w:r w:rsidRPr="007A5ABC">
        <w:rPr>
          <w:lang w:val="en-GB"/>
        </w:rPr>
        <w:t xml:space="preserve"> </w:t>
      </w:r>
      <w:r>
        <w:rPr>
          <w:lang w:val="en-GB"/>
        </w:rPr>
        <w:t>A</w:t>
      </w:r>
      <w:r w:rsidRPr="007A5ABC">
        <w:rPr>
          <w:lang w:val="en-GB"/>
        </w:rPr>
        <w:t>ccording to the Global AgeWatch Index</w:t>
      </w:r>
      <w:r>
        <w:rPr>
          <w:lang w:val="en-GB"/>
        </w:rPr>
        <w:t xml:space="preserve">, </w:t>
      </w:r>
      <w:r w:rsidRPr="008E7CB6">
        <w:rPr>
          <w:lang w:val="en-GB"/>
        </w:rPr>
        <w:t xml:space="preserve">the country ranks second in </w:t>
      </w:r>
      <w:r>
        <w:rPr>
          <w:lang w:val="en-GB"/>
        </w:rPr>
        <w:t>terms</w:t>
      </w:r>
      <w:r w:rsidRPr="008E7CB6">
        <w:rPr>
          <w:lang w:val="en-GB"/>
        </w:rPr>
        <w:t xml:space="preserve"> of</w:t>
      </w:r>
      <w:r>
        <w:rPr>
          <w:lang w:val="en-GB"/>
        </w:rPr>
        <w:t xml:space="preserve"> providing</w:t>
      </w:r>
      <w:r w:rsidRPr="008E7CB6">
        <w:rPr>
          <w:lang w:val="en-GB"/>
        </w:rPr>
        <w:t xml:space="preserve"> an enabling environment for older persons</w:t>
      </w:r>
      <w:r w:rsidRPr="007A5ABC">
        <w:rPr>
          <w:lang w:val="en-GB"/>
        </w:rPr>
        <w:t>.</w:t>
      </w:r>
      <w:r w:rsidRPr="007A5ABC">
        <w:rPr>
          <w:rStyle w:val="FootnoteReference"/>
          <w:lang w:val="en-GB"/>
        </w:rPr>
        <w:footnoteReference w:id="11"/>
      </w:r>
      <w:r w:rsidRPr="007A5ABC">
        <w:rPr>
          <w:lang w:val="en-GB"/>
        </w:rPr>
        <w:t xml:space="preserve"> In 2014, the at-risk-of-poverty rate for older persons was around 14 per cent, while the rates for those living alone were 23 per cent and for older women 16 per</w:t>
      </w:r>
      <w:r w:rsidRPr="00496CE8">
        <w:rPr>
          <w:lang w:val="en-GB"/>
        </w:rPr>
        <w:t xml:space="preserve"> </w:t>
      </w:r>
      <w:r w:rsidRPr="007A5ABC">
        <w:rPr>
          <w:lang w:val="en-GB"/>
        </w:rPr>
        <w:t>cent.</w:t>
      </w:r>
      <w:r w:rsidRPr="007A5ABC">
        <w:rPr>
          <w:rStyle w:val="FootnoteReference"/>
          <w:lang w:val="en-GB"/>
        </w:rPr>
        <w:footnoteReference w:id="12"/>
      </w:r>
      <w:r w:rsidRPr="007A5ABC">
        <w:rPr>
          <w:lang w:val="en-GB"/>
        </w:rPr>
        <w:t xml:space="preserve"> </w:t>
      </w:r>
    </w:p>
    <w:p w:rsidR="00BB4848" w:rsidRPr="007A5ABC" w:rsidRDefault="00BB4848" w:rsidP="00BB4848">
      <w:pPr>
        <w:pStyle w:val="SingleTxtG"/>
        <w:numPr>
          <w:ilvl w:val="0"/>
          <w:numId w:val="9"/>
        </w:numPr>
        <w:rPr>
          <w:lang w:val="en-GB"/>
        </w:rPr>
      </w:pPr>
      <w:r w:rsidRPr="007A5ABC">
        <w:rPr>
          <w:lang w:val="en-GB"/>
        </w:rPr>
        <w:t>Social transfers</w:t>
      </w:r>
      <w:r w:rsidRPr="00496CE8">
        <w:rPr>
          <w:lang w:val="en-GB"/>
        </w:rPr>
        <w:t>,</w:t>
      </w:r>
      <w:r w:rsidRPr="007A5ABC">
        <w:rPr>
          <w:lang w:val="en-GB"/>
        </w:rPr>
        <w:t xml:space="preserve"> and</w:t>
      </w:r>
      <w:r w:rsidRPr="00496CE8">
        <w:rPr>
          <w:lang w:val="en-GB"/>
        </w:rPr>
        <w:t xml:space="preserve"> in</w:t>
      </w:r>
      <w:r w:rsidRPr="007A5ABC">
        <w:rPr>
          <w:lang w:val="en-GB"/>
        </w:rPr>
        <w:t xml:space="preserve"> particular </w:t>
      </w:r>
      <w:r w:rsidRPr="00496CE8">
        <w:rPr>
          <w:lang w:val="en-GB"/>
        </w:rPr>
        <w:t xml:space="preserve">the </w:t>
      </w:r>
      <w:r w:rsidRPr="007A5ABC">
        <w:rPr>
          <w:lang w:val="en-GB"/>
        </w:rPr>
        <w:t>Austria</w:t>
      </w:r>
      <w:r w:rsidRPr="00496CE8">
        <w:rPr>
          <w:lang w:val="en-GB"/>
        </w:rPr>
        <w:t>n</w:t>
      </w:r>
      <w:r w:rsidRPr="007A5ABC">
        <w:rPr>
          <w:lang w:val="en-GB"/>
        </w:rPr>
        <w:t xml:space="preserve"> pension system</w:t>
      </w:r>
      <w:r w:rsidRPr="00496CE8">
        <w:rPr>
          <w:lang w:val="en-GB"/>
        </w:rPr>
        <w:t>,</w:t>
      </w:r>
      <w:r w:rsidRPr="007A5ABC">
        <w:rPr>
          <w:lang w:val="en-GB"/>
        </w:rPr>
        <w:t xml:space="preserve"> account for the largest part of the resources of older persons and significantly contribute to ensuring financial security of a large part of the older population. Pensions reduced the at-risk-of poverty rate to 26</w:t>
      </w:r>
      <w:r>
        <w:rPr>
          <w:lang w:val="en-GB"/>
        </w:rPr>
        <w:t xml:space="preserve"> per cent</w:t>
      </w:r>
      <w:r w:rsidRPr="007A5ABC">
        <w:rPr>
          <w:lang w:val="en-GB"/>
        </w:rPr>
        <w:t xml:space="preserve"> and other social benefits further reduced it to 14</w:t>
      </w:r>
      <w:r>
        <w:rPr>
          <w:lang w:val="en-GB"/>
        </w:rPr>
        <w:t xml:space="preserve"> per cent </w:t>
      </w:r>
      <w:r w:rsidRPr="007A5ABC">
        <w:rPr>
          <w:lang w:val="en-GB"/>
        </w:rPr>
        <w:t>in 2012.</w:t>
      </w:r>
      <w:r w:rsidRPr="007A5ABC">
        <w:rPr>
          <w:rStyle w:val="FootnoteReference"/>
          <w:lang w:val="en-GB"/>
        </w:rPr>
        <w:footnoteReference w:id="13"/>
      </w:r>
      <w:r w:rsidRPr="007A5ABC">
        <w:rPr>
          <w:lang w:val="en-GB"/>
        </w:rPr>
        <w:t xml:space="preserve"> </w:t>
      </w:r>
      <w:r w:rsidRPr="00496CE8">
        <w:rPr>
          <w:lang w:val="en-GB"/>
        </w:rPr>
        <w:t>S</w:t>
      </w:r>
      <w:r w:rsidRPr="007A5ABC">
        <w:rPr>
          <w:lang w:val="en-GB"/>
        </w:rPr>
        <w:t xml:space="preserve">uccessive pension reforms </w:t>
      </w:r>
      <w:r w:rsidRPr="00496CE8">
        <w:rPr>
          <w:lang w:val="en-GB"/>
        </w:rPr>
        <w:t xml:space="preserve">have </w:t>
      </w:r>
      <w:r w:rsidRPr="007A5ABC">
        <w:rPr>
          <w:lang w:val="en-GB"/>
        </w:rPr>
        <w:t>made claim</w:t>
      </w:r>
      <w:r w:rsidRPr="00496CE8">
        <w:rPr>
          <w:lang w:val="en-GB"/>
        </w:rPr>
        <w:t>s</w:t>
      </w:r>
      <w:r w:rsidRPr="007A5ABC">
        <w:rPr>
          <w:lang w:val="en-GB"/>
        </w:rPr>
        <w:t xml:space="preserve"> to a pension and pension levels more dependent on </w:t>
      </w:r>
      <w:r w:rsidRPr="00496CE8">
        <w:rPr>
          <w:lang w:val="en-GB"/>
        </w:rPr>
        <w:t xml:space="preserve">participation in the </w:t>
      </w:r>
      <w:r w:rsidRPr="007A5ABC">
        <w:rPr>
          <w:lang w:val="en-GB"/>
        </w:rPr>
        <w:t xml:space="preserve">labour market. </w:t>
      </w:r>
      <w:r w:rsidRPr="00496CE8">
        <w:rPr>
          <w:lang w:val="en-GB"/>
        </w:rPr>
        <w:t>As c</w:t>
      </w:r>
      <w:r w:rsidRPr="007A5ABC">
        <w:rPr>
          <w:lang w:val="en-GB"/>
        </w:rPr>
        <w:t>areer breaks, part-time work and low income</w:t>
      </w:r>
      <w:r>
        <w:rPr>
          <w:lang w:val="en-GB"/>
        </w:rPr>
        <w:t>s</w:t>
      </w:r>
      <w:r w:rsidRPr="007A5ABC">
        <w:rPr>
          <w:lang w:val="en-GB"/>
        </w:rPr>
        <w:t xml:space="preserve"> result in lower pension benefits</w:t>
      </w:r>
      <w:r>
        <w:rPr>
          <w:lang w:val="en-GB"/>
        </w:rPr>
        <w:t>,</w:t>
      </w:r>
      <w:r w:rsidRPr="007A5ABC">
        <w:rPr>
          <w:lang w:val="en-GB"/>
        </w:rPr>
        <w:t xml:space="preserve"> it is mostly women who lack financial security in old age.</w:t>
      </w:r>
    </w:p>
    <w:p w:rsidR="00BB4848" w:rsidRPr="007A5ABC" w:rsidRDefault="00BB4848" w:rsidP="00BB4848">
      <w:pPr>
        <w:pStyle w:val="SingleTxtG"/>
        <w:numPr>
          <w:ilvl w:val="0"/>
          <w:numId w:val="9"/>
        </w:numPr>
        <w:rPr>
          <w:lang w:val="en-GB"/>
        </w:rPr>
      </w:pPr>
      <w:r w:rsidRPr="007A5ABC">
        <w:rPr>
          <w:lang w:val="en-GB"/>
        </w:rPr>
        <w:t>The housing situation and housing needs of older persons are essential aspects of active ag</w:t>
      </w:r>
      <w:r>
        <w:rPr>
          <w:lang w:val="en-GB"/>
        </w:rPr>
        <w:t>e</w:t>
      </w:r>
      <w:r w:rsidRPr="007A5ABC">
        <w:rPr>
          <w:lang w:val="en-GB"/>
        </w:rPr>
        <w:t>ing and of the ability of older persons to live an autonomous life. Only about half of Austria</w:t>
      </w:r>
      <w:r>
        <w:rPr>
          <w:lang w:val="en-GB"/>
        </w:rPr>
        <w:t>n</w:t>
      </w:r>
      <w:r w:rsidRPr="007A5ABC">
        <w:rPr>
          <w:lang w:val="en-GB"/>
        </w:rPr>
        <w:t xml:space="preserve"> older persons are homeowners and thus live rent free, which is way below the </w:t>
      </w:r>
      <w:r>
        <w:rPr>
          <w:lang w:val="en-GB"/>
        </w:rPr>
        <w:t xml:space="preserve">Organisation for Economic Co-operation and Development (OECD) </w:t>
      </w:r>
      <w:r w:rsidRPr="007A5ABC">
        <w:rPr>
          <w:lang w:val="en-GB"/>
        </w:rPr>
        <w:t>average of 76 per</w:t>
      </w:r>
      <w:r>
        <w:rPr>
          <w:lang w:val="en-GB"/>
        </w:rPr>
        <w:t xml:space="preserve"> </w:t>
      </w:r>
      <w:r w:rsidRPr="007A5ABC">
        <w:rPr>
          <w:lang w:val="en-GB"/>
        </w:rPr>
        <w:t>cent. About 98 per</w:t>
      </w:r>
      <w:r>
        <w:rPr>
          <w:lang w:val="en-GB"/>
        </w:rPr>
        <w:t xml:space="preserve"> </w:t>
      </w:r>
      <w:r w:rsidRPr="007A5ABC">
        <w:rPr>
          <w:lang w:val="en-GB"/>
        </w:rPr>
        <w:t xml:space="preserve">cent of persons aged between 65 and 80 live in private households. </w:t>
      </w:r>
    </w:p>
    <w:p w:rsidR="00BB4848" w:rsidRPr="007A5ABC" w:rsidRDefault="00BB4848" w:rsidP="00BB4848">
      <w:pPr>
        <w:pStyle w:val="SingleTxtG"/>
        <w:numPr>
          <w:ilvl w:val="0"/>
          <w:numId w:val="9"/>
        </w:numPr>
        <w:rPr>
          <w:lang w:val="en-GB"/>
        </w:rPr>
      </w:pPr>
      <w:r w:rsidRPr="007A5ABC">
        <w:rPr>
          <w:lang w:val="en-GB"/>
        </w:rPr>
        <w:t>Austria provides a rich variety of housing options for older people, including mixed and designated communities, age-adapted homes and flat-sharing concepts. Other schemes include tax incentives and subsidies to encourage developers to build accessible and appropriate housing for older people, or senior citizen apartments, which are governed by the Austrian Tenancy Act</w:t>
      </w:r>
      <w:r w:rsidRPr="003D6536">
        <w:rPr>
          <w:lang w:val="en-GB"/>
        </w:rPr>
        <w:t>.</w:t>
      </w:r>
      <w:r w:rsidRPr="007A5ABC">
        <w:rPr>
          <w:rStyle w:val="FootnoteReference"/>
          <w:lang w:val="en-GB"/>
        </w:rPr>
        <w:footnoteReference w:id="14"/>
      </w:r>
      <w:r w:rsidRPr="007A5ABC">
        <w:rPr>
          <w:lang w:val="en-GB"/>
        </w:rPr>
        <w:t xml:space="preserve"> To qualify under the scheme, apartments need to cater to the needs of older persons and provide for a basic supply of social services. Family members cannot take over the tenancy inter vivos</w:t>
      </w:r>
      <w:r w:rsidRPr="007A5ABC">
        <w:rPr>
          <w:i/>
          <w:lang w:val="en-GB"/>
        </w:rPr>
        <w:t xml:space="preserve"> </w:t>
      </w:r>
      <w:r w:rsidRPr="007A5ABC">
        <w:rPr>
          <w:lang w:val="en-GB"/>
        </w:rPr>
        <w:t xml:space="preserve">or upon death, which makes it attractive for limited-profit housing associations to offer such apartments to older persons. Accommodation at reduced rates, which is very common among older persons in Austria, also enables </w:t>
      </w:r>
      <w:r>
        <w:rPr>
          <w:lang w:val="en-GB"/>
        </w:rPr>
        <w:t xml:space="preserve">many people to enjoy </w:t>
      </w:r>
      <w:r w:rsidRPr="007A5ABC">
        <w:rPr>
          <w:lang w:val="en-GB"/>
        </w:rPr>
        <w:t xml:space="preserve">adequate living standards. </w:t>
      </w:r>
    </w:p>
    <w:p w:rsidR="00BB4848" w:rsidRPr="007A5ABC" w:rsidRDefault="00BB4848" w:rsidP="00BB4848">
      <w:pPr>
        <w:pStyle w:val="SingleTxtG"/>
        <w:numPr>
          <w:ilvl w:val="0"/>
          <w:numId w:val="9"/>
        </w:numPr>
        <w:rPr>
          <w:lang w:val="en-GB"/>
        </w:rPr>
      </w:pPr>
      <w:r w:rsidRPr="007A5ABC">
        <w:rPr>
          <w:lang w:val="en-GB"/>
        </w:rPr>
        <w:t>Older persons often feel the need to change their home because it is no longer adapted to their needs (e.g. too large, not barrier-free), but face considerable obstacles</w:t>
      </w:r>
      <w:r>
        <w:rPr>
          <w:lang w:val="en-GB"/>
        </w:rPr>
        <w:t xml:space="preserve">, particularly financial, </w:t>
      </w:r>
      <w:r w:rsidRPr="007A5ABC">
        <w:rPr>
          <w:lang w:val="en-GB"/>
        </w:rPr>
        <w:t xml:space="preserve">as new rents may be significantly higher. The Independent Expert was pleased to learn during her visit that since January 2015 a new </w:t>
      </w:r>
      <w:r>
        <w:rPr>
          <w:lang w:val="en-GB"/>
        </w:rPr>
        <w:t xml:space="preserve">municipal housing </w:t>
      </w:r>
      <w:r w:rsidRPr="007A5ABC">
        <w:rPr>
          <w:lang w:val="en-GB"/>
        </w:rPr>
        <w:t xml:space="preserve">programme is available to older persons in Vienna, </w:t>
      </w:r>
      <w:r>
        <w:rPr>
          <w:lang w:val="en-GB"/>
        </w:rPr>
        <w:t xml:space="preserve">to help </w:t>
      </w:r>
      <w:r w:rsidRPr="007A5ABC">
        <w:rPr>
          <w:lang w:val="en-GB"/>
        </w:rPr>
        <w:t xml:space="preserve">and financially support </w:t>
      </w:r>
      <w:r>
        <w:rPr>
          <w:lang w:val="en-GB"/>
        </w:rPr>
        <w:t xml:space="preserve">older persons in changing </w:t>
      </w:r>
      <w:r w:rsidRPr="007A5ABC">
        <w:rPr>
          <w:lang w:val="en-GB"/>
        </w:rPr>
        <w:t>to a smaller apartment.</w:t>
      </w:r>
    </w:p>
    <w:p w:rsidR="00BB4848" w:rsidRPr="007A5ABC" w:rsidRDefault="00BB4848" w:rsidP="00BB4848">
      <w:pPr>
        <w:pStyle w:val="H1G"/>
        <w:outlineLvl w:val="0"/>
        <w:rPr>
          <w:lang w:val="en-GB" w:eastAsia="en-GB"/>
        </w:rPr>
      </w:pPr>
      <w:r w:rsidRPr="007A5ABC">
        <w:rPr>
          <w:lang w:val="en-GB" w:eastAsia="en-GB"/>
        </w:rPr>
        <w:tab/>
        <w:t>D.</w:t>
      </w:r>
      <w:r w:rsidRPr="007A5ABC">
        <w:rPr>
          <w:lang w:val="en-GB" w:eastAsia="en-GB"/>
        </w:rPr>
        <w:tab/>
        <w:t>Social protection and the right to social security</w:t>
      </w:r>
    </w:p>
    <w:p w:rsidR="00BB4848" w:rsidRPr="007A5ABC" w:rsidRDefault="00BB4848" w:rsidP="00BB4848">
      <w:pPr>
        <w:pStyle w:val="SingleTxtG"/>
        <w:numPr>
          <w:ilvl w:val="0"/>
          <w:numId w:val="9"/>
        </w:numPr>
        <w:rPr>
          <w:lang w:val="en-GB"/>
        </w:rPr>
      </w:pPr>
      <w:r w:rsidRPr="007A5ABC">
        <w:rPr>
          <w:lang w:val="en-GB"/>
        </w:rPr>
        <w:t xml:space="preserve">Austria has a comprehensive system of social security and welfare schemes. Social security mostly falls within the responsibility of the central government, notably social insurance, including pension insurance and universal benefits covering the entire resident population. Local governments </w:t>
      </w:r>
      <w:r>
        <w:rPr>
          <w:lang w:val="en-GB"/>
        </w:rPr>
        <w:t xml:space="preserve">(i.e. provinces and municipalities) </w:t>
      </w:r>
      <w:r w:rsidRPr="007A5ABC">
        <w:rPr>
          <w:lang w:val="en-GB"/>
        </w:rPr>
        <w:t>are responsible for part of health care, housing and most of the social services.</w:t>
      </w:r>
    </w:p>
    <w:p w:rsidR="00BB4848" w:rsidRPr="007A5ABC" w:rsidRDefault="00BB4848" w:rsidP="00BB4848">
      <w:pPr>
        <w:pStyle w:val="SingleTxtG"/>
        <w:numPr>
          <w:ilvl w:val="0"/>
          <w:numId w:val="9"/>
        </w:numPr>
        <w:rPr>
          <w:lang w:val="en-GB"/>
        </w:rPr>
      </w:pPr>
      <w:r w:rsidRPr="007A5ABC">
        <w:rPr>
          <w:lang w:val="en-GB"/>
        </w:rPr>
        <w:t xml:space="preserve">The system operates at two levels: the insurance-based system, which includes pensions and which covers all gainfully employed </w:t>
      </w:r>
      <w:r>
        <w:rPr>
          <w:lang w:val="en-GB"/>
        </w:rPr>
        <w:t xml:space="preserve">persons </w:t>
      </w:r>
      <w:r w:rsidRPr="007A5ABC">
        <w:rPr>
          <w:lang w:val="en-GB"/>
        </w:rPr>
        <w:t>and, to a large exten</w:t>
      </w:r>
      <w:r>
        <w:rPr>
          <w:lang w:val="en-GB"/>
        </w:rPr>
        <w:t>t</w:t>
      </w:r>
      <w:r w:rsidRPr="007A5ABC">
        <w:rPr>
          <w:lang w:val="en-GB"/>
        </w:rPr>
        <w:t>, their dependents</w:t>
      </w:r>
      <w:r>
        <w:rPr>
          <w:lang w:val="en-GB"/>
        </w:rPr>
        <w:t>;</w:t>
      </w:r>
      <w:r w:rsidRPr="007A5ABC">
        <w:rPr>
          <w:lang w:val="en-GB"/>
        </w:rPr>
        <w:t xml:space="preserve"> and public welfare benefits </w:t>
      </w:r>
      <w:r>
        <w:rPr>
          <w:lang w:val="en-GB"/>
        </w:rPr>
        <w:t xml:space="preserve">that are </w:t>
      </w:r>
      <w:r w:rsidRPr="007A5ABC">
        <w:rPr>
          <w:lang w:val="en-GB"/>
        </w:rPr>
        <w:t xml:space="preserve">made available by the federal, provincial and municipal authorities to citizens in need, </w:t>
      </w:r>
      <w:r>
        <w:rPr>
          <w:lang w:val="en-GB"/>
        </w:rPr>
        <w:t xml:space="preserve">and </w:t>
      </w:r>
      <w:r w:rsidRPr="007A5ABC">
        <w:rPr>
          <w:lang w:val="en-GB"/>
        </w:rPr>
        <w:t>who are not covered by the insurance system.</w:t>
      </w:r>
    </w:p>
    <w:p w:rsidR="00BB4848" w:rsidRDefault="00BB4848" w:rsidP="00BB4848">
      <w:pPr>
        <w:pStyle w:val="SingleTxtG"/>
        <w:numPr>
          <w:ilvl w:val="0"/>
          <w:numId w:val="9"/>
        </w:numPr>
        <w:rPr>
          <w:lang w:val="en-GB"/>
        </w:rPr>
      </w:pPr>
      <w:r w:rsidRPr="007A5ABC">
        <w:rPr>
          <w:lang w:val="en-GB"/>
        </w:rPr>
        <w:t xml:space="preserve">In 2004, Austria reformed its pension system. The Act on the Harmonization of Austrian Pension Systems, which entered into force in January 2005, provides a uniform pension law for all occupational groups. In addition, there are efforts to align the pensionable age for women with that of men. </w:t>
      </w:r>
      <w:r>
        <w:rPr>
          <w:lang w:val="en-GB"/>
        </w:rPr>
        <w:t>Starting on</w:t>
      </w:r>
      <w:r w:rsidRPr="007A5ABC">
        <w:rPr>
          <w:lang w:val="en-GB"/>
        </w:rPr>
        <w:t xml:space="preserve"> 1</w:t>
      </w:r>
      <w:r>
        <w:rPr>
          <w:lang w:val="en-GB"/>
        </w:rPr>
        <w:t xml:space="preserve"> </w:t>
      </w:r>
      <w:r w:rsidRPr="007A5ABC">
        <w:rPr>
          <w:lang w:val="en-GB"/>
        </w:rPr>
        <w:t>January 2024 it will be raised by six months per year</w:t>
      </w:r>
      <w:r>
        <w:rPr>
          <w:lang w:val="en-GB"/>
        </w:rPr>
        <w:t>, and</w:t>
      </w:r>
      <w:r w:rsidRPr="007A5ABC">
        <w:rPr>
          <w:lang w:val="en-GB"/>
        </w:rPr>
        <w:t xml:space="preserve"> harmonization </w:t>
      </w:r>
      <w:r>
        <w:rPr>
          <w:lang w:val="en-GB"/>
        </w:rPr>
        <w:t xml:space="preserve">will be completed </w:t>
      </w:r>
      <w:r w:rsidRPr="007A5ABC">
        <w:rPr>
          <w:lang w:val="en-GB"/>
        </w:rPr>
        <w:t xml:space="preserve">by 2033. The reform also introduced a bonus/malus system for deferred and earlier retirement. </w:t>
      </w:r>
    </w:p>
    <w:p w:rsidR="00BB4848" w:rsidRPr="007A5ABC" w:rsidRDefault="00BB4848" w:rsidP="00BB4848">
      <w:pPr>
        <w:pStyle w:val="SingleTxtG"/>
        <w:numPr>
          <w:ilvl w:val="0"/>
          <w:numId w:val="9"/>
        </w:numPr>
        <w:rPr>
          <w:lang w:val="en-GB"/>
        </w:rPr>
      </w:pPr>
      <w:r w:rsidRPr="007A5ABC">
        <w:rPr>
          <w:lang w:val="en-GB"/>
        </w:rPr>
        <w:t xml:space="preserve">In spite of these measures, de facto retirement age in Austria in 2013 was 59.3 years for women compared </w:t>
      </w:r>
      <w:r>
        <w:rPr>
          <w:lang w:val="en-GB"/>
        </w:rPr>
        <w:t>with</w:t>
      </w:r>
      <w:r w:rsidRPr="007A5ABC">
        <w:rPr>
          <w:lang w:val="en-GB"/>
        </w:rPr>
        <w:t xml:space="preserve"> 59 years in 2003 and 62.9 years for men compared </w:t>
      </w:r>
      <w:r>
        <w:rPr>
          <w:lang w:val="en-GB"/>
        </w:rPr>
        <w:t>with</w:t>
      </w:r>
      <w:r w:rsidRPr="007A5ABC">
        <w:rPr>
          <w:lang w:val="en-GB"/>
        </w:rPr>
        <w:t xml:space="preserve"> 62.7 </w:t>
      </w:r>
      <w:r>
        <w:rPr>
          <w:lang w:val="en-GB"/>
        </w:rPr>
        <w:t xml:space="preserve">years </w:t>
      </w:r>
      <w:r w:rsidRPr="007A5ABC">
        <w:rPr>
          <w:lang w:val="en-GB"/>
        </w:rPr>
        <w:t>in 2003.</w:t>
      </w:r>
      <w:r w:rsidRPr="007A5ABC">
        <w:rPr>
          <w:rStyle w:val="FootnoteReference"/>
          <w:lang w:val="en-GB"/>
        </w:rPr>
        <w:footnoteReference w:id="15"/>
      </w:r>
      <w:r w:rsidRPr="007A5ABC">
        <w:rPr>
          <w:lang w:val="en-GB"/>
        </w:rPr>
        <w:t xml:space="preserve"> </w:t>
      </w:r>
      <w:r>
        <w:rPr>
          <w:lang w:val="en-GB"/>
        </w:rPr>
        <w:t xml:space="preserve">The </w:t>
      </w:r>
      <w:r w:rsidRPr="007A5ABC">
        <w:rPr>
          <w:lang w:val="en-GB"/>
        </w:rPr>
        <w:t>2014 figures show a slightly more positive trend. Early retirement is still regarded the desirable option by a large number of older workers in Austria,</w:t>
      </w:r>
      <w:r w:rsidRPr="007A5ABC">
        <w:rPr>
          <w:rStyle w:val="FootnoteReference"/>
          <w:lang w:val="en-GB"/>
        </w:rPr>
        <w:footnoteReference w:id="16"/>
      </w:r>
      <w:r w:rsidRPr="007A5ABC">
        <w:rPr>
          <w:lang w:val="en-GB"/>
        </w:rPr>
        <w:t xml:space="preserve"> as well as </w:t>
      </w:r>
      <w:r>
        <w:rPr>
          <w:lang w:val="en-GB"/>
        </w:rPr>
        <w:t xml:space="preserve">by </w:t>
      </w:r>
      <w:r w:rsidRPr="007A5ABC">
        <w:rPr>
          <w:lang w:val="en-GB"/>
        </w:rPr>
        <w:t xml:space="preserve">Austrian employers. Pensions that do not reach a minimum threshold value are increased by a compensatory supplement. </w:t>
      </w:r>
    </w:p>
    <w:p w:rsidR="00BB4848" w:rsidRPr="007A5ABC" w:rsidRDefault="00BB4848" w:rsidP="00BB4848">
      <w:pPr>
        <w:pStyle w:val="SingleTxtG"/>
        <w:numPr>
          <w:ilvl w:val="0"/>
          <w:numId w:val="9"/>
        </w:numPr>
        <w:rPr>
          <w:lang w:val="en-GB"/>
        </w:rPr>
      </w:pPr>
      <w:r w:rsidRPr="007A5ABC">
        <w:rPr>
          <w:lang w:val="en-GB"/>
        </w:rPr>
        <w:t>Sustainability of pensions in Austria is monitored by the Pension Commission</w:t>
      </w:r>
      <w:r>
        <w:rPr>
          <w:lang w:val="en-GB"/>
        </w:rPr>
        <w:t>. The Commission w</w:t>
      </w:r>
      <w:r w:rsidRPr="007A5ABC">
        <w:rPr>
          <w:lang w:val="en-GB"/>
        </w:rPr>
        <w:t xml:space="preserve">as established under the General Social Insurance Act and </w:t>
      </w:r>
      <w:r>
        <w:rPr>
          <w:lang w:val="en-GB"/>
        </w:rPr>
        <w:t xml:space="preserve">has been submitting </w:t>
      </w:r>
      <w:r w:rsidRPr="007A5ABC">
        <w:rPr>
          <w:lang w:val="en-GB"/>
        </w:rPr>
        <w:t xml:space="preserve">reports </w:t>
      </w:r>
      <w:r>
        <w:rPr>
          <w:lang w:val="en-GB"/>
        </w:rPr>
        <w:t xml:space="preserve">every three years </w:t>
      </w:r>
      <w:r w:rsidRPr="007A5ABC">
        <w:rPr>
          <w:lang w:val="en-GB"/>
        </w:rPr>
        <w:t>since 2007</w:t>
      </w:r>
      <w:r>
        <w:rPr>
          <w:lang w:val="en-GB"/>
        </w:rPr>
        <w:t xml:space="preserve"> </w:t>
      </w:r>
      <w:r w:rsidRPr="007A5ABC">
        <w:rPr>
          <w:lang w:val="en-GB"/>
        </w:rPr>
        <w:t xml:space="preserve">on the long-term financing prospects of the statutory pension scheme until 2050. The role of the Commission is to propose sustainable reform measures if it identifies financing problems. </w:t>
      </w:r>
    </w:p>
    <w:p w:rsidR="00BB4848" w:rsidRPr="007A5ABC" w:rsidRDefault="00BB4848" w:rsidP="00BB4848">
      <w:pPr>
        <w:pStyle w:val="SingleTxtG"/>
        <w:numPr>
          <w:ilvl w:val="0"/>
          <w:numId w:val="9"/>
        </w:numPr>
        <w:rPr>
          <w:lang w:val="en-GB"/>
        </w:rPr>
      </w:pPr>
      <w:r w:rsidRPr="007A5ABC">
        <w:rPr>
          <w:lang w:val="en-GB"/>
        </w:rPr>
        <w:t>There is also a means-tested minimum income scheme, which is a subsidiary safety net of last resort within the social security system. Such benefits for instance include housing assistance.</w:t>
      </w:r>
    </w:p>
    <w:p w:rsidR="00BB4848" w:rsidRPr="007A5ABC" w:rsidRDefault="00BB4848" w:rsidP="00BB4848">
      <w:pPr>
        <w:pStyle w:val="SingleTxtG"/>
        <w:numPr>
          <w:ilvl w:val="0"/>
          <w:numId w:val="9"/>
        </w:numPr>
        <w:rPr>
          <w:lang w:val="en-GB"/>
        </w:rPr>
      </w:pPr>
      <w:r w:rsidRPr="007A5ABC">
        <w:rPr>
          <w:lang w:val="en-GB"/>
        </w:rPr>
        <w:t>Social services include a range of services</w:t>
      </w:r>
      <w:r>
        <w:rPr>
          <w:lang w:val="en-GB"/>
        </w:rPr>
        <w:t>,</w:t>
      </w:r>
      <w:r w:rsidRPr="007A5ABC">
        <w:rPr>
          <w:lang w:val="en-GB"/>
        </w:rPr>
        <w:t xml:space="preserve"> including for the benefit of older persons, such as older persons’ homes and nursing homes, day-structuring and extramural services as well as housing schemes for people with special needs. </w:t>
      </w:r>
      <w:r>
        <w:rPr>
          <w:lang w:val="en-GB"/>
        </w:rPr>
        <w:t>C</w:t>
      </w:r>
      <w:r w:rsidRPr="007A5ABC">
        <w:rPr>
          <w:lang w:val="en-GB"/>
        </w:rPr>
        <w:t xml:space="preserve">oordination between </w:t>
      </w:r>
      <w:r>
        <w:rPr>
          <w:lang w:val="en-GB"/>
        </w:rPr>
        <w:t xml:space="preserve">the </w:t>
      </w:r>
      <w:r w:rsidRPr="007A5ABC">
        <w:rPr>
          <w:lang w:val="en-GB"/>
        </w:rPr>
        <w:t xml:space="preserve">different providers and between </w:t>
      </w:r>
      <w:r>
        <w:rPr>
          <w:lang w:val="en-GB"/>
        </w:rPr>
        <w:t xml:space="preserve">the </w:t>
      </w:r>
      <w:r w:rsidRPr="007A5ABC">
        <w:rPr>
          <w:lang w:val="en-GB"/>
        </w:rPr>
        <w:t xml:space="preserve">provinces in the provision of </w:t>
      </w:r>
      <w:r>
        <w:rPr>
          <w:lang w:val="en-GB"/>
        </w:rPr>
        <w:t xml:space="preserve">these </w:t>
      </w:r>
      <w:r w:rsidRPr="007A5ABC">
        <w:rPr>
          <w:lang w:val="en-GB"/>
        </w:rPr>
        <w:t>services remains an area of concern. Whereas most cash benefits and health</w:t>
      </w:r>
      <w:r>
        <w:rPr>
          <w:lang w:val="en-GB"/>
        </w:rPr>
        <w:t>-</w:t>
      </w:r>
      <w:r w:rsidRPr="007A5ABC">
        <w:rPr>
          <w:lang w:val="en-GB"/>
        </w:rPr>
        <w:t>care services in Austria are legal entitlements, there seems to be no such entitlement to the majority of social services, most of which fall within the competencies of the Länder.</w:t>
      </w:r>
      <w:r w:rsidRPr="007A5ABC">
        <w:rPr>
          <w:rStyle w:val="FootnoteReference"/>
          <w:lang w:val="en-GB"/>
        </w:rPr>
        <w:footnoteReference w:id="17"/>
      </w:r>
      <w:r w:rsidRPr="007A5ABC">
        <w:rPr>
          <w:lang w:val="en-GB"/>
        </w:rPr>
        <w:t xml:space="preserve"> </w:t>
      </w:r>
    </w:p>
    <w:p w:rsidR="00BB4848" w:rsidRPr="007A5ABC" w:rsidRDefault="00BB4848" w:rsidP="00BB4848">
      <w:pPr>
        <w:pStyle w:val="SingleTxtG"/>
        <w:numPr>
          <w:ilvl w:val="0"/>
          <w:numId w:val="9"/>
        </w:numPr>
        <w:rPr>
          <w:lang w:val="en-GB"/>
        </w:rPr>
      </w:pPr>
      <w:r>
        <w:rPr>
          <w:lang w:val="en-GB"/>
        </w:rPr>
        <w:t>The q</w:t>
      </w:r>
      <w:r w:rsidRPr="007A5ABC">
        <w:rPr>
          <w:lang w:val="en-GB"/>
        </w:rPr>
        <w:t>uantity and quality of social services varies across regions, particularly between urban and rural areas. In terms of provision of services, some social local governments run social services themselves, while other services are outsourced to non-profit organizations, associations or private providers. The public sector plays a dominant role in the area of homes for the elderly and nursing homes.</w:t>
      </w:r>
    </w:p>
    <w:p w:rsidR="00BB4848" w:rsidRPr="007A5ABC" w:rsidRDefault="00BB4848" w:rsidP="00BB4848">
      <w:pPr>
        <w:pStyle w:val="H1G"/>
        <w:outlineLvl w:val="0"/>
        <w:rPr>
          <w:lang w:val="en-GB" w:eastAsia="en-GB"/>
        </w:rPr>
      </w:pPr>
      <w:r w:rsidRPr="007A5ABC">
        <w:rPr>
          <w:lang w:val="en-GB" w:eastAsia="en-GB"/>
        </w:rPr>
        <w:tab/>
        <w:t>E.</w:t>
      </w:r>
      <w:r w:rsidRPr="007A5ABC">
        <w:rPr>
          <w:lang w:val="en-GB" w:eastAsia="en-GB"/>
        </w:rPr>
        <w:tab/>
        <w:t>Education, training and lifelong learning</w:t>
      </w:r>
    </w:p>
    <w:p w:rsidR="00BB4848" w:rsidRPr="007A5ABC" w:rsidRDefault="00BB4848" w:rsidP="00BB4848">
      <w:pPr>
        <w:pStyle w:val="SingleTxtG"/>
        <w:numPr>
          <w:ilvl w:val="0"/>
          <w:numId w:val="9"/>
        </w:numPr>
        <w:rPr>
          <w:lang w:val="en-GB"/>
        </w:rPr>
      </w:pPr>
      <w:r w:rsidRPr="007A5ABC">
        <w:rPr>
          <w:lang w:val="en-GB"/>
        </w:rPr>
        <w:t>Older persons learn differently from younger ones and have specific needs and interests. Older persons learn to do, to know, to live together and to be, with informal learning playing an important role.</w:t>
      </w:r>
      <w:r w:rsidRPr="00F03C56">
        <w:t xml:space="preserve"> </w:t>
      </w:r>
      <w:r w:rsidRPr="007A5ABC">
        <w:rPr>
          <w:lang w:val="en-GB"/>
        </w:rPr>
        <w:t xml:space="preserve">Austria has numerous projects in the fields of lifelong learning or education after retirement in order to provide equality of access to diverse learning offers. </w:t>
      </w:r>
    </w:p>
    <w:p w:rsidR="00BB4848" w:rsidRPr="007A5ABC" w:rsidRDefault="00BB4848" w:rsidP="00BB4848">
      <w:pPr>
        <w:pStyle w:val="SingleTxtG"/>
        <w:numPr>
          <w:ilvl w:val="0"/>
          <w:numId w:val="9"/>
        </w:numPr>
        <w:rPr>
          <w:lang w:val="en-GB"/>
        </w:rPr>
      </w:pPr>
      <w:r w:rsidRPr="007A5ABC">
        <w:rPr>
          <w:lang w:val="en-GB"/>
        </w:rPr>
        <w:t>A study commissioned by the Ministry</w:t>
      </w:r>
      <w:r>
        <w:rPr>
          <w:lang w:val="en-GB"/>
        </w:rPr>
        <w:t xml:space="preserve"> for </w:t>
      </w:r>
      <w:r w:rsidRPr="007A5ABC">
        <w:rPr>
          <w:lang w:val="en-GB"/>
        </w:rPr>
        <w:t>Social Affairs and Consumer Protection in 2007</w:t>
      </w:r>
      <w:r w:rsidRPr="007A5ABC">
        <w:rPr>
          <w:rStyle w:val="FootnoteReference"/>
          <w:lang w:val="en-GB"/>
        </w:rPr>
        <w:footnoteReference w:id="18"/>
      </w:r>
      <w:r w:rsidRPr="007A5ABC">
        <w:rPr>
          <w:lang w:val="en-GB"/>
        </w:rPr>
        <w:t xml:space="preserve"> showed that participation of older persons in organized forms of education and learning in Austria was relatively low. It also highlighted that education and social origin are important factors determining the participation in educational offers </w:t>
      </w:r>
      <w:r>
        <w:rPr>
          <w:lang w:val="en-GB"/>
        </w:rPr>
        <w:t>for</w:t>
      </w:r>
      <w:r w:rsidRPr="007A5ABC">
        <w:rPr>
          <w:lang w:val="en-GB"/>
        </w:rPr>
        <w:t xml:space="preserve"> older persons.</w:t>
      </w:r>
    </w:p>
    <w:p w:rsidR="00BB4848" w:rsidRPr="007A5ABC" w:rsidRDefault="00BB4848" w:rsidP="00BB4848">
      <w:pPr>
        <w:pStyle w:val="SingleTxtG"/>
        <w:numPr>
          <w:ilvl w:val="0"/>
          <w:numId w:val="9"/>
        </w:numPr>
        <w:rPr>
          <w:lang w:val="en-GB"/>
        </w:rPr>
      </w:pPr>
      <w:r w:rsidRPr="007A5ABC">
        <w:rPr>
          <w:lang w:val="en-GB"/>
        </w:rPr>
        <w:t xml:space="preserve">Ensuring access to education and training in old age requires that the living environment </w:t>
      </w:r>
      <w:r>
        <w:rPr>
          <w:lang w:val="en-GB"/>
        </w:rPr>
        <w:t>(</w:t>
      </w:r>
      <w:r w:rsidRPr="007A5ABC">
        <w:rPr>
          <w:i/>
          <w:lang w:val="en-GB"/>
        </w:rPr>
        <w:t>Lebenswelt</w:t>
      </w:r>
      <w:r>
        <w:rPr>
          <w:lang w:val="en-GB"/>
        </w:rPr>
        <w:t>)</w:t>
      </w:r>
      <w:r w:rsidRPr="00496CE8">
        <w:rPr>
          <w:lang w:val="en-GB"/>
        </w:rPr>
        <w:t xml:space="preserve"> </w:t>
      </w:r>
      <w:r w:rsidRPr="007A5ABC">
        <w:rPr>
          <w:lang w:val="en-GB"/>
        </w:rPr>
        <w:t xml:space="preserve">of older persons be taken into account in the planning and design of educational officers. This does not </w:t>
      </w:r>
      <w:r>
        <w:rPr>
          <w:lang w:val="en-GB"/>
        </w:rPr>
        <w:t xml:space="preserve">mean, </w:t>
      </w:r>
      <w:r w:rsidRPr="007A5ABC">
        <w:rPr>
          <w:lang w:val="en-GB"/>
        </w:rPr>
        <w:t>however</w:t>
      </w:r>
      <w:r>
        <w:rPr>
          <w:lang w:val="en-GB"/>
        </w:rPr>
        <w:t>,</w:t>
      </w:r>
      <w:r w:rsidRPr="007A5ABC">
        <w:rPr>
          <w:lang w:val="en-GB"/>
        </w:rPr>
        <w:t xml:space="preserve"> that educational programmes should target older persons</w:t>
      </w:r>
      <w:r>
        <w:rPr>
          <w:lang w:val="en-GB"/>
        </w:rPr>
        <w:t xml:space="preserve"> exclusively</w:t>
      </w:r>
      <w:r w:rsidRPr="007A5ABC">
        <w:rPr>
          <w:lang w:val="en-GB"/>
        </w:rPr>
        <w:t>, as this would be limit</w:t>
      </w:r>
      <w:r>
        <w:rPr>
          <w:lang w:val="en-GB"/>
        </w:rPr>
        <w:t>ing</w:t>
      </w:r>
      <w:r w:rsidRPr="007A5ABC">
        <w:rPr>
          <w:lang w:val="en-GB"/>
        </w:rPr>
        <w:t xml:space="preserve"> and could lead to creating </w:t>
      </w:r>
      <w:r>
        <w:rPr>
          <w:lang w:val="en-GB"/>
        </w:rPr>
        <w:t xml:space="preserve">spaces of </w:t>
      </w:r>
      <w:r w:rsidRPr="007A5ABC">
        <w:rPr>
          <w:lang w:val="en-GB"/>
        </w:rPr>
        <w:t xml:space="preserve">social exclusion. The Independent Expert in this regard commends Austria’s approach that regular studies at universities are open to older persons, which also helps foster intergenerational learning. This offer is used </w:t>
      </w:r>
      <w:r w:rsidRPr="00CF21FB">
        <w:rPr>
          <w:lang w:val="en-GB"/>
        </w:rPr>
        <w:t xml:space="preserve">up </w:t>
      </w:r>
      <w:r w:rsidRPr="007A5ABC">
        <w:rPr>
          <w:lang w:val="en-GB"/>
        </w:rPr>
        <w:t>to 70 per</w:t>
      </w:r>
      <w:r w:rsidRPr="00CF21FB">
        <w:rPr>
          <w:lang w:val="en-GB"/>
        </w:rPr>
        <w:t xml:space="preserve"> </w:t>
      </w:r>
      <w:r w:rsidRPr="007A5ABC">
        <w:rPr>
          <w:lang w:val="en-GB"/>
        </w:rPr>
        <w:t xml:space="preserve">cent by older women. </w:t>
      </w:r>
    </w:p>
    <w:p w:rsidR="00BB4848" w:rsidRPr="007A5ABC" w:rsidRDefault="00BB4848" w:rsidP="00BB4848">
      <w:pPr>
        <w:pStyle w:val="SingleTxtG"/>
        <w:numPr>
          <w:ilvl w:val="0"/>
          <w:numId w:val="9"/>
        </w:numPr>
        <w:rPr>
          <w:lang w:val="en-GB"/>
        </w:rPr>
      </w:pPr>
      <w:r w:rsidRPr="007A5ABC">
        <w:rPr>
          <w:lang w:val="en-GB"/>
        </w:rPr>
        <w:t xml:space="preserve">As specific pedagogical methods are required for teaching older persons, the Independent Expert was very pleased to learn that Austria is one of the few countries offering master’s </w:t>
      </w:r>
      <w:r w:rsidRPr="00CF21FB">
        <w:rPr>
          <w:lang w:val="en-GB"/>
        </w:rPr>
        <w:t xml:space="preserve">degree </w:t>
      </w:r>
      <w:r w:rsidRPr="007A5ABC">
        <w:rPr>
          <w:lang w:val="en-GB"/>
        </w:rPr>
        <w:t xml:space="preserve">programmes in gerontopedagogics. </w:t>
      </w:r>
      <w:r w:rsidRPr="00CF21FB">
        <w:rPr>
          <w:lang w:val="en-GB"/>
        </w:rPr>
        <w:t xml:space="preserve"> </w:t>
      </w:r>
    </w:p>
    <w:p w:rsidR="00BB4848" w:rsidRPr="007A5ABC" w:rsidRDefault="00BB4848" w:rsidP="00BB4848">
      <w:pPr>
        <w:pStyle w:val="SingleTxtG"/>
        <w:numPr>
          <w:ilvl w:val="0"/>
          <w:numId w:val="9"/>
        </w:numPr>
        <w:rPr>
          <w:lang w:val="en-GB"/>
        </w:rPr>
      </w:pPr>
      <w:r w:rsidRPr="007A5ABC">
        <w:rPr>
          <w:lang w:val="en-GB"/>
        </w:rPr>
        <w:t>Continu</w:t>
      </w:r>
      <w:r>
        <w:rPr>
          <w:lang w:val="en-GB"/>
        </w:rPr>
        <w:t>ous</w:t>
      </w:r>
      <w:r w:rsidRPr="007A5ABC">
        <w:rPr>
          <w:lang w:val="en-GB"/>
        </w:rPr>
        <w:t xml:space="preserve"> learning is also essential in </w:t>
      </w:r>
      <w:r>
        <w:rPr>
          <w:lang w:val="en-GB"/>
        </w:rPr>
        <w:t xml:space="preserve">the </w:t>
      </w:r>
      <w:r w:rsidRPr="007A5ABC">
        <w:rPr>
          <w:lang w:val="en-GB"/>
        </w:rPr>
        <w:t xml:space="preserve">light of </w:t>
      </w:r>
      <w:r>
        <w:rPr>
          <w:lang w:val="en-GB"/>
        </w:rPr>
        <w:t xml:space="preserve">the </w:t>
      </w:r>
      <w:r w:rsidRPr="007A5ABC">
        <w:rPr>
          <w:lang w:val="en-GB"/>
        </w:rPr>
        <w:t>very early de facto retirement</w:t>
      </w:r>
      <w:r>
        <w:rPr>
          <w:lang w:val="en-GB"/>
        </w:rPr>
        <w:t xml:space="preserve"> age in Austria</w:t>
      </w:r>
      <w:r w:rsidRPr="007A5ABC">
        <w:rPr>
          <w:lang w:val="en-GB"/>
        </w:rPr>
        <w:t xml:space="preserve">. </w:t>
      </w:r>
      <w:r>
        <w:rPr>
          <w:lang w:val="en-GB"/>
        </w:rPr>
        <w:t>Any m</w:t>
      </w:r>
      <w:r w:rsidRPr="007A5ABC">
        <w:rPr>
          <w:lang w:val="en-GB"/>
        </w:rPr>
        <w:t xml:space="preserve">easures </w:t>
      </w:r>
      <w:r>
        <w:rPr>
          <w:lang w:val="en-GB"/>
        </w:rPr>
        <w:t xml:space="preserve">taken </w:t>
      </w:r>
      <w:r w:rsidRPr="007A5ABC">
        <w:rPr>
          <w:lang w:val="en-GB"/>
        </w:rPr>
        <w:t>to discourage or reduce early retirement need to be accompanied by measures in the area of employment, including education and training</w:t>
      </w:r>
      <w:r>
        <w:rPr>
          <w:lang w:val="en-GB"/>
        </w:rPr>
        <w:t>,</w:t>
      </w:r>
      <w:r w:rsidRPr="007A5ABC">
        <w:rPr>
          <w:lang w:val="en-GB"/>
        </w:rPr>
        <w:t xml:space="preserve"> to ensure </w:t>
      </w:r>
      <w:r>
        <w:rPr>
          <w:lang w:val="en-GB"/>
        </w:rPr>
        <w:t xml:space="preserve">that </w:t>
      </w:r>
      <w:r w:rsidRPr="007A5ABC">
        <w:rPr>
          <w:lang w:val="en-GB"/>
        </w:rPr>
        <w:t xml:space="preserve">people </w:t>
      </w:r>
      <w:r>
        <w:rPr>
          <w:lang w:val="en-GB"/>
        </w:rPr>
        <w:t>can</w:t>
      </w:r>
      <w:r w:rsidRPr="007A5ABC">
        <w:rPr>
          <w:lang w:val="en-GB"/>
        </w:rPr>
        <w:t xml:space="preserve"> meet job requirements.</w:t>
      </w:r>
      <w:r>
        <w:rPr>
          <w:lang w:val="en-GB"/>
        </w:rPr>
        <w:t xml:space="preserve"> </w:t>
      </w:r>
      <w:r w:rsidRPr="00F100E9">
        <w:rPr>
          <w:rStyle w:val="CommentReference"/>
        </w:rPr>
        <w:t xml:space="preserve"> </w:t>
      </w:r>
      <w:r w:rsidRPr="007A5ABC">
        <w:rPr>
          <w:lang w:val="en-GB"/>
        </w:rPr>
        <w:t>It is</w:t>
      </w:r>
      <w:r>
        <w:rPr>
          <w:lang w:val="en-GB"/>
        </w:rPr>
        <w:t>,</w:t>
      </w:r>
      <w:r w:rsidRPr="007A5ABC">
        <w:rPr>
          <w:lang w:val="en-GB"/>
        </w:rPr>
        <w:t xml:space="preserve"> however</w:t>
      </w:r>
      <w:r>
        <w:rPr>
          <w:lang w:val="en-GB"/>
        </w:rPr>
        <w:t>,</w:t>
      </w:r>
      <w:r w:rsidRPr="007A5ABC">
        <w:rPr>
          <w:lang w:val="en-GB"/>
        </w:rPr>
        <w:t xml:space="preserve"> important not to overfocus on employability, as this will not meet the interest of older persons beyond gainful employment and hardly reaches educationally disadvantaged groups</w:t>
      </w:r>
    </w:p>
    <w:p w:rsidR="00BB4848" w:rsidRPr="007A5ABC" w:rsidRDefault="00BB4848" w:rsidP="00BB4848">
      <w:pPr>
        <w:pStyle w:val="SingleTxtG"/>
        <w:numPr>
          <w:ilvl w:val="0"/>
          <w:numId w:val="9"/>
        </w:numPr>
        <w:rPr>
          <w:lang w:val="en-GB"/>
        </w:rPr>
      </w:pPr>
      <w:r w:rsidRPr="007A5ABC">
        <w:rPr>
          <w:lang w:val="en-GB"/>
        </w:rPr>
        <w:t xml:space="preserve">Education also has another dimension </w:t>
      </w:r>
      <w:r>
        <w:rPr>
          <w:lang w:val="en-GB"/>
        </w:rPr>
        <w:t xml:space="preserve">in terms of </w:t>
      </w:r>
      <w:r w:rsidRPr="007A5ABC">
        <w:rPr>
          <w:lang w:val="en-GB"/>
        </w:rPr>
        <w:t xml:space="preserve">the situation of older persons. </w:t>
      </w:r>
      <w:r w:rsidRPr="00394FE1">
        <w:rPr>
          <w:lang w:val="en-GB"/>
        </w:rPr>
        <w:t>Better-educated</w:t>
      </w:r>
      <w:r w:rsidRPr="007A5ABC">
        <w:rPr>
          <w:lang w:val="en-GB"/>
        </w:rPr>
        <w:t xml:space="preserve"> persons usually have better</w:t>
      </w:r>
      <w:r>
        <w:rPr>
          <w:lang w:val="en-GB"/>
        </w:rPr>
        <w:t>-</w:t>
      </w:r>
      <w:r w:rsidRPr="007A5ABC">
        <w:rPr>
          <w:lang w:val="en-GB"/>
        </w:rPr>
        <w:t>paid jobs, contribute more to the social welfare system as a result and will also be less likely to be at</w:t>
      </w:r>
      <w:r>
        <w:rPr>
          <w:lang w:val="en-GB"/>
        </w:rPr>
        <w:t xml:space="preserve"> </w:t>
      </w:r>
      <w:r w:rsidRPr="007A5ABC">
        <w:rPr>
          <w:lang w:val="en-GB"/>
        </w:rPr>
        <w:t xml:space="preserve">risk of poverty in old age. </w:t>
      </w:r>
      <w:r>
        <w:rPr>
          <w:lang w:val="en-GB"/>
        </w:rPr>
        <w:t>As p</w:t>
      </w:r>
      <w:r w:rsidRPr="007A5ABC">
        <w:rPr>
          <w:lang w:val="en-GB"/>
        </w:rPr>
        <w:t xml:space="preserve">overty and social exclusion in old age are also consequences of disadvantage and discrimination suffered in the early stages of </w:t>
      </w:r>
      <w:r>
        <w:rPr>
          <w:lang w:val="en-GB"/>
        </w:rPr>
        <w:t xml:space="preserve">a person’s </w:t>
      </w:r>
      <w:r w:rsidRPr="007A5ABC">
        <w:rPr>
          <w:lang w:val="en-GB"/>
        </w:rPr>
        <w:t>life</w:t>
      </w:r>
      <w:r>
        <w:rPr>
          <w:lang w:val="en-GB"/>
        </w:rPr>
        <w:t>,</w:t>
      </w:r>
      <w:r w:rsidRPr="007A5ABC">
        <w:rPr>
          <w:lang w:val="en-GB"/>
        </w:rPr>
        <w:t xml:space="preserve"> measures must be taken long before someone turns 65, as this will, to an extent, determine the resources available in old age. For a variety of reasons</w:t>
      </w:r>
      <w:r>
        <w:rPr>
          <w:lang w:val="en-GB"/>
        </w:rPr>
        <w:t>,</w:t>
      </w:r>
      <w:r w:rsidRPr="007A5ABC">
        <w:rPr>
          <w:lang w:val="en-GB"/>
        </w:rPr>
        <w:t xml:space="preserve"> the need</w:t>
      </w:r>
      <w:r>
        <w:rPr>
          <w:lang w:val="en-GB"/>
        </w:rPr>
        <w:t>s</w:t>
      </w:r>
      <w:r w:rsidRPr="007A5ABC">
        <w:rPr>
          <w:lang w:val="en-GB"/>
        </w:rPr>
        <w:t xml:space="preserve"> for care of </w:t>
      </w:r>
      <w:r>
        <w:rPr>
          <w:lang w:val="en-GB"/>
        </w:rPr>
        <w:t xml:space="preserve">those </w:t>
      </w:r>
      <w:r w:rsidRPr="007A5ABC">
        <w:rPr>
          <w:lang w:val="en-GB"/>
        </w:rPr>
        <w:t xml:space="preserve">persons </w:t>
      </w:r>
      <w:r>
        <w:rPr>
          <w:lang w:val="en-GB"/>
        </w:rPr>
        <w:t xml:space="preserve">of </w:t>
      </w:r>
      <w:r w:rsidRPr="007A5ABC">
        <w:rPr>
          <w:lang w:val="en-GB"/>
        </w:rPr>
        <w:t xml:space="preserve">70 years </w:t>
      </w:r>
      <w:r>
        <w:rPr>
          <w:lang w:val="en-GB"/>
        </w:rPr>
        <w:t xml:space="preserve">and older who only completed their compulsory education </w:t>
      </w:r>
      <w:r w:rsidRPr="007A5ABC">
        <w:rPr>
          <w:lang w:val="en-GB"/>
        </w:rPr>
        <w:t xml:space="preserve">is </w:t>
      </w:r>
      <w:r>
        <w:rPr>
          <w:lang w:val="en-GB"/>
        </w:rPr>
        <w:t xml:space="preserve">twice that of those who hold a university qualification.  </w:t>
      </w:r>
    </w:p>
    <w:p w:rsidR="00BB4848" w:rsidRPr="007A5ABC" w:rsidRDefault="00BB4848" w:rsidP="00BB4848">
      <w:pPr>
        <w:pStyle w:val="H1G"/>
        <w:outlineLvl w:val="0"/>
        <w:rPr>
          <w:lang w:val="en-GB" w:eastAsia="en-GB"/>
        </w:rPr>
      </w:pPr>
      <w:r w:rsidRPr="007A5ABC">
        <w:rPr>
          <w:lang w:val="en-GB" w:eastAsia="en-GB"/>
        </w:rPr>
        <w:tab/>
        <w:t>F.</w:t>
      </w:r>
      <w:r w:rsidRPr="007A5ABC">
        <w:rPr>
          <w:lang w:val="en-GB" w:eastAsia="en-GB"/>
        </w:rPr>
        <w:tab/>
        <w:t>Independence and autonomy</w:t>
      </w:r>
    </w:p>
    <w:p w:rsidR="00BB4848" w:rsidRPr="007A5ABC" w:rsidRDefault="00BB4848" w:rsidP="00BB4848">
      <w:pPr>
        <w:pStyle w:val="SingleTxtG"/>
        <w:numPr>
          <w:ilvl w:val="0"/>
          <w:numId w:val="9"/>
        </w:numPr>
        <w:rPr>
          <w:lang w:val="en-GB"/>
        </w:rPr>
      </w:pPr>
      <w:r w:rsidRPr="007A5ABC">
        <w:rPr>
          <w:lang w:val="en-GB"/>
        </w:rPr>
        <w:t>Approximately 55,000 persons are estimated to have a legal guardian in Austria. Half of the</w:t>
      </w:r>
      <w:r w:rsidRPr="009331EF">
        <w:rPr>
          <w:lang w:val="en-GB"/>
        </w:rPr>
        <w:t>se</w:t>
      </w:r>
      <w:r w:rsidRPr="007A5ABC">
        <w:rPr>
          <w:lang w:val="en-GB"/>
        </w:rPr>
        <w:t xml:space="preserve"> are under guardianship in respect of all aspects of life.</w:t>
      </w:r>
      <w:r w:rsidRPr="007A5ABC">
        <w:rPr>
          <w:rStyle w:val="FootnoteReference"/>
          <w:lang w:val="en-GB"/>
        </w:rPr>
        <w:footnoteReference w:id="19"/>
      </w:r>
      <w:r w:rsidRPr="007A5ABC">
        <w:rPr>
          <w:lang w:val="en-GB"/>
        </w:rPr>
        <w:t xml:space="preserve"> The number has </w:t>
      </w:r>
      <w:r>
        <w:rPr>
          <w:lang w:val="en-GB"/>
        </w:rPr>
        <w:t xml:space="preserve">greatly </w:t>
      </w:r>
      <w:r w:rsidRPr="007A5ABC">
        <w:rPr>
          <w:lang w:val="en-GB"/>
        </w:rPr>
        <w:t xml:space="preserve">increased in recent years and will </w:t>
      </w:r>
      <w:r>
        <w:rPr>
          <w:lang w:val="en-GB"/>
        </w:rPr>
        <w:t xml:space="preserve">continue to </w:t>
      </w:r>
      <w:r w:rsidRPr="007A5ABC">
        <w:rPr>
          <w:lang w:val="en-GB"/>
        </w:rPr>
        <w:t>rise</w:t>
      </w:r>
      <w:r>
        <w:rPr>
          <w:lang w:val="en-GB"/>
        </w:rPr>
        <w:t>,</w:t>
      </w:r>
      <w:r w:rsidRPr="007A5ABC">
        <w:rPr>
          <w:lang w:val="en-GB"/>
        </w:rPr>
        <w:t xml:space="preserve"> given the intensity of ag</w:t>
      </w:r>
      <w:r>
        <w:rPr>
          <w:lang w:val="en-GB"/>
        </w:rPr>
        <w:t>e</w:t>
      </w:r>
      <w:r w:rsidRPr="007A5ABC">
        <w:rPr>
          <w:lang w:val="en-GB"/>
        </w:rPr>
        <w:t>ing in Austria.</w:t>
      </w:r>
    </w:p>
    <w:p w:rsidR="00BB4848" w:rsidRPr="007A5ABC" w:rsidRDefault="00BB4848" w:rsidP="00BB4848">
      <w:pPr>
        <w:pStyle w:val="SingleTxtG"/>
        <w:numPr>
          <w:ilvl w:val="0"/>
          <w:numId w:val="9"/>
        </w:numPr>
        <w:rPr>
          <w:lang w:val="en-GB"/>
        </w:rPr>
      </w:pPr>
      <w:r w:rsidRPr="007A5ABC">
        <w:rPr>
          <w:lang w:val="en-GB"/>
        </w:rPr>
        <w:t xml:space="preserve">The amendment </w:t>
      </w:r>
      <w:r>
        <w:rPr>
          <w:lang w:val="en-GB"/>
        </w:rPr>
        <w:t xml:space="preserve">to </w:t>
      </w:r>
      <w:r w:rsidRPr="007A5ABC">
        <w:rPr>
          <w:lang w:val="en-GB"/>
        </w:rPr>
        <w:t>the Legal Guardianship Law, which entered into force in 2006, was an important step to</w:t>
      </w:r>
      <w:r>
        <w:rPr>
          <w:lang w:val="en-GB"/>
        </w:rPr>
        <w:t>wards</w:t>
      </w:r>
      <w:r w:rsidRPr="007A5ABC">
        <w:rPr>
          <w:lang w:val="en-GB"/>
        </w:rPr>
        <w:t xml:space="preserve"> strengthen</w:t>
      </w:r>
      <w:r>
        <w:rPr>
          <w:lang w:val="en-GB"/>
        </w:rPr>
        <w:t>ing</w:t>
      </w:r>
      <w:r w:rsidRPr="007A5ABC">
        <w:rPr>
          <w:lang w:val="en-GB"/>
        </w:rPr>
        <w:t xml:space="preserve"> the self-determination of older persons and persons with intellectual or psychosocial disabilities. </w:t>
      </w:r>
      <w:r>
        <w:rPr>
          <w:lang w:val="en-GB"/>
        </w:rPr>
        <w:t>It</w:t>
      </w:r>
      <w:r w:rsidRPr="007A5ABC">
        <w:rPr>
          <w:lang w:val="en-GB"/>
        </w:rPr>
        <w:t xml:space="preserve"> introduced the concept of enduring power of attorney</w:t>
      </w:r>
      <w:r>
        <w:rPr>
          <w:lang w:val="en-GB"/>
        </w:rPr>
        <w:t>,</w:t>
      </w:r>
      <w:r w:rsidRPr="007A5ABC">
        <w:rPr>
          <w:lang w:val="en-GB"/>
        </w:rPr>
        <w:t xml:space="preserve"> through which people may appoint a person of trust as their future representative when they still have the necessary legal capacity, ability to reason, to judge and to express themselves. Another element strengthening self-determination is a person’s right to state their preference regarding a potential future legal guardian in a written nomination of legal guardianship.</w:t>
      </w:r>
    </w:p>
    <w:p w:rsidR="00BB4848" w:rsidRPr="007A5ABC" w:rsidRDefault="00BB4848" w:rsidP="00BB4848">
      <w:pPr>
        <w:pStyle w:val="SingleTxtG"/>
        <w:numPr>
          <w:ilvl w:val="0"/>
          <w:numId w:val="9"/>
        </w:numPr>
        <w:rPr>
          <w:lang w:val="en-GB"/>
        </w:rPr>
      </w:pPr>
      <w:r>
        <w:rPr>
          <w:lang w:val="en-GB"/>
        </w:rPr>
        <w:t>I</w:t>
      </w:r>
      <w:r w:rsidRPr="008323EC">
        <w:rPr>
          <w:lang w:val="en-GB"/>
        </w:rPr>
        <w:t>n September 2013</w:t>
      </w:r>
      <w:r>
        <w:rPr>
          <w:lang w:val="en-GB"/>
        </w:rPr>
        <w:t>,</w:t>
      </w:r>
      <w:r w:rsidRPr="008323EC">
        <w:rPr>
          <w:lang w:val="en-GB"/>
        </w:rPr>
        <w:t xml:space="preserve"> </w:t>
      </w:r>
      <w:r>
        <w:rPr>
          <w:lang w:val="en-GB"/>
        </w:rPr>
        <w:t>t</w:t>
      </w:r>
      <w:r w:rsidRPr="007A5ABC">
        <w:rPr>
          <w:lang w:val="en-GB"/>
        </w:rPr>
        <w:t>he Committee on the Rights of Persons with Disabilities noted</w:t>
      </w:r>
      <w:r>
        <w:rPr>
          <w:lang w:val="en-GB"/>
        </w:rPr>
        <w:t xml:space="preserve">, however, </w:t>
      </w:r>
      <w:r w:rsidRPr="007A5ABC">
        <w:rPr>
          <w:lang w:val="en-GB"/>
        </w:rPr>
        <w:t>that Austrian guardianship laws appear</w:t>
      </w:r>
      <w:r>
        <w:rPr>
          <w:lang w:val="en-GB"/>
        </w:rPr>
        <w:t>ed</w:t>
      </w:r>
      <w:r w:rsidRPr="007A5ABC">
        <w:rPr>
          <w:lang w:val="en-GB"/>
        </w:rPr>
        <w:t xml:space="preserve"> to be old</w:t>
      </w:r>
      <w:r>
        <w:rPr>
          <w:lang w:val="en-GB"/>
        </w:rPr>
        <w:t xml:space="preserve"> </w:t>
      </w:r>
      <w:r w:rsidRPr="007A5ABC">
        <w:rPr>
          <w:lang w:val="en-GB"/>
        </w:rPr>
        <w:t>fashioned and out</w:t>
      </w:r>
      <w:r>
        <w:rPr>
          <w:lang w:val="en-GB"/>
        </w:rPr>
        <w:t xml:space="preserve"> </w:t>
      </w:r>
      <w:r w:rsidRPr="007A5ABC">
        <w:rPr>
          <w:lang w:val="en-GB"/>
        </w:rPr>
        <w:t>of</w:t>
      </w:r>
      <w:r>
        <w:rPr>
          <w:lang w:val="en-GB"/>
        </w:rPr>
        <w:t xml:space="preserve"> </w:t>
      </w:r>
      <w:r w:rsidRPr="007A5ABC">
        <w:rPr>
          <w:lang w:val="en-GB"/>
        </w:rPr>
        <w:t>step with the provisions of article 12 of the Convention on the Rights of Persons with Disabilities. During her visit</w:t>
      </w:r>
      <w:r>
        <w:rPr>
          <w:lang w:val="en-GB"/>
        </w:rPr>
        <w:t>,</w:t>
      </w:r>
      <w:r w:rsidRPr="007A5ABC">
        <w:rPr>
          <w:lang w:val="en-GB"/>
        </w:rPr>
        <w:t xml:space="preserve"> the Independent Expert was also informed that numerous complaints </w:t>
      </w:r>
      <w:r>
        <w:rPr>
          <w:lang w:val="en-GB"/>
        </w:rPr>
        <w:t>had been</w:t>
      </w:r>
      <w:r w:rsidRPr="007A5ABC">
        <w:rPr>
          <w:lang w:val="en-GB"/>
        </w:rPr>
        <w:t xml:space="preserve"> brought to the attention of the Austrian Ombudsman Board </w:t>
      </w:r>
      <w:r w:rsidRPr="009331EF">
        <w:rPr>
          <w:lang w:val="en-GB"/>
        </w:rPr>
        <w:t>in</w:t>
      </w:r>
      <w:r>
        <w:rPr>
          <w:lang w:val="en-GB"/>
        </w:rPr>
        <w:t xml:space="preserve"> this connection. </w:t>
      </w:r>
      <w:r w:rsidRPr="007A5ABC">
        <w:rPr>
          <w:lang w:val="en-GB"/>
        </w:rPr>
        <w:t>The Independent Expert was pleased to learn that legal capacity and the introduction of supported autonomous decision-making for persons with intellectual or psychosocial disabilities were currently under discussion in Austria.</w:t>
      </w:r>
    </w:p>
    <w:p w:rsidR="00BB4848" w:rsidRPr="007A5ABC" w:rsidRDefault="00BB4848" w:rsidP="00BB4848">
      <w:pPr>
        <w:pStyle w:val="SingleTxtG"/>
        <w:numPr>
          <w:ilvl w:val="0"/>
          <w:numId w:val="9"/>
        </w:numPr>
        <w:rPr>
          <w:lang w:val="en-GB"/>
        </w:rPr>
      </w:pPr>
      <w:r w:rsidRPr="007A5ABC">
        <w:rPr>
          <w:lang w:val="en-GB"/>
        </w:rPr>
        <w:t xml:space="preserve">While progress </w:t>
      </w:r>
      <w:r>
        <w:rPr>
          <w:lang w:val="en-GB"/>
        </w:rPr>
        <w:t>has been</w:t>
      </w:r>
      <w:r w:rsidRPr="007A5ABC">
        <w:rPr>
          <w:lang w:val="en-GB"/>
        </w:rPr>
        <w:t xml:space="preserve"> made in recent years in the area of accessibility of buildings, transportation and information, accessibility remains poor outside urban areas. A number of cities and Länder have developed plans for improving accessibility to facilities, but there is no uniform countrywide </w:t>
      </w:r>
      <w:r>
        <w:rPr>
          <w:lang w:val="en-GB"/>
        </w:rPr>
        <w:t>plan</w:t>
      </w:r>
      <w:r w:rsidRPr="007A5ABC">
        <w:rPr>
          <w:lang w:val="en-GB"/>
        </w:rPr>
        <w:t xml:space="preserve"> to provide comprehensive barrier-free accessibility</w:t>
      </w:r>
      <w:r>
        <w:rPr>
          <w:lang w:val="en-GB"/>
        </w:rPr>
        <w:t xml:space="preserve">. Neither are </w:t>
      </w:r>
      <w:r w:rsidRPr="007A5ABC">
        <w:rPr>
          <w:lang w:val="en-GB"/>
        </w:rPr>
        <w:t xml:space="preserve">there </w:t>
      </w:r>
      <w:r>
        <w:rPr>
          <w:lang w:val="en-GB"/>
        </w:rPr>
        <w:t>any</w:t>
      </w:r>
      <w:r w:rsidRPr="007A5ABC">
        <w:rPr>
          <w:lang w:val="en-GB"/>
        </w:rPr>
        <w:t xml:space="preserve"> mandatory provisions </w:t>
      </w:r>
      <w:r>
        <w:rPr>
          <w:lang w:val="en-GB"/>
        </w:rPr>
        <w:t xml:space="preserve">concerning </w:t>
      </w:r>
      <w:r w:rsidRPr="007A5ABC">
        <w:rPr>
          <w:lang w:val="en-GB"/>
        </w:rPr>
        <w:t>the implementation of barrier-free access and</w:t>
      </w:r>
      <w:r>
        <w:rPr>
          <w:lang w:val="en-GB"/>
        </w:rPr>
        <w:t>,</w:t>
      </w:r>
      <w:r w:rsidRPr="007A5ABC">
        <w:rPr>
          <w:lang w:val="en-GB"/>
        </w:rPr>
        <w:t xml:space="preserve"> most importantly, the elimination of existing barriers.</w:t>
      </w:r>
    </w:p>
    <w:p w:rsidR="00BB4848" w:rsidRPr="007A5ABC" w:rsidRDefault="00BB4848" w:rsidP="00BB4848">
      <w:pPr>
        <w:pStyle w:val="SingleTxtG"/>
        <w:numPr>
          <w:ilvl w:val="0"/>
          <w:numId w:val="9"/>
        </w:numPr>
        <w:rPr>
          <w:lang w:val="en-GB"/>
        </w:rPr>
      </w:pPr>
      <w:r>
        <w:rPr>
          <w:lang w:val="en-GB"/>
        </w:rPr>
        <w:t>A</w:t>
      </w:r>
      <w:r w:rsidRPr="007A5ABC">
        <w:rPr>
          <w:lang w:val="en-GB"/>
        </w:rPr>
        <w:t xml:space="preserve">ccessibility in rural areas is more restricted than in urban </w:t>
      </w:r>
      <w:r>
        <w:rPr>
          <w:lang w:val="en-GB"/>
        </w:rPr>
        <w:t>areas</w:t>
      </w:r>
      <w:r w:rsidRPr="007A5ABC">
        <w:rPr>
          <w:lang w:val="en-GB"/>
        </w:rPr>
        <w:t xml:space="preserve">. Distances to facilities for everyday activities are longer, and destinations and spatial structures are often too dispersed for organizing efficient and dense public transport. </w:t>
      </w:r>
    </w:p>
    <w:p w:rsidR="00BB4848" w:rsidRPr="007A5ABC" w:rsidRDefault="00BB4848" w:rsidP="00BB4848">
      <w:pPr>
        <w:pStyle w:val="H1G"/>
        <w:outlineLvl w:val="0"/>
        <w:rPr>
          <w:lang w:val="en-GB" w:eastAsia="en-GB"/>
        </w:rPr>
      </w:pPr>
      <w:r w:rsidRPr="007A5ABC">
        <w:rPr>
          <w:lang w:val="en-GB" w:eastAsia="en-GB"/>
        </w:rPr>
        <w:tab/>
        <w:t>G.</w:t>
      </w:r>
      <w:r w:rsidRPr="007A5ABC">
        <w:rPr>
          <w:lang w:val="en-GB" w:eastAsia="en-GB"/>
        </w:rPr>
        <w:tab/>
        <w:t>Care</w:t>
      </w:r>
    </w:p>
    <w:p w:rsidR="00BB4848" w:rsidRPr="007A5ABC" w:rsidRDefault="00BB4848" w:rsidP="00BB4848">
      <w:pPr>
        <w:pStyle w:val="SingleTxtG"/>
        <w:numPr>
          <w:ilvl w:val="0"/>
          <w:numId w:val="9"/>
        </w:numPr>
        <w:rPr>
          <w:lang w:val="en-GB"/>
        </w:rPr>
      </w:pPr>
      <w:r w:rsidRPr="007A5ABC">
        <w:rPr>
          <w:lang w:val="en-GB"/>
        </w:rPr>
        <w:t>Health care in Austria is based on a social</w:t>
      </w:r>
      <w:r>
        <w:rPr>
          <w:lang w:val="en-GB"/>
        </w:rPr>
        <w:t>-</w:t>
      </w:r>
      <w:r w:rsidRPr="007A5ABC">
        <w:rPr>
          <w:lang w:val="en-GB"/>
        </w:rPr>
        <w:t>insurance model that guarantees all inhabitants equitable access and a legal right to health services. The principle of statutory health insurance, together with the co-insurance dependents (children and non-working partners), ensures coverage of 99.9 per cent of the population. The main legislative basis is the General Social Insurance Act.</w:t>
      </w:r>
    </w:p>
    <w:p w:rsidR="00BB4848" w:rsidRPr="007A5ABC" w:rsidRDefault="00BB4848" w:rsidP="00BB4848">
      <w:pPr>
        <w:pStyle w:val="SingleTxtG"/>
        <w:numPr>
          <w:ilvl w:val="0"/>
          <w:numId w:val="9"/>
        </w:numPr>
        <w:rPr>
          <w:lang w:val="en-GB"/>
        </w:rPr>
      </w:pPr>
      <w:r w:rsidRPr="007A5ABC">
        <w:rPr>
          <w:lang w:val="en-GB"/>
        </w:rPr>
        <w:t xml:space="preserve">Competencies in the areas of health and care are fragmented, both </w:t>
      </w:r>
      <w:r>
        <w:rPr>
          <w:lang w:val="en-GB"/>
        </w:rPr>
        <w:t xml:space="preserve">regarding </w:t>
      </w:r>
      <w:r w:rsidRPr="007A5ABC">
        <w:rPr>
          <w:lang w:val="en-GB"/>
        </w:rPr>
        <w:t>legislati</w:t>
      </w:r>
      <w:r>
        <w:rPr>
          <w:lang w:val="en-GB"/>
        </w:rPr>
        <w:t xml:space="preserve">on and </w:t>
      </w:r>
      <w:r w:rsidRPr="007A5ABC">
        <w:rPr>
          <w:lang w:val="en-GB"/>
        </w:rPr>
        <w:t xml:space="preserve">implementation. The division of financial responsibilities </w:t>
      </w:r>
      <w:r>
        <w:rPr>
          <w:lang w:val="en-GB"/>
        </w:rPr>
        <w:t>among</w:t>
      </w:r>
      <w:r w:rsidRPr="007A5ABC">
        <w:rPr>
          <w:lang w:val="en-GB"/>
        </w:rPr>
        <w:t xml:space="preserve"> the federal authorities</w:t>
      </w:r>
      <w:r>
        <w:rPr>
          <w:lang w:val="en-GB"/>
        </w:rPr>
        <w:t>—</w:t>
      </w:r>
      <w:r w:rsidRPr="007A5ABC">
        <w:rPr>
          <w:lang w:val="en-GB"/>
        </w:rPr>
        <w:t>the Länder, municipalities and social security agencies</w:t>
      </w:r>
      <w:r>
        <w:rPr>
          <w:lang w:val="en-GB"/>
        </w:rPr>
        <w:t>—</w:t>
      </w:r>
      <w:r w:rsidRPr="007A5ABC">
        <w:rPr>
          <w:lang w:val="en-GB"/>
        </w:rPr>
        <w:t>does not necessarily match the general division of responsibilities for tasks and expenditure, even though the 2012 reform brought some improvement in this area.</w:t>
      </w:r>
      <w:r>
        <w:rPr>
          <w:lang w:val="en-GB"/>
        </w:rPr>
        <w:t xml:space="preserve"> </w:t>
      </w:r>
    </w:p>
    <w:p w:rsidR="00BB4848" w:rsidRPr="007A5ABC" w:rsidRDefault="00BB4848" w:rsidP="00BB4848">
      <w:pPr>
        <w:pStyle w:val="SingleTxtG"/>
        <w:numPr>
          <w:ilvl w:val="0"/>
          <w:numId w:val="9"/>
        </w:numPr>
        <w:rPr>
          <w:lang w:val="en-GB"/>
        </w:rPr>
      </w:pPr>
      <w:r w:rsidRPr="007A5ABC">
        <w:rPr>
          <w:lang w:val="en-GB"/>
        </w:rPr>
        <w:t>The main actors in the area of health at federal level are the Ministr</w:t>
      </w:r>
      <w:r>
        <w:rPr>
          <w:lang w:val="en-GB"/>
        </w:rPr>
        <w:t>y</w:t>
      </w:r>
      <w:r w:rsidRPr="007A5ABC">
        <w:rPr>
          <w:lang w:val="en-GB"/>
        </w:rPr>
        <w:t xml:space="preserve"> of Health</w:t>
      </w:r>
      <w:r>
        <w:rPr>
          <w:lang w:val="en-GB"/>
        </w:rPr>
        <w:t>,</w:t>
      </w:r>
      <w:r w:rsidRPr="007A5ABC">
        <w:rPr>
          <w:lang w:val="en-GB"/>
        </w:rPr>
        <w:t xml:space="preserve"> </w:t>
      </w:r>
      <w:r>
        <w:rPr>
          <w:lang w:val="en-GB"/>
        </w:rPr>
        <w:t xml:space="preserve">the Ministry </w:t>
      </w:r>
      <w:r w:rsidRPr="007A5ABC">
        <w:rPr>
          <w:lang w:val="en-GB"/>
        </w:rPr>
        <w:t>of Labour, Social Affairs and Consumer Protection</w:t>
      </w:r>
      <w:r>
        <w:rPr>
          <w:lang w:val="en-GB"/>
        </w:rPr>
        <w:t>,</w:t>
      </w:r>
      <w:r w:rsidRPr="007A5ABC">
        <w:rPr>
          <w:lang w:val="en-GB"/>
        </w:rPr>
        <w:t xml:space="preserve"> the social</w:t>
      </w:r>
      <w:r>
        <w:rPr>
          <w:lang w:val="en-GB"/>
        </w:rPr>
        <w:t xml:space="preserve"> </w:t>
      </w:r>
      <w:r w:rsidRPr="007A5ABC">
        <w:rPr>
          <w:lang w:val="en-GB"/>
        </w:rPr>
        <w:t xml:space="preserve">security institutions and </w:t>
      </w:r>
      <w:r>
        <w:rPr>
          <w:lang w:val="en-GB"/>
        </w:rPr>
        <w:t xml:space="preserve">the </w:t>
      </w:r>
      <w:r w:rsidRPr="007A5ABC">
        <w:rPr>
          <w:lang w:val="en-GB"/>
        </w:rPr>
        <w:t>social partners. The Ministry of Health prepares laws, is responsible for the protection of public health</w:t>
      </w:r>
      <w:r>
        <w:rPr>
          <w:lang w:val="en-GB"/>
        </w:rPr>
        <w:t>,</w:t>
      </w:r>
      <w:r w:rsidRPr="007A5ABC">
        <w:rPr>
          <w:lang w:val="en-GB"/>
        </w:rPr>
        <w:t xml:space="preserve"> as well as overall health policy</w:t>
      </w:r>
      <w:r>
        <w:rPr>
          <w:lang w:val="en-GB"/>
        </w:rPr>
        <w:t>,</w:t>
      </w:r>
      <w:r w:rsidRPr="007A5ABC">
        <w:rPr>
          <w:lang w:val="en-GB"/>
        </w:rPr>
        <w:t xml:space="preserve"> and functions as facilitator between the different players in the health</w:t>
      </w:r>
      <w:r>
        <w:rPr>
          <w:lang w:val="en-GB"/>
        </w:rPr>
        <w:t>-</w:t>
      </w:r>
      <w:r w:rsidRPr="007A5ABC">
        <w:rPr>
          <w:lang w:val="en-GB"/>
        </w:rPr>
        <w:t>care system, and also as decision maker and supervisory authority. For instance, while the Government is responsible for outpatient care legislation, responsibility for inpatient care (</w:t>
      </w:r>
      <w:r>
        <w:rPr>
          <w:lang w:val="en-GB"/>
        </w:rPr>
        <w:t xml:space="preserve">i.e. </w:t>
      </w:r>
      <w:r w:rsidRPr="007A5ABC">
        <w:rPr>
          <w:lang w:val="en-GB"/>
        </w:rPr>
        <w:t xml:space="preserve">in hospitals) is shared between the federal and the provincial level: the </w:t>
      </w:r>
      <w:r>
        <w:rPr>
          <w:lang w:val="en-GB"/>
        </w:rPr>
        <w:t xml:space="preserve">federal </w:t>
      </w:r>
      <w:r w:rsidRPr="007A5ABC">
        <w:rPr>
          <w:lang w:val="en-GB"/>
        </w:rPr>
        <w:t xml:space="preserve">Government provides the framework legislation, while legislation on implementation and enforcement falls </w:t>
      </w:r>
      <w:r>
        <w:rPr>
          <w:lang w:val="en-GB"/>
        </w:rPr>
        <w:t xml:space="preserve">under </w:t>
      </w:r>
      <w:r w:rsidRPr="007A5ABC">
        <w:rPr>
          <w:lang w:val="en-GB"/>
        </w:rPr>
        <w:t>the responsibility of the Länder. While recent health</w:t>
      </w:r>
      <w:r>
        <w:rPr>
          <w:lang w:val="en-GB"/>
        </w:rPr>
        <w:t>-</w:t>
      </w:r>
      <w:r w:rsidRPr="007A5ABC">
        <w:rPr>
          <w:lang w:val="en-GB"/>
        </w:rPr>
        <w:t>care reforms</w:t>
      </w:r>
      <w:r w:rsidRPr="00806FA6">
        <w:rPr>
          <w:rStyle w:val="FootnoteReference"/>
          <w:lang w:val="en-GB"/>
        </w:rPr>
        <w:footnoteReference w:id="20"/>
      </w:r>
      <w:r w:rsidRPr="00806FA6">
        <w:rPr>
          <w:lang w:val="en-GB"/>
        </w:rPr>
        <w:t xml:space="preserve"> </w:t>
      </w:r>
      <w:r>
        <w:rPr>
          <w:lang w:val="en-GB"/>
        </w:rPr>
        <w:t xml:space="preserve">have </w:t>
      </w:r>
      <w:r w:rsidRPr="00806FA6">
        <w:rPr>
          <w:lang w:val="en-GB"/>
        </w:rPr>
        <w:t xml:space="preserve">contributed to alleviate </w:t>
      </w:r>
      <w:r>
        <w:rPr>
          <w:lang w:val="en-GB"/>
        </w:rPr>
        <w:t>some</w:t>
      </w:r>
      <w:r w:rsidRPr="00806FA6">
        <w:rPr>
          <w:lang w:val="en-GB"/>
        </w:rPr>
        <w:t xml:space="preserve"> of the problems, t</w:t>
      </w:r>
      <w:r w:rsidRPr="007A5ABC">
        <w:rPr>
          <w:lang w:val="en-GB"/>
        </w:rPr>
        <w:t>he overall fragmentation leads to conflicts of interests, lack of transparency, overlaps and governance deficits.</w:t>
      </w:r>
    </w:p>
    <w:p w:rsidR="00BB4848" w:rsidRPr="007A5ABC" w:rsidRDefault="00BB4848" w:rsidP="00BB4848">
      <w:pPr>
        <w:pStyle w:val="H23G"/>
        <w:rPr>
          <w:lang w:val="en-GB"/>
        </w:rPr>
      </w:pPr>
      <w:r w:rsidRPr="00806FA6">
        <w:rPr>
          <w:lang w:val="en-GB"/>
        </w:rPr>
        <w:tab/>
      </w:r>
      <w:r w:rsidRPr="007A5ABC">
        <w:rPr>
          <w:lang w:val="en-GB"/>
        </w:rPr>
        <w:t>1.</w:t>
      </w:r>
      <w:r w:rsidRPr="007A5ABC">
        <w:rPr>
          <w:lang w:val="en-GB"/>
        </w:rPr>
        <w:tab/>
        <w:t>Home and family care</w:t>
      </w:r>
    </w:p>
    <w:p w:rsidR="00BB4848" w:rsidRPr="007A5ABC" w:rsidRDefault="00BB4848" w:rsidP="00BB4848">
      <w:pPr>
        <w:pStyle w:val="SingleTxtG"/>
        <w:numPr>
          <w:ilvl w:val="0"/>
          <w:numId w:val="9"/>
        </w:numPr>
        <w:rPr>
          <w:lang w:val="en-GB"/>
        </w:rPr>
      </w:pPr>
      <w:r>
        <w:rPr>
          <w:lang w:val="en-GB"/>
        </w:rPr>
        <w:t>In Austria, h</w:t>
      </w:r>
      <w:r w:rsidRPr="007A5ABC">
        <w:rPr>
          <w:lang w:val="en-GB"/>
        </w:rPr>
        <w:t xml:space="preserve">ome care is the most common form of care for older persons; </w:t>
      </w:r>
      <w:r>
        <w:rPr>
          <w:lang w:val="en-GB"/>
        </w:rPr>
        <w:t xml:space="preserve">with </w:t>
      </w:r>
      <w:r w:rsidRPr="007A5ABC">
        <w:rPr>
          <w:lang w:val="en-GB"/>
        </w:rPr>
        <w:t xml:space="preserve">institutional and community care services </w:t>
      </w:r>
      <w:r>
        <w:rPr>
          <w:lang w:val="en-GB"/>
        </w:rPr>
        <w:t>being</w:t>
      </w:r>
      <w:r w:rsidRPr="007A5ABC">
        <w:rPr>
          <w:lang w:val="en-GB"/>
        </w:rPr>
        <w:t xml:space="preserve"> relatively scarce. In 2007</w:t>
      </w:r>
      <w:r>
        <w:rPr>
          <w:lang w:val="en-GB"/>
        </w:rPr>
        <w:t>,</w:t>
      </w:r>
      <w:r w:rsidRPr="007A5ABC">
        <w:rPr>
          <w:lang w:val="en-GB"/>
        </w:rPr>
        <w:t xml:space="preserve"> Austria adopted the Home</w:t>
      </w:r>
      <w:r>
        <w:rPr>
          <w:lang w:val="en-GB"/>
        </w:rPr>
        <w:t xml:space="preserve"> </w:t>
      </w:r>
      <w:r w:rsidRPr="007A5ABC">
        <w:rPr>
          <w:lang w:val="en-GB"/>
        </w:rPr>
        <w:t>Care Act</w:t>
      </w:r>
      <w:r w:rsidRPr="007B6F0B">
        <w:rPr>
          <w:lang w:val="en-GB"/>
        </w:rPr>
        <w:t>,</w:t>
      </w:r>
      <w:r w:rsidRPr="007A5ABC">
        <w:rPr>
          <w:rStyle w:val="FootnoteReference"/>
          <w:lang w:val="en-GB"/>
        </w:rPr>
        <w:footnoteReference w:id="21"/>
      </w:r>
      <w:r w:rsidRPr="007A5ABC">
        <w:rPr>
          <w:lang w:val="en-GB"/>
        </w:rPr>
        <w:t xml:space="preserve"> which provides a legal framework for 24-hour care for care-needing people in private households. This was an important improvement to formalize services mostly provided on an informal basis until then, </w:t>
      </w:r>
      <w:r>
        <w:rPr>
          <w:lang w:val="en-GB"/>
        </w:rPr>
        <w:t xml:space="preserve">which </w:t>
      </w:r>
      <w:r w:rsidRPr="007A5ABC">
        <w:rPr>
          <w:lang w:val="en-GB"/>
        </w:rPr>
        <w:t>contraven</w:t>
      </w:r>
      <w:r>
        <w:rPr>
          <w:lang w:val="en-GB"/>
        </w:rPr>
        <w:t>ed</w:t>
      </w:r>
      <w:r w:rsidRPr="007A5ABC">
        <w:rPr>
          <w:lang w:val="en-GB"/>
        </w:rPr>
        <w:t xml:space="preserve"> several legal provisions, including on social security, taxes, professional qualification, and immigration. The Act allows caregiver</w:t>
      </w:r>
      <w:r>
        <w:rPr>
          <w:lang w:val="en-GB"/>
        </w:rPr>
        <w:t>s</w:t>
      </w:r>
      <w:r w:rsidRPr="007A5ABC">
        <w:rPr>
          <w:lang w:val="en-GB"/>
        </w:rPr>
        <w:t xml:space="preserve"> to provide services as self-employed </w:t>
      </w:r>
      <w:r>
        <w:rPr>
          <w:lang w:val="en-GB"/>
        </w:rPr>
        <w:t xml:space="preserve">persons </w:t>
      </w:r>
      <w:r w:rsidRPr="007A5ABC">
        <w:rPr>
          <w:lang w:val="en-GB"/>
        </w:rPr>
        <w:t>or dependent employee</w:t>
      </w:r>
      <w:r>
        <w:rPr>
          <w:lang w:val="en-GB"/>
        </w:rPr>
        <w:t>s</w:t>
      </w:r>
      <w:r w:rsidRPr="007A5ABC">
        <w:rPr>
          <w:lang w:val="en-GB"/>
        </w:rPr>
        <w:t xml:space="preserve">. </w:t>
      </w:r>
    </w:p>
    <w:p w:rsidR="00BB4848" w:rsidRPr="007A5ABC" w:rsidRDefault="00BB4848" w:rsidP="00BB4848">
      <w:pPr>
        <w:pStyle w:val="SingleTxtG"/>
        <w:numPr>
          <w:ilvl w:val="0"/>
          <w:numId w:val="9"/>
        </w:numPr>
        <w:rPr>
          <w:lang w:val="en-GB"/>
        </w:rPr>
      </w:pPr>
      <w:r w:rsidRPr="007A5ABC">
        <w:rPr>
          <w:lang w:val="en-GB"/>
        </w:rPr>
        <w:t xml:space="preserve">There are </w:t>
      </w:r>
      <w:r>
        <w:rPr>
          <w:lang w:val="en-GB"/>
        </w:rPr>
        <w:t xml:space="preserve">a </w:t>
      </w:r>
      <w:r w:rsidRPr="007A5ABC">
        <w:rPr>
          <w:lang w:val="en-GB"/>
        </w:rPr>
        <w:t xml:space="preserve">number of services to support family carers, such as </w:t>
      </w:r>
      <w:r w:rsidRPr="00850E08">
        <w:rPr>
          <w:lang w:val="en-GB"/>
        </w:rPr>
        <w:t>counselling</w:t>
      </w:r>
      <w:r>
        <w:rPr>
          <w:lang w:val="en-GB"/>
        </w:rPr>
        <w:t xml:space="preserve"> and </w:t>
      </w:r>
      <w:r w:rsidRPr="007A5ABC">
        <w:rPr>
          <w:lang w:val="en-GB"/>
        </w:rPr>
        <w:t>respite car</w:t>
      </w:r>
      <w:r>
        <w:rPr>
          <w:lang w:val="en-GB"/>
        </w:rPr>
        <w:t xml:space="preserve">e. However, </w:t>
      </w:r>
      <w:r w:rsidRPr="007A5ABC">
        <w:rPr>
          <w:lang w:val="en-GB"/>
        </w:rPr>
        <w:t xml:space="preserve">day centres, opportunities for short-term care and day care for older persons remain insufficient. The amendment of the Labour and Social Act in 1998 was a </w:t>
      </w:r>
      <w:r>
        <w:rPr>
          <w:lang w:val="en-GB"/>
        </w:rPr>
        <w:t>major</w:t>
      </w:r>
      <w:r w:rsidRPr="007A5ABC">
        <w:rPr>
          <w:lang w:val="en-GB"/>
        </w:rPr>
        <w:t xml:space="preserve"> step to</w:t>
      </w:r>
      <w:r>
        <w:rPr>
          <w:lang w:val="en-GB"/>
        </w:rPr>
        <w:t>wards</w:t>
      </w:r>
      <w:r w:rsidRPr="007A5ABC">
        <w:rPr>
          <w:lang w:val="en-GB"/>
        </w:rPr>
        <w:t xml:space="preserve"> facilitat</w:t>
      </w:r>
      <w:r>
        <w:rPr>
          <w:lang w:val="en-GB"/>
        </w:rPr>
        <w:t>ing</w:t>
      </w:r>
      <w:r w:rsidRPr="007A5ABC">
        <w:rPr>
          <w:lang w:val="en-GB"/>
        </w:rPr>
        <w:t xml:space="preserve"> the inclusion of family carers into the social security system. This is particularly important given the fact that more than two thirds of caregivers are women and that 70 per</w:t>
      </w:r>
      <w:r>
        <w:rPr>
          <w:lang w:val="en-GB"/>
        </w:rPr>
        <w:t xml:space="preserve"> </w:t>
      </w:r>
      <w:r w:rsidRPr="007A5ABC">
        <w:rPr>
          <w:lang w:val="en-GB"/>
        </w:rPr>
        <w:t>cent of the carers are not gainfully employed.</w:t>
      </w:r>
    </w:p>
    <w:p w:rsidR="00BB4848" w:rsidRPr="007A5ABC" w:rsidRDefault="00BB4848" w:rsidP="00BB4848">
      <w:pPr>
        <w:pStyle w:val="SingleTxtG"/>
        <w:numPr>
          <w:ilvl w:val="0"/>
          <w:numId w:val="9"/>
        </w:numPr>
        <w:rPr>
          <w:lang w:val="en-GB"/>
        </w:rPr>
      </w:pPr>
      <w:r w:rsidRPr="007A5ABC">
        <w:rPr>
          <w:lang w:val="en-GB"/>
        </w:rPr>
        <w:t xml:space="preserve">In 2007, standards </w:t>
      </w:r>
      <w:r>
        <w:rPr>
          <w:lang w:val="en-GB"/>
        </w:rPr>
        <w:t xml:space="preserve">were set </w:t>
      </w:r>
      <w:r w:rsidRPr="007A5ABC">
        <w:rPr>
          <w:lang w:val="en-GB"/>
        </w:rPr>
        <w:t>for caring professions providing services at home</w:t>
      </w:r>
      <w:r>
        <w:rPr>
          <w:lang w:val="en-GB"/>
        </w:rPr>
        <w:t>:</w:t>
      </w:r>
      <w:r w:rsidRPr="007A5ABC">
        <w:rPr>
          <w:lang w:val="en-GB"/>
        </w:rPr>
        <w:t xml:space="preserve"> for example, protection from signing a contract on the doorstep</w:t>
      </w:r>
      <w:r>
        <w:rPr>
          <w:lang w:val="en-GB"/>
        </w:rPr>
        <w:t>,</w:t>
      </w:r>
      <w:r w:rsidRPr="007A5ABC">
        <w:rPr>
          <w:lang w:val="en-GB"/>
        </w:rPr>
        <w:t xml:space="preserve"> and establishing minimum contents of contracts. </w:t>
      </w:r>
    </w:p>
    <w:p w:rsidR="00BB4848" w:rsidRPr="007A5ABC" w:rsidRDefault="00BB4848" w:rsidP="00BB4848">
      <w:pPr>
        <w:pStyle w:val="SingleTxtG"/>
        <w:numPr>
          <w:ilvl w:val="0"/>
          <w:numId w:val="9"/>
        </w:numPr>
        <w:rPr>
          <w:lang w:val="en-GB"/>
        </w:rPr>
      </w:pPr>
      <w:r w:rsidRPr="007A5ABC">
        <w:rPr>
          <w:lang w:val="en-GB"/>
        </w:rPr>
        <w:t xml:space="preserve">Ensuring quality control in home care is one of the main challenges. While home visits by certified care workers are an important step </w:t>
      </w:r>
      <w:r>
        <w:rPr>
          <w:lang w:val="en-GB"/>
        </w:rPr>
        <w:t>in</w:t>
      </w:r>
      <w:r w:rsidRPr="007A5ABC">
        <w:rPr>
          <w:lang w:val="en-GB"/>
        </w:rPr>
        <w:t xml:space="preserve"> monitor</w:t>
      </w:r>
      <w:r>
        <w:rPr>
          <w:lang w:val="en-GB"/>
        </w:rPr>
        <w:t>ing</w:t>
      </w:r>
      <w:r w:rsidRPr="007A5ABC">
        <w:rPr>
          <w:lang w:val="en-GB"/>
        </w:rPr>
        <w:t xml:space="preserve"> home care, further measures are required to improve the protection of older persons, including against physical and mental violence, and from degrading treatment and neglect.</w:t>
      </w:r>
    </w:p>
    <w:p w:rsidR="00BB4848" w:rsidRPr="007A5ABC" w:rsidRDefault="00BB4848" w:rsidP="00BB4848">
      <w:pPr>
        <w:pStyle w:val="H23G"/>
        <w:rPr>
          <w:lang w:val="en-GB"/>
        </w:rPr>
      </w:pPr>
      <w:r w:rsidRPr="00806FA6">
        <w:rPr>
          <w:lang w:val="en-GB"/>
        </w:rPr>
        <w:tab/>
        <w:t>2.</w:t>
      </w:r>
      <w:r w:rsidRPr="007A5ABC">
        <w:rPr>
          <w:lang w:val="en-GB"/>
        </w:rPr>
        <w:tab/>
        <w:t>Institutional care</w:t>
      </w:r>
    </w:p>
    <w:p w:rsidR="00BB4848" w:rsidRPr="007A5ABC" w:rsidRDefault="00BB4848" w:rsidP="00BB4848">
      <w:pPr>
        <w:pStyle w:val="SingleTxtG"/>
        <w:numPr>
          <w:ilvl w:val="0"/>
          <w:numId w:val="9"/>
        </w:numPr>
        <w:rPr>
          <w:lang w:val="en-GB"/>
        </w:rPr>
      </w:pPr>
      <w:r w:rsidRPr="007A5ABC">
        <w:rPr>
          <w:lang w:val="en-GB"/>
        </w:rPr>
        <w:t xml:space="preserve">Institutional care in Austria has historically been at a very low level compared with other </w:t>
      </w:r>
      <w:r>
        <w:rPr>
          <w:lang w:val="en-GB"/>
        </w:rPr>
        <w:t>W</w:t>
      </w:r>
      <w:r w:rsidRPr="007A5ABC">
        <w:rPr>
          <w:lang w:val="en-GB"/>
        </w:rPr>
        <w:t xml:space="preserve">estern European welfare </w:t>
      </w:r>
      <w:r>
        <w:rPr>
          <w:lang w:val="en-GB"/>
        </w:rPr>
        <w:t>S</w:t>
      </w:r>
      <w:r w:rsidRPr="007A5ABC">
        <w:rPr>
          <w:lang w:val="en-GB"/>
        </w:rPr>
        <w:t>tates. In 1996</w:t>
      </w:r>
      <w:r>
        <w:rPr>
          <w:lang w:val="en-GB"/>
        </w:rPr>
        <w:t>–1997</w:t>
      </w:r>
      <w:r w:rsidRPr="007A5ABC">
        <w:rPr>
          <w:lang w:val="en-GB"/>
        </w:rPr>
        <w:t>, only 3.8 per cent of the population w</w:t>
      </w:r>
      <w:r>
        <w:rPr>
          <w:lang w:val="en-GB"/>
        </w:rPr>
        <w:t>ere</w:t>
      </w:r>
      <w:r w:rsidRPr="007A5ABC">
        <w:rPr>
          <w:lang w:val="en-GB"/>
        </w:rPr>
        <w:t xml:space="preserve"> living in homes.</w:t>
      </w:r>
    </w:p>
    <w:p w:rsidR="00BB4848" w:rsidRPr="007A5ABC" w:rsidRDefault="00BB4848" w:rsidP="00BB4848">
      <w:pPr>
        <w:pStyle w:val="SingleTxtG"/>
        <w:numPr>
          <w:ilvl w:val="0"/>
          <w:numId w:val="9"/>
        </w:numPr>
        <w:rPr>
          <w:lang w:val="en-GB"/>
        </w:rPr>
      </w:pPr>
      <w:r w:rsidRPr="007A5ABC">
        <w:rPr>
          <w:lang w:val="en-GB"/>
        </w:rPr>
        <w:t>Special civil law regulations and information obligations apply to homes for the elderly.</w:t>
      </w:r>
      <w:r w:rsidRPr="007A5ABC">
        <w:rPr>
          <w:rStyle w:val="FootnoteReference"/>
          <w:lang w:val="en-GB"/>
        </w:rPr>
        <w:footnoteReference w:id="22"/>
      </w:r>
      <w:r w:rsidRPr="007A5ABC">
        <w:rPr>
          <w:lang w:val="en-GB"/>
        </w:rPr>
        <w:t xml:space="preserve"> </w:t>
      </w:r>
      <w:r>
        <w:rPr>
          <w:lang w:val="en-GB"/>
        </w:rPr>
        <w:t>The h</w:t>
      </w:r>
      <w:r w:rsidRPr="007A5ABC">
        <w:rPr>
          <w:lang w:val="en-GB"/>
        </w:rPr>
        <w:t xml:space="preserve">omes are thoroughly examined and legal warnings issued in cases of non-conformity with legal requirements. </w:t>
      </w:r>
    </w:p>
    <w:p w:rsidR="00BB4848" w:rsidRPr="007A5ABC" w:rsidRDefault="00BB4848" w:rsidP="00BB4848">
      <w:pPr>
        <w:pStyle w:val="SingleTxtG"/>
        <w:numPr>
          <w:ilvl w:val="0"/>
          <w:numId w:val="9"/>
        </w:numPr>
        <w:tabs>
          <w:tab w:val="left" w:pos="1701"/>
        </w:tabs>
        <w:rPr>
          <w:b/>
          <w:lang w:val="en-GB"/>
        </w:rPr>
      </w:pPr>
      <w:r w:rsidRPr="007A5ABC">
        <w:rPr>
          <w:lang w:val="en-GB"/>
        </w:rPr>
        <w:t>The Nursing Home Residence Act</w:t>
      </w:r>
      <w:r w:rsidRPr="007A5ABC">
        <w:rPr>
          <w:rStyle w:val="FootnoteReference"/>
          <w:lang w:val="en-GB"/>
        </w:rPr>
        <w:footnoteReference w:id="23"/>
      </w:r>
      <w:r w:rsidRPr="007A5ABC">
        <w:rPr>
          <w:lang w:val="en-GB"/>
        </w:rPr>
        <w:t xml:space="preserve"> and the Hospitalization Act</w:t>
      </w:r>
      <w:r w:rsidRPr="007A5ABC">
        <w:rPr>
          <w:rStyle w:val="FootnoteReference"/>
          <w:lang w:val="en-GB"/>
        </w:rPr>
        <w:footnoteReference w:id="24"/>
      </w:r>
      <w:r w:rsidRPr="007A5ABC">
        <w:rPr>
          <w:lang w:val="en-GB"/>
        </w:rPr>
        <w:t xml:space="preserve"> stipulate the requirements when depriving a person of </w:t>
      </w:r>
      <w:r>
        <w:rPr>
          <w:lang w:val="en-GB"/>
        </w:rPr>
        <w:t>their</w:t>
      </w:r>
      <w:r w:rsidRPr="007A5ABC">
        <w:rPr>
          <w:lang w:val="en-GB"/>
        </w:rPr>
        <w:t xml:space="preserve"> liberty in nursing homes, homes for the elderly, facilities for people with disabilities, hospitals and psychiatric facilities. </w:t>
      </w:r>
      <w:r>
        <w:rPr>
          <w:lang w:val="en-GB"/>
        </w:rPr>
        <w:t>I</w:t>
      </w:r>
      <w:r w:rsidRPr="007A5ABC">
        <w:rPr>
          <w:lang w:val="en-GB"/>
        </w:rPr>
        <w:t xml:space="preserve">n institutions </w:t>
      </w:r>
      <w:r>
        <w:rPr>
          <w:lang w:val="en-GB"/>
        </w:rPr>
        <w:t xml:space="preserve">for the elderly, deprivation of liberty of </w:t>
      </w:r>
      <w:r w:rsidRPr="007A5ABC">
        <w:rPr>
          <w:lang w:val="en-GB"/>
        </w:rPr>
        <w:t xml:space="preserve">persons with disabilities or people in need of care may never be justified on organizational grounds or deficiencies (e.g. lack of staff, structural defects, or inadequate infrastructure). Deprivation of liberty by electronic or mechanic means or medication can be considered only as a last resort. Nevertheless, in September 2013, the Committee on the </w:t>
      </w:r>
      <w:r>
        <w:rPr>
          <w:lang w:val="en-GB"/>
        </w:rPr>
        <w:t>R</w:t>
      </w:r>
      <w:r w:rsidRPr="007A5ABC">
        <w:rPr>
          <w:lang w:val="en-GB"/>
        </w:rPr>
        <w:t xml:space="preserve">ights of </w:t>
      </w:r>
      <w:r>
        <w:rPr>
          <w:lang w:val="en-GB"/>
        </w:rPr>
        <w:t>P</w:t>
      </w:r>
      <w:r w:rsidRPr="007A5ABC">
        <w:rPr>
          <w:lang w:val="en-GB"/>
        </w:rPr>
        <w:t xml:space="preserve">ersons with </w:t>
      </w:r>
      <w:r>
        <w:rPr>
          <w:lang w:val="en-GB"/>
        </w:rPr>
        <w:t>D</w:t>
      </w:r>
      <w:r w:rsidRPr="007A5ABC">
        <w:rPr>
          <w:lang w:val="en-GB"/>
        </w:rPr>
        <w:t xml:space="preserve">isabilities expressed deep concern that </w:t>
      </w:r>
      <w:r>
        <w:rPr>
          <w:lang w:val="en-GB"/>
        </w:rPr>
        <w:t xml:space="preserve">the </w:t>
      </w:r>
      <w:r w:rsidRPr="007A5ABC">
        <w:rPr>
          <w:lang w:val="en-GB"/>
        </w:rPr>
        <w:t>law allows for person</w:t>
      </w:r>
      <w:r>
        <w:rPr>
          <w:lang w:val="en-GB"/>
        </w:rPr>
        <w:t>s</w:t>
      </w:r>
      <w:r w:rsidRPr="007A5ABC">
        <w:rPr>
          <w:lang w:val="en-GB"/>
        </w:rPr>
        <w:t xml:space="preserve"> to be confined against </w:t>
      </w:r>
      <w:r>
        <w:rPr>
          <w:lang w:val="en-GB"/>
        </w:rPr>
        <w:t>their</w:t>
      </w:r>
      <w:r w:rsidRPr="007A5ABC">
        <w:rPr>
          <w:lang w:val="en-GB"/>
        </w:rPr>
        <w:t xml:space="preserve"> will in a psychiatric institution if </w:t>
      </w:r>
      <w:r>
        <w:rPr>
          <w:lang w:val="en-GB"/>
        </w:rPr>
        <w:t>they have</w:t>
      </w:r>
      <w:r w:rsidRPr="007A5ABC">
        <w:rPr>
          <w:lang w:val="en-GB"/>
        </w:rPr>
        <w:t xml:space="preserve"> a psychosocial disability and </w:t>
      </w:r>
      <w:r>
        <w:rPr>
          <w:lang w:val="en-GB"/>
        </w:rPr>
        <w:t>are</w:t>
      </w:r>
      <w:r w:rsidRPr="007A5ABC">
        <w:rPr>
          <w:lang w:val="en-GB"/>
        </w:rPr>
        <w:t xml:space="preserve"> considered to be a danger to </w:t>
      </w:r>
      <w:r>
        <w:rPr>
          <w:lang w:val="en-GB"/>
        </w:rPr>
        <w:t xml:space="preserve">themselves </w:t>
      </w:r>
      <w:r w:rsidRPr="007A5ABC">
        <w:rPr>
          <w:lang w:val="en-GB"/>
        </w:rPr>
        <w:t>or to others</w:t>
      </w:r>
      <w:r>
        <w:rPr>
          <w:lang w:val="en-GB"/>
        </w:rPr>
        <w:t xml:space="preserve">. The Committee regarded </w:t>
      </w:r>
      <w:r w:rsidRPr="007A5ABC">
        <w:rPr>
          <w:lang w:val="en-GB"/>
        </w:rPr>
        <w:t xml:space="preserve">this </w:t>
      </w:r>
      <w:r>
        <w:rPr>
          <w:lang w:val="en-GB"/>
        </w:rPr>
        <w:t>as being</w:t>
      </w:r>
      <w:r w:rsidRPr="007A5ABC">
        <w:rPr>
          <w:lang w:val="en-GB"/>
        </w:rPr>
        <w:t xml:space="preserve"> in conflict with article 14 of the Convention on the Rights of Persons with Disabilities because it allows </w:t>
      </w:r>
      <w:r>
        <w:rPr>
          <w:lang w:val="en-GB"/>
        </w:rPr>
        <w:t xml:space="preserve">for </w:t>
      </w:r>
      <w:r w:rsidRPr="007A5ABC">
        <w:rPr>
          <w:lang w:val="en-GB"/>
        </w:rPr>
        <w:t>a person to be deprived of liberty on the basis of actual or perceived disability.</w:t>
      </w:r>
    </w:p>
    <w:p w:rsidR="00BB4848" w:rsidRPr="007A5ABC" w:rsidRDefault="00BB4848" w:rsidP="00BB4848">
      <w:pPr>
        <w:pStyle w:val="SingleTxtG"/>
        <w:numPr>
          <w:ilvl w:val="0"/>
          <w:numId w:val="9"/>
        </w:numPr>
        <w:rPr>
          <w:lang w:val="en-GB"/>
        </w:rPr>
      </w:pPr>
      <w:r w:rsidRPr="007A5ABC">
        <w:rPr>
          <w:lang w:val="en-GB"/>
        </w:rPr>
        <w:t>The conditions and terms with respect to housing in homes for the elderly are laid down</w:t>
      </w:r>
      <w:r>
        <w:rPr>
          <w:lang w:val="en-GB"/>
        </w:rPr>
        <w:t>, inter alia,</w:t>
      </w:r>
      <w:r w:rsidRPr="007A5ABC">
        <w:rPr>
          <w:lang w:val="en-GB"/>
        </w:rPr>
        <w:t xml:space="preserve"> in sections 27</w:t>
      </w:r>
      <w:r>
        <w:rPr>
          <w:lang w:val="en-GB"/>
        </w:rPr>
        <w:t xml:space="preserve"> (</w:t>
      </w:r>
      <w:r w:rsidRPr="007A5ABC">
        <w:rPr>
          <w:lang w:val="en-GB"/>
        </w:rPr>
        <w:t>b</w:t>
      </w:r>
      <w:r>
        <w:rPr>
          <w:lang w:val="en-GB"/>
        </w:rPr>
        <w:t>)</w:t>
      </w:r>
      <w:r w:rsidRPr="007A5ABC">
        <w:rPr>
          <w:lang w:val="en-GB"/>
        </w:rPr>
        <w:t xml:space="preserve"> to </w:t>
      </w:r>
      <w:r>
        <w:rPr>
          <w:lang w:val="en-GB"/>
        </w:rPr>
        <w:t>(</w:t>
      </w:r>
      <w:r w:rsidRPr="007A5ABC">
        <w:rPr>
          <w:lang w:val="en-GB"/>
        </w:rPr>
        <w:t>i</w:t>
      </w:r>
      <w:r>
        <w:rPr>
          <w:lang w:val="en-GB"/>
        </w:rPr>
        <w:t>) of the</w:t>
      </w:r>
      <w:r w:rsidRPr="007A5ABC">
        <w:rPr>
          <w:lang w:val="en-GB"/>
        </w:rPr>
        <w:t xml:space="preserve"> Consumer Protection Act</w:t>
      </w:r>
      <w:r>
        <w:rPr>
          <w:lang w:val="en-GB"/>
        </w:rPr>
        <w:t>,</w:t>
      </w:r>
      <w:r w:rsidRPr="007A5ABC">
        <w:rPr>
          <w:rStyle w:val="FootnoteReference"/>
          <w:lang w:val="en-GB"/>
        </w:rPr>
        <w:footnoteReference w:id="25"/>
      </w:r>
      <w:r w:rsidRPr="007A5ABC">
        <w:rPr>
          <w:lang w:val="en-GB"/>
        </w:rPr>
        <w:t xml:space="preserve"> as well as in the </w:t>
      </w:r>
      <w:r>
        <w:rPr>
          <w:lang w:val="en-GB"/>
        </w:rPr>
        <w:t>n</w:t>
      </w:r>
      <w:r w:rsidRPr="007A5ABC">
        <w:rPr>
          <w:lang w:val="en-GB"/>
        </w:rPr>
        <w:t xml:space="preserve">ursing </w:t>
      </w:r>
      <w:r>
        <w:rPr>
          <w:lang w:val="en-GB"/>
        </w:rPr>
        <w:t>h</w:t>
      </w:r>
      <w:r w:rsidRPr="007A5ABC">
        <w:rPr>
          <w:lang w:val="en-GB"/>
        </w:rPr>
        <w:t xml:space="preserve">ome </w:t>
      </w:r>
      <w:r>
        <w:rPr>
          <w:lang w:val="en-GB"/>
        </w:rPr>
        <w:t>a</w:t>
      </w:r>
      <w:r w:rsidRPr="007A5ABC">
        <w:rPr>
          <w:lang w:val="en-GB"/>
        </w:rPr>
        <w:t>cts of the Länder. According to section 27</w:t>
      </w:r>
      <w:r>
        <w:rPr>
          <w:lang w:val="en-GB"/>
        </w:rPr>
        <w:t xml:space="preserve"> (</w:t>
      </w:r>
      <w:r w:rsidRPr="007A5ABC">
        <w:rPr>
          <w:lang w:val="en-GB"/>
        </w:rPr>
        <w:t>d</w:t>
      </w:r>
      <w:r>
        <w:rPr>
          <w:lang w:val="en-GB"/>
        </w:rPr>
        <w:t>),</w:t>
      </w:r>
      <w:r w:rsidRPr="007A5ABC">
        <w:rPr>
          <w:lang w:val="en-GB"/>
        </w:rPr>
        <w:t xml:space="preserve"> para</w:t>
      </w:r>
      <w:r>
        <w:rPr>
          <w:lang w:val="en-GB"/>
        </w:rPr>
        <w:t>graph</w:t>
      </w:r>
      <w:r w:rsidRPr="007A5ABC">
        <w:rPr>
          <w:lang w:val="en-GB"/>
        </w:rPr>
        <w:t xml:space="preserve"> 3</w:t>
      </w:r>
      <w:r>
        <w:rPr>
          <w:lang w:val="en-GB"/>
        </w:rPr>
        <w:t xml:space="preserve">, of the </w:t>
      </w:r>
      <w:r w:rsidRPr="007A5ABC">
        <w:rPr>
          <w:lang w:val="en-GB"/>
        </w:rPr>
        <w:t xml:space="preserve"> Consumer Protection Act</w:t>
      </w:r>
      <w:r>
        <w:rPr>
          <w:lang w:val="en-GB"/>
        </w:rPr>
        <w:t>,</w:t>
      </w:r>
      <w:r w:rsidRPr="007A5ABC">
        <w:rPr>
          <w:lang w:val="en-GB"/>
        </w:rPr>
        <w:t xml:space="preserve"> these contracts </w:t>
      </w:r>
      <w:r>
        <w:rPr>
          <w:lang w:val="en-GB"/>
        </w:rPr>
        <w:t>must</w:t>
      </w:r>
      <w:r w:rsidRPr="007A5ABC">
        <w:rPr>
          <w:lang w:val="en-GB"/>
        </w:rPr>
        <w:t xml:space="preserve"> contain provisions regarding patients</w:t>
      </w:r>
      <w:r>
        <w:rPr>
          <w:lang w:val="en-GB"/>
        </w:rPr>
        <w:t>’</w:t>
      </w:r>
      <w:r w:rsidRPr="007A5ABC">
        <w:rPr>
          <w:lang w:val="en-GB"/>
        </w:rPr>
        <w:t xml:space="preserve"> personal rights (e.g. right to privacy, right to respect of </w:t>
      </w:r>
      <w:r>
        <w:rPr>
          <w:lang w:val="en-GB"/>
        </w:rPr>
        <w:t>their</w:t>
      </w:r>
      <w:r w:rsidRPr="007A5ABC">
        <w:rPr>
          <w:lang w:val="en-GB"/>
        </w:rPr>
        <w:t xml:space="preserve"> correspondence, right to political and religious self-determination, freedom of expression, assembly and association, right to contact with the outside world, right to equal treatment and prohibition of discrimination, right to adequate medical treatment, </w:t>
      </w:r>
      <w:r>
        <w:rPr>
          <w:lang w:val="en-GB"/>
        </w:rPr>
        <w:t xml:space="preserve">and </w:t>
      </w:r>
      <w:r w:rsidRPr="007A5ABC">
        <w:rPr>
          <w:lang w:val="en-GB"/>
        </w:rPr>
        <w:t xml:space="preserve">right to individual clothing). </w:t>
      </w:r>
    </w:p>
    <w:p w:rsidR="00BB4848" w:rsidRPr="007A5ABC" w:rsidRDefault="00BB4848" w:rsidP="00BB4848">
      <w:pPr>
        <w:pStyle w:val="SingleTxtG"/>
        <w:numPr>
          <w:ilvl w:val="0"/>
          <w:numId w:val="9"/>
        </w:numPr>
        <w:rPr>
          <w:lang w:val="en-GB"/>
        </w:rPr>
      </w:pPr>
      <w:r w:rsidRPr="007A5ABC">
        <w:rPr>
          <w:lang w:val="en-GB"/>
        </w:rPr>
        <w:t>An important institut</w:t>
      </w:r>
      <w:r>
        <w:rPr>
          <w:lang w:val="en-GB"/>
        </w:rPr>
        <w:t>ion</w:t>
      </w:r>
      <w:r w:rsidRPr="007A5ABC">
        <w:rPr>
          <w:lang w:val="en-GB"/>
        </w:rPr>
        <w:t xml:space="preserve"> </w:t>
      </w:r>
      <w:r>
        <w:rPr>
          <w:lang w:val="en-GB"/>
        </w:rPr>
        <w:t>is</w:t>
      </w:r>
      <w:r w:rsidRPr="007A5ABC">
        <w:rPr>
          <w:lang w:val="en-GB"/>
        </w:rPr>
        <w:t xml:space="preserve"> the Patients’ Advocates in Austria, wh</w:t>
      </w:r>
      <w:r>
        <w:rPr>
          <w:lang w:val="en-GB"/>
        </w:rPr>
        <w:t>ich</w:t>
      </w:r>
      <w:r w:rsidRPr="007A5ABC">
        <w:rPr>
          <w:lang w:val="en-GB"/>
        </w:rPr>
        <w:t xml:space="preserve"> </w:t>
      </w:r>
      <w:r w:rsidRPr="007A5ABC">
        <w:rPr>
          <w:iCs/>
          <w:lang w:val="en-GB"/>
        </w:rPr>
        <w:t>offer</w:t>
      </w:r>
      <w:r>
        <w:rPr>
          <w:iCs/>
          <w:lang w:val="en-GB"/>
        </w:rPr>
        <w:t>s</w:t>
      </w:r>
      <w:r w:rsidRPr="007A5ABC">
        <w:rPr>
          <w:iCs/>
          <w:lang w:val="en-GB"/>
        </w:rPr>
        <w:t xml:space="preserve"> assistance and represent</w:t>
      </w:r>
      <w:r>
        <w:rPr>
          <w:iCs/>
          <w:lang w:val="en-GB"/>
        </w:rPr>
        <w:t>s</w:t>
      </w:r>
      <w:r w:rsidRPr="007A5ABC">
        <w:rPr>
          <w:iCs/>
          <w:lang w:val="en-GB"/>
        </w:rPr>
        <w:t xml:space="preserve"> patients in matters of health, hospitals and nursing homes in the </w:t>
      </w:r>
      <w:r w:rsidRPr="007A5ABC">
        <w:rPr>
          <w:lang w:val="en-GB"/>
        </w:rPr>
        <w:t>Länder</w:t>
      </w:r>
      <w:r w:rsidRPr="007A5ABC">
        <w:rPr>
          <w:i/>
          <w:iCs/>
          <w:lang w:val="en-GB"/>
        </w:rPr>
        <w:t xml:space="preserve">. </w:t>
      </w:r>
      <w:r w:rsidRPr="007A5ABC">
        <w:rPr>
          <w:iCs/>
          <w:lang w:val="en-GB"/>
        </w:rPr>
        <w:t>In particular, the</w:t>
      </w:r>
      <w:r>
        <w:rPr>
          <w:iCs/>
          <w:lang w:val="en-GB"/>
        </w:rPr>
        <w:t xml:space="preserve"> advocates</w:t>
      </w:r>
      <w:r w:rsidRPr="007A5ABC">
        <w:rPr>
          <w:iCs/>
          <w:lang w:val="en-GB"/>
        </w:rPr>
        <w:t xml:space="preserve"> act as legal representatives in court proceedings for involuntary placement and also support individuals during their stay in hospitals or psychiatric departments. While in principle their tasks end by law when the individual dies in an institution, the Austrian Supreme Court of Justice in 2010</w:t>
      </w:r>
      <w:r w:rsidRPr="007A5ABC">
        <w:rPr>
          <w:rStyle w:val="FootnoteReference"/>
          <w:iCs/>
          <w:lang w:val="en-GB"/>
        </w:rPr>
        <w:footnoteReference w:id="26"/>
      </w:r>
      <w:r w:rsidRPr="007A5ABC">
        <w:rPr>
          <w:iCs/>
          <w:lang w:val="en-GB"/>
        </w:rPr>
        <w:t xml:space="preserve"> held that their power of representation remains in such cases</w:t>
      </w:r>
      <w:r>
        <w:rPr>
          <w:iCs/>
          <w:lang w:val="en-GB"/>
        </w:rPr>
        <w:t>,</w:t>
      </w:r>
      <w:r w:rsidRPr="007A5ABC">
        <w:rPr>
          <w:iCs/>
          <w:lang w:val="en-GB"/>
        </w:rPr>
        <w:t xml:space="preserve"> as otherwise there would be a gap in human rights protection. </w:t>
      </w:r>
    </w:p>
    <w:p w:rsidR="00BB4848" w:rsidRPr="007A5ABC" w:rsidRDefault="00BB4848" w:rsidP="00BB4848">
      <w:pPr>
        <w:pStyle w:val="H23G"/>
        <w:rPr>
          <w:lang w:val="en-GB"/>
        </w:rPr>
      </w:pPr>
      <w:r w:rsidRPr="00806FA6">
        <w:rPr>
          <w:lang w:val="en-GB"/>
        </w:rPr>
        <w:tab/>
        <w:t>3.</w:t>
      </w:r>
      <w:r w:rsidRPr="007A5ABC">
        <w:rPr>
          <w:lang w:val="en-GB"/>
        </w:rPr>
        <w:tab/>
        <w:t>Long</w:t>
      </w:r>
      <w:r>
        <w:rPr>
          <w:lang w:val="en-GB"/>
        </w:rPr>
        <w:t>-</w:t>
      </w:r>
      <w:r w:rsidRPr="007A5ABC">
        <w:rPr>
          <w:lang w:val="en-GB"/>
        </w:rPr>
        <w:t>term care</w:t>
      </w:r>
    </w:p>
    <w:p w:rsidR="00BB4848" w:rsidRPr="007A5ABC" w:rsidRDefault="00BB4848" w:rsidP="00BB4848">
      <w:pPr>
        <w:pStyle w:val="SingleTxtG"/>
        <w:numPr>
          <w:ilvl w:val="0"/>
          <w:numId w:val="9"/>
        </w:numPr>
        <w:rPr>
          <w:lang w:val="en-GB"/>
        </w:rPr>
      </w:pPr>
      <w:r>
        <w:rPr>
          <w:lang w:val="en-GB"/>
        </w:rPr>
        <w:t xml:space="preserve">In 1993, </w:t>
      </w:r>
      <w:r w:rsidRPr="007A5ABC">
        <w:rPr>
          <w:lang w:val="en-GB"/>
        </w:rPr>
        <w:t xml:space="preserve">Austria was the first country in Europe to introduce universal coverage of a tax-financed long-term care allowance as the main instrument </w:t>
      </w:r>
      <w:r>
        <w:rPr>
          <w:lang w:val="en-GB"/>
        </w:rPr>
        <w:t xml:space="preserve">for </w:t>
      </w:r>
      <w:r w:rsidRPr="007A5ABC">
        <w:rPr>
          <w:lang w:val="en-GB"/>
        </w:rPr>
        <w:t>fund</w:t>
      </w:r>
      <w:r>
        <w:rPr>
          <w:lang w:val="en-GB"/>
        </w:rPr>
        <w:t>ing</w:t>
      </w:r>
      <w:r w:rsidRPr="007A5ABC">
        <w:rPr>
          <w:lang w:val="en-GB"/>
        </w:rPr>
        <w:t xml:space="preserve"> long-term care. In 2008, 422,000 persons in Austria received the long-term care allowance. It is estimated that the figures will double by 2030, not least because of an increasingly ag</w:t>
      </w:r>
      <w:r>
        <w:rPr>
          <w:lang w:val="en-GB"/>
        </w:rPr>
        <w:t>e</w:t>
      </w:r>
      <w:r w:rsidRPr="007A5ABC">
        <w:rPr>
          <w:lang w:val="en-GB"/>
        </w:rPr>
        <w:t xml:space="preserve">ing society. </w:t>
      </w:r>
    </w:p>
    <w:p w:rsidR="00BB4848" w:rsidRPr="007A5ABC" w:rsidRDefault="00BB4848" w:rsidP="00BB4848">
      <w:pPr>
        <w:pStyle w:val="SingleTxtG"/>
        <w:numPr>
          <w:ilvl w:val="0"/>
          <w:numId w:val="9"/>
        </w:numPr>
        <w:rPr>
          <w:lang w:val="en-GB"/>
        </w:rPr>
      </w:pPr>
      <w:r w:rsidRPr="007A5ABC">
        <w:rPr>
          <w:lang w:val="en-GB"/>
        </w:rPr>
        <w:t xml:space="preserve">The long-term care system combines </w:t>
      </w:r>
      <w:r>
        <w:rPr>
          <w:lang w:val="en-GB"/>
        </w:rPr>
        <w:t xml:space="preserve">benefits in </w:t>
      </w:r>
      <w:r w:rsidRPr="007A5ABC">
        <w:rPr>
          <w:lang w:val="en-GB"/>
        </w:rPr>
        <w:t xml:space="preserve">cash and </w:t>
      </w:r>
      <w:r>
        <w:rPr>
          <w:lang w:val="en-GB"/>
        </w:rPr>
        <w:t>in kind</w:t>
      </w:r>
      <w:r w:rsidRPr="007A5ABC">
        <w:rPr>
          <w:lang w:val="en-GB"/>
        </w:rPr>
        <w:t xml:space="preserve">, whereby cash benefits, by contrast to other European countries, form the </w:t>
      </w:r>
      <w:r>
        <w:rPr>
          <w:lang w:val="en-GB"/>
        </w:rPr>
        <w:t>largest</w:t>
      </w:r>
      <w:r w:rsidRPr="007A5ABC">
        <w:rPr>
          <w:lang w:val="en-GB"/>
        </w:rPr>
        <w:t xml:space="preserve"> part of it. The core of the system is the long-term care allowance, which is a social right in Austria. The long</w:t>
      </w:r>
      <w:r>
        <w:rPr>
          <w:lang w:val="en-GB"/>
        </w:rPr>
        <w:t>-</w:t>
      </w:r>
      <w:r w:rsidRPr="007A5ABC">
        <w:rPr>
          <w:lang w:val="en-GB"/>
        </w:rPr>
        <w:t>term care allowance is granted regardless of the reasons of the need for care or the income or assets of the person concerned. In 2013, around 5 per</w:t>
      </w:r>
      <w:r>
        <w:rPr>
          <w:lang w:val="en-GB"/>
        </w:rPr>
        <w:t xml:space="preserve"> </w:t>
      </w:r>
      <w:r w:rsidRPr="007A5ABC">
        <w:rPr>
          <w:lang w:val="en-GB"/>
        </w:rPr>
        <w:t>cent of Austria’s population received long</w:t>
      </w:r>
      <w:r>
        <w:rPr>
          <w:lang w:val="en-GB"/>
        </w:rPr>
        <w:t>-</w:t>
      </w:r>
      <w:r w:rsidRPr="007A5ABC">
        <w:rPr>
          <w:lang w:val="en-GB"/>
        </w:rPr>
        <w:t>term care benefits. The introduction of the long-term care allowance was an important step to</w:t>
      </w:r>
      <w:r>
        <w:rPr>
          <w:lang w:val="en-GB"/>
        </w:rPr>
        <w:t>wards</w:t>
      </w:r>
      <w:r w:rsidRPr="007A5ABC">
        <w:rPr>
          <w:lang w:val="en-GB"/>
        </w:rPr>
        <w:t xml:space="preserve"> enabling older persons to remain at home as long as possible and to l</w:t>
      </w:r>
      <w:r>
        <w:rPr>
          <w:lang w:val="en-GB"/>
        </w:rPr>
        <w:t>ead</w:t>
      </w:r>
      <w:r w:rsidRPr="007A5ABC">
        <w:rPr>
          <w:lang w:val="en-GB"/>
        </w:rPr>
        <w:t xml:space="preserve"> independent lives.</w:t>
      </w:r>
    </w:p>
    <w:p w:rsidR="00BB4848" w:rsidRPr="007A5ABC" w:rsidRDefault="00BB4848" w:rsidP="00BB4848">
      <w:pPr>
        <w:pStyle w:val="SingleTxtG"/>
        <w:numPr>
          <w:ilvl w:val="0"/>
          <w:numId w:val="9"/>
        </w:numPr>
        <w:rPr>
          <w:lang w:val="en-GB"/>
        </w:rPr>
      </w:pPr>
      <w:r w:rsidRPr="007A5ABC">
        <w:rPr>
          <w:lang w:val="en-GB"/>
        </w:rPr>
        <w:t>Home</w:t>
      </w:r>
      <w:r>
        <w:rPr>
          <w:lang w:val="en-GB"/>
        </w:rPr>
        <w:t>-</w:t>
      </w:r>
      <w:r w:rsidRPr="007A5ABC">
        <w:rPr>
          <w:lang w:val="en-GB"/>
        </w:rPr>
        <w:t>care services are mostly provided by non</w:t>
      </w:r>
      <w:r>
        <w:rPr>
          <w:lang w:val="en-GB"/>
        </w:rPr>
        <w:t>-</w:t>
      </w:r>
      <w:r w:rsidRPr="007A5ABC">
        <w:rPr>
          <w:lang w:val="en-GB"/>
        </w:rPr>
        <w:t>profit organizations and include nursing care, mobile therapeutic services, meals on wheels, transport service, home cleaning, laundry services and weekend help. Institutional care services, including care in residential homes, nursing homes, day</w:t>
      </w:r>
      <w:r>
        <w:rPr>
          <w:lang w:val="en-GB"/>
        </w:rPr>
        <w:t>-</w:t>
      </w:r>
      <w:r w:rsidRPr="007A5ABC">
        <w:rPr>
          <w:lang w:val="en-GB"/>
        </w:rPr>
        <w:t>care centres and in night</w:t>
      </w:r>
      <w:r>
        <w:rPr>
          <w:lang w:val="en-GB"/>
        </w:rPr>
        <w:t>-</w:t>
      </w:r>
      <w:r w:rsidRPr="007A5ABC">
        <w:rPr>
          <w:lang w:val="en-GB"/>
        </w:rPr>
        <w:t xml:space="preserve">care centres, are mainly provided by </w:t>
      </w:r>
      <w:r>
        <w:rPr>
          <w:lang w:val="en-GB"/>
        </w:rPr>
        <w:t xml:space="preserve">the </w:t>
      </w:r>
      <w:r w:rsidRPr="007A5ABC">
        <w:rPr>
          <w:lang w:val="en-GB"/>
        </w:rPr>
        <w:t xml:space="preserve">provinces and municipalities, or by religious and other non-profit organizations. About 15 </w:t>
      </w:r>
      <w:r w:rsidRPr="00806FA6">
        <w:rPr>
          <w:lang w:val="en-GB"/>
        </w:rPr>
        <w:t>per</w:t>
      </w:r>
      <w:r>
        <w:rPr>
          <w:lang w:val="en-GB"/>
        </w:rPr>
        <w:t xml:space="preserve"> </w:t>
      </w:r>
      <w:r w:rsidRPr="00806FA6">
        <w:rPr>
          <w:lang w:val="en-GB"/>
        </w:rPr>
        <w:t xml:space="preserve">cent of </w:t>
      </w:r>
      <w:r>
        <w:rPr>
          <w:lang w:val="en-GB"/>
        </w:rPr>
        <w:t xml:space="preserve">the </w:t>
      </w:r>
      <w:r w:rsidRPr="00806FA6">
        <w:rPr>
          <w:lang w:val="en-GB"/>
        </w:rPr>
        <w:t>care facilities are run by private legal entities.</w:t>
      </w:r>
    </w:p>
    <w:p w:rsidR="00BB4848" w:rsidRPr="007A5ABC" w:rsidRDefault="00BB4848" w:rsidP="00BB4848">
      <w:pPr>
        <w:pStyle w:val="SingleTxtG"/>
        <w:numPr>
          <w:ilvl w:val="0"/>
          <w:numId w:val="9"/>
        </w:numPr>
        <w:rPr>
          <w:lang w:val="en-GB"/>
        </w:rPr>
      </w:pPr>
      <w:r w:rsidRPr="007A5ABC">
        <w:rPr>
          <w:lang w:val="en-GB"/>
        </w:rPr>
        <w:t xml:space="preserve">Another important element of the long-term care system is </w:t>
      </w:r>
      <w:r>
        <w:rPr>
          <w:lang w:val="en-GB"/>
        </w:rPr>
        <w:t>a</w:t>
      </w:r>
      <w:r w:rsidRPr="007A5ABC">
        <w:rPr>
          <w:lang w:val="en-GB"/>
        </w:rPr>
        <w:t>rticle 15</w:t>
      </w:r>
      <w:r>
        <w:rPr>
          <w:lang w:val="en-GB"/>
        </w:rPr>
        <w:t xml:space="preserve"> (</w:t>
      </w:r>
      <w:r w:rsidRPr="007A5ABC">
        <w:rPr>
          <w:lang w:val="en-GB"/>
        </w:rPr>
        <w:t>a</w:t>
      </w:r>
      <w:r>
        <w:rPr>
          <w:lang w:val="en-GB"/>
        </w:rPr>
        <w:t>)</w:t>
      </w:r>
      <w:r w:rsidRPr="007A5ABC">
        <w:rPr>
          <w:lang w:val="en-GB"/>
        </w:rPr>
        <w:t xml:space="preserve"> of the 1993 agreement between the </w:t>
      </w:r>
      <w:r>
        <w:rPr>
          <w:lang w:val="en-GB"/>
        </w:rPr>
        <w:t>S</w:t>
      </w:r>
      <w:r w:rsidRPr="007A5ABC">
        <w:rPr>
          <w:lang w:val="en-GB"/>
        </w:rPr>
        <w:t>tate and the provinces for people in need of care</w:t>
      </w:r>
      <w:r w:rsidRPr="005A504F">
        <w:rPr>
          <w:lang w:val="en-GB"/>
        </w:rPr>
        <w:t>,</w:t>
      </w:r>
      <w:r w:rsidRPr="007A5ABC">
        <w:rPr>
          <w:rStyle w:val="FootnoteReference"/>
          <w:lang w:val="en-GB"/>
        </w:rPr>
        <w:footnoteReference w:id="27"/>
      </w:r>
      <w:r w:rsidRPr="007A5ABC">
        <w:rPr>
          <w:lang w:val="en-GB"/>
        </w:rPr>
        <w:t xml:space="preserve"> according to which the Länder have to develop needs and development plans for an adequate and comprehensive system of institutional, semi-institutional, and home</w:t>
      </w:r>
      <w:r>
        <w:rPr>
          <w:lang w:val="en-GB"/>
        </w:rPr>
        <w:t>-</w:t>
      </w:r>
      <w:r w:rsidRPr="007A5ABC">
        <w:rPr>
          <w:lang w:val="en-GB"/>
        </w:rPr>
        <w:t>based care services with full geographical coverage, observing minimum standards. This includes palliative care.</w:t>
      </w:r>
    </w:p>
    <w:p w:rsidR="00BB4848" w:rsidRPr="007A5ABC" w:rsidRDefault="00BB4848" w:rsidP="00BB4848">
      <w:pPr>
        <w:pStyle w:val="SingleTxtG"/>
        <w:numPr>
          <w:ilvl w:val="0"/>
          <w:numId w:val="9"/>
        </w:numPr>
        <w:rPr>
          <w:lang w:val="en-GB"/>
        </w:rPr>
      </w:pPr>
      <w:r w:rsidRPr="007A5ABC">
        <w:rPr>
          <w:lang w:val="en-GB"/>
        </w:rPr>
        <w:t>In 2009, Austria amended the Federal Long-Term Care Act. The Act provides for partial increases</w:t>
      </w:r>
      <w:r w:rsidRPr="007A5ABC">
        <w:rPr>
          <w:rStyle w:val="FootnoteReference"/>
          <w:lang w:val="en-GB"/>
        </w:rPr>
        <w:footnoteReference w:id="28"/>
      </w:r>
      <w:r w:rsidRPr="007A5ABC">
        <w:rPr>
          <w:lang w:val="en-GB"/>
        </w:rPr>
        <w:t xml:space="preserve"> </w:t>
      </w:r>
      <w:r>
        <w:rPr>
          <w:lang w:val="en-GB"/>
        </w:rPr>
        <w:t>in</w:t>
      </w:r>
      <w:r w:rsidRPr="007A5ABC">
        <w:rPr>
          <w:lang w:val="en-GB"/>
        </w:rPr>
        <w:t xml:space="preserve"> the long-term care benefit, the introduction of a hardship supplement as well as for granting financial aid towards short-term care that will benefit a larger number of care-giving family members. </w:t>
      </w:r>
    </w:p>
    <w:p w:rsidR="00BB4848" w:rsidRPr="00CF21FB" w:rsidRDefault="00BB4848" w:rsidP="00BB4848">
      <w:pPr>
        <w:pStyle w:val="SingleTxtG"/>
        <w:numPr>
          <w:ilvl w:val="0"/>
          <w:numId w:val="9"/>
        </w:numPr>
        <w:rPr>
          <w:lang w:val="en-GB"/>
        </w:rPr>
      </w:pPr>
      <w:r w:rsidRPr="007A5ABC">
        <w:rPr>
          <w:lang w:val="en-GB"/>
        </w:rPr>
        <w:t xml:space="preserve">On </w:t>
      </w:r>
      <w:r>
        <w:rPr>
          <w:lang w:val="en-GB"/>
        </w:rPr>
        <w:t xml:space="preserve">1 </w:t>
      </w:r>
      <w:r w:rsidRPr="007A5ABC">
        <w:rPr>
          <w:lang w:val="en-GB"/>
        </w:rPr>
        <w:t>January</w:t>
      </w:r>
      <w:r>
        <w:rPr>
          <w:lang w:val="en-GB"/>
        </w:rPr>
        <w:t xml:space="preserve"> </w:t>
      </w:r>
      <w:r w:rsidRPr="007A5ABC">
        <w:rPr>
          <w:lang w:val="en-GB"/>
        </w:rPr>
        <w:t>2012</w:t>
      </w:r>
      <w:r>
        <w:rPr>
          <w:lang w:val="en-GB"/>
        </w:rPr>
        <w:t>,</w:t>
      </w:r>
      <w:r w:rsidRPr="007A5ABC">
        <w:rPr>
          <w:lang w:val="en-GB"/>
        </w:rPr>
        <w:t xml:space="preserve"> a comprehensive reform </w:t>
      </w:r>
      <w:r>
        <w:rPr>
          <w:lang w:val="en-GB"/>
        </w:rPr>
        <w:t xml:space="preserve">of </w:t>
      </w:r>
      <w:r w:rsidRPr="007A5ABC">
        <w:rPr>
          <w:lang w:val="en-GB"/>
        </w:rPr>
        <w:t>long-term care benefits entered into force. The reform led to the takeover of the long-term care benefits of the Länder in the legislation and execution at federal level. Before th</w:t>
      </w:r>
      <w:r>
        <w:rPr>
          <w:lang w:val="en-GB"/>
        </w:rPr>
        <w:t>e</w:t>
      </w:r>
      <w:r w:rsidRPr="007A5ABC">
        <w:rPr>
          <w:lang w:val="en-GB"/>
        </w:rPr>
        <w:t xml:space="preserve"> reform, the structure of long-term care benefits was fragmented, as there existed a benefit in cash from the federal </w:t>
      </w:r>
      <w:r>
        <w:rPr>
          <w:lang w:val="en-GB"/>
        </w:rPr>
        <w:t>S</w:t>
      </w:r>
      <w:r w:rsidRPr="007A5ABC">
        <w:rPr>
          <w:lang w:val="en-GB"/>
        </w:rPr>
        <w:t>tate and every province</w:t>
      </w:r>
      <w:r>
        <w:rPr>
          <w:i/>
          <w:lang w:val="en-GB"/>
        </w:rPr>
        <w:t xml:space="preserve"> </w:t>
      </w:r>
      <w:r w:rsidRPr="007A5ABC">
        <w:rPr>
          <w:lang w:val="en-GB"/>
        </w:rPr>
        <w:t>had its own cash benefit. There were different legal acts and also different actors involved</w:t>
      </w:r>
      <w:r w:rsidRPr="00CF21FB">
        <w:rPr>
          <w:lang w:val="en-GB"/>
        </w:rPr>
        <w:t>,</w:t>
      </w:r>
      <w:r w:rsidRPr="007A5ABC">
        <w:rPr>
          <w:lang w:val="en-GB"/>
        </w:rPr>
        <w:t xml:space="preserve"> which was also criticized by the Austrian </w:t>
      </w:r>
      <w:r w:rsidRPr="00CF21FB">
        <w:rPr>
          <w:lang w:val="en-GB"/>
        </w:rPr>
        <w:t>Court of Auditors</w:t>
      </w:r>
      <w:r w:rsidRPr="007A5ABC">
        <w:rPr>
          <w:lang w:val="en-GB"/>
        </w:rPr>
        <w:t xml:space="preserve">. </w:t>
      </w:r>
    </w:p>
    <w:p w:rsidR="00BB4848" w:rsidRPr="007A5ABC" w:rsidRDefault="00BB4848" w:rsidP="00BB4848">
      <w:pPr>
        <w:pStyle w:val="SingleTxtG"/>
        <w:numPr>
          <w:ilvl w:val="0"/>
          <w:numId w:val="9"/>
        </w:numPr>
        <w:rPr>
          <w:lang w:val="en-GB"/>
        </w:rPr>
      </w:pPr>
      <w:r w:rsidRPr="007A5ABC">
        <w:rPr>
          <w:lang w:val="en-GB"/>
        </w:rPr>
        <w:t xml:space="preserve">In the area of cash benefits, particularly the long-term care allowance, </w:t>
      </w:r>
      <w:r w:rsidRPr="00CF21FB">
        <w:rPr>
          <w:lang w:val="en-GB"/>
        </w:rPr>
        <w:t xml:space="preserve">before 2012 </w:t>
      </w:r>
      <w:r w:rsidRPr="007A5ABC">
        <w:rPr>
          <w:lang w:val="en-GB"/>
        </w:rPr>
        <w:t xml:space="preserve">there was considerable fragmentation of the legal framework, together with the additional provisions at the local level regarding the classification of those in need of care, </w:t>
      </w:r>
      <w:r w:rsidRPr="00CF21FB">
        <w:rPr>
          <w:lang w:val="en-GB"/>
        </w:rPr>
        <w:t xml:space="preserve">which </w:t>
      </w:r>
      <w:r w:rsidRPr="007A5ABC">
        <w:rPr>
          <w:lang w:val="en-GB"/>
        </w:rPr>
        <w:t xml:space="preserve">resulted in further divergences. </w:t>
      </w:r>
      <w:r w:rsidRPr="00CF21FB">
        <w:rPr>
          <w:lang w:val="en-GB"/>
        </w:rPr>
        <w:t xml:space="preserve">The aim of harmonizing the standards between the </w:t>
      </w:r>
      <w:r w:rsidRPr="007A5ABC">
        <w:rPr>
          <w:lang w:val="en-GB"/>
        </w:rPr>
        <w:t>Länder</w:t>
      </w:r>
      <w:r w:rsidRPr="00CF21FB">
        <w:rPr>
          <w:lang w:val="en-GB"/>
        </w:rPr>
        <w:t xml:space="preserve"> was not</w:t>
      </w:r>
      <w:r w:rsidRPr="007A5ABC">
        <w:rPr>
          <w:lang w:val="en-GB"/>
        </w:rPr>
        <w:t>,</w:t>
      </w:r>
      <w:r w:rsidRPr="00CF21FB">
        <w:rPr>
          <w:lang w:val="en-GB"/>
        </w:rPr>
        <w:t xml:space="preserve"> however</w:t>
      </w:r>
      <w:r w:rsidRPr="007A5ABC">
        <w:rPr>
          <w:lang w:val="en-GB"/>
        </w:rPr>
        <w:t>,</w:t>
      </w:r>
      <w:r w:rsidRPr="00CF21FB">
        <w:rPr>
          <w:lang w:val="en-GB"/>
        </w:rPr>
        <w:t xml:space="preserve"> reached through the 2012 reform as far as care facilities are concerned, and </w:t>
      </w:r>
      <w:r w:rsidRPr="007A5ABC">
        <w:rPr>
          <w:lang w:val="en-GB"/>
        </w:rPr>
        <w:t xml:space="preserve">diverging standards in terms of quality, quantity and types of services provided remained as a result of the lack of uniform legislation across the Länder. </w:t>
      </w:r>
    </w:p>
    <w:p w:rsidR="00BB4848" w:rsidRPr="007A5ABC" w:rsidRDefault="00BB4848" w:rsidP="00BB4848">
      <w:pPr>
        <w:pStyle w:val="SingleTxtG"/>
        <w:numPr>
          <w:ilvl w:val="0"/>
          <w:numId w:val="9"/>
        </w:numPr>
        <w:rPr>
          <w:lang w:val="en-GB"/>
        </w:rPr>
      </w:pPr>
      <w:r w:rsidRPr="007A5ABC">
        <w:rPr>
          <w:lang w:val="en-GB"/>
        </w:rPr>
        <w:t xml:space="preserve">The objective of the reform </w:t>
      </w:r>
      <w:r>
        <w:rPr>
          <w:lang w:val="en-GB"/>
        </w:rPr>
        <w:t xml:space="preserve">was </w:t>
      </w:r>
      <w:r w:rsidRPr="007A5ABC">
        <w:rPr>
          <w:lang w:val="en-GB"/>
        </w:rPr>
        <w:t xml:space="preserve">to </w:t>
      </w:r>
      <w:r>
        <w:rPr>
          <w:lang w:val="en-US"/>
        </w:rPr>
        <w:t xml:space="preserve">regroup </w:t>
      </w:r>
      <w:r w:rsidRPr="007A5ABC">
        <w:rPr>
          <w:lang w:val="en-GB"/>
        </w:rPr>
        <w:t xml:space="preserve">the competencies for legislation and execution of long-term care benefits in cash </w:t>
      </w:r>
      <w:r>
        <w:rPr>
          <w:lang w:val="en-GB"/>
        </w:rPr>
        <w:t>under</w:t>
      </w:r>
      <w:r w:rsidRPr="007A5ABC">
        <w:rPr>
          <w:lang w:val="en-GB"/>
        </w:rPr>
        <w:t xml:space="preserve"> the </w:t>
      </w:r>
      <w:r>
        <w:rPr>
          <w:lang w:val="en-GB"/>
        </w:rPr>
        <w:t>federal G</w:t>
      </w:r>
      <w:r w:rsidRPr="007A5ABC">
        <w:rPr>
          <w:lang w:val="en-GB"/>
        </w:rPr>
        <w:t xml:space="preserve">overnment, to reduce the number of actors involved, from around 300 to </w:t>
      </w:r>
      <w:r>
        <w:rPr>
          <w:lang w:val="en-GB"/>
        </w:rPr>
        <w:t>5</w:t>
      </w:r>
      <w:r w:rsidRPr="007A5ABC">
        <w:rPr>
          <w:lang w:val="en-GB"/>
        </w:rPr>
        <w:t>, and to ensure the uniform implementation of long-term care benefits in cash, to reduce costs related to that and to shorten the duration of the proceedings of allocation of long-term care benefits in cash.</w:t>
      </w:r>
    </w:p>
    <w:p w:rsidR="00BB4848" w:rsidRPr="007A5ABC" w:rsidRDefault="00BB4848" w:rsidP="00BB4848">
      <w:pPr>
        <w:pStyle w:val="SingleTxtG"/>
        <w:numPr>
          <w:ilvl w:val="0"/>
          <w:numId w:val="9"/>
        </w:numPr>
        <w:rPr>
          <w:lang w:val="en-GB"/>
        </w:rPr>
      </w:pPr>
      <w:r w:rsidRPr="007A5ABC">
        <w:rPr>
          <w:lang w:val="en-GB"/>
        </w:rPr>
        <w:t>In spite of the long-term care allowance, there are no comprehensive safeguards against the financial risks in the event of care. There are no legal provisions regarding the percentage of the resulting additional expense that should be covered by the allowance</w:t>
      </w:r>
      <w:r>
        <w:rPr>
          <w:lang w:val="en-GB"/>
        </w:rPr>
        <w:t>,</w:t>
      </w:r>
      <w:r w:rsidRPr="007A5ABC">
        <w:rPr>
          <w:lang w:val="en-GB"/>
        </w:rPr>
        <w:t xml:space="preserve"> and</w:t>
      </w:r>
      <w:r>
        <w:rPr>
          <w:lang w:val="en-GB"/>
        </w:rPr>
        <w:t>,</w:t>
      </w:r>
      <w:r w:rsidRPr="007A5ABC">
        <w:rPr>
          <w:lang w:val="en-GB"/>
        </w:rPr>
        <w:t xml:space="preserve"> in fact, the real expenses are not even ascertained.</w:t>
      </w:r>
    </w:p>
    <w:p w:rsidR="00BB4848" w:rsidRPr="007A5ABC" w:rsidRDefault="00BB4848" w:rsidP="00BB4848">
      <w:pPr>
        <w:pStyle w:val="SingleTxtG"/>
        <w:numPr>
          <w:ilvl w:val="0"/>
          <w:numId w:val="9"/>
        </w:numPr>
        <w:rPr>
          <w:lang w:val="en-GB"/>
        </w:rPr>
      </w:pPr>
      <w:r w:rsidRPr="007A5ABC">
        <w:rPr>
          <w:lang w:val="en-GB"/>
        </w:rPr>
        <w:t xml:space="preserve">The beneficiary who receives long-term care benefit in cash can arrange </w:t>
      </w:r>
      <w:r>
        <w:rPr>
          <w:lang w:val="en-GB"/>
        </w:rPr>
        <w:t>their</w:t>
      </w:r>
      <w:r w:rsidRPr="007A5ABC">
        <w:rPr>
          <w:lang w:val="en-GB"/>
        </w:rPr>
        <w:t xml:space="preserve"> care and nursing for </w:t>
      </w:r>
      <w:r>
        <w:rPr>
          <w:lang w:val="en-GB"/>
        </w:rPr>
        <w:t xml:space="preserve">themselves, </w:t>
      </w:r>
      <w:r w:rsidRPr="007A5ABC">
        <w:rPr>
          <w:lang w:val="en-GB"/>
        </w:rPr>
        <w:t xml:space="preserve">or chose to reside in a residential home. In this case, most of the long-term care allowances and pension, if any, </w:t>
      </w:r>
      <w:r>
        <w:rPr>
          <w:lang w:val="en-GB"/>
        </w:rPr>
        <w:t>are</w:t>
      </w:r>
      <w:r w:rsidRPr="007A5ABC">
        <w:rPr>
          <w:lang w:val="en-GB"/>
        </w:rPr>
        <w:t xml:space="preserve"> used to bear the costs of residential care and are directly paid to the </w:t>
      </w:r>
      <w:r>
        <w:rPr>
          <w:lang w:val="en-GB"/>
        </w:rPr>
        <w:t>provincial</w:t>
      </w:r>
      <w:r w:rsidRPr="007A5ABC">
        <w:rPr>
          <w:lang w:val="en-GB"/>
        </w:rPr>
        <w:t>, municipal or social</w:t>
      </w:r>
      <w:r>
        <w:rPr>
          <w:lang w:val="en-GB"/>
        </w:rPr>
        <w:t>-</w:t>
      </w:r>
      <w:r w:rsidRPr="007A5ABC">
        <w:rPr>
          <w:lang w:val="en-GB"/>
        </w:rPr>
        <w:t xml:space="preserve">assistance authority concerned. The </w:t>
      </w:r>
      <w:r>
        <w:rPr>
          <w:lang w:val="en-GB"/>
        </w:rPr>
        <w:t xml:space="preserve">Länder </w:t>
      </w:r>
      <w:r w:rsidRPr="007A5ABC">
        <w:rPr>
          <w:lang w:val="en-GB"/>
        </w:rPr>
        <w:t xml:space="preserve">have various recourse mechanisms against the person in need of care, which differ </w:t>
      </w:r>
      <w:r>
        <w:rPr>
          <w:lang w:val="en-GB"/>
        </w:rPr>
        <w:t xml:space="preserve">according to the province. </w:t>
      </w:r>
      <w:r w:rsidRPr="007A5ABC">
        <w:rPr>
          <w:lang w:val="en-GB"/>
        </w:rPr>
        <w:t xml:space="preserve">If the person in need of care used all of </w:t>
      </w:r>
      <w:r>
        <w:rPr>
          <w:lang w:val="en-GB"/>
        </w:rPr>
        <w:t>their</w:t>
      </w:r>
      <w:r w:rsidRPr="007A5ABC">
        <w:rPr>
          <w:lang w:val="en-GB"/>
        </w:rPr>
        <w:t xml:space="preserve"> capital, the social welfare </w:t>
      </w:r>
      <w:r>
        <w:rPr>
          <w:lang w:val="en-GB"/>
        </w:rPr>
        <w:t xml:space="preserve">agency </w:t>
      </w:r>
      <w:r w:rsidRPr="007A5ABC">
        <w:rPr>
          <w:lang w:val="en-GB"/>
        </w:rPr>
        <w:t xml:space="preserve">will bear the cost of residential care. In July 2014, </w:t>
      </w:r>
      <w:r>
        <w:rPr>
          <w:lang w:val="en-GB"/>
        </w:rPr>
        <w:t xml:space="preserve">Styria was </w:t>
      </w:r>
      <w:r w:rsidRPr="007A5ABC">
        <w:rPr>
          <w:lang w:val="en-GB"/>
        </w:rPr>
        <w:t xml:space="preserve">the last of Austria’s provinces </w:t>
      </w:r>
      <w:r>
        <w:rPr>
          <w:lang w:val="en-GB"/>
        </w:rPr>
        <w:t xml:space="preserve">to </w:t>
      </w:r>
      <w:r w:rsidRPr="007A5ABC">
        <w:rPr>
          <w:lang w:val="en-GB"/>
        </w:rPr>
        <w:t>abolish recourse against children for the costs of care for their parent.</w:t>
      </w:r>
    </w:p>
    <w:p w:rsidR="00BB4848" w:rsidRPr="007A5ABC" w:rsidRDefault="00BB4848" w:rsidP="00BB4848">
      <w:pPr>
        <w:pStyle w:val="SingleTxtG"/>
        <w:numPr>
          <w:ilvl w:val="0"/>
          <w:numId w:val="9"/>
        </w:numPr>
        <w:rPr>
          <w:lang w:val="en-GB"/>
        </w:rPr>
      </w:pPr>
      <w:r w:rsidRPr="007A5ABC">
        <w:rPr>
          <w:lang w:val="en-GB"/>
        </w:rPr>
        <w:t xml:space="preserve">In May 2011, the </w:t>
      </w:r>
      <w:r>
        <w:rPr>
          <w:lang w:val="en-GB"/>
        </w:rPr>
        <w:t>G</w:t>
      </w:r>
      <w:r w:rsidRPr="007A5ABC">
        <w:rPr>
          <w:lang w:val="en-GB"/>
        </w:rPr>
        <w:t xml:space="preserve">overnment decided to establish a </w:t>
      </w:r>
      <w:r>
        <w:rPr>
          <w:lang w:val="en-GB"/>
        </w:rPr>
        <w:t>l</w:t>
      </w:r>
      <w:r w:rsidRPr="007A5ABC">
        <w:rPr>
          <w:lang w:val="en-GB"/>
        </w:rPr>
        <w:t>ong-</w:t>
      </w:r>
      <w:r>
        <w:rPr>
          <w:lang w:val="en-GB"/>
        </w:rPr>
        <w:t>t</w:t>
      </w:r>
      <w:r w:rsidRPr="007A5ABC">
        <w:rPr>
          <w:lang w:val="en-GB"/>
        </w:rPr>
        <w:t xml:space="preserve">erm </w:t>
      </w:r>
      <w:r>
        <w:rPr>
          <w:lang w:val="en-GB"/>
        </w:rPr>
        <w:t>c</w:t>
      </w:r>
      <w:r w:rsidRPr="007A5ABC">
        <w:rPr>
          <w:lang w:val="en-GB"/>
        </w:rPr>
        <w:t xml:space="preserve">are </w:t>
      </w:r>
      <w:r>
        <w:rPr>
          <w:lang w:val="en-GB"/>
        </w:rPr>
        <w:t>f</w:t>
      </w:r>
      <w:r w:rsidRPr="007A5ABC">
        <w:rPr>
          <w:lang w:val="en-GB"/>
        </w:rPr>
        <w:t>und to support the provinces</w:t>
      </w:r>
      <w:r>
        <w:rPr>
          <w:i/>
          <w:lang w:val="en-GB"/>
        </w:rPr>
        <w:t xml:space="preserve"> </w:t>
      </w:r>
      <w:r w:rsidRPr="007A5ABC">
        <w:rPr>
          <w:lang w:val="en-GB"/>
        </w:rPr>
        <w:t xml:space="preserve">and </w:t>
      </w:r>
      <w:r>
        <w:rPr>
          <w:lang w:val="en-GB"/>
        </w:rPr>
        <w:t xml:space="preserve">the </w:t>
      </w:r>
      <w:r w:rsidRPr="007A5ABC">
        <w:rPr>
          <w:lang w:val="en-GB"/>
        </w:rPr>
        <w:t>municipalities in covering care-related expenditure. A uniform definition of care-giving and nursing services in the long-term</w:t>
      </w:r>
      <w:r>
        <w:rPr>
          <w:lang w:val="en-GB"/>
        </w:rPr>
        <w:t>-</w:t>
      </w:r>
      <w:r w:rsidRPr="007A5ABC">
        <w:rPr>
          <w:lang w:val="en-GB"/>
        </w:rPr>
        <w:t>care system was also enshrined in the law, and a</w:t>
      </w:r>
      <w:r>
        <w:rPr>
          <w:lang w:val="en-GB"/>
        </w:rPr>
        <w:t xml:space="preserve"> countrywide</w:t>
      </w:r>
      <w:r w:rsidRPr="007A5ABC">
        <w:rPr>
          <w:lang w:val="en-GB"/>
        </w:rPr>
        <w:t xml:space="preserve"> database on care services was created.</w:t>
      </w:r>
    </w:p>
    <w:p w:rsidR="00BB4848" w:rsidRPr="007A5ABC" w:rsidRDefault="00BB4848" w:rsidP="00BB4848">
      <w:pPr>
        <w:pStyle w:val="H23G"/>
        <w:rPr>
          <w:lang w:val="en-GB"/>
        </w:rPr>
      </w:pPr>
      <w:r w:rsidRPr="00806FA6">
        <w:rPr>
          <w:lang w:val="en-GB"/>
        </w:rPr>
        <w:tab/>
        <w:t>4.</w:t>
      </w:r>
      <w:r w:rsidRPr="007A5ABC">
        <w:rPr>
          <w:lang w:val="en-GB"/>
        </w:rPr>
        <w:tab/>
        <w:t>Palliative care</w:t>
      </w:r>
    </w:p>
    <w:p w:rsidR="00BB4848" w:rsidRPr="007A5ABC" w:rsidRDefault="00BB4848" w:rsidP="00BB4848">
      <w:pPr>
        <w:pStyle w:val="SingleTxtG"/>
        <w:numPr>
          <w:ilvl w:val="0"/>
          <w:numId w:val="9"/>
        </w:numPr>
        <w:rPr>
          <w:lang w:val="en-GB"/>
        </w:rPr>
      </w:pPr>
      <w:r w:rsidRPr="007A5ABC">
        <w:rPr>
          <w:lang w:val="en-GB"/>
        </w:rPr>
        <w:t xml:space="preserve">Austria started developing </w:t>
      </w:r>
      <w:r>
        <w:rPr>
          <w:lang w:val="en-GB"/>
        </w:rPr>
        <w:t>its p</w:t>
      </w:r>
      <w:r w:rsidRPr="008323EC">
        <w:rPr>
          <w:lang w:val="en-GB"/>
        </w:rPr>
        <w:t xml:space="preserve">alliative care </w:t>
      </w:r>
      <w:r>
        <w:rPr>
          <w:lang w:val="en-GB"/>
        </w:rPr>
        <w:t xml:space="preserve">capability </w:t>
      </w:r>
      <w:r w:rsidRPr="007A5ABC">
        <w:rPr>
          <w:lang w:val="en-GB"/>
        </w:rPr>
        <w:t xml:space="preserve">in the mid-1990s, with the opening of several hospices and the recognition </w:t>
      </w:r>
      <w:r>
        <w:rPr>
          <w:lang w:val="en-GB"/>
        </w:rPr>
        <w:t xml:space="preserve">of </w:t>
      </w:r>
      <w:r w:rsidRPr="007A5ABC">
        <w:rPr>
          <w:lang w:val="en-GB"/>
        </w:rPr>
        <w:t>isolated initiatives by the medical community and governmental authorities. In 2001, Parliament decided to initiate the structured development of hospice and palliative care. There is no right to palliative care in Austria.</w:t>
      </w:r>
      <w:r w:rsidRPr="007A5ABC">
        <w:rPr>
          <w:rStyle w:val="FootnoteReference"/>
          <w:lang w:val="en-GB"/>
        </w:rPr>
        <w:footnoteReference w:id="29"/>
      </w:r>
      <w:r w:rsidRPr="007A5ABC">
        <w:rPr>
          <w:lang w:val="en-GB"/>
        </w:rPr>
        <w:t xml:space="preserve"> </w:t>
      </w:r>
    </w:p>
    <w:p w:rsidR="00BB4848" w:rsidRPr="007A5ABC" w:rsidRDefault="00BB4848" w:rsidP="00BB4848">
      <w:pPr>
        <w:pStyle w:val="SingleTxtG"/>
        <w:numPr>
          <w:ilvl w:val="0"/>
          <w:numId w:val="9"/>
        </w:numPr>
        <w:rPr>
          <w:lang w:val="en-GB"/>
        </w:rPr>
      </w:pPr>
      <w:r w:rsidRPr="007A5ABC">
        <w:rPr>
          <w:lang w:val="en-GB"/>
        </w:rPr>
        <w:t>Austria provides a variety of palliative care services, including palliative care units and mobile palliative care teams</w:t>
      </w:r>
      <w:r>
        <w:rPr>
          <w:lang w:val="en-GB"/>
        </w:rPr>
        <w:t>,</w:t>
      </w:r>
      <w:r w:rsidRPr="007A5ABC">
        <w:rPr>
          <w:lang w:val="en-GB"/>
        </w:rPr>
        <w:t xml:space="preserve"> as well as hospices for long-term care. While palliative care is not recognized as a medical special</w:t>
      </w:r>
      <w:r>
        <w:rPr>
          <w:lang w:val="en-GB"/>
        </w:rPr>
        <w:t>i</w:t>
      </w:r>
      <w:r w:rsidRPr="007A5ABC">
        <w:rPr>
          <w:lang w:val="en-GB"/>
        </w:rPr>
        <w:t>ty in Austria, the Independent Expert was pleased to learn that</w:t>
      </w:r>
      <w:r>
        <w:rPr>
          <w:lang w:val="en-GB"/>
        </w:rPr>
        <w:t>,</w:t>
      </w:r>
      <w:r w:rsidRPr="007A5ABC">
        <w:rPr>
          <w:lang w:val="en-GB"/>
        </w:rPr>
        <w:t xml:space="preserve"> further to her visit</w:t>
      </w:r>
      <w:r>
        <w:rPr>
          <w:lang w:val="en-GB"/>
        </w:rPr>
        <w:t>,</w:t>
      </w:r>
      <w:r w:rsidRPr="007A5ABC">
        <w:rPr>
          <w:lang w:val="en-GB"/>
        </w:rPr>
        <w:t xml:space="preserve"> a new regulation on the education of doctors was adopted</w:t>
      </w:r>
      <w:r>
        <w:rPr>
          <w:lang w:val="en-GB"/>
        </w:rPr>
        <w:t>,</w:t>
      </w:r>
      <w:r w:rsidRPr="007A5ABC">
        <w:rPr>
          <w:lang w:val="en-GB"/>
        </w:rPr>
        <w:t xml:space="preserve"> which makes palliative care and subject-specific palliative medicine a compulsory and integral part of the general and special medical </w:t>
      </w:r>
      <w:r>
        <w:rPr>
          <w:lang w:val="en-GB"/>
        </w:rPr>
        <w:t>training</w:t>
      </w:r>
      <w:r w:rsidRPr="007A5ABC">
        <w:rPr>
          <w:lang w:val="en-GB"/>
        </w:rPr>
        <w:t>.</w:t>
      </w:r>
      <w:r w:rsidRPr="00806FA6">
        <w:rPr>
          <w:rStyle w:val="FootnoteReference"/>
          <w:lang w:val="en-GB"/>
        </w:rPr>
        <w:footnoteReference w:id="30"/>
      </w:r>
      <w:r w:rsidRPr="00806FA6">
        <w:rPr>
          <w:lang w:val="en-GB"/>
        </w:rPr>
        <w:t xml:space="preserve"> </w:t>
      </w:r>
    </w:p>
    <w:p w:rsidR="00BB4848" w:rsidRPr="007A5ABC" w:rsidRDefault="00BB4848" w:rsidP="00BB4848">
      <w:pPr>
        <w:pStyle w:val="SingleTxtG"/>
        <w:numPr>
          <w:ilvl w:val="0"/>
          <w:numId w:val="9"/>
        </w:numPr>
        <w:rPr>
          <w:lang w:val="en-GB"/>
        </w:rPr>
      </w:pPr>
      <w:r w:rsidRPr="007A5ABC">
        <w:rPr>
          <w:lang w:val="en-GB"/>
        </w:rPr>
        <w:t xml:space="preserve">The practice of inappropriate medication and drug prescription is a major risk factor for geriatric patients and is associated with adverse outcomes </w:t>
      </w:r>
      <w:r>
        <w:rPr>
          <w:lang w:val="en-GB"/>
        </w:rPr>
        <w:t>such as</w:t>
      </w:r>
      <w:r w:rsidRPr="007A5ABC">
        <w:rPr>
          <w:lang w:val="en-GB"/>
        </w:rPr>
        <w:t xml:space="preserve"> hospitali</w:t>
      </w:r>
      <w:r>
        <w:rPr>
          <w:lang w:val="en-GB"/>
        </w:rPr>
        <w:t>z</w:t>
      </w:r>
      <w:r w:rsidRPr="007A5ABC">
        <w:rPr>
          <w:lang w:val="en-GB"/>
        </w:rPr>
        <w:t xml:space="preserve">ation and death. A study conducted in 2012 indicated that more than half of persons aged 70 and </w:t>
      </w:r>
      <w:r>
        <w:rPr>
          <w:lang w:val="en-GB"/>
        </w:rPr>
        <w:t>above</w:t>
      </w:r>
      <w:r w:rsidRPr="007A5ABC">
        <w:rPr>
          <w:lang w:val="en-GB"/>
        </w:rPr>
        <w:t xml:space="preserve"> were prescribed at least one potentially inappropriate medic</w:t>
      </w:r>
      <w:r>
        <w:rPr>
          <w:lang w:val="en-GB"/>
        </w:rPr>
        <w:t>ation</w:t>
      </w:r>
      <w:r w:rsidRPr="007A5ABC">
        <w:rPr>
          <w:lang w:val="en-GB"/>
        </w:rPr>
        <w:t>.</w:t>
      </w:r>
      <w:r w:rsidRPr="007A5ABC">
        <w:rPr>
          <w:rStyle w:val="FootnoteReference"/>
          <w:lang w:val="en-GB"/>
        </w:rPr>
        <w:footnoteReference w:id="31"/>
      </w:r>
    </w:p>
    <w:p w:rsidR="00BB4848" w:rsidRPr="007A5ABC" w:rsidRDefault="00BB4848" w:rsidP="00BB4848">
      <w:pPr>
        <w:pStyle w:val="H23G"/>
        <w:rPr>
          <w:lang w:val="en-GB"/>
        </w:rPr>
      </w:pPr>
      <w:r w:rsidRPr="00806FA6">
        <w:rPr>
          <w:lang w:val="en-GB"/>
        </w:rPr>
        <w:tab/>
        <w:t>5.</w:t>
      </w:r>
      <w:r w:rsidRPr="007A5ABC">
        <w:rPr>
          <w:lang w:val="en-GB"/>
        </w:rPr>
        <w:tab/>
        <w:t>Geriatric services</w:t>
      </w:r>
    </w:p>
    <w:p w:rsidR="00BB4848" w:rsidRPr="007A5ABC" w:rsidRDefault="00BB4848" w:rsidP="00BB4848">
      <w:pPr>
        <w:pStyle w:val="SingleTxtG"/>
        <w:numPr>
          <w:ilvl w:val="0"/>
          <w:numId w:val="9"/>
        </w:numPr>
        <w:rPr>
          <w:lang w:val="en-GB"/>
        </w:rPr>
      </w:pPr>
      <w:r w:rsidRPr="007A5ABC">
        <w:rPr>
          <w:lang w:val="en-GB"/>
        </w:rPr>
        <w:t xml:space="preserve">In 2000, the Austrian Federal Institute for Health Care developed a plan for a network of </w:t>
      </w:r>
      <w:r>
        <w:rPr>
          <w:lang w:val="en-GB"/>
        </w:rPr>
        <w:t>g</w:t>
      </w:r>
      <w:r w:rsidRPr="007A5ABC">
        <w:rPr>
          <w:lang w:val="en-GB"/>
        </w:rPr>
        <w:t xml:space="preserve">eriatric </w:t>
      </w:r>
      <w:r>
        <w:rPr>
          <w:lang w:val="en-GB"/>
        </w:rPr>
        <w:t>a</w:t>
      </w:r>
      <w:r w:rsidRPr="007A5ABC">
        <w:rPr>
          <w:lang w:val="en-GB"/>
        </w:rPr>
        <w:t xml:space="preserve">cute </w:t>
      </w:r>
      <w:r>
        <w:rPr>
          <w:lang w:val="en-GB"/>
        </w:rPr>
        <w:t>c</w:t>
      </w:r>
      <w:r w:rsidRPr="007A5ABC">
        <w:rPr>
          <w:lang w:val="en-GB"/>
        </w:rPr>
        <w:t xml:space="preserve">are and </w:t>
      </w:r>
      <w:r>
        <w:rPr>
          <w:lang w:val="en-GB"/>
        </w:rPr>
        <w:t>r</w:t>
      </w:r>
      <w:r w:rsidRPr="007A5ABC">
        <w:rPr>
          <w:lang w:val="en-GB"/>
        </w:rPr>
        <w:t>emobilization units</w:t>
      </w:r>
      <w:r>
        <w:rPr>
          <w:lang w:val="en-GB"/>
        </w:rPr>
        <w:t>,</w:t>
      </w:r>
      <w:r w:rsidRPr="007A5ABC">
        <w:rPr>
          <w:lang w:val="en-GB"/>
        </w:rPr>
        <w:t xml:space="preserve"> which was adopted by the Government and the Länder. The Structural Plan for Health defines the framework conditions, necessary capacities and official quality standards for </w:t>
      </w:r>
      <w:r>
        <w:rPr>
          <w:lang w:val="en-GB"/>
        </w:rPr>
        <w:t>g</w:t>
      </w:r>
      <w:r w:rsidRPr="007A5ABC">
        <w:rPr>
          <w:lang w:val="en-GB"/>
        </w:rPr>
        <w:t xml:space="preserve">eriatric </w:t>
      </w:r>
      <w:r>
        <w:rPr>
          <w:lang w:val="en-GB"/>
        </w:rPr>
        <w:t>a</w:t>
      </w:r>
      <w:r w:rsidRPr="007A5ABC">
        <w:rPr>
          <w:lang w:val="en-GB"/>
        </w:rPr>
        <w:t xml:space="preserve">cute </w:t>
      </w:r>
      <w:r>
        <w:rPr>
          <w:lang w:val="en-GB"/>
        </w:rPr>
        <w:t>c</w:t>
      </w:r>
      <w:r w:rsidRPr="007A5ABC">
        <w:rPr>
          <w:lang w:val="en-GB"/>
        </w:rPr>
        <w:t xml:space="preserve">are and </w:t>
      </w:r>
      <w:r>
        <w:rPr>
          <w:lang w:val="en-GB"/>
        </w:rPr>
        <w:t>r</w:t>
      </w:r>
      <w:r w:rsidRPr="007A5ABC">
        <w:rPr>
          <w:lang w:val="en-GB"/>
        </w:rPr>
        <w:t xml:space="preserve">emobilization units in hospitals. It </w:t>
      </w:r>
      <w:r>
        <w:rPr>
          <w:lang w:val="en-GB"/>
        </w:rPr>
        <w:t>was</w:t>
      </w:r>
      <w:r w:rsidRPr="007A5ABC">
        <w:rPr>
          <w:lang w:val="en-GB"/>
        </w:rPr>
        <w:t xml:space="preserve"> agreed that by 2030 each larger general hospital in Austria should provide a department for </w:t>
      </w:r>
      <w:r>
        <w:rPr>
          <w:lang w:val="en-GB"/>
        </w:rPr>
        <w:t>g</w:t>
      </w:r>
      <w:r w:rsidRPr="007A5ABC">
        <w:rPr>
          <w:lang w:val="en-GB"/>
        </w:rPr>
        <w:t xml:space="preserve">eriatric </w:t>
      </w:r>
      <w:r>
        <w:rPr>
          <w:lang w:val="en-GB"/>
        </w:rPr>
        <w:t>m</w:t>
      </w:r>
      <w:r w:rsidRPr="007A5ABC">
        <w:rPr>
          <w:lang w:val="en-GB"/>
        </w:rPr>
        <w:t xml:space="preserve">edicine. In 2012, around 1,300 </w:t>
      </w:r>
      <w:r w:rsidRPr="005A504F">
        <w:rPr>
          <w:lang w:val="en-GB"/>
        </w:rPr>
        <w:t>doctors</w:t>
      </w:r>
      <w:r w:rsidRPr="007A5ABC">
        <w:rPr>
          <w:lang w:val="en-GB"/>
        </w:rPr>
        <w:t xml:space="preserve"> with </w:t>
      </w:r>
      <w:r>
        <w:rPr>
          <w:lang w:val="en-GB"/>
        </w:rPr>
        <w:t>evidence</w:t>
      </w:r>
      <w:r w:rsidRPr="007A5ABC">
        <w:rPr>
          <w:lang w:val="en-GB"/>
        </w:rPr>
        <w:t xml:space="preserve"> of knowledge and experience in geriatric medicine </w:t>
      </w:r>
      <w:r>
        <w:rPr>
          <w:lang w:val="en-GB"/>
        </w:rPr>
        <w:t>were</w:t>
      </w:r>
      <w:r w:rsidRPr="007A5ABC">
        <w:rPr>
          <w:lang w:val="en-GB"/>
        </w:rPr>
        <w:t xml:space="preserve"> registered as geriatricians.</w:t>
      </w:r>
    </w:p>
    <w:p w:rsidR="00BB4848" w:rsidRPr="007A5ABC" w:rsidRDefault="00BB4848" w:rsidP="00BB4848">
      <w:pPr>
        <w:pStyle w:val="SingleTxtG"/>
        <w:numPr>
          <w:ilvl w:val="0"/>
          <w:numId w:val="9"/>
        </w:numPr>
        <w:rPr>
          <w:lang w:val="en-GB"/>
        </w:rPr>
      </w:pPr>
      <w:r w:rsidRPr="007A5ABC">
        <w:rPr>
          <w:lang w:val="en-GB"/>
        </w:rPr>
        <w:t xml:space="preserve">With the adoption </w:t>
      </w:r>
      <w:r>
        <w:rPr>
          <w:lang w:val="en-GB"/>
        </w:rPr>
        <w:t xml:space="preserve">in July 2015 </w:t>
      </w:r>
      <w:r w:rsidRPr="007A5ABC">
        <w:rPr>
          <w:lang w:val="en-GB"/>
        </w:rPr>
        <w:t xml:space="preserve">of the new </w:t>
      </w:r>
      <w:r>
        <w:rPr>
          <w:lang w:val="en-GB"/>
        </w:rPr>
        <w:t>r</w:t>
      </w:r>
      <w:r w:rsidRPr="007A5ABC">
        <w:rPr>
          <w:lang w:val="en-GB"/>
        </w:rPr>
        <w:t>egulation on the education of doctors, following the Independent Expert’s visit, geriatric medicine or subject-specific geriatric medicine ha</w:t>
      </w:r>
      <w:r>
        <w:rPr>
          <w:lang w:val="en-GB"/>
        </w:rPr>
        <w:t>s</w:t>
      </w:r>
      <w:r w:rsidRPr="007A5ABC">
        <w:rPr>
          <w:lang w:val="en-GB"/>
        </w:rPr>
        <w:t xml:space="preserve"> become </w:t>
      </w:r>
      <w:r>
        <w:rPr>
          <w:lang w:val="en-GB"/>
        </w:rPr>
        <w:t xml:space="preserve">a </w:t>
      </w:r>
      <w:r w:rsidRPr="007A5ABC">
        <w:rPr>
          <w:lang w:val="en-GB"/>
        </w:rPr>
        <w:t xml:space="preserve">mandatory subject in the curriculum for the education of </w:t>
      </w:r>
      <w:r>
        <w:rPr>
          <w:lang w:val="en-GB"/>
        </w:rPr>
        <w:t xml:space="preserve">both </w:t>
      </w:r>
      <w:r w:rsidRPr="007A5ABC">
        <w:rPr>
          <w:lang w:val="en-GB"/>
        </w:rPr>
        <w:t xml:space="preserve">general practitioners </w:t>
      </w:r>
      <w:r>
        <w:rPr>
          <w:lang w:val="en-GB"/>
        </w:rPr>
        <w:t>and</w:t>
      </w:r>
      <w:r w:rsidRPr="007A5ABC">
        <w:rPr>
          <w:lang w:val="en-GB"/>
        </w:rPr>
        <w:t xml:space="preserve"> specialists.</w:t>
      </w:r>
      <w:r w:rsidRPr="00806FA6">
        <w:rPr>
          <w:rStyle w:val="FootnoteReference"/>
          <w:lang w:val="en-GB"/>
        </w:rPr>
        <w:footnoteReference w:id="32"/>
      </w:r>
      <w:r w:rsidRPr="00806FA6">
        <w:rPr>
          <w:lang w:val="en-GB"/>
        </w:rPr>
        <w:t xml:space="preserve"> </w:t>
      </w:r>
    </w:p>
    <w:p w:rsidR="00BB4848" w:rsidRPr="007A5ABC" w:rsidRDefault="00BB4848" w:rsidP="00BB4848">
      <w:pPr>
        <w:pStyle w:val="H23G"/>
        <w:rPr>
          <w:lang w:val="en-GB"/>
        </w:rPr>
      </w:pPr>
      <w:r w:rsidRPr="00806FA6">
        <w:rPr>
          <w:lang w:val="en-GB"/>
        </w:rPr>
        <w:tab/>
        <w:t>6.</w:t>
      </w:r>
      <w:r w:rsidRPr="00806FA6">
        <w:rPr>
          <w:lang w:val="en-GB"/>
        </w:rPr>
        <w:tab/>
      </w:r>
      <w:r w:rsidRPr="007A5ABC">
        <w:rPr>
          <w:lang w:val="en-GB"/>
        </w:rPr>
        <w:t>Quality of care and availability of services</w:t>
      </w:r>
    </w:p>
    <w:p w:rsidR="00BB4848" w:rsidRPr="007A5ABC" w:rsidRDefault="00BB4848" w:rsidP="00BB4848">
      <w:pPr>
        <w:pStyle w:val="SingleTxtG"/>
        <w:numPr>
          <w:ilvl w:val="0"/>
          <w:numId w:val="9"/>
        </w:numPr>
        <w:rPr>
          <w:lang w:val="en-GB"/>
        </w:rPr>
      </w:pPr>
      <w:r>
        <w:rPr>
          <w:lang w:val="en-GB"/>
        </w:rPr>
        <w:t>There is no comprehensive quality assurance or control of care in Austria, although some provisions are contained in the law on hospitals and convalescent homes.</w:t>
      </w:r>
      <w:r w:rsidRPr="007A5ABC">
        <w:rPr>
          <w:lang w:val="en-GB"/>
        </w:rPr>
        <w:t>.</w:t>
      </w:r>
      <w:r w:rsidRPr="007A5ABC">
        <w:rPr>
          <w:rStyle w:val="FootnoteReference"/>
          <w:lang w:val="en-GB"/>
        </w:rPr>
        <w:footnoteReference w:id="33"/>
      </w:r>
    </w:p>
    <w:p w:rsidR="00BB4848" w:rsidRPr="007A5ABC" w:rsidRDefault="00BB4848" w:rsidP="00BB4848">
      <w:pPr>
        <w:pStyle w:val="SingleTxtG"/>
        <w:numPr>
          <w:ilvl w:val="0"/>
          <w:numId w:val="9"/>
        </w:numPr>
        <w:rPr>
          <w:lang w:val="en-GB"/>
        </w:rPr>
      </w:pPr>
      <w:r>
        <w:rPr>
          <w:lang w:val="en-GB"/>
        </w:rPr>
        <w:t xml:space="preserve">Since 2001, </w:t>
      </w:r>
      <w:r w:rsidRPr="007A5ABC">
        <w:rPr>
          <w:lang w:val="en-GB"/>
        </w:rPr>
        <w:t xml:space="preserve">home visits </w:t>
      </w:r>
      <w:r>
        <w:rPr>
          <w:lang w:val="en-GB"/>
        </w:rPr>
        <w:t xml:space="preserve">have been </w:t>
      </w:r>
      <w:r w:rsidRPr="007A5ABC">
        <w:rPr>
          <w:lang w:val="en-GB"/>
        </w:rPr>
        <w:t>conducted by professional care personnel for the purpose of quality assurance of home care. The objective of the visits is to provide information and advice to caregivers and persons in need of care regarding the purpose of long-term care benefits</w:t>
      </w:r>
      <w:r>
        <w:rPr>
          <w:lang w:val="en-GB"/>
        </w:rPr>
        <w:t xml:space="preserve">. It is also </w:t>
      </w:r>
      <w:r w:rsidRPr="007A5ABC">
        <w:rPr>
          <w:lang w:val="en-GB"/>
        </w:rPr>
        <w:t>to check whether the care provided is adapted to the needs of the person concerned. The situation of home care is evaluated on the basis of a standardized report. Between 2001 and 2014</w:t>
      </w:r>
      <w:r>
        <w:rPr>
          <w:lang w:val="en-GB"/>
        </w:rPr>
        <w:t>,</w:t>
      </w:r>
      <w:r w:rsidRPr="007A5ABC">
        <w:rPr>
          <w:lang w:val="en-GB"/>
        </w:rPr>
        <w:t xml:space="preserve"> more than 158,000 home visits were </w:t>
      </w:r>
      <w:r>
        <w:rPr>
          <w:lang w:val="en-GB"/>
        </w:rPr>
        <w:t>made</w:t>
      </w:r>
      <w:r w:rsidRPr="007A5ABC">
        <w:rPr>
          <w:lang w:val="en-GB"/>
        </w:rPr>
        <w:t xml:space="preserve"> by professional nursing staff. Home visits also provide more general information about the care situation in Austria and are an important source of data. </w:t>
      </w:r>
    </w:p>
    <w:p w:rsidR="00BB4848" w:rsidRDefault="00BB4848" w:rsidP="00BB4848">
      <w:pPr>
        <w:pStyle w:val="SingleTxtG"/>
        <w:numPr>
          <w:ilvl w:val="0"/>
          <w:numId w:val="9"/>
        </w:numPr>
        <w:rPr>
          <w:lang w:val="en-GB"/>
        </w:rPr>
      </w:pPr>
      <w:r w:rsidRPr="007A5ABC">
        <w:rPr>
          <w:lang w:val="en-GB"/>
        </w:rPr>
        <w:t xml:space="preserve">Homes for older persons and nursing homes that go beyond meeting legal requirements and take targeted measures to improve the quality of life of the residents may be awarded the National Quality Certificate for Homes for the Elderly and Nursing Homes. The certificates were developed by </w:t>
      </w:r>
      <w:r>
        <w:rPr>
          <w:lang w:val="en-GB"/>
        </w:rPr>
        <w:t xml:space="preserve">the </w:t>
      </w:r>
      <w:r w:rsidRPr="007A5ABC">
        <w:rPr>
          <w:lang w:val="en-GB"/>
        </w:rPr>
        <w:t>Government and</w:t>
      </w:r>
      <w:r>
        <w:rPr>
          <w:lang w:val="en-GB"/>
        </w:rPr>
        <w:t xml:space="preserve"> the </w:t>
      </w:r>
      <w:r w:rsidRPr="007A5ABC">
        <w:rPr>
          <w:lang w:val="en-GB"/>
        </w:rPr>
        <w:t>Länder</w:t>
      </w:r>
      <w:r>
        <w:rPr>
          <w:i/>
          <w:lang w:val="en-GB"/>
        </w:rPr>
        <w:t>,</w:t>
      </w:r>
      <w:r w:rsidRPr="007A5ABC">
        <w:rPr>
          <w:lang w:val="en-GB"/>
        </w:rPr>
        <w:t xml:space="preserve"> in cooperation with experts</w:t>
      </w:r>
      <w:r>
        <w:rPr>
          <w:lang w:val="en-GB"/>
        </w:rPr>
        <w:t>,</w:t>
      </w:r>
      <w:r w:rsidRPr="007A5ABC">
        <w:rPr>
          <w:lang w:val="en-GB"/>
        </w:rPr>
        <w:t xml:space="preserve"> and are awarded on the basis of a uniform sector-specific assessment procedure performed by objective third parties. </w:t>
      </w:r>
    </w:p>
    <w:p w:rsidR="00BB4848" w:rsidRPr="007A5ABC" w:rsidRDefault="00BB4848" w:rsidP="00BB4848">
      <w:pPr>
        <w:pStyle w:val="SingleTxtG"/>
        <w:numPr>
          <w:ilvl w:val="0"/>
          <w:numId w:val="9"/>
        </w:numPr>
        <w:rPr>
          <w:lang w:val="en-GB"/>
        </w:rPr>
      </w:pPr>
      <w:r w:rsidRPr="007A5ABC">
        <w:rPr>
          <w:lang w:val="en-GB"/>
        </w:rPr>
        <w:t xml:space="preserve">In 2009, certificates were granted to 14 homes for the elderly and nursing homes. In 2010, the certification procedure was revised and its scope widened to include geriatric </w:t>
      </w:r>
      <w:r w:rsidRPr="00806FA6">
        <w:rPr>
          <w:lang w:val="en-GB"/>
        </w:rPr>
        <w:t>centres</w:t>
      </w:r>
      <w:r w:rsidRPr="007A5ABC">
        <w:rPr>
          <w:lang w:val="en-GB"/>
        </w:rPr>
        <w:t xml:space="preserve"> following the pilot phase. </w:t>
      </w:r>
      <w:r>
        <w:rPr>
          <w:lang w:val="en-GB"/>
        </w:rPr>
        <w:t>S</w:t>
      </w:r>
      <w:r w:rsidRPr="007A5ABC">
        <w:rPr>
          <w:lang w:val="en-GB"/>
        </w:rPr>
        <w:t xml:space="preserve">tandards for hospice and palliative care were </w:t>
      </w:r>
      <w:r>
        <w:rPr>
          <w:lang w:val="en-GB"/>
        </w:rPr>
        <w:t xml:space="preserve">also </w:t>
      </w:r>
      <w:r w:rsidRPr="007A5ABC">
        <w:rPr>
          <w:lang w:val="en-GB"/>
        </w:rPr>
        <w:t>incorporated.</w:t>
      </w:r>
    </w:p>
    <w:p w:rsidR="00BB4848" w:rsidRPr="007A5ABC" w:rsidRDefault="00BB4848" w:rsidP="00BB4848">
      <w:pPr>
        <w:pStyle w:val="SingleTxtG"/>
        <w:numPr>
          <w:ilvl w:val="0"/>
          <w:numId w:val="9"/>
        </w:numPr>
        <w:rPr>
          <w:lang w:val="en-GB"/>
        </w:rPr>
      </w:pPr>
      <w:r w:rsidRPr="007A5ABC">
        <w:rPr>
          <w:lang w:val="en-GB"/>
        </w:rPr>
        <w:t>Quality assurance in inpatient, semi-institutional and outpatient care</w:t>
      </w:r>
      <w:r>
        <w:rPr>
          <w:lang w:val="en-GB"/>
        </w:rPr>
        <w:t>,</w:t>
      </w:r>
      <w:r w:rsidRPr="007A5ABC">
        <w:rPr>
          <w:lang w:val="en-GB"/>
        </w:rPr>
        <w:t xml:space="preserve"> as well as home care</w:t>
      </w:r>
      <w:r>
        <w:rPr>
          <w:lang w:val="en-GB"/>
        </w:rPr>
        <w:t>,</w:t>
      </w:r>
      <w:r w:rsidRPr="007A5ABC">
        <w:rPr>
          <w:lang w:val="en-GB"/>
        </w:rPr>
        <w:t xml:space="preserve"> remains insufficient.</w:t>
      </w:r>
      <w:r w:rsidRPr="007A5ABC">
        <w:rPr>
          <w:rStyle w:val="FootnoteReference"/>
          <w:lang w:val="en-GB"/>
        </w:rPr>
        <w:footnoteReference w:id="34"/>
      </w:r>
      <w:r w:rsidRPr="007A5ABC">
        <w:rPr>
          <w:lang w:val="en-GB"/>
        </w:rPr>
        <w:t xml:space="preserve"> There is also no monitoring of the utilization of the long-term care allowance. Only in cases of neglect of a patient</w:t>
      </w:r>
      <w:r>
        <w:rPr>
          <w:lang w:val="en-GB"/>
        </w:rPr>
        <w:t xml:space="preserve"> are </w:t>
      </w:r>
      <w:r w:rsidRPr="007A5ABC">
        <w:rPr>
          <w:lang w:val="en-GB"/>
        </w:rPr>
        <w:t>cash benefits to be replaced by benefits</w:t>
      </w:r>
      <w:r>
        <w:rPr>
          <w:lang w:val="en-GB"/>
        </w:rPr>
        <w:t xml:space="preserve"> in kind</w:t>
      </w:r>
      <w:r w:rsidRPr="007A5ABC">
        <w:rPr>
          <w:lang w:val="en-GB"/>
        </w:rPr>
        <w:t>.</w:t>
      </w:r>
    </w:p>
    <w:p w:rsidR="00BB4848" w:rsidRPr="007A5ABC" w:rsidRDefault="00BB4848" w:rsidP="00BB4848">
      <w:pPr>
        <w:pStyle w:val="SingleTxtG"/>
        <w:numPr>
          <w:ilvl w:val="0"/>
          <w:numId w:val="9"/>
        </w:numPr>
        <w:rPr>
          <w:lang w:val="en-GB"/>
        </w:rPr>
      </w:pPr>
      <w:r w:rsidRPr="00887176">
        <w:rPr>
          <w:lang w:val="en-GB"/>
        </w:rPr>
        <w:t xml:space="preserve">The benefits in kind very considerably from one province to another. </w:t>
      </w:r>
      <w:r w:rsidRPr="007A5ABC">
        <w:rPr>
          <w:lang w:val="en-GB"/>
        </w:rPr>
        <w:t>Th</w:t>
      </w:r>
      <w:r w:rsidRPr="00887176">
        <w:rPr>
          <w:lang w:val="en-GB"/>
        </w:rPr>
        <w:t>ey relate to t</w:t>
      </w:r>
      <w:r w:rsidRPr="007A5ABC">
        <w:rPr>
          <w:lang w:val="en-GB"/>
        </w:rPr>
        <w:t xml:space="preserve">he availability of services, such as places in </w:t>
      </w:r>
      <w:r w:rsidRPr="00887176">
        <w:rPr>
          <w:lang w:val="en-GB"/>
        </w:rPr>
        <w:t xml:space="preserve">homes for the elderly, </w:t>
      </w:r>
      <w:r w:rsidRPr="007A5ABC">
        <w:rPr>
          <w:lang w:val="en-GB"/>
        </w:rPr>
        <w:t>the services themselve</w:t>
      </w:r>
      <w:r w:rsidRPr="00887176">
        <w:rPr>
          <w:lang w:val="en-GB"/>
        </w:rPr>
        <w:t>s, including</w:t>
      </w:r>
      <w:r w:rsidRPr="007A5ABC">
        <w:rPr>
          <w:lang w:val="en-GB"/>
        </w:rPr>
        <w:t xml:space="preserve"> room size or staffing </w:t>
      </w:r>
      <w:r w:rsidRPr="00887176">
        <w:rPr>
          <w:lang w:val="en-GB"/>
        </w:rPr>
        <w:t xml:space="preserve">levels, and </w:t>
      </w:r>
      <w:r w:rsidRPr="007A5ABC">
        <w:rPr>
          <w:lang w:val="en-GB"/>
        </w:rPr>
        <w:t>the costs and prices. Di</w:t>
      </w:r>
      <w:r>
        <w:rPr>
          <w:lang w:val="en-GB"/>
        </w:rPr>
        <w:t xml:space="preserve">fferences </w:t>
      </w:r>
      <w:r w:rsidRPr="007A5ABC">
        <w:rPr>
          <w:lang w:val="en-GB"/>
        </w:rPr>
        <w:t xml:space="preserve">exist </w:t>
      </w:r>
      <w:r>
        <w:rPr>
          <w:lang w:val="en-GB"/>
        </w:rPr>
        <w:t xml:space="preserve">even </w:t>
      </w:r>
      <w:r w:rsidRPr="007A5ABC">
        <w:rPr>
          <w:lang w:val="en-GB"/>
        </w:rPr>
        <w:t xml:space="preserve">within the </w:t>
      </w:r>
      <w:r>
        <w:rPr>
          <w:lang w:val="en-GB"/>
        </w:rPr>
        <w:t xml:space="preserve">provinces themselves, </w:t>
      </w:r>
      <w:r w:rsidRPr="007A5ABC">
        <w:rPr>
          <w:lang w:val="en-GB"/>
        </w:rPr>
        <w:t xml:space="preserve">as </w:t>
      </w:r>
      <w:r>
        <w:rPr>
          <w:lang w:val="en-GB"/>
        </w:rPr>
        <w:t xml:space="preserve">there is </w:t>
      </w:r>
      <w:r w:rsidRPr="007A5ABC">
        <w:rPr>
          <w:lang w:val="en-GB"/>
        </w:rPr>
        <w:t>no guarantee that the same services are available everywhere at the same cost and the same quality. As a result of the piecemeal structure of service providers</w:t>
      </w:r>
      <w:r>
        <w:rPr>
          <w:lang w:val="en-GB"/>
        </w:rPr>
        <w:t>,</w:t>
      </w:r>
      <w:r w:rsidRPr="007A5ABC">
        <w:rPr>
          <w:lang w:val="en-GB"/>
        </w:rPr>
        <w:t xml:space="preserve"> there are coordination problems that lead to inefficient resource utilization.</w:t>
      </w:r>
      <w:r>
        <w:rPr>
          <w:lang w:val="en-GB"/>
        </w:rPr>
        <w:t xml:space="preserve"> </w:t>
      </w:r>
    </w:p>
    <w:p w:rsidR="00BB4848" w:rsidRPr="007A5ABC" w:rsidRDefault="00BB4848" w:rsidP="00BB4848">
      <w:pPr>
        <w:pStyle w:val="H23G"/>
        <w:rPr>
          <w:lang w:val="en-GB"/>
        </w:rPr>
      </w:pPr>
      <w:r w:rsidRPr="00806FA6">
        <w:rPr>
          <w:lang w:val="en-GB"/>
        </w:rPr>
        <w:tab/>
        <w:t>7.</w:t>
      </w:r>
      <w:r w:rsidRPr="007A5ABC">
        <w:rPr>
          <w:lang w:val="en-GB"/>
        </w:rPr>
        <w:tab/>
        <w:t>Care workers</w:t>
      </w:r>
    </w:p>
    <w:p w:rsidR="00BB4848" w:rsidRPr="007A5ABC" w:rsidRDefault="00BB4848" w:rsidP="00BB4848">
      <w:pPr>
        <w:pStyle w:val="SingleTxtG"/>
        <w:numPr>
          <w:ilvl w:val="0"/>
          <w:numId w:val="9"/>
        </w:numPr>
        <w:rPr>
          <w:lang w:val="en-GB"/>
        </w:rPr>
      </w:pPr>
      <w:r w:rsidRPr="007A5ABC">
        <w:rPr>
          <w:lang w:val="en-GB"/>
        </w:rPr>
        <w:t xml:space="preserve">Care work is often characterized by </w:t>
      </w:r>
      <w:r>
        <w:rPr>
          <w:lang w:val="en-GB"/>
        </w:rPr>
        <w:t xml:space="preserve">an </w:t>
      </w:r>
      <w:r w:rsidRPr="007A5ABC">
        <w:rPr>
          <w:lang w:val="en-GB"/>
        </w:rPr>
        <w:t xml:space="preserve">increasing workload, long working hours and emotional exhaustion, and care workers </w:t>
      </w:r>
      <w:r>
        <w:rPr>
          <w:lang w:val="en-GB"/>
        </w:rPr>
        <w:t>tend to be</w:t>
      </w:r>
      <w:r w:rsidRPr="007A5ABC">
        <w:rPr>
          <w:lang w:val="en-GB"/>
        </w:rPr>
        <w:t xml:space="preserve"> undervalued, underpaid and undertrained. </w:t>
      </w:r>
      <w:r>
        <w:rPr>
          <w:lang w:val="en-GB"/>
        </w:rPr>
        <w:t>Yet t</w:t>
      </w:r>
      <w:r w:rsidRPr="007A5ABC">
        <w:rPr>
          <w:lang w:val="en-GB"/>
        </w:rPr>
        <w:t>here is evidence that the wellbeing of car</w:t>
      </w:r>
      <w:r>
        <w:rPr>
          <w:lang w:val="en-GB"/>
        </w:rPr>
        <w:t xml:space="preserve">e </w:t>
      </w:r>
      <w:r w:rsidRPr="007A5ABC">
        <w:rPr>
          <w:lang w:val="en-GB"/>
        </w:rPr>
        <w:t>workers correlates with the satisfaction of persons in need of care.</w:t>
      </w:r>
    </w:p>
    <w:p w:rsidR="00BB4848" w:rsidRPr="007A5ABC" w:rsidRDefault="00BB4848" w:rsidP="00BB4848">
      <w:pPr>
        <w:pStyle w:val="SingleTxtG"/>
        <w:numPr>
          <w:ilvl w:val="0"/>
          <w:numId w:val="9"/>
        </w:numPr>
        <w:rPr>
          <w:lang w:val="en-GB"/>
        </w:rPr>
      </w:pPr>
      <w:r w:rsidRPr="007A5ABC">
        <w:rPr>
          <w:lang w:val="en-GB"/>
        </w:rPr>
        <w:t xml:space="preserve">In the years to come, Austria will face serious challenges in terms of </w:t>
      </w:r>
      <w:r>
        <w:rPr>
          <w:lang w:val="en-GB"/>
        </w:rPr>
        <w:t xml:space="preserve">the </w:t>
      </w:r>
      <w:r w:rsidRPr="007A5ABC">
        <w:rPr>
          <w:lang w:val="en-GB"/>
        </w:rPr>
        <w:t xml:space="preserve">availability of qualified nursing staff. There are currently around 100,000 care workers in Austria, many of whom will retire in the next 10 to 15 years. In addition, it is estimated that in </w:t>
      </w:r>
      <w:r w:rsidRPr="00D50056">
        <w:rPr>
          <w:lang w:val="en-GB"/>
        </w:rPr>
        <w:t xml:space="preserve">the </w:t>
      </w:r>
      <w:r w:rsidRPr="007A5ABC">
        <w:rPr>
          <w:lang w:val="en-GB"/>
        </w:rPr>
        <w:t>light of the intensity of ageing, another 30,000 care workers will be needed by the year 2030. The care sector is also losing staff</w:t>
      </w:r>
      <w:r>
        <w:rPr>
          <w:lang w:val="en-GB"/>
        </w:rPr>
        <w:t xml:space="preserve"> owing </w:t>
      </w:r>
      <w:r w:rsidRPr="00067C54">
        <w:rPr>
          <w:lang w:val="en-GB"/>
        </w:rPr>
        <w:t>to the lack of opportunities for workers to progress to higher levels.</w:t>
      </w:r>
      <w:r>
        <w:rPr>
          <w:lang w:val="en-GB"/>
        </w:rPr>
        <w:t xml:space="preserve"> T</w:t>
      </w:r>
      <w:r w:rsidRPr="007A5ABC">
        <w:rPr>
          <w:lang w:val="en-GB"/>
        </w:rPr>
        <w:t>he average time a care worker</w:t>
      </w:r>
      <w:r>
        <w:rPr>
          <w:lang w:val="en-GB"/>
        </w:rPr>
        <w:t xml:space="preserve"> carries out their </w:t>
      </w:r>
      <w:r w:rsidRPr="007A5ABC">
        <w:rPr>
          <w:lang w:val="en-GB"/>
        </w:rPr>
        <w:t xml:space="preserve">profession </w:t>
      </w:r>
      <w:r>
        <w:rPr>
          <w:lang w:val="en-GB"/>
        </w:rPr>
        <w:t>is</w:t>
      </w:r>
      <w:r w:rsidRPr="007A5ABC">
        <w:rPr>
          <w:lang w:val="en-GB"/>
        </w:rPr>
        <w:t xml:space="preserve"> seven years</w:t>
      </w:r>
      <w:r>
        <w:rPr>
          <w:lang w:val="en-GB"/>
        </w:rPr>
        <w:t>.</w:t>
      </w:r>
      <w:r w:rsidRPr="007A5ABC">
        <w:rPr>
          <w:lang w:val="en-GB"/>
        </w:rPr>
        <w:t xml:space="preserve"> There is also an increasing need for academically trained care personnel that </w:t>
      </w:r>
      <w:r>
        <w:rPr>
          <w:lang w:val="en-GB"/>
        </w:rPr>
        <w:t xml:space="preserve">are </w:t>
      </w:r>
      <w:r w:rsidRPr="007A5ABC">
        <w:rPr>
          <w:lang w:val="en-GB"/>
        </w:rPr>
        <w:t>sufficiently specialized to fulfil complex tasks.</w:t>
      </w:r>
    </w:p>
    <w:p w:rsidR="00BB4848" w:rsidRPr="007A5ABC" w:rsidRDefault="00BB4848" w:rsidP="00BB4848">
      <w:pPr>
        <w:pStyle w:val="SingleTxtG"/>
        <w:numPr>
          <w:ilvl w:val="0"/>
          <w:numId w:val="9"/>
        </w:numPr>
        <w:rPr>
          <w:lang w:val="en-GB"/>
        </w:rPr>
      </w:pPr>
      <w:r w:rsidRPr="007A5ABC">
        <w:rPr>
          <w:lang w:val="en-GB"/>
        </w:rPr>
        <w:t>The Independent Expert was concerned that the lack of qualified care workers has led to disturbing practices in some institutional care facilities</w:t>
      </w:r>
      <w:r>
        <w:rPr>
          <w:lang w:val="en-GB"/>
        </w:rPr>
        <w:t>,</w:t>
      </w:r>
      <w:r w:rsidRPr="007A5ABC">
        <w:rPr>
          <w:lang w:val="en-GB"/>
        </w:rPr>
        <w:t xml:space="preserve"> in violation of the human rights of residents</w:t>
      </w:r>
      <w:r>
        <w:rPr>
          <w:lang w:val="en-GB"/>
        </w:rPr>
        <w:t>,</w:t>
      </w:r>
      <w:r w:rsidRPr="007A5ABC">
        <w:rPr>
          <w:lang w:val="en-GB"/>
        </w:rPr>
        <w:t xml:space="preserve"> including older persons</w:t>
      </w:r>
      <w:r>
        <w:rPr>
          <w:lang w:val="en-GB"/>
        </w:rPr>
        <w:t xml:space="preserve">. These practices include </w:t>
      </w:r>
      <w:r w:rsidRPr="007A5ABC">
        <w:rPr>
          <w:lang w:val="en-GB"/>
        </w:rPr>
        <w:t>beginning the night rest at 4</w:t>
      </w:r>
      <w:r>
        <w:rPr>
          <w:lang w:val="en-GB"/>
        </w:rPr>
        <w:t>.</w:t>
      </w:r>
      <w:r w:rsidRPr="007A5ABC">
        <w:rPr>
          <w:lang w:val="en-GB"/>
        </w:rPr>
        <w:t>30 p</w:t>
      </w:r>
      <w:r>
        <w:rPr>
          <w:lang w:val="en-GB"/>
        </w:rPr>
        <w:t>.</w:t>
      </w:r>
      <w:r w:rsidRPr="007A5ABC">
        <w:rPr>
          <w:lang w:val="en-GB"/>
        </w:rPr>
        <w:t>m</w:t>
      </w:r>
      <w:r>
        <w:rPr>
          <w:lang w:val="en-GB"/>
        </w:rPr>
        <w:t xml:space="preserve">. and </w:t>
      </w:r>
      <w:r w:rsidRPr="007A5ABC">
        <w:rPr>
          <w:lang w:val="en-GB"/>
        </w:rPr>
        <w:t>waking</w:t>
      </w:r>
      <w:r>
        <w:rPr>
          <w:lang w:val="en-GB"/>
        </w:rPr>
        <w:t xml:space="preserve"> </w:t>
      </w:r>
      <w:r w:rsidRPr="007A5ABC">
        <w:rPr>
          <w:lang w:val="en-GB"/>
        </w:rPr>
        <w:t>up patients as early as 3</w:t>
      </w:r>
      <w:r>
        <w:rPr>
          <w:lang w:val="en-GB"/>
        </w:rPr>
        <w:t>.</w:t>
      </w:r>
      <w:r w:rsidRPr="007A5ABC">
        <w:rPr>
          <w:lang w:val="en-GB"/>
        </w:rPr>
        <w:t>30 a</w:t>
      </w:r>
      <w:r>
        <w:rPr>
          <w:lang w:val="en-GB"/>
        </w:rPr>
        <w:t>.</w:t>
      </w:r>
      <w:r w:rsidRPr="007A5ABC">
        <w:rPr>
          <w:lang w:val="en-GB"/>
        </w:rPr>
        <w:t>m</w:t>
      </w:r>
      <w:r>
        <w:rPr>
          <w:lang w:val="en-GB"/>
        </w:rPr>
        <w:t>.</w:t>
      </w:r>
      <w:r w:rsidRPr="007A5ABC">
        <w:rPr>
          <w:lang w:val="en-GB"/>
        </w:rPr>
        <w:t xml:space="preserve"> for them to be washed</w:t>
      </w:r>
      <w:r>
        <w:rPr>
          <w:lang w:val="en-GB"/>
        </w:rPr>
        <w:t xml:space="preserve">, </w:t>
      </w:r>
      <w:r w:rsidRPr="007A5ABC">
        <w:rPr>
          <w:lang w:val="en-GB"/>
        </w:rPr>
        <w:t xml:space="preserve">or residents </w:t>
      </w:r>
      <w:r>
        <w:rPr>
          <w:lang w:val="en-GB"/>
        </w:rPr>
        <w:t xml:space="preserve">not </w:t>
      </w:r>
      <w:r w:rsidRPr="007A5ABC">
        <w:rPr>
          <w:lang w:val="en-GB"/>
        </w:rPr>
        <w:t xml:space="preserve">being able to </w:t>
      </w:r>
      <w:r>
        <w:rPr>
          <w:lang w:val="en-GB"/>
        </w:rPr>
        <w:t xml:space="preserve">go outdoors because </w:t>
      </w:r>
      <w:r w:rsidRPr="007A5ABC">
        <w:rPr>
          <w:lang w:val="en-GB"/>
        </w:rPr>
        <w:t xml:space="preserve">no staff </w:t>
      </w:r>
      <w:r>
        <w:rPr>
          <w:lang w:val="en-GB"/>
        </w:rPr>
        <w:t xml:space="preserve">were </w:t>
      </w:r>
      <w:r w:rsidRPr="007A5ABC">
        <w:rPr>
          <w:lang w:val="en-GB"/>
        </w:rPr>
        <w:t xml:space="preserve">available to accompany them. </w:t>
      </w:r>
      <w:r>
        <w:rPr>
          <w:lang w:val="en-GB"/>
        </w:rPr>
        <w:t xml:space="preserve"> O</w:t>
      </w:r>
      <w:r w:rsidRPr="007A5ABC">
        <w:rPr>
          <w:lang w:val="en-GB"/>
        </w:rPr>
        <w:t xml:space="preserve">vermedication of persons suffering from dementia has also been reported. </w:t>
      </w:r>
    </w:p>
    <w:p w:rsidR="00BB4848" w:rsidRPr="007A5ABC" w:rsidRDefault="00BB4848" w:rsidP="00BB4848">
      <w:pPr>
        <w:pStyle w:val="H23G"/>
        <w:rPr>
          <w:lang w:val="en-GB"/>
        </w:rPr>
      </w:pPr>
      <w:r w:rsidRPr="00806FA6">
        <w:rPr>
          <w:lang w:val="en-GB"/>
        </w:rPr>
        <w:tab/>
      </w:r>
      <w:r w:rsidRPr="007A5ABC">
        <w:rPr>
          <w:lang w:val="en-GB"/>
        </w:rPr>
        <w:t>8.</w:t>
      </w:r>
      <w:r w:rsidRPr="007A5ABC">
        <w:rPr>
          <w:lang w:val="en-GB"/>
        </w:rPr>
        <w:tab/>
        <w:t>Older migrants and care</w:t>
      </w:r>
    </w:p>
    <w:p w:rsidR="00BB4848" w:rsidRDefault="00BB4848" w:rsidP="00BB4848">
      <w:pPr>
        <w:pStyle w:val="SingleTxtG"/>
        <w:numPr>
          <w:ilvl w:val="0"/>
          <w:numId w:val="9"/>
        </w:numPr>
        <w:rPr>
          <w:lang w:val="en-GB"/>
        </w:rPr>
      </w:pPr>
      <w:r w:rsidRPr="007A5ABC">
        <w:rPr>
          <w:lang w:val="en-GB"/>
        </w:rPr>
        <w:t>The number of older migrants in need of care is expected to increase substantially in the coming years, given the current age profile of this segment of the Austrian population. In many instances, older migrants’ needs of social and health-care services are not only determined by age, but also by their migration biography</w:t>
      </w:r>
      <w:r>
        <w:rPr>
          <w:lang w:val="en-GB"/>
        </w:rPr>
        <w:t xml:space="preserve">, </w:t>
      </w:r>
      <w:r w:rsidRPr="007A5ABC">
        <w:rPr>
          <w:lang w:val="en-GB"/>
        </w:rPr>
        <w:t xml:space="preserve">such as low-paid work and hazardous working environments. </w:t>
      </w:r>
    </w:p>
    <w:p w:rsidR="00BB4848" w:rsidRDefault="00BB4848" w:rsidP="00BB4848">
      <w:pPr>
        <w:pStyle w:val="SingleTxtG"/>
        <w:numPr>
          <w:ilvl w:val="0"/>
          <w:numId w:val="9"/>
        </w:numPr>
        <w:rPr>
          <w:lang w:val="en-GB"/>
        </w:rPr>
      </w:pPr>
      <w:r w:rsidRPr="007A5ABC">
        <w:rPr>
          <w:lang w:val="en-GB"/>
        </w:rPr>
        <w:t>They are often disadvantaged in terms of old</w:t>
      </w:r>
      <w:r>
        <w:rPr>
          <w:lang w:val="en-GB"/>
        </w:rPr>
        <w:t>-</w:t>
      </w:r>
      <w:r w:rsidRPr="007A5ABC">
        <w:rPr>
          <w:lang w:val="en-GB"/>
        </w:rPr>
        <w:t xml:space="preserve">age pension </w:t>
      </w:r>
      <w:r>
        <w:rPr>
          <w:lang w:val="en-GB"/>
        </w:rPr>
        <w:t>as a result of their</w:t>
      </w:r>
      <w:r w:rsidRPr="007A5ABC">
        <w:rPr>
          <w:lang w:val="en-GB"/>
        </w:rPr>
        <w:t xml:space="preserve"> lower incomes during their </w:t>
      </w:r>
      <w:r>
        <w:rPr>
          <w:lang w:val="en-GB"/>
        </w:rPr>
        <w:t xml:space="preserve">working </w:t>
      </w:r>
      <w:r w:rsidRPr="007A5ABC">
        <w:rPr>
          <w:lang w:val="en-GB"/>
        </w:rPr>
        <w:t>life</w:t>
      </w:r>
      <w:r>
        <w:rPr>
          <w:lang w:val="en-GB"/>
        </w:rPr>
        <w:t>;</w:t>
      </w:r>
      <w:r w:rsidRPr="007A5ABC">
        <w:rPr>
          <w:lang w:val="en-GB"/>
        </w:rPr>
        <w:t xml:space="preserve"> in terms of housing</w:t>
      </w:r>
      <w:r>
        <w:rPr>
          <w:lang w:val="en-GB"/>
        </w:rPr>
        <w:t>,</w:t>
      </w:r>
      <w:r w:rsidRPr="007A5ABC">
        <w:rPr>
          <w:lang w:val="en-GB"/>
        </w:rPr>
        <w:t xml:space="preserve"> as they are more likely to live in low-standard accommodation and have limited access to housing benefits. </w:t>
      </w:r>
    </w:p>
    <w:p w:rsidR="00BB4848" w:rsidRPr="007A5ABC" w:rsidRDefault="00BB4848" w:rsidP="00BB4848">
      <w:pPr>
        <w:pStyle w:val="SingleTxtG"/>
        <w:numPr>
          <w:ilvl w:val="0"/>
          <w:numId w:val="9"/>
        </w:numPr>
        <w:rPr>
          <w:lang w:val="en-GB"/>
        </w:rPr>
      </w:pPr>
      <w:r w:rsidRPr="007A5ABC">
        <w:rPr>
          <w:lang w:val="en-GB"/>
        </w:rPr>
        <w:t>The predominance of family care in Austria is also problematic with respect to older migrants many of whom have no family</w:t>
      </w:r>
      <w:r>
        <w:rPr>
          <w:lang w:val="en-GB"/>
        </w:rPr>
        <w:t xml:space="preserve"> </w:t>
      </w:r>
      <w:r w:rsidRPr="007A5ABC">
        <w:rPr>
          <w:lang w:val="en-GB"/>
        </w:rPr>
        <w:t xml:space="preserve">and thus </w:t>
      </w:r>
      <w:r>
        <w:rPr>
          <w:lang w:val="en-GB"/>
        </w:rPr>
        <w:t xml:space="preserve">have only </w:t>
      </w:r>
      <w:r w:rsidRPr="007A5ABC">
        <w:rPr>
          <w:lang w:val="en-GB"/>
        </w:rPr>
        <w:t>fragile support networks. Besides exclusion in legal terms, the main barriers to the use of social services by older migrants are the non-availability of specific services in their mother tongue and a lack of information.</w:t>
      </w:r>
      <w:r>
        <w:rPr>
          <w:lang w:val="en-GB"/>
        </w:rPr>
        <w:t xml:space="preserve"> </w:t>
      </w:r>
    </w:p>
    <w:p w:rsidR="00BB4848" w:rsidRPr="007A5ABC" w:rsidRDefault="00BB4848" w:rsidP="00BB4848">
      <w:pPr>
        <w:pStyle w:val="HChG"/>
        <w:outlineLvl w:val="0"/>
        <w:rPr>
          <w:lang w:val="en-GB"/>
        </w:rPr>
      </w:pPr>
      <w:r w:rsidRPr="007A5ABC">
        <w:rPr>
          <w:lang w:val="en-GB"/>
        </w:rPr>
        <w:tab/>
        <w:t>V.</w:t>
      </w:r>
      <w:r w:rsidRPr="007A5ABC">
        <w:rPr>
          <w:lang w:val="en-GB"/>
        </w:rPr>
        <w:tab/>
        <w:t>Conclusions and recommendations</w:t>
      </w:r>
    </w:p>
    <w:p w:rsidR="00BB4848" w:rsidRPr="007A5ABC" w:rsidRDefault="00BB4848" w:rsidP="00BB4848">
      <w:pPr>
        <w:pStyle w:val="SingleTxtG"/>
        <w:numPr>
          <w:ilvl w:val="0"/>
          <w:numId w:val="9"/>
        </w:numPr>
        <w:rPr>
          <w:b/>
          <w:lang w:val="en-GB"/>
        </w:rPr>
      </w:pPr>
      <w:r w:rsidRPr="007A5ABC">
        <w:rPr>
          <w:b/>
          <w:lang w:val="en-GB"/>
        </w:rPr>
        <w:t>Austria has a long tradition of policies and a strong legal framework aimed at promoting and protecting the rights of older persons and has consistently demonstrated its commitment in this regard at the international level. This commitment was reiterated in meetings at the highest level during the mission. The Independent Expert notes that Austria seems to be well</w:t>
      </w:r>
      <w:r>
        <w:rPr>
          <w:b/>
          <w:lang w:val="en-GB"/>
        </w:rPr>
        <w:t xml:space="preserve"> </w:t>
      </w:r>
      <w:r w:rsidRPr="007A5ABC">
        <w:rPr>
          <w:b/>
          <w:lang w:val="en-GB"/>
        </w:rPr>
        <w:t xml:space="preserve">prepared to respond to the challenges of </w:t>
      </w:r>
      <w:r>
        <w:rPr>
          <w:b/>
          <w:lang w:val="en-GB"/>
        </w:rPr>
        <w:t xml:space="preserve">its </w:t>
      </w:r>
      <w:r w:rsidRPr="007A5ABC">
        <w:rPr>
          <w:b/>
          <w:lang w:val="en-GB"/>
        </w:rPr>
        <w:t>demographic revolution.</w:t>
      </w:r>
    </w:p>
    <w:p w:rsidR="00BB4848" w:rsidRPr="007A5ABC" w:rsidRDefault="00BB4848" w:rsidP="00BB4848">
      <w:pPr>
        <w:pStyle w:val="SingleTxtG"/>
        <w:numPr>
          <w:ilvl w:val="0"/>
          <w:numId w:val="9"/>
        </w:numPr>
        <w:rPr>
          <w:b/>
          <w:lang w:val="en-GB"/>
        </w:rPr>
      </w:pPr>
      <w:r w:rsidRPr="007A5ABC">
        <w:rPr>
          <w:b/>
          <w:lang w:val="en-GB"/>
        </w:rPr>
        <w:t xml:space="preserve">The Independent Expert commends Austria </w:t>
      </w:r>
      <w:r>
        <w:rPr>
          <w:b/>
          <w:lang w:val="en-GB"/>
        </w:rPr>
        <w:t>on</w:t>
      </w:r>
      <w:r w:rsidRPr="007A5ABC">
        <w:rPr>
          <w:b/>
          <w:lang w:val="en-GB"/>
        </w:rPr>
        <w:t xml:space="preserve"> </w:t>
      </w:r>
      <w:r>
        <w:rPr>
          <w:b/>
          <w:lang w:val="en-GB"/>
        </w:rPr>
        <w:t>adopting</w:t>
      </w:r>
      <w:r w:rsidRPr="007A5ABC">
        <w:rPr>
          <w:b/>
          <w:lang w:val="en-GB"/>
        </w:rPr>
        <w:t xml:space="preserve"> the Federal Plan for Senior Citizens and encourages it to continue mainstreaming the rights of older persons in all policies and programmes</w:t>
      </w:r>
      <w:r>
        <w:rPr>
          <w:b/>
          <w:lang w:val="en-GB"/>
        </w:rPr>
        <w:t>, which</w:t>
      </w:r>
      <w:r w:rsidRPr="007A5ABC">
        <w:rPr>
          <w:b/>
          <w:lang w:val="en-GB"/>
        </w:rPr>
        <w:t xml:space="preserve"> should actively combat ageism, </w:t>
      </w:r>
      <w:r>
        <w:rPr>
          <w:b/>
          <w:lang w:val="en-GB"/>
        </w:rPr>
        <w:t xml:space="preserve">and the </w:t>
      </w:r>
      <w:r w:rsidRPr="007A5ABC">
        <w:rPr>
          <w:b/>
          <w:lang w:val="en-GB"/>
        </w:rPr>
        <w:t>marginalization</w:t>
      </w:r>
      <w:r>
        <w:rPr>
          <w:b/>
          <w:lang w:val="en-GB"/>
        </w:rPr>
        <w:t xml:space="preserve"> </w:t>
      </w:r>
      <w:r w:rsidRPr="007A5ABC">
        <w:rPr>
          <w:b/>
          <w:lang w:val="en-GB"/>
        </w:rPr>
        <w:t xml:space="preserve">and social exclusion of older persons </w:t>
      </w:r>
      <w:r>
        <w:rPr>
          <w:b/>
          <w:lang w:val="en-GB"/>
        </w:rPr>
        <w:t>and</w:t>
      </w:r>
      <w:r w:rsidRPr="007A5ABC">
        <w:rPr>
          <w:b/>
          <w:lang w:val="en-GB"/>
        </w:rPr>
        <w:t xml:space="preserve"> reduce their vulnerability, including to abuse and violence. </w:t>
      </w:r>
    </w:p>
    <w:p w:rsidR="00BB4848" w:rsidRPr="007A5ABC" w:rsidRDefault="00BB4848" w:rsidP="00BB4848">
      <w:pPr>
        <w:pStyle w:val="SingleTxtG"/>
        <w:numPr>
          <w:ilvl w:val="0"/>
          <w:numId w:val="9"/>
        </w:numPr>
        <w:tabs>
          <w:tab w:val="left" w:pos="6096"/>
        </w:tabs>
        <w:rPr>
          <w:b/>
          <w:lang w:val="en-GB"/>
        </w:rPr>
      </w:pPr>
      <w:r w:rsidRPr="007A5ABC">
        <w:rPr>
          <w:b/>
          <w:lang w:val="en-GB"/>
        </w:rPr>
        <w:t xml:space="preserve">The </w:t>
      </w:r>
      <w:r>
        <w:rPr>
          <w:b/>
          <w:lang w:val="en-GB"/>
        </w:rPr>
        <w:t>I</w:t>
      </w:r>
      <w:r w:rsidRPr="007A5ABC">
        <w:rPr>
          <w:b/>
          <w:lang w:val="en-GB"/>
        </w:rPr>
        <w:t xml:space="preserve">ndependent </w:t>
      </w:r>
      <w:r>
        <w:rPr>
          <w:b/>
          <w:lang w:val="en-GB"/>
        </w:rPr>
        <w:t>E</w:t>
      </w:r>
      <w:r w:rsidRPr="007A5ABC">
        <w:rPr>
          <w:b/>
          <w:lang w:val="en-GB"/>
        </w:rPr>
        <w:t xml:space="preserve">xpert further commends the Government </w:t>
      </w:r>
      <w:r>
        <w:rPr>
          <w:b/>
          <w:lang w:val="en-GB"/>
        </w:rPr>
        <w:t>on</w:t>
      </w:r>
      <w:r w:rsidRPr="007A5ABC">
        <w:rPr>
          <w:b/>
          <w:lang w:val="en-GB"/>
        </w:rPr>
        <w:t xml:space="preserve"> the number of studies that are regularly commissioned by the authorities to assess the situation and needs of older people in the country and to inform policymaking. She welcomes the broad array of topics covered, such as the social situation of older persons, the prevalence of abuse and violence against older women </w:t>
      </w:r>
      <w:r>
        <w:rPr>
          <w:b/>
          <w:lang w:val="en-GB"/>
        </w:rPr>
        <w:t>and</w:t>
      </w:r>
      <w:r w:rsidRPr="007A5ABC">
        <w:rPr>
          <w:b/>
          <w:lang w:val="en-GB"/>
        </w:rPr>
        <w:t xml:space="preserve"> the specific needs of older migrants</w:t>
      </w:r>
      <w:r>
        <w:rPr>
          <w:b/>
          <w:lang w:val="en-GB"/>
        </w:rPr>
        <w:t xml:space="preserve">. She also welcomes </w:t>
      </w:r>
      <w:r w:rsidRPr="007A5ABC">
        <w:rPr>
          <w:b/>
          <w:lang w:val="en-GB"/>
        </w:rPr>
        <w:t xml:space="preserve">the fact that many of the studies are carried out in collaboration with </w:t>
      </w:r>
      <w:r>
        <w:rPr>
          <w:b/>
          <w:lang w:val="en-GB"/>
        </w:rPr>
        <w:t xml:space="preserve">academia </w:t>
      </w:r>
      <w:r w:rsidRPr="007A5ABC">
        <w:rPr>
          <w:b/>
          <w:lang w:val="en-GB"/>
        </w:rPr>
        <w:t>and research cent</w:t>
      </w:r>
      <w:r>
        <w:rPr>
          <w:b/>
          <w:lang w:val="en-GB"/>
        </w:rPr>
        <w:t>re</w:t>
      </w:r>
      <w:r w:rsidRPr="007A5ABC">
        <w:rPr>
          <w:b/>
          <w:lang w:val="en-GB"/>
        </w:rPr>
        <w:t xml:space="preserve">s. She </w:t>
      </w:r>
      <w:r>
        <w:rPr>
          <w:b/>
          <w:lang w:val="en-GB"/>
        </w:rPr>
        <w:t xml:space="preserve">regards </w:t>
      </w:r>
      <w:r w:rsidRPr="007A5ABC">
        <w:rPr>
          <w:b/>
          <w:lang w:val="en-GB"/>
        </w:rPr>
        <w:t xml:space="preserve">this </w:t>
      </w:r>
      <w:r>
        <w:rPr>
          <w:b/>
          <w:lang w:val="en-GB"/>
        </w:rPr>
        <w:t>a</w:t>
      </w:r>
      <w:r w:rsidRPr="007A5ABC">
        <w:rPr>
          <w:b/>
          <w:lang w:val="en-GB"/>
        </w:rPr>
        <w:t>s a good example of how research can feed into targeted and successful policy</w:t>
      </w:r>
      <w:r>
        <w:rPr>
          <w:b/>
          <w:lang w:val="en-GB"/>
        </w:rPr>
        <w:t>-</w:t>
      </w:r>
      <w:r w:rsidRPr="007A5ABC">
        <w:rPr>
          <w:b/>
          <w:lang w:val="en-GB"/>
        </w:rPr>
        <w:t>planning, design and implementation.</w:t>
      </w:r>
    </w:p>
    <w:p w:rsidR="00BB4848" w:rsidRPr="007A5ABC" w:rsidRDefault="00BB4848" w:rsidP="00BB4848">
      <w:pPr>
        <w:pStyle w:val="SingleTxtG"/>
        <w:numPr>
          <w:ilvl w:val="0"/>
          <w:numId w:val="9"/>
        </w:numPr>
        <w:rPr>
          <w:b/>
          <w:lang w:val="en-GB"/>
        </w:rPr>
      </w:pPr>
      <w:r w:rsidRPr="007A5ABC">
        <w:rPr>
          <w:b/>
          <w:lang w:val="en-GB"/>
        </w:rPr>
        <w:t>The Independent Expert encourages the Government to continue its efforts to ensure that social protection systems, health care, housing policies and anti-discrimination legislation take the specific needs of older persons fully into consideration.</w:t>
      </w:r>
    </w:p>
    <w:p w:rsidR="00BB4848" w:rsidRPr="007A5ABC" w:rsidRDefault="00BB4848" w:rsidP="00BB4848">
      <w:pPr>
        <w:pStyle w:val="SingleTxtG"/>
        <w:numPr>
          <w:ilvl w:val="0"/>
          <w:numId w:val="9"/>
        </w:numPr>
        <w:rPr>
          <w:b/>
          <w:lang w:val="en-GB"/>
        </w:rPr>
      </w:pPr>
      <w:r w:rsidRPr="007A5ABC">
        <w:rPr>
          <w:b/>
          <w:lang w:val="en-GB"/>
        </w:rPr>
        <w:t xml:space="preserve">The Independent Expert recommends that Austria ratify the Optional </w:t>
      </w:r>
      <w:r>
        <w:rPr>
          <w:b/>
          <w:lang w:val="en-GB"/>
        </w:rPr>
        <w:t>P</w:t>
      </w:r>
      <w:r w:rsidRPr="007A5ABC">
        <w:rPr>
          <w:b/>
          <w:lang w:val="en-GB"/>
        </w:rPr>
        <w:t>rotocol to the International Covenant on Economic, Social and Cultural Rights</w:t>
      </w:r>
      <w:r>
        <w:rPr>
          <w:b/>
          <w:lang w:val="en-GB"/>
        </w:rPr>
        <w:t>,</w:t>
      </w:r>
      <w:r w:rsidRPr="007A5ABC">
        <w:rPr>
          <w:b/>
          <w:lang w:val="en-GB"/>
        </w:rPr>
        <w:t xml:space="preserve"> as well as all </w:t>
      </w:r>
      <w:r>
        <w:rPr>
          <w:b/>
          <w:lang w:val="en-GB"/>
        </w:rPr>
        <w:t>c</w:t>
      </w:r>
      <w:r w:rsidRPr="007A5ABC">
        <w:rPr>
          <w:b/>
          <w:lang w:val="en-GB"/>
        </w:rPr>
        <w:t>onventions of the International Labour Organization</w:t>
      </w:r>
      <w:r>
        <w:rPr>
          <w:b/>
          <w:lang w:val="en-GB"/>
        </w:rPr>
        <w:t xml:space="preserve">, including the </w:t>
      </w:r>
      <w:r w:rsidRPr="007A5ABC">
        <w:rPr>
          <w:b/>
          <w:lang w:val="en-GB"/>
        </w:rPr>
        <w:t>Nursing Personnel Convention, 1977</w:t>
      </w:r>
      <w:r>
        <w:rPr>
          <w:b/>
          <w:lang w:val="en-GB"/>
        </w:rPr>
        <w:t xml:space="preserve"> (No. 149)</w:t>
      </w:r>
      <w:r w:rsidRPr="007A5ABC">
        <w:rPr>
          <w:b/>
          <w:lang w:val="en-GB"/>
        </w:rPr>
        <w:t xml:space="preserve">, the </w:t>
      </w:r>
      <w:r w:rsidRPr="00402799">
        <w:rPr>
          <w:b/>
          <w:bCs/>
          <w:lang w:val="en-US"/>
        </w:rPr>
        <w:t xml:space="preserve">Vocational Rehabilitation and Employment </w:t>
      </w:r>
      <w:r>
        <w:rPr>
          <w:b/>
          <w:bCs/>
          <w:lang w:val="en-US"/>
        </w:rPr>
        <w:t>C</w:t>
      </w:r>
      <w:r w:rsidRPr="00402799">
        <w:rPr>
          <w:b/>
          <w:bCs/>
          <w:lang w:val="en-US"/>
        </w:rPr>
        <w:t xml:space="preserve">onvention, 1983 (No. 159) </w:t>
      </w:r>
      <w:r>
        <w:rPr>
          <w:b/>
          <w:bCs/>
          <w:lang w:val="en-US"/>
        </w:rPr>
        <w:t xml:space="preserve">and </w:t>
      </w:r>
      <w:r>
        <w:rPr>
          <w:b/>
          <w:lang w:val="en-GB"/>
        </w:rPr>
        <w:t xml:space="preserve">the </w:t>
      </w:r>
      <w:r w:rsidRPr="007A5ABC">
        <w:rPr>
          <w:b/>
          <w:lang w:val="en-GB"/>
        </w:rPr>
        <w:t>Domestic Workers Convention, 2011</w:t>
      </w:r>
      <w:r>
        <w:rPr>
          <w:b/>
          <w:lang w:val="en-GB"/>
        </w:rPr>
        <w:t xml:space="preserve"> (No. 189)</w:t>
      </w:r>
      <w:r w:rsidRPr="007A5ABC">
        <w:rPr>
          <w:b/>
          <w:lang w:val="en-GB"/>
        </w:rPr>
        <w:t xml:space="preserve">. As </w:t>
      </w:r>
      <w:r>
        <w:rPr>
          <w:b/>
          <w:lang w:val="en-GB"/>
        </w:rPr>
        <w:t xml:space="preserve">Austria is </w:t>
      </w:r>
      <w:r w:rsidRPr="007A5ABC">
        <w:rPr>
          <w:b/>
          <w:lang w:val="en-GB"/>
        </w:rPr>
        <w:t>a member of the Council of Europe, the Independent Expert encourages the Government to ratify Protocol No. 12 to the European Convention on Human Rights</w:t>
      </w:r>
      <w:r>
        <w:rPr>
          <w:b/>
          <w:lang w:val="en-GB"/>
        </w:rPr>
        <w:t xml:space="preserve">, which </w:t>
      </w:r>
      <w:r w:rsidRPr="007A5ABC">
        <w:rPr>
          <w:b/>
          <w:lang w:val="en-GB"/>
        </w:rPr>
        <w:t>provid</w:t>
      </w:r>
      <w:r>
        <w:rPr>
          <w:b/>
          <w:lang w:val="en-GB"/>
        </w:rPr>
        <w:t>es for</w:t>
      </w:r>
      <w:r w:rsidRPr="007A5ABC">
        <w:rPr>
          <w:b/>
          <w:lang w:val="en-GB"/>
        </w:rPr>
        <w:t xml:space="preserve"> a general prohibition of discrimination.</w:t>
      </w:r>
    </w:p>
    <w:p w:rsidR="00BB4848" w:rsidRPr="007A5ABC" w:rsidRDefault="00BB4848" w:rsidP="00BB4848">
      <w:pPr>
        <w:pStyle w:val="SingleTxtG"/>
        <w:numPr>
          <w:ilvl w:val="0"/>
          <w:numId w:val="9"/>
        </w:numPr>
        <w:rPr>
          <w:b/>
          <w:lang w:val="en-GB"/>
        </w:rPr>
      </w:pPr>
      <w:r w:rsidRPr="007A5ABC">
        <w:rPr>
          <w:b/>
          <w:lang w:val="en-GB"/>
        </w:rPr>
        <w:t xml:space="preserve">On the basis of these conclusions and the observations in the present report, the Independent Expert </w:t>
      </w:r>
      <w:r>
        <w:rPr>
          <w:b/>
          <w:lang w:val="en-GB"/>
        </w:rPr>
        <w:t xml:space="preserve">makes the </w:t>
      </w:r>
      <w:r w:rsidRPr="007A5ABC">
        <w:rPr>
          <w:b/>
          <w:lang w:val="en-GB"/>
        </w:rPr>
        <w:t>recommend</w:t>
      </w:r>
      <w:r>
        <w:rPr>
          <w:b/>
          <w:lang w:val="en-GB"/>
        </w:rPr>
        <w:t>ations set out below.</w:t>
      </w:r>
    </w:p>
    <w:p w:rsidR="00BB4848" w:rsidRPr="007A5ABC" w:rsidRDefault="00BB4848" w:rsidP="00BB4848">
      <w:pPr>
        <w:pStyle w:val="H1G"/>
        <w:rPr>
          <w:lang w:val="en-GB"/>
        </w:rPr>
      </w:pPr>
      <w:r w:rsidRPr="00806FA6">
        <w:rPr>
          <w:lang w:val="en-GB"/>
        </w:rPr>
        <w:tab/>
        <w:t>A.</w:t>
      </w:r>
      <w:r w:rsidRPr="007A5ABC">
        <w:rPr>
          <w:lang w:val="en-GB"/>
        </w:rPr>
        <w:tab/>
        <w:t>Discrimination</w:t>
      </w:r>
    </w:p>
    <w:p w:rsidR="00BB4848" w:rsidRPr="007A5ABC" w:rsidRDefault="00BB4848" w:rsidP="00BB4848">
      <w:pPr>
        <w:pStyle w:val="SingleTxtG"/>
        <w:numPr>
          <w:ilvl w:val="0"/>
          <w:numId w:val="9"/>
        </w:numPr>
        <w:rPr>
          <w:b/>
          <w:lang w:val="en-GB"/>
        </w:rPr>
      </w:pPr>
      <w:r w:rsidRPr="007A5ABC">
        <w:rPr>
          <w:b/>
          <w:lang w:val="en-GB"/>
        </w:rPr>
        <w:t xml:space="preserve">The Independent Expert recognizes the progress made in developing anti-discrimination laws at the federal and regional levels, but notes that the legal and institutional framework against discrimination is complex and fragmented and that </w:t>
      </w:r>
      <w:r>
        <w:rPr>
          <w:b/>
          <w:lang w:val="en-GB"/>
        </w:rPr>
        <w:t xml:space="preserve">the </w:t>
      </w:r>
      <w:r w:rsidRPr="007A5ABC">
        <w:rPr>
          <w:b/>
          <w:lang w:val="en-GB"/>
        </w:rPr>
        <w:t>enforcement of anti-discrimination provision</w:t>
      </w:r>
      <w:r>
        <w:rPr>
          <w:b/>
          <w:lang w:val="en-GB"/>
        </w:rPr>
        <w:t>s</w:t>
      </w:r>
      <w:r w:rsidRPr="007A5ABC">
        <w:rPr>
          <w:b/>
          <w:lang w:val="en-GB"/>
        </w:rPr>
        <w:t xml:space="preserve"> remains deficient. She encourages the Government to review the institutions </w:t>
      </w:r>
      <w:r>
        <w:rPr>
          <w:b/>
          <w:lang w:val="en-GB"/>
        </w:rPr>
        <w:t>engaged</w:t>
      </w:r>
      <w:r w:rsidRPr="007A5ABC">
        <w:rPr>
          <w:b/>
          <w:lang w:val="en-GB"/>
        </w:rPr>
        <w:t xml:space="preserve"> in the implementation of anti-discrimination and equality legislation with a view to further harmoniz</w:t>
      </w:r>
      <w:r>
        <w:rPr>
          <w:b/>
          <w:lang w:val="en-GB"/>
        </w:rPr>
        <w:t>ing</w:t>
      </w:r>
      <w:r w:rsidRPr="007A5ABC">
        <w:rPr>
          <w:b/>
          <w:lang w:val="en-GB"/>
        </w:rPr>
        <w:t xml:space="preserve"> and streamlin</w:t>
      </w:r>
      <w:r>
        <w:rPr>
          <w:b/>
          <w:lang w:val="en-GB"/>
        </w:rPr>
        <w:t>ing</w:t>
      </w:r>
      <w:r w:rsidRPr="007A5ABC">
        <w:rPr>
          <w:b/>
          <w:lang w:val="en-GB"/>
        </w:rPr>
        <w:t xml:space="preserve"> the structures of </w:t>
      </w:r>
      <w:r>
        <w:rPr>
          <w:b/>
          <w:lang w:val="en-GB"/>
        </w:rPr>
        <w:t>the e</w:t>
      </w:r>
      <w:r w:rsidRPr="007A5ABC">
        <w:rPr>
          <w:b/>
          <w:lang w:val="en-GB"/>
        </w:rPr>
        <w:t xml:space="preserve">quality </w:t>
      </w:r>
      <w:r>
        <w:rPr>
          <w:b/>
          <w:lang w:val="en-GB"/>
        </w:rPr>
        <w:t>b</w:t>
      </w:r>
      <w:r w:rsidRPr="007A5ABC">
        <w:rPr>
          <w:b/>
          <w:lang w:val="en-GB"/>
        </w:rPr>
        <w:t xml:space="preserve">odies. </w:t>
      </w:r>
    </w:p>
    <w:p w:rsidR="00BB4848" w:rsidRPr="007A5ABC" w:rsidRDefault="00BB4848" w:rsidP="00BB4848">
      <w:pPr>
        <w:pStyle w:val="SingleTxtG"/>
        <w:numPr>
          <w:ilvl w:val="0"/>
          <w:numId w:val="9"/>
        </w:numPr>
        <w:rPr>
          <w:b/>
          <w:lang w:val="en-GB"/>
        </w:rPr>
      </w:pPr>
      <w:r>
        <w:rPr>
          <w:b/>
          <w:lang w:val="en-GB"/>
        </w:rPr>
        <w:t xml:space="preserve">Noting </w:t>
      </w:r>
      <w:r w:rsidRPr="007A5ABC">
        <w:rPr>
          <w:b/>
          <w:lang w:val="en-GB"/>
        </w:rPr>
        <w:t xml:space="preserve">that the </w:t>
      </w:r>
      <w:r>
        <w:rPr>
          <w:b/>
          <w:lang w:val="en-GB"/>
        </w:rPr>
        <w:t xml:space="preserve">office of the </w:t>
      </w:r>
      <w:r w:rsidRPr="007A5ABC">
        <w:rPr>
          <w:b/>
          <w:lang w:val="en-GB"/>
        </w:rPr>
        <w:t>Ombud for Equal Treatment irrespective of race, ethnic origin, religion, age and sexual orientation in relation to employment is understaffed</w:t>
      </w:r>
      <w:r>
        <w:rPr>
          <w:b/>
          <w:lang w:val="en-GB"/>
        </w:rPr>
        <w:t>, she</w:t>
      </w:r>
      <w:r w:rsidRPr="007A5ABC">
        <w:rPr>
          <w:b/>
          <w:lang w:val="en-GB"/>
        </w:rPr>
        <w:t xml:space="preserve"> urges the Government to provide adequate resources to the </w:t>
      </w:r>
      <w:r>
        <w:rPr>
          <w:b/>
          <w:lang w:val="en-GB"/>
        </w:rPr>
        <w:t>e</w:t>
      </w:r>
      <w:r w:rsidRPr="007A5ABC">
        <w:rPr>
          <w:b/>
          <w:lang w:val="en-GB"/>
        </w:rPr>
        <w:t xml:space="preserve">quality </w:t>
      </w:r>
      <w:r>
        <w:rPr>
          <w:b/>
          <w:lang w:val="en-GB"/>
        </w:rPr>
        <w:t>b</w:t>
      </w:r>
      <w:r w:rsidRPr="007A5ABC">
        <w:rPr>
          <w:b/>
          <w:lang w:val="en-GB"/>
        </w:rPr>
        <w:t>odies to ensure that they can make full use of their powers</w:t>
      </w:r>
      <w:r>
        <w:rPr>
          <w:b/>
          <w:lang w:val="en-GB"/>
        </w:rPr>
        <w:t>,</w:t>
      </w:r>
      <w:r w:rsidRPr="007A5ABC">
        <w:rPr>
          <w:b/>
          <w:lang w:val="en-GB"/>
        </w:rPr>
        <w:t xml:space="preserve"> such as </w:t>
      </w:r>
      <w:r>
        <w:rPr>
          <w:b/>
          <w:lang w:val="en-GB"/>
        </w:rPr>
        <w:t>by</w:t>
      </w:r>
      <w:r w:rsidRPr="007A5ABC">
        <w:rPr>
          <w:b/>
          <w:lang w:val="en-GB"/>
        </w:rPr>
        <w:t xml:space="preserve"> conduct</w:t>
      </w:r>
      <w:r>
        <w:rPr>
          <w:b/>
          <w:lang w:val="en-GB"/>
        </w:rPr>
        <w:t>ing</w:t>
      </w:r>
      <w:r w:rsidRPr="007A5ABC">
        <w:rPr>
          <w:b/>
          <w:lang w:val="en-GB"/>
        </w:rPr>
        <w:t xml:space="preserve"> independent </w:t>
      </w:r>
      <w:r>
        <w:rPr>
          <w:b/>
          <w:lang w:val="en-GB"/>
        </w:rPr>
        <w:t>e</w:t>
      </w:r>
      <w:r w:rsidRPr="007A5ABC">
        <w:rPr>
          <w:b/>
          <w:lang w:val="en-GB"/>
        </w:rPr>
        <w:t>nquiries and surveys and publish</w:t>
      </w:r>
      <w:r>
        <w:rPr>
          <w:b/>
          <w:lang w:val="en-GB"/>
        </w:rPr>
        <w:t>ing</w:t>
      </w:r>
      <w:r w:rsidRPr="007A5ABC">
        <w:rPr>
          <w:b/>
          <w:lang w:val="en-GB"/>
        </w:rPr>
        <w:t xml:space="preserve"> independent reports.</w:t>
      </w:r>
    </w:p>
    <w:p w:rsidR="00BB4848" w:rsidRPr="007A5ABC" w:rsidRDefault="00BB4848" w:rsidP="00BB4848">
      <w:pPr>
        <w:pStyle w:val="SingleTxtG"/>
        <w:numPr>
          <w:ilvl w:val="0"/>
          <w:numId w:val="9"/>
        </w:numPr>
        <w:rPr>
          <w:b/>
          <w:lang w:val="en-GB"/>
        </w:rPr>
      </w:pPr>
      <w:r w:rsidRPr="007A5ABC">
        <w:rPr>
          <w:b/>
          <w:lang w:val="en-GB"/>
        </w:rPr>
        <w:t>The Independent Expert notes that monitoring of age</w:t>
      </w:r>
      <w:r>
        <w:rPr>
          <w:b/>
          <w:lang w:val="en-GB"/>
        </w:rPr>
        <w:t>-</w:t>
      </w:r>
      <w:r w:rsidRPr="007A5ABC">
        <w:rPr>
          <w:b/>
          <w:lang w:val="en-GB"/>
        </w:rPr>
        <w:t xml:space="preserve"> related discrimination is limited to employment issues</w:t>
      </w:r>
      <w:r>
        <w:rPr>
          <w:b/>
          <w:lang w:val="en-GB"/>
        </w:rPr>
        <w:t xml:space="preserve"> and </w:t>
      </w:r>
      <w:r w:rsidRPr="007A5ABC">
        <w:rPr>
          <w:b/>
          <w:lang w:val="en-GB"/>
        </w:rPr>
        <w:t>that discrimination in other areas</w:t>
      </w:r>
      <w:r>
        <w:rPr>
          <w:b/>
          <w:lang w:val="en-GB"/>
        </w:rPr>
        <w:t>,</w:t>
      </w:r>
      <w:r w:rsidRPr="007A5ABC">
        <w:rPr>
          <w:b/>
          <w:lang w:val="en-GB"/>
        </w:rPr>
        <w:t xml:space="preserve"> such as in access to facilities and services in Austria</w:t>
      </w:r>
      <w:r>
        <w:rPr>
          <w:b/>
          <w:lang w:val="en-GB"/>
        </w:rPr>
        <w:t>,</w:t>
      </w:r>
      <w:r w:rsidRPr="007A5ABC">
        <w:rPr>
          <w:b/>
          <w:lang w:val="en-GB"/>
        </w:rPr>
        <w:t xml:space="preserve"> remains of concern. Financial services, such as loans or mortgages, or </w:t>
      </w:r>
      <w:r>
        <w:rPr>
          <w:b/>
          <w:lang w:val="en-GB"/>
        </w:rPr>
        <w:t xml:space="preserve">commercial </w:t>
      </w:r>
      <w:r w:rsidRPr="007A5ABC">
        <w:rPr>
          <w:b/>
          <w:lang w:val="en-GB"/>
        </w:rPr>
        <w:t>insurance</w:t>
      </w:r>
      <w:r>
        <w:rPr>
          <w:b/>
          <w:lang w:val="en-GB"/>
        </w:rPr>
        <w:t>,</w:t>
      </w:r>
      <w:r w:rsidRPr="007A5ABC">
        <w:rPr>
          <w:b/>
          <w:lang w:val="en-GB"/>
        </w:rPr>
        <w:t xml:space="preserve"> are often not available to older people or are prohibitively expensive because of the inappropriate use of age as a criterion, including </w:t>
      </w:r>
      <w:r>
        <w:rPr>
          <w:b/>
          <w:lang w:val="en-GB"/>
        </w:rPr>
        <w:t>for</w:t>
      </w:r>
      <w:r w:rsidRPr="007A5ABC">
        <w:rPr>
          <w:b/>
          <w:lang w:val="en-GB"/>
        </w:rPr>
        <w:t xml:space="preserve"> determining risk. The Independent Expert stresses that the same level of protection should be accorded across the different grounds of discrimination as a matter of priority and welcomes the plans to extend the scope of the Equal Treatment Act to include access to and supply </w:t>
      </w:r>
      <w:r>
        <w:rPr>
          <w:b/>
          <w:lang w:val="en-GB"/>
        </w:rPr>
        <w:t>of</w:t>
      </w:r>
      <w:r w:rsidRPr="007A5ABC">
        <w:rPr>
          <w:b/>
          <w:lang w:val="en-GB"/>
        </w:rPr>
        <w:t xml:space="preserve"> publicly available goods and services, including housing space. </w:t>
      </w:r>
    </w:p>
    <w:p w:rsidR="00BB4848" w:rsidRPr="007A5ABC" w:rsidRDefault="00BB4848" w:rsidP="00BB4848">
      <w:pPr>
        <w:pStyle w:val="SingleTxtG"/>
        <w:numPr>
          <w:ilvl w:val="0"/>
          <w:numId w:val="9"/>
        </w:numPr>
        <w:rPr>
          <w:b/>
          <w:lang w:val="en-GB"/>
        </w:rPr>
      </w:pPr>
      <w:r w:rsidRPr="007A5ABC">
        <w:rPr>
          <w:b/>
          <w:lang w:val="en-GB"/>
        </w:rPr>
        <w:t>She further encourages the Government to review the remedies available to ensure that they trigger a change in the behaviour of people who discriminate against older</w:t>
      </w:r>
      <w:r>
        <w:rPr>
          <w:b/>
          <w:lang w:val="en-GB"/>
        </w:rPr>
        <w:t xml:space="preserve"> persons</w:t>
      </w:r>
      <w:r w:rsidRPr="007A5ABC">
        <w:rPr>
          <w:b/>
          <w:lang w:val="en-GB"/>
        </w:rPr>
        <w:t>, such as injunctive powers</w:t>
      </w:r>
      <w:r>
        <w:rPr>
          <w:b/>
          <w:lang w:val="en-GB"/>
        </w:rPr>
        <w:t>,</w:t>
      </w:r>
      <w:r w:rsidRPr="007A5ABC">
        <w:rPr>
          <w:b/>
          <w:lang w:val="en-GB"/>
        </w:rPr>
        <w:t xml:space="preserve"> and to ensure that they can </w:t>
      </w:r>
      <w:r>
        <w:rPr>
          <w:b/>
          <w:lang w:val="en-GB"/>
        </w:rPr>
        <w:t xml:space="preserve">deal </w:t>
      </w:r>
      <w:r w:rsidRPr="007A5ABC">
        <w:rPr>
          <w:b/>
          <w:lang w:val="en-GB"/>
        </w:rPr>
        <w:t>effectively with cases of multiple discrimination.</w:t>
      </w:r>
    </w:p>
    <w:p w:rsidR="00BB4848" w:rsidRPr="007A5ABC" w:rsidRDefault="00BB4848" w:rsidP="00BB4848">
      <w:pPr>
        <w:pStyle w:val="SingleTxtG"/>
        <w:numPr>
          <w:ilvl w:val="0"/>
          <w:numId w:val="9"/>
        </w:numPr>
        <w:rPr>
          <w:b/>
          <w:lang w:val="en-GB"/>
        </w:rPr>
      </w:pPr>
      <w:r w:rsidRPr="007A5ABC">
        <w:rPr>
          <w:b/>
          <w:lang w:val="en-GB"/>
        </w:rPr>
        <w:t>The Independent Expert notes the lack of awareness among the population, including about the existence of specific legislation and that relevant domestic law</w:t>
      </w:r>
      <w:r>
        <w:rPr>
          <w:b/>
          <w:lang w:val="en-GB"/>
        </w:rPr>
        <w:t>.</w:t>
      </w:r>
      <w:r w:rsidRPr="007A5ABC">
        <w:rPr>
          <w:b/>
          <w:lang w:val="en-GB"/>
        </w:rPr>
        <w:t xml:space="preserve"> </w:t>
      </w:r>
      <w:r>
        <w:rPr>
          <w:b/>
          <w:lang w:val="en-GB"/>
        </w:rPr>
        <w:t>L</w:t>
      </w:r>
      <w:r w:rsidRPr="007A5ABC">
        <w:rPr>
          <w:b/>
          <w:lang w:val="en-GB"/>
        </w:rPr>
        <w:t xml:space="preserve">egislation has to be </w:t>
      </w:r>
      <w:r>
        <w:rPr>
          <w:b/>
          <w:lang w:val="en-GB"/>
        </w:rPr>
        <w:t xml:space="preserve">made easy for the public to understand, and </w:t>
      </w:r>
      <w:r w:rsidRPr="007A5ABC">
        <w:rPr>
          <w:b/>
          <w:lang w:val="en-GB"/>
        </w:rPr>
        <w:t xml:space="preserve">a nationwide awareness-raising campaign </w:t>
      </w:r>
      <w:r>
        <w:rPr>
          <w:b/>
          <w:lang w:val="en-GB"/>
        </w:rPr>
        <w:t xml:space="preserve">should be organized </w:t>
      </w:r>
      <w:r w:rsidRPr="007A5ABC">
        <w:rPr>
          <w:b/>
          <w:lang w:val="en-GB"/>
        </w:rPr>
        <w:t>to educate older persons</w:t>
      </w:r>
      <w:r>
        <w:rPr>
          <w:b/>
          <w:lang w:val="en-GB"/>
        </w:rPr>
        <w:t>,</w:t>
      </w:r>
      <w:r w:rsidRPr="007A5ABC">
        <w:rPr>
          <w:b/>
          <w:lang w:val="en-GB"/>
        </w:rPr>
        <w:t xml:space="preserve"> in particular marginalized </w:t>
      </w:r>
      <w:r>
        <w:rPr>
          <w:b/>
          <w:lang w:val="en-GB"/>
        </w:rPr>
        <w:t xml:space="preserve">older persons, </w:t>
      </w:r>
      <w:r w:rsidRPr="007A5ABC">
        <w:rPr>
          <w:b/>
          <w:lang w:val="en-GB"/>
        </w:rPr>
        <w:t xml:space="preserve">about their rights and the remedies </w:t>
      </w:r>
      <w:r w:rsidRPr="008323EC">
        <w:rPr>
          <w:b/>
          <w:lang w:val="en-GB"/>
        </w:rPr>
        <w:t xml:space="preserve">available </w:t>
      </w:r>
      <w:r w:rsidRPr="007A5ABC">
        <w:rPr>
          <w:b/>
          <w:lang w:val="en-GB"/>
        </w:rPr>
        <w:t xml:space="preserve">to enable them to pursue legal action and exercise their rights. </w:t>
      </w:r>
    </w:p>
    <w:p w:rsidR="00BB4848" w:rsidRPr="007A5ABC" w:rsidRDefault="00BB4848" w:rsidP="00BB4848">
      <w:pPr>
        <w:pStyle w:val="SingleTxtG"/>
        <w:numPr>
          <w:ilvl w:val="0"/>
          <w:numId w:val="9"/>
        </w:numPr>
        <w:rPr>
          <w:b/>
          <w:lang w:val="en-GB"/>
        </w:rPr>
      </w:pPr>
      <w:r w:rsidRPr="007A5ABC">
        <w:rPr>
          <w:b/>
          <w:lang w:val="en-GB"/>
        </w:rPr>
        <w:t xml:space="preserve">In </w:t>
      </w:r>
      <w:r>
        <w:rPr>
          <w:b/>
          <w:lang w:val="en-GB"/>
        </w:rPr>
        <w:t xml:space="preserve">view </w:t>
      </w:r>
      <w:r w:rsidRPr="007A5ABC">
        <w:rPr>
          <w:b/>
          <w:lang w:val="en-GB"/>
        </w:rPr>
        <w:t xml:space="preserve">of the difficulties faced by older persons in accessing financial and </w:t>
      </w:r>
      <w:r>
        <w:rPr>
          <w:b/>
          <w:lang w:val="en-GB"/>
        </w:rPr>
        <w:t xml:space="preserve">commercial </w:t>
      </w:r>
      <w:r w:rsidRPr="007A5ABC">
        <w:rPr>
          <w:b/>
          <w:lang w:val="en-GB"/>
        </w:rPr>
        <w:t>insurance services and resources, the Independent Expert wishes to remind businesses of their obligations to adhere to international standards preventing</w:t>
      </w:r>
      <w:r>
        <w:rPr>
          <w:b/>
          <w:lang w:val="en-GB"/>
        </w:rPr>
        <w:t>,</w:t>
      </w:r>
      <w:r w:rsidRPr="007A5ABC">
        <w:rPr>
          <w:b/>
          <w:lang w:val="en-GB"/>
        </w:rPr>
        <w:t xml:space="preserve"> inter alia</w:t>
      </w:r>
      <w:r>
        <w:rPr>
          <w:b/>
          <w:lang w:val="en-GB"/>
        </w:rPr>
        <w:t>,</w:t>
      </w:r>
      <w:r w:rsidRPr="007A5ABC">
        <w:rPr>
          <w:b/>
          <w:lang w:val="en-GB"/>
        </w:rPr>
        <w:t xml:space="preserve"> all forms of discrimination and to the Guiding Principles on Business and Human Rights, which provide guidance on responsible contracting and State-investor contract negotiations. The Independent Expert also wishes to remind the Government of its primary obligation to respect, protect and fulfil human rights in the context of corporate activities undertaken by State-owned or private enterprises,</w:t>
      </w:r>
      <w:r w:rsidRPr="007A5ABC">
        <w:rPr>
          <w:rStyle w:val="FootnoteReference"/>
          <w:lang w:val="en-GB"/>
        </w:rPr>
        <w:footnoteReference w:id="35"/>
      </w:r>
      <w:r w:rsidRPr="007A5ABC">
        <w:rPr>
          <w:b/>
          <w:lang w:val="en-GB"/>
        </w:rPr>
        <w:t xml:space="preserve"> and the need to adopt appropriate laws and regulations, together with monitoring, investigation and accountability procedures to set and enforce standards for the performance of corporations. </w:t>
      </w:r>
    </w:p>
    <w:p w:rsidR="00BB4848" w:rsidRPr="007A5ABC" w:rsidRDefault="00BB4848" w:rsidP="00BB4848">
      <w:pPr>
        <w:pStyle w:val="H1G"/>
        <w:rPr>
          <w:lang w:val="en-GB"/>
        </w:rPr>
      </w:pPr>
      <w:r w:rsidRPr="00806FA6">
        <w:rPr>
          <w:lang w:val="en-GB"/>
        </w:rPr>
        <w:tab/>
        <w:t>B.</w:t>
      </w:r>
      <w:r w:rsidRPr="007A5ABC">
        <w:rPr>
          <w:lang w:val="en-GB"/>
        </w:rPr>
        <w:tab/>
        <w:t>Violence and abuse</w:t>
      </w:r>
    </w:p>
    <w:p w:rsidR="00BB4848" w:rsidRPr="007A5ABC" w:rsidRDefault="00BB4848" w:rsidP="00BB4848">
      <w:pPr>
        <w:pStyle w:val="SingleTxtG"/>
        <w:numPr>
          <w:ilvl w:val="0"/>
          <w:numId w:val="9"/>
        </w:numPr>
        <w:rPr>
          <w:b/>
          <w:lang w:val="en-GB"/>
        </w:rPr>
      </w:pPr>
      <w:r w:rsidRPr="007A5ABC">
        <w:rPr>
          <w:b/>
          <w:lang w:val="en-GB"/>
        </w:rPr>
        <w:t xml:space="preserve">The Independent Expert notes that no data </w:t>
      </w:r>
      <w:r>
        <w:rPr>
          <w:b/>
          <w:lang w:val="en-GB"/>
        </w:rPr>
        <w:t>are</w:t>
      </w:r>
      <w:r w:rsidRPr="007A5ABC">
        <w:rPr>
          <w:b/>
          <w:lang w:val="en-GB"/>
        </w:rPr>
        <w:t xml:space="preserve"> available on the prevalence of violence against older persons and reminds the Government of the need to collect disaggregated relevant statistical data at regular intervals on cases of all forms of violence and abuse against older persons as well as other impediments to the enjoyment of all human rights by older persons, </w:t>
      </w:r>
      <w:r>
        <w:rPr>
          <w:b/>
          <w:lang w:val="en-GB"/>
        </w:rPr>
        <w:t xml:space="preserve">such </w:t>
      </w:r>
      <w:r w:rsidRPr="007A5ABC">
        <w:rPr>
          <w:b/>
          <w:lang w:val="en-GB"/>
        </w:rPr>
        <w:t>as</w:t>
      </w:r>
      <w:r>
        <w:rPr>
          <w:b/>
          <w:lang w:val="en-GB"/>
        </w:rPr>
        <w:t xml:space="preserve">, for example, </w:t>
      </w:r>
      <w:r w:rsidRPr="007A5ABC">
        <w:rPr>
          <w:b/>
          <w:lang w:val="en-GB"/>
        </w:rPr>
        <w:t xml:space="preserve">all forms of discrimination on the basis of age </w:t>
      </w:r>
      <w:r>
        <w:rPr>
          <w:b/>
          <w:lang w:val="en-GB"/>
        </w:rPr>
        <w:t>alone</w:t>
      </w:r>
      <w:r w:rsidRPr="007A5ABC">
        <w:rPr>
          <w:b/>
          <w:lang w:val="en-GB"/>
        </w:rPr>
        <w:t xml:space="preserve">. The Independent Expert recognizes that data have to be used sensibly to avoid stigmatization and potential misuse, and that particular care should be exercised when collecting and </w:t>
      </w:r>
      <w:r w:rsidRPr="00806FA6">
        <w:rPr>
          <w:b/>
          <w:lang w:val="en-GB"/>
        </w:rPr>
        <w:t>analysing</w:t>
      </w:r>
      <w:r w:rsidRPr="007A5ABC">
        <w:rPr>
          <w:b/>
          <w:lang w:val="en-GB"/>
        </w:rPr>
        <w:t xml:space="preserve"> data in order to respect and enforce data protection and the right to privacy.</w:t>
      </w:r>
    </w:p>
    <w:p w:rsidR="00BB4848" w:rsidRPr="007A5ABC" w:rsidRDefault="00BB4848" w:rsidP="00BB4848">
      <w:pPr>
        <w:pStyle w:val="SingleTxtG"/>
        <w:numPr>
          <w:ilvl w:val="0"/>
          <w:numId w:val="9"/>
        </w:numPr>
        <w:rPr>
          <w:b/>
          <w:lang w:val="en-GB"/>
        </w:rPr>
      </w:pPr>
      <w:r w:rsidRPr="007A5ABC">
        <w:rPr>
          <w:b/>
          <w:lang w:val="en-GB"/>
        </w:rPr>
        <w:t>The Independent Expert stresses the need to systematically include older persons in surveys and official statistics, including the very old and those living in institutions</w:t>
      </w:r>
      <w:r>
        <w:rPr>
          <w:b/>
          <w:lang w:val="en-GB"/>
        </w:rPr>
        <w:t xml:space="preserve"> </w:t>
      </w:r>
      <w:r w:rsidRPr="007A5ABC">
        <w:rPr>
          <w:b/>
          <w:lang w:val="en-GB"/>
        </w:rPr>
        <w:t>such as nursing homes</w:t>
      </w:r>
      <w:r>
        <w:rPr>
          <w:b/>
          <w:lang w:val="en-GB"/>
        </w:rPr>
        <w:t>,</w:t>
      </w:r>
      <w:r w:rsidRPr="007A5ABC">
        <w:rPr>
          <w:b/>
          <w:lang w:val="en-GB"/>
        </w:rPr>
        <w:t xml:space="preserve"> to allow, among other</w:t>
      </w:r>
      <w:r>
        <w:rPr>
          <w:b/>
          <w:lang w:val="en-GB"/>
        </w:rPr>
        <w:t xml:space="preserve"> things</w:t>
      </w:r>
      <w:r w:rsidRPr="007A5ABC">
        <w:rPr>
          <w:b/>
          <w:lang w:val="en-GB"/>
        </w:rPr>
        <w:t>, a better di</w:t>
      </w:r>
      <w:r>
        <w:rPr>
          <w:b/>
          <w:lang w:val="en-GB"/>
        </w:rPr>
        <w:t xml:space="preserve">saggregation by </w:t>
      </w:r>
      <w:r w:rsidRPr="007A5ABC">
        <w:rPr>
          <w:b/>
          <w:lang w:val="en-GB"/>
        </w:rPr>
        <w:t>age and to better reflect the enormous heterogeneity of older persons.</w:t>
      </w:r>
    </w:p>
    <w:p w:rsidR="00BB4848" w:rsidRPr="007A5ABC" w:rsidRDefault="00BB4848" w:rsidP="00BB4848">
      <w:pPr>
        <w:pStyle w:val="SingleTxtG"/>
        <w:numPr>
          <w:ilvl w:val="0"/>
          <w:numId w:val="9"/>
        </w:numPr>
        <w:rPr>
          <w:b/>
          <w:lang w:val="en-GB"/>
        </w:rPr>
      </w:pPr>
      <w:r w:rsidRPr="007A5ABC">
        <w:rPr>
          <w:b/>
          <w:lang w:val="en-GB"/>
        </w:rPr>
        <w:t xml:space="preserve">The Independent Expert notes that collective prejudice against older people and public awareness influence the way in which abuse and violence is perceived, recognized and reported. She recognizes </w:t>
      </w:r>
      <w:r>
        <w:rPr>
          <w:b/>
          <w:lang w:val="en-GB"/>
        </w:rPr>
        <w:t xml:space="preserve">the </w:t>
      </w:r>
      <w:r w:rsidRPr="007A5ABC">
        <w:rPr>
          <w:b/>
          <w:lang w:val="en-GB"/>
        </w:rPr>
        <w:t xml:space="preserve">efforts </w:t>
      </w:r>
      <w:r>
        <w:rPr>
          <w:b/>
          <w:lang w:val="en-GB"/>
        </w:rPr>
        <w:t xml:space="preserve">being made by Austria </w:t>
      </w:r>
      <w:r w:rsidRPr="007A5ABC">
        <w:rPr>
          <w:b/>
          <w:lang w:val="en-GB"/>
        </w:rPr>
        <w:t xml:space="preserve">to raise awareness in society </w:t>
      </w:r>
      <w:r>
        <w:rPr>
          <w:b/>
          <w:lang w:val="en-GB"/>
        </w:rPr>
        <w:t>of</w:t>
      </w:r>
      <w:r w:rsidRPr="007A5ABC">
        <w:rPr>
          <w:b/>
          <w:lang w:val="en-GB"/>
        </w:rPr>
        <w:t xml:space="preserve"> the issue of violence against older people, such as the publications that the Federal Ministry for Labour, Social Affairs and Consumer Protection produced on the issue of recognition of violence, on dementia and violence, or on the provision of consulting services regarding abuse of older persons. </w:t>
      </w:r>
    </w:p>
    <w:p w:rsidR="00BB4848" w:rsidRPr="007A5ABC" w:rsidRDefault="00BB4848" w:rsidP="00BB4848">
      <w:pPr>
        <w:pStyle w:val="SingleTxtG"/>
        <w:numPr>
          <w:ilvl w:val="0"/>
          <w:numId w:val="9"/>
        </w:numPr>
        <w:rPr>
          <w:b/>
          <w:lang w:val="en-GB"/>
        </w:rPr>
      </w:pPr>
      <w:r w:rsidRPr="007A5ABC">
        <w:rPr>
          <w:b/>
          <w:lang w:val="en-GB"/>
        </w:rPr>
        <w:t xml:space="preserve">The estimated prevalence rate and the fact </w:t>
      </w:r>
      <w:r>
        <w:rPr>
          <w:b/>
          <w:lang w:val="en-GB"/>
        </w:rPr>
        <w:t>of under</w:t>
      </w:r>
      <w:r w:rsidRPr="007A5ABC">
        <w:rPr>
          <w:b/>
          <w:lang w:val="en-GB"/>
        </w:rPr>
        <w:t>report</w:t>
      </w:r>
      <w:r>
        <w:rPr>
          <w:b/>
          <w:lang w:val="en-GB"/>
        </w:rPr>
        <w:t>ing</w:t>
      </w:r>
      <w:r w:rsidRPr="007A5ABC">
        <w:rPr>
          <w:b/>
          <w:lang w:val="en-GB"/>
        </w:rPr>
        <w:t xml:space="preserve"> indicate that further awareness</w:t>
      </w:r>
      <w:r>
        <w:rPr>
          <w:b/>
          <w:lang w:val="en-GB"/>
        </w:rPr>
        <w:t>-</w:t>
      </w:r>
      <w:r w:rsidRPr="007A5ABC">
        <w:rPr>
          <w:b/>
          <w:lang w:val="en-GB"/>
        </w:rPr>
        <w:t>raising is necessary to increase the prevention, disclosure and detection of abuse and violence against older people. Information about remedies, referral pathways and available services should be made widely available</w:t>
      </w:r>
      <w:r>
        <w:rPr>
          <w:b/>
          <w:lang w:val="en-GB"/>
        </w:rPr>
        <w:t>. This would include</w:t>
      </w:r>
      <w:r w:rsidRPr="007A5ABC">
        <w:rPr>
          <w:b/>
          <w:lang w:val="en-GB"/>
        </w:rPr>
        <w:t xml:space="preserve"> not only</w:t>
      </w:r>
      <w:r>
        <w:rPr>
          <w:b/>
          <w:lang w:val="en-GB"/>
        </w:rPr>
        <w:t xml:space="preserve"> within </w:t>
      </w:r>
      <w:r w:rsidRPr="007A5ABC">
        <w:rPr>
          <w:b/>
          <w:lang w:val="en-GB"/>
        </w:rPr>
        <w:t>the target group</w:t>
      </w:r>
      <w:r>
        <w:rPr>
          <w:b/>
          <w:lang w:val="en-GB"/>
        </w:rPr>
        <w:t xml:space="preserve"> itself</w:t>
      </w:r>
      <w:r w:rsidRPr="007A5ABC">
        <w:rPr>
          <w:b/>
          <w:lang w:val="en-GB"/>
        </w:rPr>
        <w:t>, but also in the broader public domain, and particularly the social environment of older persons, such as family, friends and caregivers as well as target employees in homes and institutions, doctors, nurses and carers and the general public. Dissemination of information to older persons about their rights could help to further improve disclosure about abusive experiences. Caregivers and law enforcement personnel should receive target</w:t>
      </w:r>
      <w:r>
        <w:rPr>
          <w:b/>
          <w:lang w:val="en-GB"/>
        </w:rPr>
        <w:t>ed</w:t>
      </w:r>
      <w:r w:rsidRPr="007A5ABC">
        <w:rPr>
          <w:b/>
          <w:lang w:val="en-GB"/>
        </w:rPr>
        <w:t xml:space="preserve"> training to recognize and handle cases of abuse and violence against older persons. </w:t>
      </w:r>
    </w:p>
    <w:p w:rsidR="00BB4848" w:rsidRPr="007A5ABC" w:rsidRDefault="00BB4848" w:rsidP="00BB4848">
      <w:pPr>
        <w:pStyle w:val="SingleTxtG"/>
        <w:numPr>
          <w:ilvl w:val="0"/>
          <w:numId w:val="9"/>
        </w:numPr>
        <w:rPr>
          <w:b/>
          <w:lang w:val="en-GB"/>
        </w:rPr>
      </w:pPr>
      <w:r w:rsidRPr="007A5ABC">
        <w:rPr>
          <w:b/>
          <w:lang w:val="en-GB"/>
        </w:rPr>
        <w:t xml:space="preserve">The Independent Expert notes that intervention strategies such as the Protection </w:t>
      </w:r>
      <w:r>
        <w:rPr>
          <w:b/>
          <w:lang w:val="en-GB"/>
        </w:rPr>
        <w:t>a</w:t>
      </w:r>
      <w:r w:rsidRPr="007A5ABC">
        <w:rPr>
          <w:b/>
          <w:lang w:val="en-GB"/>
        </w:rPr>
        <w:t xml:space="preserve">gainst Violence Act, which is very effective in the case of violence against women, has little effect in </w:t>
      </w:r>
      <w:r>
        <w:rPr>
          <w:b/>
          <w:lang w:val="en-GB"/>
        </w:rPr>
        <w:t xml:space="preserve">relation to </w:t>
      </w:r>
      <w:r w:rsidRPr="007A5ABC">
        <w:rPr>
          <w:b/>
          <w:lang w:val="en-GB"/>
        </w:rPr>
        <w:t>violence against older people and that new legal solutions should be considered to address this phenomenon.</w:t>
      </w:r>
    </w:p>
    <w:p w:rsidR="00BB4848" w:rsidRPr="007A5ABC" w:rsidRDefault="00BB4848" w:rsidP="00BB4848">
      <w:pPr>
        <w:pStyle w:val="SingleTxtG"/>
        <w:numPr>
          <w:ilvl w:val="0"/>
          <w:numId w:val="9"/>
        </w:numPr>
        <w:rPr>
          <w:lang w:val="en-GB"/>
        </w:rPr>
      </w:pPr>
      <w:r w:rsidRPr="007A5ABC">
        <w:rPr>
          <w:b/>
          <w:lang w:val="en-GB"/>
        </w:rPr>
        <w:t>Given the multidimensionality of abuse of and violence against older person</w:t>
      </w:r>
      <w:r>
        <w:rPr>
          <w:b/>
          <w:lang w:val="en-GB"/>
        </w:rPr>
        <w:t>s,</w:t>
      </w:r>
      <w:r w:rsidRPr="007A5ABC">
        <w:rPr>
          <w:b/>
          <w:lang w:val="en-GB"/>
        </w:rPr>
        <w:t xml:space="preserve"> there is a need for a comprehensive, integrated and inclusive approach, involving different disciplines, organizations</w:t>
      </w:r>
      <w:r>
        <w:rPr>
          <w:b/>
          <w:lang w:val="en-GB"/>
        </w:rPr>
        <w:t xml:space="preserve"> </w:t>
      </w:r>
      <w:r w:rsidRPr="007A5ABC">
        <w:rPr>
          <w:b/>
          <w:lang w:val="en-GB"/>
        </w:rPr>
        <w:t>and actors</w:t>
      </w:r>
      <w:r>
        <w:rPr>
          <w:b/>
          <w:lang w:val="en-GB"/>
        </w:rPr>
        <w:t>,</w:t>
      </w:r>
      <w:r w:rsidRPr="007A5ABC">
        <w:rPr>
          <w:b/>
          <w:lang w:val="en-GB"/>
        </w:rPr>
        <w:t xml:space="preserve"> as well as older persons themselves</w:t>
      </w:r>
      <w:r>
        <w:rPr>
          <w:b/>
          <w:lang w:val="en-GB"/>
        </w:rPr>
        <w:t>,</w:t>
      </w:r>
      <w:r w:rsidRPr="007A5ABC">
        <w:rPr>
          <w:b/>
          <w:lang w:val="en-GB"/>
        </w:rPr>
        <w:t xml:space="preserve"> in identifying appropriate responses to abuse and violence. </w:t>
      </w:r>
    </w:p>
    <w:p w:rsidR="00BB4848" w:rsidRPr="007A5ABC" w:rsidRDefault="00BB4848" w:rsidP="00BB4848">
      <w:pPr>
        <w:pStyle w:val="H1G"/>
        <w:rPr>
          <w:lang w:val="en-GB"/>
        </w:rPr>
      </w:pPr>
      <w:r w:rsidRPr="00806FA6">
        <w:rPr>
          <w:lang w:val="en-GB"/>
        </w:rPr>
        <w:tab/>
        <w:t>C.</w:t>
      </w:r>
      <w:r w:rsidRPr="00806FA6">
        <w:rPr>
          <w:lang w:val="en-GB"/>
        </w:rPr>
        <w:tab/>
      </w:r>
      <w:r w:rsidRPr="007A5ABC">
        <w:rPr>
          <w:lang w:val="en-GB"/>
        </w:rPr>
        <w:t xml:space="preserve">Adequate standard of living </w:t>
      </w:r>
    </w:p>
    <w:p w:rsidR="00BB4848" w:rsidRPr="007A5ABC" w:rsidRDefault="00BB4848" w:rsidP="00BB4848">
      <w:pPr>
        <w:pStyle w:val="SingleTxtG"/>
        <w:numPr>
          <w:ilvl w:val="0"/>
          <w:numId w:val="9"/>
        </w:numPr>
        <w:rPr>
          <w:b/>
          <w:lang w:val="en-GB"/>
        </w:rPr>
      </w:pPr>
      <w:r w:rsidRPr="007A5ABC">
        <w:rPr>
          <w:b/>
          <w:lang w:val="en-GB"/>
        </w:rPr>
        <w:t xml:space="preserve">The Independent Expert encourages the Government to take further measures to reduce poverty among older persons, including older women and older migrants. </w:t>
      </w:r>
    </w:p>
    <w:p w:rsidR="00BB4848" w:rsidRPr="007A5ABC" w:rsidRDefault="00BB4848" w:rsidP="00BB4848">
      <w:pPr>
        <w:pStyle w:val="SingleTxtG"/>
        <w:numPr>
          <w:ilvl w:val="0"/>
          <w:numId w:val="9"/>
        </w:numPr>
        <w:rPr>
          <w:b/>
          <w:lang w:val="en-GB"/>
        </w:rPr>
      </w:pPr>
      <w:r w:rsidRPr="007A5ABC">
        <w:rPr>
          <w:b/>
          <w:lang w:val="en-GB"/>
        </w:rPr>
        <w:t xml:space="preserve">The Independent Expert stresses that </w:t>
      </w:r>
      <w:r>
        <w:rPr>
          <w:b/>
          <w:lang w:val="en-GB"/>
        </w:rPr>
        <w:t xml:space="preserve">the </w:t>
      </w:r>
      <w:r w:rsidRPr="007A5ABC">
        <w:rPr>
          <w:b/>
          <w:lang w:val="en-GB"/>
        </w:rPr>
        <w:t xml:space="preserve">promotion of lifelong learning is essential for older persons </w:t>
      </w:r>
      <w:r>
        <w:rPr>
          <w:b/>
          <w:lang w:val="en-GB"/>
        </w:rPr>
        <w:t xml:space="preserve">if they are </w:t>
      </w:r>
      <w:r w:rsidRPr="007A5ABC">
        <w:rPr>
          <w:b/>
          <w:lang w:val="en-GB"/>
        </w:rPr>
        <w:t xml:space="preserve">to be able to deal with constantly changing circumstances, requirements and challenges, for their active participation in society and for an independent life continuing into old age. </w:t>
      </w:r>
    </w:p>
    <w:p w:rsidR="00BB4848" w:rsidRPr="007A5ABC" w:rsidRDefault="00BB4848" w:rsidP="00BB4848">
      <w:pPr>
        <w:pStyle w:val="SingleTxtG"/>
        <w:numPr>
          <w:ilvl w:val="0"/>
          <w:numId w:val="9"/>
        </w:numPr>
        <w:rPr>
          <w:b/>
          <w:lang w:val="en-GB"/>
        </w:rPr>
      </w:pPr>
      <w:r w:rsidRPr="007A5ABC">
        <w:rPr>
          <w:b/>
          <w:lang w:val="en-GB"/>
        </w:rPr>
        <w:t>The Independent Expert appreciates the variety of housing options available for older persons in Austria, including mixed and designated communities, age-adapted homes and flat-sharing concepts. She also welcomes the tax incentives and subsidies to encourage developers to build accessible and appropriate housing for older people. She stresses</w:t>
      </w:r>
      <w:r>
        <w:rPr>
          <w:b/>
          <w:lang w:val="en-GB"/>
        </w:rPr>
        <w:t xml:space="preserve">, however, </w:t>
      </w:r>
      <w:r w:rsidRPr="007A5ABC">
        <w:rPr>
          <w:b/>
          <w:lang w:val="en-GB"/>
        </w:rPr>
        <w:t xml:space="preserve">the need to further promote alternative forms of housing to ensure </w:t>
      </w:r>
      <w:r>
        <w:rPr>
          <w:b/>
          <w:lang w:val="en-GB"/>
        </w:rPr>
        <w:t xml:space="preserve">that </w:t>
      </w:r>
      <w:r w:rsidRPr="007A5ABC">
        <w:rPr>
          <w:b/>
          <w:lang w:val="en-GB"/>
        </w:rPr>
        <w:t>older persons can remain in their homes and fully enjoy their right to adequate housing</w:t>
      </w:r>
      <w:r>
        <w:rPr>
          <w:b/>
          <w:lang w:val="en-GB"/>
        </w:rPr>
        <w:t xml:space="preserve">, and the need </w:t>
      </w:r>
      <w:r w:rsidRPr="007A5ABC">
        <w:rPr>
          <w:b/>
          <w:lang w:val="en-GB"/>
        </w:rPr>
        <w:t xml:space="preserve">to increase the residential mobility of older persons. </w:t>
      </w:r>
    </w:p>
    <w:p w:rsidR="00BB4848" w:rsidRPr="007A5ABC" w:rsidRDefault="00BB4848" w:rsidP="00BB4848">
      <w:pPr>
        <w:pStyle w:val="SingleTxtG"/>
        <w:numPr>
          <w:ilvl w:val="0"/>
          <w:numId w:val="9"/>
        </w:numPr>
        <w:rPr>
          <w:b/>
          <w:lang w:val="en-GB"/>
        </w:rPr>
      </w:pPr>
      <w:r w:rsidRPr="007A5ABC">
        <w:rPr>
          <w:b/>
          <w:lang w:val="en-GB"/>
        </w:rPr>
        <w:t>Engineers</w:t>
      </w:r>
      <w:r>
        <w:rPr>
          <w:b/>
          <w:lang w:val="en-GB"/>
        </w:rPr>
        <w:t>’</w:t>
      </w:r>
      <w:r w:rsidRPr="007A5ABC">
        <w:rPr>
          <w:b/>
          <w:lang w:val="en-GB"/>
        </w:rPr>
        <w:t xml:space="preserve"> and architects</w:t>
      </w:r>
      <w:r>
        <w:rPr>
          <w:b/>
          <w:lang w:val="en-GB"/>
        </w:rPr>
        <w:t>’</w:t>
      </w:r>
      <w:r w:rsidRPr="007A5ABC">
        <w:rPr>
          <w:b/>
          <w:lang w:val="en-GB"/>
        </w:rPr>
        <w:t xml:space="preserve"> awareness of the implication</w:t>
      </w:r>
      <w:r>
        <w:rPr>
          <w:b/>
          <w:lang w:val="en-GB"/>
        </w:rPr>
        <w:t>s</w:t>
      </w:r>
      <w:r w:rsidRPr="007A5ABC">
        <w:rPr>
          <w:b/>
          <w:lang w:val="en-GB"/>
        </w:rPr>
        <w:t xml:space="preserve"> of their profession on the enjoyment of all human rights by older persons is essential. The Independent Expert recommends foster</w:t>
      </w:r>
      <w:r>
        <w:rPr>
          <w:b/>
          <w:lang w:val="en-GB"/>
        </w:rPr>
        <w:t>ing</w:t>
      </w:r>
      <w:r w:rsidRPr="007A5ABC">
        <w:rPr>
          <w:b/>
          <w:lang w:val="en-GB"/>
        </w:rPr>
        <w:t xml:space="preserve"> the application of a human rights-based approach to secure the human rights conform involvement of architect and engineers in the design of public and private buildings.</w:t>
      </w:r>
    </w:p>
    <w:p w:rsidR="00BB4848" w:rsidRPr="007A5ABC" w:rsidRDefault="00BB4848" w:rsidP="00BB4848">
      <w:pPr>
        <w:pStyle w:val="H1G"/>
        <w:rPr>
          <w:lang w:val="en-GB"/>
        </w:rPr>
      </w:pPr>
      <w:r w:rsidRPr="00806FA6">
        <w:rPr>
          <w:lang w:val="en-GB"/>
        </w:rPr>
        <w:tab/>
        <w:t>D.</w:t>
      </w:r>
      <w:r w:rsidRPr="00806FA6">
        <w:rPr>
          <w:lang w:val="en-GB"/>
        </w:rPr>
        <w:tab/>
      </w:r>
      <w:r w:rsidRPr="007A5ABC">
        <w:rPr>
          <w:lang w:val="en-GB"/>
        </w:rPr>
        <w:t>Social protection, and education, training and lifelong learning</w:t>
      </w:r>
    </w:p>
    <w:p w:rsidR="00BB4848" w:rsidRPr="007A5ABC" w:rsidRDefault="00BB4848" w:rsidP="00BB4848">
      <w:pPr>
        <w:pStyle w:val="SingleTxtG"/>
        <w:numPr>
          <w:ilvl w:val="0"/>
          <w:numId w:val="9"/>
        </w:numPr>
        <w:rPr>
          <w:b/>
          <w:lang w:val="en-GB"/>
        </w:rPr>
      </w:pPr>
      <w:r w:rsidRPr="007A5ABC">
        <w:rPr>
          <w:b/>
          <w:lang w:val="en-GB"/>
        </w:rPr>
        <w:t xml:space="preserve">Continued learning is also essential in </w:t>
      </w:r>
      <w:r>
        <w:rPr>
          <w:b/>
          <w:lang w:val="en-GB"/>
        </w:rPr>
        <w:t xml:space="preserve">the </w:t>
      </w:r>
      <w:r w:rsidRPr="007A5ABC">
        <w:rPr>
          <w:b/>
          <w:lang w:val="en-GB"/>
        </w:rPr>
        <w:t>light of Austria’s very early de facto retirement</w:t>
      </w:r>
      <w:r>
        <w:rPr>
          <w:b/>
          <w:lang w:val="en-GB"/>
        </w:rPr>
        <w:t xml:space="preserve"> age</w:t>
      </w:r>
      <w:r w:rsidRPr="007A5ABC">
        <w:rPr>
          <w:b/>
          <w:lang w:val="en-GB"/>
        </w:rPr>
        <w:t>. Measures to discourage or reduce early retirement need to be accompanied by measures in the area of employment, including education and training</w:t>
      </w:r>
      <w:r>
        <w:rPr>
          <w:b/>
          <w:lang w:val="en-GB"/>
        </w:rPr>
        <w:t>,</w:t>
      </w:r>
      <w:r w:rsidRPr="007A5ABC">
        <w:rPr>
          <w:b/>
          <w:lang w:val="en-GB"/>
        </w:rPr>
        <w:t xml:space="preserve"> to ensure </w:t>
      </w:r>
      <w:r>
        <w:rPr>
          <w:b/>
          <w:lang w:val="en-GB"/>
        </w:rPr>
        <w:t xml:space="preserve">that </w:t>
      </w:r>
      <w:r w:rsidRPr="007A5ABC">
        <w:rPr>
          <w:b/>
          <w:lang w:val="en-GB"/>
        </w:rPr>
        <w:t>people are able to meet job requirements. To encourage older persons to remain longer in the labour market also requires working places to be adapted to the needs of older workers. The Independent Experts notes the incentives created, such as through the Employment Initiative u</w:t>
      </w:r>
      <w:r>
        <w:rPr>
          <w:b/>
          <w:lang w:val="en-GB"/>
        </w:rPr>
        <w:t>p to</w:t>
      </w:r>
      <w:r w:rsidRPr="007A5ABC">
        <w:rPr>
          <w:b/>
          <w:lang w:val="en-GB"/>
        </w:rPr>
        <w:t xml:space="preserve"> 2017, to encourage businesses to prolong the active employment of older persons, but stresses that further measures are needed to reduce the gap between the actual retirement age and the statutory pensionable age in Austria.</w:t>
      </w:r>
    </w:p>
    <w:p w:rsidR="00BB4848" w:rsidRPr="007A5ABC" w:rsidRDefault="00BB4848" w:rsidP="00BB4848">
      <w:pPr>
        <w:pStyle w:val="H1G"/>
        <w:spacing w:before="240"/>
        <w:rPr>
          <w:lang w:val="en-GB"/>
        </w:rPr>
      </w:pPr>
      <w:r w:rsidRPr="00806FA6">
        <w:rPr>
          <w:lang w:val="en-GB"/>
        </w:rPr>
        <w:tab/>
        <w:t>E.</w:t>
      </w:r>
      <w:r w:rsidRPr="007A5ABC">
        <w:rPr>
          <w:lang w:val="en-GB"/>
        </w:rPr>
        <w:tab/>
        <w:t>Independence and autonomy</w:t>
      </w:r>
    </w:p>
    <w:p w:rsidR="00BB4848" w:rsidRPr="007A5ABC" w:rsidRDefault="00BB4848" w:rsidP="00BB4848">
      <w:pPr>
        <w:pStyle w:val="SingleTxtG"/>
        <w:numPr>
          <w:ilvl w:val="0"/>
          <w:numId w:val="9"/>
        </w:numPr>
        <w:rPr>
          <w:b/>
          <w:lang w:val="en-GB"/>
        </w:rPr>
      </w:pPr>
      <w:r w:rsidRPr="007A5ABC">
        <w:rPr>
          <w:b/>
          <w:lang w:val="en-GB"/>
        </w:rPr>
        <w:t>While the amendment of the Legal Guardianship Law in 2006 was an improvement of the previous system of legal incapacitation, the Independent Expert stresses that the main emphasis should be on ensuring that older persons can lead a self-determined and autonomous life as long as possible</w:t>
      </w:r>
      <w:r>
        <w:rPr>
          <w:b/>
          <w:lang w:val="en-GB"/>
        </w:rPr>
        <w:t>. She</w:t>
      </w:r>
      <w:r w:rsidRPr="007A5ABC">
        <w:rPr>
          <w:b/>
          <w:lang w:val="en-GB"/>
        </w:rPr>
        <w:t xml:space="preserve"> encourages the </w:t>
      </w:r>
      <w:r>
        <w:rPr>
          <w:b/>
          <w:lang w:val="en-GB"/>
        </w:rPr>
        <w:t>G</w:t>
      </w:r>
      <w:r w:rsidRPr="007A5ABC">
        <w:rPr>
          <w:b/>
          <w:lang w:val="en-GB"/>
        </w:rPr>
        <w:t xml:space="preserve">overnment to pursue its efforts to introduce supported autonomous decision-making for persons with intellectual or psychosocial disabilities, including older persons. Supported decision-making is essential for the respect of the autonomy of older persons and </w:t>
      </w:r>
      <w:r>
        <w:rPr>
          <w:b/>
          <w:lang w:val="en-GB"/>
        </w:rPr>
        <w:t>their</w:t>
      </w:r>
      <w:r w:rsidRPr="007A5ABC">
        <w:rPr>
          <w:b/>
          <w:lang w:val="en-GB"/>
        </w:rPr>
        <w:t xml:space="preserve"> individual right</w:t>
      </w:r>
      <w:r>
        <w:rPr>
          <w:b/>
          <w:lang w:val="en-GB"/>
        </w:rPr>
        <w:t>s</w:t>
      </w:r>
      <w:r w:rsidRPr="007A5ABC">
        <w:rPr>
          <w:b/>
          <w:lang w:val="en-GB"/>
        </w:rPr>
        <w:t xml:space="preserve">, in </w:t>
      </w:r>
      <w:r>
        <w:rPr>
          <w:b/>
          <w:lang w:val="en-GB"/>
        </w:rPr>
        <w:t>their</w:t>
      </w:r>
      <w:r w:rsidRPr="007A5ABC">
        <w:rPr>
          <w:b/>
          <w:lang w:val="en-GB"/>
        </w:rPr>
        <w:t xml:space="preserve"> own capacity, to give and withdraw informed consent for medical treatment, to access justice, to vote, to marry, to work and to choose </w:t>
      </w:r>
      <w:r>
        <w:rPr>
          <w:b/>
          <w:lang w:val="en-GB"/>
        </w:rPr>
        <w:t>their</w:t>
      </w:r>
      <w:r w:rsidRPr="007A5ABC">
        <w:rPr>
          <w:b/>
          <w:lang w:val="en-GB"/>
        </w:rPr>
        <w:t xml:space="preserve"> place of residence. The Independent Expert welcomes the launch of the model pilot project on supported decision-making, under the National Disability Action Plan.</w:t>
      </w:r>
    </w:p>
    <w:p w:rsidR="00BB4848" w:rsidRPr="007A5ABC" w:rsidRDefault="00BB4848" w:rsidP="00BB4848">
      <w:pPr>
        <w:pStyle w:val="SingleTxtG"/>
        <w:numPr>
          <w:ilvl w:val="0"/>
          <w:numId w:val="9"/>
        </w:numPr>
        <w:rPr>
          <w:b/>
          <w:lang w:val="en-GB"/>
        </w:rPr>
      </w:pPr>
      <w:r w:rsidRPr="007A5ABC">
        <w:rPr>
          <w:b/>
          <w:lang w:val="en-GB"/>
        </w:rPr>
        <w:t xml:space="preserve">Given that physical ability, individual characteristics and the transport environment crucially influence the mobility of older persons, the Independent Expert encourages the authorities to take further measures to improve the mobility of older persons in rural areas, such as through </w:t>
      </w:r>
      <w:r>
        <w:rPr>
          <w:b/>
          <w:lang w:val="en-GB"/>
        </w:rPr>
        <w:t xml:space="preserve">providing </w:t>
      </w:r>
      <w:r w:rsidRPr="007A5ABC">
        <w:rPr>
          <w:b/>
          <w:lang w:val="en-GB"/>
        </w:rPr>
        <w:t>better access to public transport.</w:t>
      </w:r>
    </w:p>
    <w:p w:rsidR="00BB4848" w:rsidRPr="007A5ABC" w:rsidRDefault="00BB4848" w:rsidP="00BB4848">
      <w:pPr>
        <w:pStyle w:val="SingleTxtG"/>
        <w:numPr>
          <w:ilvl w:val="0"/>
          <w:numId w:val="9"/>
        </w:numPr>
        <w:rPr>
          <w:b/>
          <w:lang w:val="en-GB"/>
        </w:rPr>
      </w:pPr>
      <w:r w:rsidRPr="007A5ABC">
        <w:rPr>
          <w:b/>
          <w:lang w:val="en-GB"/>
        </w:rPr>
        <w:t>There is no uniform</w:t>
      </w:r>
      <w:r>
        <w:rPr>
          <w:b/>
          <w:lang w:val="en-GB"/>
        </w:rPr>
        <w:t>,</w:t>
      </w:r>
      <w:r w:rsidRPr="007A5ABC">
        <w:rPr>
          <w:b/>
          <w:lang w:val="en-GB"/>
        </w:rPr>
        <w:t xml:space="preserve"> countrywide </w:t>
      </w:r>
      <w:r>
        <w:rPr>
          <w:b/>
          <w:lang w:val="en-GB"/>
        </w:rPr>
        <w:t xml:space="preserve">concept for </w:t>
      </w:r>
      <w:r w:rsidRPr="007A5ABC">
        <w:rPr>
          <w:b/>
          <w:lang w:val="en-GB"/>
        </w:rPr>
        <w:t>provid</w:t>
      </w:r>
      <w:r>
        <w:rPr>
          <w:b/>
          <w:lang w:val="en-GB"/>
        </w:rPr>
        <w:t>ing</w:t>
      </w:r>
      <w:r w:rsidRPr="007A5ABC">
        <w:rPr>
          <w:b/>
          <w:lang w:val="en-GB"/>
        </w:rPr>
        <w:t xml:space="preserve"> comprehensive barrier-free accessibility. Public and private suppliers do not show sufficient consideration for the demographic development</w:t>
      </w:r>
      <w:r>
        <w:rPr>
          <w:b/>
          <w:lang w:val="en-GB"/>
        </w:rPr>
        <w:t>s</w:t>
      </w:r>
      <w:r w:rsidRPr="007A5ABC">
        <w:rPr>
          <w:b/>
          <w:lang w:val="en-GB"/>
        </w:rPr>
        <w:t xml:space="preserve"> and inevitab</w:t>
      </w:r>
      <w:r>
        <w:rPr>
          <w:b/>
          <w:lang w:val="en-GB"/>
        </w:rPr>
        <w:t xml:space="preserve">ility of </w:t>
      </w:r>
      <w:r w:rsidRPr="007A5ABC">
        <w:rPr>
          <w:b/>
          <w:lang w:val="en-GB"/>
        </w:rPr>
        <w:t>mobility becom</w:t>
      </w:r>
      <w:r>
        <w:rPr>
          <w:b/>
          <w:lang w:val="en-GB"/>
        </w:rPr>
        <w:t>ing</w:t>
      </w:r>
      <w:r w:rsidRPr="007A5ABC">
        <w:rPr>
          <w:b/>
          <w:lang w:val="en-GB"/>
        </w:rPr>
        <w:t xml:space="preserve"> limited in old age. There is a lack of uniform and obligatory provisions demanding the implementation of barrier-free access and</w:t>
      </w:r>
      <w:r>
        <w:rPr>
          <w:b/>
          <w:lang w:val="en-GB"/>
        </w:rPr>
        <w:t>,</w:t>
      </w:r>
      <w:r w:rsidRPr="007A5ABC">
        <w:rPr>
          <w:b/>
          <w:lang w:val="en-GB"/>
        </w:rPr>
        <w:t xml:space="preserve"> equally important</w:t>
      </w:r>
      <w:r>
        <w:rPr>
          <w:b/>
          <w:lang w:val="en-GB"/>
        </w:rPr>
        <w:t>, the</w:t>
      </w:r>
      <w:r w:rsidRPr="007A5ABC">
        <w:rPr>
          <w:b/>
          <w:lang w:val="en-GB"/>
        </w:rPr>
        <w:t xml:space="preserve"> elimination of existing barriers. </w:t>
      </w:r>
    </w:p>
    <w:p w:rsidR="00BB4848" w:rsidRPr="007A5ABC" w:rsidRDefault="00BB4848" w:rsidP="00BB4848">
      <w:pPr>
        <w:pStyle w:val="H1G"/>
        <w:spacing w:before="240"/>
        <w:rPr>
          <w:lang w:val="en-GB"/>
        </w:rPr>
      </w:pPr>
      <w:r w:rsidRPr="00806FA6">
        <w:rPr>
          <w:lang w:val="en-GB"/>
        </w:rPr>
        <w:tab/>
        <w:t>F.</w:t>
      </w:r>
      <w:r w:rsidRPr="007A5ABC">
        <w:rPr>
          <w:lang w:val="en-GB"/>
        </w:rPr>
        <w:tab/>
        <w:t>Care</w:t>
      </w:r>
    </w:p>
    <w:p w:rsidR="00BB4848" w:rsidRPr="007A5ABC" w:rsidRDefault="00BB4848" w:rsidP="00BB4848">
      <w:pPr>
        <w:pStyle w:val="SingleTxtG"/>
        <w:numPr>
          <w:ilvl w:val="0"/>
          <w:numId w:val="9"/>
        </w:numPr>
        <w:rPr>
          <w:b/>
          <w:lang w:val="en-GB"/>
        </w:rPr>
      </w:pPr>
      <w:r w:rsidRPr="007A5ABC">
        <w:rPr>
          <w:b/>
          <w:lang w:val="en-GB"/>
        </w:rPr>
        <w:t xml:space="preserve">The </w:t>
      </w:r>
      <w:r>
        <w:rPr>
          <w:b/>
          <w:lang w:val="en-GB"/>
        </w:rPr>
        <w:t>Independent Expert</w:t>
      </w:r>
      <w:r w:rsidRPr="007A5ABC">
        <w:rPr>
          <w:b/>
          <w:lang w:val="en-GB"/>
        </w:rPr>
        <w:t xml:space="preserve"> welcomes the human-rights based approach to long-term care, and the introduction of the long-term care allowance as a social right in Austria and encourages the Government to extend this approach to other sectors of care. </w:t>
      </w:r>
    </w:p>
    <w:p w:rsidR="00BB4848" w:rsidRPr="007A5ABC" w:rsidRDefault="00BB4848" w:rsidP="00BB4848">
      <w:pPr>
        <w:pStyle w:val="SingleTxtG"/>
        <w:numPr>
          <w:ilvl w:val="0"/>
          <w:numId w:val="9"/>
        </w:numPr>
        <w:rPr>
          <w:b/>
          <w:lang w:val="en-GB"/>
        </w:rPr>
      </w:pPr>
      <w:r w:rsidRPr="007A5ABC">
        <w:rPr>
          <w:b/>
          <w:lang w:val="en-GB"/>
        </w:rPr>
        <w:t>The Independent Expert recognizes the advantages of a federal structure, notably to ensure that policies, measures and services targeting older persons reflect the needs and the situation of the local population. She notes</w:t>
      </w:r>
      <w:r>
        <w:rPr>
          <w:b/>
          <w:lang w:val="en-GB"/>
        </w:rPr>
        <w:t xml:space="preserve">, however, </w:t>
      </w:r>
      <w:r w:rsidRPr="007A5ABC">
        <w:rPr>
          <w:b/>
          <w:lang w:val="en-GB"/>
        </w:rPr>
        <w:t xml:space="preserve">that in some areas, such </w:t>
      </w:r>
      <w:r>
        <w:rPr>
          <w:b/>
          <w:lang w:val="en-GB"/>
        </w:rPr>
        <w:t xml:space="preserve">as </w:t>
      </w:r>
      <w:r w:rsidRPr="007A5ABC">
        <w:rPr>
          <w:b/>
          <w:lang w:val="en-GB"/>
        </w:rPr>
        <w:t xml:space="preserve">health and care, this has led to fragmentation of the legal framework and </w:t>
      </w:r>
      <w:r>
        <w:rPr>
          <w:b/>
          <w:lang w:val="en-GB"/>
        </w:rPr>
        <w:t xml:space="preserve">to </w:t>
      </w:r>
      <w:r w:rsidRPr="007A5ABC">
        <w:rPr>
          <w:b/>
          <w:lang w:val="en-GB"/>
        </w:rPr>
        <w:t xml:space="preserve">diverging standards both in terms of </w:t>
      </w:r>
      <w:r>
        <w:rPr>
          <w:b/>
          <w:lang w:val="en-GB"/>
        </w:rPr>
        <w:t xml:space="preserve">the </w:t>
      </w:r>
      <w:r w:rsidRPr="007A5ABC">
        <w:rPr>
          <w:b/>
          <w:lang w:val="en-GB"/>
        </w:rPr>
        <w:t xml:space="preserve">services provided and their quality. The Independent Expert recommends that the Government review the current regulation of </w:t>
      </w:r>
      <w:r>
        <w:rPr>
          <w:b/>
          <w:lang w:val="en-GB"/>
        </w:rPr>
        <w:t xml:space="preserve">the </w:t>
      </w:r>
      <w:r w:rsidRPr="007A5ABC">
        <w:rPr>
          <w:b/>
          <w:lang w:val="en-GB"/>
        </w:rPr>
        <w:t xml:space="preserve">care sector to ensure that the system </w:t>
      </w:r>
      <w:r>
        <w:rPr>
          <w:b/>
          <w:lang w:val="en-GB"/>
        </w:rPr>
        <w:t xml:space="preserve">is able to </w:t>
      </w:r>
      <w:r w:rsidRPr="007A5ABC">
        <w:rPr>
          <w:b/>
          <w:lang w:val="en-GB"/>
        </w:rPr>
        <w:t>meet the challenges associated with demographic change.</w:t>
      </w:r>
    </w:p>
    <w:p w:rsidR="00BB4848" w:rsidRPr="007A5ABC" w:rsidRDefault="00BB4848" w:rsidP="00BB4848">
      <w:pPr>
        <w:pStyle w:val="SingleTxtG"/>
        <w:numPr>
          <w:ilvl w:val="0"/>
          <w:numId w:val="9"/>
        </w:numPr>
        <w:rPr>
          <w:b/>
          <w:lang w:val="en-GB"/>
        </w:rPr>
      </w:pPr>
      <w:r w:rsidRPr="007A5ABC">
        <w:rPr>
          <w:b/>
          <w:lang w:val="en-GB"/>
        </w:rPr>
        <w:t xml:space="preserve">The Independent Expert recommends </w:t>
      </w:r>
      <w:r>
        <w:rPr>
          <w:b/>
          <w:lang w:val="en-GB"/>
        </w:rPr>
        <w:t xml:space="preserve">that </w:t>
      </w:r>
      <w:r w:rsidRPr="007A5ABC">
        <w:rPr>
          <w:b/>
          <w:lang w:val="en-GB"/>
        </w:rPr>
        <w:t xml:space="preserve">Austria enshrine the right to extensive information </w:t>
      </w:r>
      <w:r>
        <w:rPr>
          <w:b/>
          <w:lang w:val="en-GB"/>
        </w:rPr>
        <w:t>on</w:t>
      </w:r>
      <w:r w:rsidRPr="007A5ABC">
        <w:rPr>
          <w:b/>
          <w:lang w:val="en-GB"/>
        </w:rPr>
        <w:t xml:space="preserve"> public support services and different means of nursing and care in its legislative framework</w:t>
      </w:r>
      <w:r>
        <w:rPr>
          <w:b/>
          <w:lang w:val="en-GB"/>
        </w:rPr>
        <w:t>,</w:t>
      </w:r>
      <w:r w:rsidRPr="007A5ABC">
        <w:rPr>
          <w:b/>
          <w:lang w:val="en-GB"/>
        </w:rPr>
        <w:t xml:space="preserve"> as well as the right to choose among </w:t>
      </w:r>
      <w:r>
        <w:rPr>
          <w:b/>
          <w:lang w:val="en-GB"/>
        </w:rPr>
        <w:t xml:space="preserve">different </w:t>
      </w:r>
      <w:r w:rsidRPr="007A5ABC">
        <w:rPr>
          <w:b/>
          <w:lang w:val="en-GB"/>
        </w:rPr>
        <w:t>adequate housing and care options.</w:t>
      </w:r>
    </w:p>
    <w:p w:rsidR="00BB4848" w:rsidRPr="007A5ABC" w:rsidRDefault="00BB4848" w:rsidP="00BB4848">
      <w:pPr>
        <w:pStyle w:val="SingleTxtG"/>
        <w:numPr>
          <w:ilvl w:val="0"/>
          <w:numId w:val="9"/>
        </w:numPr>
        <w:spacing w:after="100"/>
        <w:rPr>
          <w:b/>
          <w:lang w:val="en-GB"/>
        </w:rPr>
      </w:pPr>
      <w:r w:rsidRPr="007A5ABC">
        <w:rPr>
          <w:b/>
          <w:lang w:val="en-GB"/>
        </w:rPr>
        <w:t>The fact that health is subject to federal regulation, wh</w:t>
      </w:r>
      <w:r>
        <w:rPr>
          <w:b/>
          <w:lang w:val="en-GB"/>
        </w:rPr>
        <w:t>ereas</w:t>
      </w:r>
      <w:r w:rsidRPr="007A5ABC">
        <w:rPr>
          <w:b/>
          <w:lang w:val="en-GB"/>
        </w:rPr>
        <w:t xml:space="preserve"> social care falls within the competencies of the Länder, makes coordination of these two areas difficult and constitutes a barrier to integrating health and social care. </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 calls upon the Government to review the Nursing Home Residence Act and the Hospitalization Act to ensure that no older person be deprived of </w:t>
      </w:r>
      <w:r>
        <w:rPr>
          <w:b/>
          <w:lang w:val="en-GB"/>
        </w:rPr>
        <w:t>their</w:t>
      </w:r>
      <w:r w:rsidRPr="007A5ABC">
        <w:rPr>
          <w:b/>
          <w:lang w:val="en-GB"/>
        </w:rPr>
        <w:t xml:space="preserve"> liberty against </w:t>
      </w:r>
      <w:r>
        <w:rPr>
          <w:b/>
          <w:lang w:val="en-GB"/>
        </w:rPr>
        <w:t>their</w:t>
      </w:r>
      <w:r w:rsidRPr="007A5ABC">
        <w:rPr>
          <w:b/>
          <w:lang w:val="en-GB"/>
        </w:rPr>
        <w:t xml:space="preserve"> will on the basis of actual or perceived disability.</w:t>
      </w:r>
    </w:p>
    <w:p w:rsidR="00BB4848" w:rsidRPr="007A5ABC" w:rsidRDefault="00BB4848" w:rsidP="00BB4848">
      <w:pPr>
        <w:pStyle w:val="SingleTxtG"/>
        <w:numPr>
          <w:ilvl w:val="0"/>
          <w:numId w:val="9"/>
        </w:numPr>
        <w:spacing w:after="100"/>
        <w:rPr>
          <w:b/>
          <w:lang w:val="en-GB"/>
        </w:rPr>
      </w:pPr>
      <w:r w:rsidRPr="007A5ABC">
        <w:rPr>
          <w:b/>
          <w:lang w:val="en-GB"/>
        </w:rPr>
        <w:t xml:space="preserve">Measures need to be taken to eliminate the differences in the accessibility of long-term care benefits, both </w:t>
      </w:r>
      <w:r>
        <w:rPr>
          <w:b/>
          <w:lang w:val="en-GB"/>
        </w:rPr>
        <w:t xml:space="preserve">in </w:t>
      </w:r>
      <w:r w:rsidRPr="007A5ABC">
        <w:rPr>
          <w:b/>
          <w:lang w:val="en-GB"/>
        </w:rPr>
        <w:t>cash and in</w:t>
      </w:r>
      <w:r>
        <w:rPr>
          <w:b/>
          <w:lang w:val="en-GB"/>
        </w:rPr>
        <w:t xml:space="preserve"> </w:t>
      </w:r>
      <w:r w:rsidRPr="007A5ABC">
        <w:rPr>
          <w:b/>
          <w:lang w:val="en-GB"/>
        </w:rPr>
        <w:t xml:space="preserve">kind, and to equalize access of older persons. The differences among and within regions </w:t>
      </w:r>
      <w:r>
        <w:rPr>
          <w:b/>
          <w:lang w:val="en-GB"/>
        </w:rPr>
        <w:t xml:space="preserve">should </w:t>
      </w:r>
      <w:r w:rsidRPr="007A5ABC">
        <w:rPr>
          <w:b/>
          <w:lang w:val="en-GB"/>
        </w:rPr>
        <w:t>also be eliminated. The Independent Expert reiterates that human rights obligations pertain to all levels of government, and calls on the Government to ensure that all people in Austria</w:t>
      </w:r>
      <w:r>
        <w:rPr>
          <w:b/>
          <w:lang w:val="en-GB"/>
        </w:rPr>
        <w:t xml:space="preserve">, including older persons, </w:t>
      </w:r>
      <w:r w:rsidRPr="007A5ABC">
        <w:rPr>
          <w:b/>
          <w:lang w:val="en-GB"/>
        </w:rPr>
        <w:t>are able to enjoy the</w:t>
      </w:r>
      <w:r>
        <w:rPr>
          <w:b/>
          <w:lang w:val="en-GB"/>
        </w:rPr>
        <w:t>ir</w:t>
      </w:r>
      <w:r w:rsidRPr="007A5ABC">
        <w:rPr>
          <w:b/>
          <w:lang w:val="en-GB"/>
        </w:rPr>
        <w:t xml:space="preserve"> rights on an equal basis.</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 emphasizes that, </w:t>
      </w:r>
      <w:r>
        <w:rPr>
          <w:b/>
          <w:lang w:val="en-GB"/>
        </w:rPr>
        <w:t xml:space="preserve">in view of </w:t>
      </w:r>
      <w:r w:rsidRPr="007A5ABC">
        <w:rPr>
          <w:b/>
          <w:lang w:val="en-GB"/>
        </w:rPr>
        <w:t>their particular vulnerability, specific attention has to be paid to older persons in need of care, both in institutions and at home, and adequate numbers of skilled staff, appropriate training, quality assurance and monitoring</w:t>
      </w:r>
      <w:r>
        <w:rPr>
          <w:b/>
          <w:lang w:val="en-GB"/>
        </w:rPr>
        <w:t xml:space="preserve"> ensured. </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 urges the Government to enshrine the right to palliative care in the legal framework to ensure that older persons can enjoy the last years of life in dignity and without unnecessary suffering. She also stresses the need to better integrate geriatric and palliative care. </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 notes </w:t>
      </w:r>
      <w:r>
        <w:rPr>
          <w:b/>
          <w:lang w:val="en-GB"/>
        </w:rPr>
        <w:t xml:space="preserve">with concern </w:t>
      </w:r>
      <w:r w:rsidRPr="007A5ABC">
        <w:rPr>
          <w:b/>
          <w:lang w:val="en-GB"/>
        </w:rPr>
        <w:t xml:space="preserve">the high prevalence of potentially inappropriate </w:t>
      </w:r>
      <w:r>
        <w:rPr>
          <w:b/>
          <w:lang w:val="en-GB"/>
        </w:rPr>
        <w:t>medication</w:t>
      </w:r>
      <w:r w:rsidRPr="007A5ABC">
        <w:rPr>
          <w:b/>
          <w:lang w:val="en-GB"/>
        </w:rPr>
        <w:t xml:space="preserve">, which is associated with adverse outcomes </w:t>
      </w:r>
      <w:r>
        <w:rPr>
          <w:b/>
          <w:lang w:val="en-GB"/>
        </w:rPr>
        <w:t xml:space="preserve">such as </w:t>
      </w:r>
      <w:r w:rsidRPr="007A5ABC">
        <w:rPr>
          <w:b/>
          <w:lang w:val="en-GB"/>
        </w:rPr>
        <w:t xml:space="preserve"> hospitalization and death. A </w:t>
      </w:r>
      <w:r>
        <w:rPr>
          <w:b/>
          <w:lang w:val="en-GB"/>
        </w:rPr>
        <w:t>country</w:t>
      </w:r>
      <w:r w:rsidRPr="007A5ABC">
        <w:rPr>
          <w:b/>
          <w:lang w:val="en-GB"/>
        </w:rPr>
        <w:t>wide strategy on potentially inappropriate medication is required to guarantee the right to health of older persons in Austria.</w:t>
      </w:r>
    </w:p>
    <w:p w:rsidR="00BB4848" w:rsidRPr="007A5ABC" w:rsidRDefault="00BB4848" w:rsidP="00BB4848">
      <w:pPr>
        <w:pStyle w:val="SingleTxtG"/>
        <w:numPr>
          <w:ilvl w:val="0"/>
          <w:numId w:val="9"/>
        </w:numPr>
        <w:spacing w:after="100"/>
        <w:rPr>
          <w:b/>
          <w:lang w:val="en-GB"/>
        </w:rPr>
      </w:pPr>
      <w:r w:rsidRPr="007A5ABC">
        <w:rPr>
          <w:b/>
          <w:lang w:val="en-GB"/>
        </w:rPr>
        <w:t xml:space="preserve">Older persons have different patterns of disease presentation than younger adults, they respond to treatments and therapies in different ways, and they frequently have complex social needs that are related to their chronic medical conditions. While the Independent Expert recognizes that Austria is one of the few countries where geriatric medicine is integrated in university curricula, there is a need to further promote this discipline to ensure that </w:t>
      </w:r>
      <w:r>
        <w:rPr>
          <w:b/>
          <w:lang w:val="en-GB"/>
        </w:rPr>
        <w:t>enough</w:t>
      </w:r>
      <w:r w:rsidRPr="007A5ABC">
        <w:rPr>
          <w:b/>
          <w:lang w:val="en-GB"/>
        </w:rPr>
        <w:t xml:space="preserve"> qualified geriatrics are available to meet the needs of an ag</w:t>
      </w:r>
      <w:r>
        <w:rPr>
          <w:b/>
          <w:lang w:val="en-GB"/>
        </w:rPr>
        <w:t>e</w:t>
      </w:r>
      <w:r w:rsidRPr="007A5ABC">
        <w:rPr>
          <w:b/>
          <w:lang w:val="en-GB"/>
        </w:rPr>
        <w:t xml:space="preserve">ing society. </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Experts stresses that quality care also depends on </w:t>
      </w:r>
      <w:r>
        <w:rPr>
          <w:b/>
          <w:lang w:val="en-GB"/>
        </w:rPr>
        <w:t xml:space="preserve">the </w:t>
      </w:r>
      <w:r w:rsidRPr="007A5ABC">
        <w:rPr>
          <w:b/>
          <w:lang w:val="en-GB"/>
        </w:rPr>
        <w:t xml:space="preserve">working conditions of </w:t>
      </w:r>
      <w:r>
        <w:rPr>
          <w:b/>
          <w:lang w:val="en-GB"/>
        </w:rPr>
        <w:t xml:space="preserve">the </w:t>
      </w:r>
      <w:r w:rsidRPr="007A5ABC">
        <w:rPr>
          <w:b/>
          <w:lang w:val="en-GB"/>
        </w:rPr>
        <w:t>care workers</w:t>
      </w:r>
      <w:r>
        <w:rPr>
          <w:b/>
          <w:lang w:val="en-GB"/>
        </w:rPr>
        <w:t>,</w:t>
      </w:r>
      <w:r w:rsidRPr="007A5ABC">
        <w:rPr>
          <w:b/>
          <w:lang w:val="en-GB"/>
        </w:rPr>
        <w:t xml:space="preserve"> as their well</w:t>
      </w:r>
      <w:r>
        <w:rPr>
          <w:b/>
          <w:lang w:val="en-GB"/>
        </w:rPr>
        <w:t>-</w:t>
      </w:r>
      <w:r w:rsidRPr="007A5ABC">
        <w:rPr>
          <w:b/>
          <w:lang w:val="en-GB"/>
        </w:rPr>
        <w:t xml:space="preserve">being correlates with the satisfaction of </w:t>
      </w:r>
      <w:r>
        <w:rPr>
          <w:b/>
          <w:lang w:val="en-GB"/>
        </w:rPr>
        <w:t xml:space="preserve">the </w:t>
      </w:r>
      <w:r w:rsidRPr="007A5ABC">
        <w:rPr>
          <w:b/>
          <w:lang w:val="en-GB"/>
        </w:rPr>
        <w:t xml:space="preserve">persons in need. In order to ensure that care workers provide care </w:t>
      </w:r>
      <w:r>
        <w:rPr>
          <w:b/>
          <w:lang w:val="en-GB"/>
        </w:rPr>
        <w:t>that</w:t>
      </w:r>
      <w:r w:rsidRPr="007A5ABC">
        <w:rPr>
          <w:b/>
          <w:lang w:val="en-GB"/>
        </w:rPr>
        <w:t xml:space="preserve"> meets the emotional and physical needs of older persons with compassion and dignity and to retain and attract people into the care sector, better training opportunities, including academic qualifications, should be provided, which will also help portra</w:t>
      </w:r>
      <w:r>
        <w:rPr>
          <w:b/>
          <w:lang w:val="en-GB"/>
        </w:rPr>
        <w:t>y</w:t>
      </w:r>
      <w:r w:rsidRPr="007A5ABC">
        <w:rPr>
          <w:b/>
          <w:lang w:val="en-GB"/>
        </w:rPr>
        <w:t xml:space="preserve"> care work as a profession with good career prospects.</w:t>
      </w:r>
    </w:p>
    <w:p w:rsidR="00BB4848" w:rsidRPr="007A5ABC" w:rsidRDefault="00BB4848" w:rsidP="00BB4848">
      <w:pPr>
        <w:pStyle w:val="SingleTxtG"/>
        <w:numPr>
          <w:ilvl w:val="0"/>
          <w:numId w:val="9"/>
        </w:numPr>
        <w:spacing w:after="100"/>
        <w:rPr>
          <w:b/>
          <w:lang w:val="en-GB"/>
        </w:rPr>
      </w:pPr>
      <w:r w:rsidRPr="007A5ABC">
        <w:rPr>
          <w:b/>
          <w:lang w:val="en-GB"/>
        </w:rPr>
        <w:t xml:space="preserve">The Independent Expert appreciates </w:t>
      </w:r>
      <w:r>
        <w:rPr>
          <w:b/>
          <w:lang w:val="en-GB"/>
        </w:rPr>
        <w:t xml:space="preserve">the efforts being made by </w:t>
      </w:r>
      <w:r w:rsidRPr="007A5ABC">
        <w:rPr>
          <w:b/>
          <w:lang w:val="en-GB"/>
        </w:rPr>
        <w:t>Austria to study the specific needs and preferences of older migrants in order to enable them to make use of services that are acceptable to them. She notes</w:t>
      </w:r>
      <w:r>
        <w:rPr>
          <w:b/>
          <w:lang w:val="en-GB"/>
        </w:rPr>
        <w:t>, however,</w:t>
      </w:r>
      <w:r w:rsidRPr="007A5ABC">
        <w:rPr>
          <w:b/>
          <w:lang w:val="en-GB"/>
        </w:rPr>
        <w:t xml:space="preserve"> that concrete policies targeting the older migrant population are needed as a matter of priority. Further measures are required including to improve the legal position of older migrants so as to ensure equal access to social care and services and to ensure adequate and accessible information about </w:t>
      </w:r>
      <w:r>
        <w:rPr>
          <w:b/>
          <w:lang w:val="en-GB"/>
        </w:rPr>
        <w:t xml:space="preserve">the </w:t>
      </w:r>
      <w:r w:rsidRPr="007A5ABC">
        <w:rPr>
          <w:b/>
          <w:lang w:val="en-GB"/>
        </w:rPr>
        <w:t>services available. There is also a need to further develop social and support networks for older migrants within their communities, including migrant organizations and self-help</w:t>
      </w:r>
      <w:r>
        <w:rPr>
          <w:b/>
          <w:lang w:val="en-GB"/>
        </w:rPr>
        <w:t xml:space="preserve"> groups</w:t>
      </w:r>
      <w:r w:rsidRPr="007A5ABC">
        <w:rPr>
          <w:b/>
          <w:lang w:val="en-GB"/>
        </w:rPr>
        <w:t>.</w:t>
      </w:r>
    </w:p>
    <w:p w:rsidR="00BB4848" w:rsidRPr="007A5ABC" w:rsidRDefault="00BB4848" w:rsidP="00BB4848">
      <w:pPr>
        <w:pStyle w:val="SingleTxtG"/>
        <w:spacing w:before="120" w:after="0"/>
        <w:jc w:val="center"/>
        <w:rPr>
          <w:lang w:val="en-GB"/>
        </w:rPr>
      </w:pPr>
      <w:r w:rsidRPr="007A5ABC">
        <w:rPr>
          <w:u w:val="single"/>
          <w:lang w:val="en-GB"/>
        </w:rPr>
        <w:tab/>
      </w:r>
      <w:r w:rsidRPr="007A5ABC">
        <w:rPr>
          <w:u w:val="single"/>
          <w:lang w:val="en-GB"/>
        </w:rPr>
        <w:tab/>
      </w:r>
      <w:r w:rsidRPr="007A5ABC">
        <w:rPr>
          <w:u w:val="single"/>
          <w:lang w:val="en-GB"/>
        </w:rPr>
        <w:tab/>
      </w:r>
    </w:p>
    <w:p w:rsidR="00BB4848" w:rsidRPr="00BB4848" w:rsidRDefault="00BB4848" w:rsidP="00BB4848">
      <w:pPr>
        <w:pStyle w:val="SingleTxt"/>
        <w:jc w:val="left"/>
        <w:rPr>
          <w:i/>
          <w:lang w:val="en-GB"/>
        </w:rPr>
      </w:pPr>
    </w:p>
    <w:sectPr w:rsidR="00BB4848" w:rsidRPr="00BB4848" w:rsidSect="00B825F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5T14:11:00Z" w:initials="Start">
    <w:p w:rsidR="00CD79E6" w:rsidRPr="000D054B" w:rsidRDefault="00CD79E6">
      <w:pPr>
        <w:pStyle w:val="CommentText"/>
        <w:rPr>
          <w:lang w:val="en-US"/>
        </w:rPr>
      </w:pPr>
      <w:r>
        <w:fldChar w:fldCharType="begin"/>
      </w:r>
      <w:r w:rsidRPr="000D054B">
        <w:rPr>
          <w:rStyle w:val="CommentReference"/>
          <w:lang w:val="en-US"/>
        </w:rPr>
        <w:instrText xml:space="preserve"> </w:instrText>
      </w:r>
      <w:r w:rsidRPr="000D054B">
        <w:rPr>
          <w:lang w:val="en-US"/>
        </w:rPr>
        <w:instrText>PAGE \# "'Page: '#'</w:instrText>
      </w:r>
      <w:r w:rsidRPr="000D054B">
        <w:rPr>
          <w:lang w:val="en-US"/>
        </w:rPr>
        <w:br/>
        <w:instrText>'"</w:instrText>
      </w:r>
      <w:r w:rsidRPr="000D054B">
        <w:rPr>
          <w:rStyle w:val="CommentReference"/>
          <w:lang w:val="en-US"/>
        </w:rPr>
        <w:instrText xml:space="preserve"> </w:instrText>
      </w:r>
      <w:r>
        <w:fldChar w:fldCharType="end"/>
      </w:r>
      <w:r>
        <w:rPr>
          <w:rStyle w:val="CommentReference"/>
        </w:rPr>
        <w:annotationRef/>
      </w:r>
      <w:r w:rsidRPr="000D054B">
        <w:rPr>
          <w:lang w:val="en-US"/>
        </w:rPr>
        <w:t>&lt;&lt;ODS JOB NO&gt;&gt;N1517814S&lt;&lt;ODS JOB NO&gt;&gt;</w:t>
      </w:r>
    </w:p>
    <w:p w:rsidR="00CD79E6" w:rsidRDefault="00CD79E6">
      <w:pPr>
        <w:pStyle w:val="CommentText"/>
      </w:pPr>
      <w:r>
        <w:t>&lt;&lt;ODS DOC SYMBOL1&gt;&gt;A/HRC/30/43/Add.2&lt;&lt;ODS DOC SYMBOL1&gt;&gt;</w:t>
      </w:r>
    </w:p>
    <w:p w:rsidR="00CD79E6" w:rsidRDefault="00CD79E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31" w:rsidRDefault="00406F31" w:rsidP="008F1E8F">
      <w:pPr>
        <w:spacing w:line="240" w:lineRule="auto"/>
      </w:pPr>
      <w:r>
        <w:separator/>
      </w:r>
    </w:p>
  </w:endnote>
  <w:endnote w:type="continuationSeparator" w:id="0">
    <w:p w:rsidR="00406F31" w:rsidRDefault="00406F3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D79E6" w:rsidTr="00CD79E6">
      <w:trPr>
        <w:jc w:val="center"/>
      </w:trPr>
      <w:tc>
        <w:tcPr>
          <w:tcW w:w="5126" w:type="dxa"/>
          <w:shd w:val="clear" w:color="auto" w:fill="auto"/>
        </w:tcPr>
        <w:p w:rsidR="00CD79E6" w:rsidRPr="00CD79E6" w:rsidRDefault="00CD79E6" w:rsidP="00CD79E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205BA">
            <w:rPr>
              <w:b w:val="0"/>
              <w:color w:val="000000"/>
              <w:w w:val="103"/>
              <w:sz w:val="14"/>
            </w:rPr>
            <w:t>GE.15-13582</w:t>
          </w:r>
          <w:r>
            <w:rPr>
              <w:b w:val="0"/>
              <w:color w:val="000000"/>
              <w:w w:val="103"/>
              <w:sz w:val="14"/>
            </w:rPr>
            <w:fldChar w:fldCharType="end"/>
          </w:r>
        </w:p>
      </w:tc>
      <w:tc>
        <w:tcPr>
          <w:tcW w:w="5127" w:type="dxa"/>
          <w:shd w:val="clear" w:color="auto" w:fill="auto"/>
        </w:tcPr>
        <w:p w:rsidR="00CD79E6" w:rsidRPr="00CD79E6" w:rsidRDefault="00CD79E6" w:rsidP="00CD79E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14B7E">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14B7E">
            <w:rPr>
              <w:color w:val="000000"/>
              <w:w w:val="103"/>
            </w:rPr>
            <w:t>20</w:t>
          </w:r>
          <w:r>
            <w:rPr>
              <w:color w:val="000000"/>
              <w:w w:val="103"/>
            </w:rPr>
            <w:fldChar w:fldCharType="end"/>
          </w:r>
        </w:p>
      </w:tc>
    </w:tr>
  </w:tbl>
  <w:p w:rsidR="00CD79E6" w:rsidRPr="00CD79E6" w:rsidRDefault="00CD79E6" w:rsidP="00CD7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D79E6" w:rsidTr="00CD79E6">
      <w:trPr>
        <w:jc w:val="center"/>
      </w:trPr>
      <w:tc>
        <w:tcPr>
          <w:tcW w:w="5126" w:type="dxa"/>
          <w:shd w:val="clear" w:color="auto" w:fill="auto"/>
        </w:tcPr>
        <w:p w:rsidR="00CD79E6" w:rsidRPr="00CD79E6" w:rsidRDefault="00CD79E6" w:rsidP="00CD79E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14B7E">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14B7E">
            <w:rPr>
              <w:color w:val="000000"/>
              <w:w w:val="103"/>
            </w:rPr>
            <w:t>19</w:t>
          </w:r>
          <w:r>
            <w:rPr>
              <w:color w:val="000000"/>
              <w:w w:val="103"/>
            </w:rPr>
            <w:fldChar w:fldCharType="end"/>
          </w:r>
        </w:p>
      </w:tc>
      <w:tc>
        <w:tcPr>
          <w:tcW w:w="5127" w:type="dxa"/>
          <w:shd w:val="clear" w:color="auto" w:fill="auto"/>
        </w:tcPr>
        <w:p w:rsidR="00CD79E6" w:rsidRPr="00CD79E6" w:rsidRDefault="00CD79E6" w:rsidP="00CD79E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205BA">
            <w:rPr>
              <w:b w:val="0"/>
              <w:color w:val="000000"/>
              <w:w w:val="103"/>
              <w:sz w:val="14"/>
            </w:rPr>
            <w:t>GE.15-13582</w:t>
          </w:r>
          <w:r>
            <w:rPr>
              <w:b w:val="0"/>
              <w:color w:val="000000"/>
              <w:w w:val="103"/>
              <w:sz w:val="14"/>
            </w:rPr>
            <w:fldChar w:fldCharType="end"/>
          </w:r>
        </w:p>
      </w:tc>
    </w:tr>
  </w:tbl>
  <w:p w:rsidR="00CD79E6" w:rsidRPr="00CD79E6" w:rsidRDefault="00CD79E6" w:rsidP="00CD7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E6" w:rsidRPr="00CD79E6" w:rsidRDefault="00CD79E6" w:rsidP="00CD79E6">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0AD27398" wp14:editId="46A9430B">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43/Add.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D79E6" w:rsidTr="00CD79E6">
      <w:tc>
        <w:tcPr>
          <w:tcW w:w="3859" w:type="dxa"/>
        </w:tcPr>
        <w:p w:rsidR="00CD79E6" w:rsidRDefault="00CD79E6" w:rsidP="00CD79E6">
          <w:pPr>
            <w:pStyle w:val="ReleaseDate"/>
          </w:pPr>
          <w:r>
            <w:t xml:space="preserve">GE.15-13582 (S)    </w:t>
          </w:r>
          <w:r w:rsidR="000D054B">
            <w:t>14</w:t>
          </w:r>
          <w:r>
            <w:t>0815    250815</w:t>
          </w:r>
        </w:p>
        <w:p w:rsidR="00CD79E6" w:rsidRPr="00CD79E6" w:rsidRDefault="00CD79E6" w:rsidP="00CD79E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*1513582*</w:t>
          </w:r>
        </w:p>
      </w:tc>
      <w:tc>
        <w:tcPr>
          <w:tcW w:w="5127" w:type="dxa"/>
        </w:tcPr>
        <w:p w:rsidR="00CD79E6" w:rsidRDefault="00CD79E6" w:rsidP="00CD79E6">
          <w:pPr>
            <w:pStyle w:val="Footer"/>
            <w:jc w:val="right"/>
            <w:rPr>
              <w:b w:val="0"/>
              <w:sz w:val="20"/>
            </w:rPr>
          </w:pPr>
          <w:r>
            <w:rPr>
              <w:b w:val="0"/>
              <w:sz w:val="20"/>
              <w:lang w:val="en-GB" w:eastAsia="en-GB"/>
            </w:rPr>
            <w:drawing>
              <wp:inline distT="0" distB="0" distL="0" distR="0" wp14:anchorId="667DD902" wp14:editId="04FAFDA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D79E6" w:rsidRPr="00CD79E6" w:rsidRDefault="00CD79E6" w:rsidP="00CD79E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31" w:rsidRPr="00544957" w:rsidRDefault="00544957" w:rsidP="00544957">
      <w:pPr>
        <w:pStyle w:val="Footer"/>
        <w:spacing w:after="80"/>
        <w:ind w:left="792"/>
        <w:rPr>
          <w:sz w:val="16"/>
        </w:rPr>
      </w:pPr>
      <w:r w:rsidRPr="00544957">
        <w:rPr>
          <w:sz w:val="16"/>
        </w:rPr>
        <w:t>__________________</w:t>
      </w:r>
    </w:p>
  </w:footnote>
  <w:footnote w:type="continuationSeparator" w:id="0">
    <w:p w:rsidR="00406F31" w:rsidRPr="00544957" w:rsidRDefault="00544957" w:rsidP="00544957">
      <w:pPr>
        <w:pStyle w:val="Footer"/>
        <w:spacing w:after="80"/>
        <w:ind w:left="792"/>
        <w:rPr>
          <w:sz w:val="16"/>
        </w:rPr>
      </w:pPr>
      <w:r w:rsidRPr="00544957">
        <w:rPr>
          <w:sz w:val="16"/>
        </w:rPr>
        <w:t>__________________</w:t>
      </w:r>
    </w:p>
  </w:footnote>
  <w:footnote w:id="1">
    <w:p w:rsidR="000D054B" w:rsidRPr="00DE7899" w:rsidRDefault="000D054B" w:rsidP="00544957">
      <w:pPr>
        <w:pStyle w:val="FootnoteText"/>
        <w:tabs>
          <w:tab w:val="clear" w:pos="418"/>
          <w:tab w:val="right" w:pos="1195"/>
          <w:tab w:val="left" w:pos="1267"/>
          <w:tab w:val="left" w:pos="1742"/>
          <w:tab w:val="left" w:pos="2218"/>
          <w:tab w:val="left" w:pos="2693"/>
        </w:tabs>
        <w:ind w:left="1267" w:right="1267" w:hanging="432"/>
      </w:pPr>
      <w:r>
        <w:tab/>
      </w:r>
      <w:r w:rsidRPr="000D054B">
        <w:t>*</w:t>
      </w:r>
      <w:r w:rsidRPr="000D054B">
        <w:tab/>
      </w:r>
      <w:r w:rsidRPr="0022344D">
        <w:t>El resumen del presente informe se distribuye en todos los idiomas oficiales. El informe propiamente dicho, que figura en el anexo del resumen, se distribuye únicamente en el idioma en que se presentó</w:t>
      </w:r>
      <w:r>
        <w:t>.</w:t>
      </w:r>
    </w:p>
  </w:footnote>
  <w:footnote w:id="2">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tab/>
      </w:r>
      <w:r w:rsidRPr="00B916BC">
        <w:rPr>
          <w:rStyle w:val="FootnoteReference"/>
        </w:rPr>
        <w:footnoteRef/>
      </w:r>
      <w:r w:rsidRPr="00BB4848">
        <w:rPr>
          <w:lang w:val="en-US"/>
        </w:rPr>
        <w:tab/>
        <w:t>See the website of the Austrian statistical office: www.statistik.at.</w:t>
      </w:r>
    </w:p>
  </w:footnote>
  <w:footnote w:id="3">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 xml:space="preserve">See </w:t>
      </w:r>
      <w:hyperlink r:id="rId1" w:history="1">
        <w:r w:rsidRPr="00BB4848">
          <w:rPr>
            <w:rStyle w:val="Hyperlink"/>
            <w:rFonts w:eastAsia="SimSun"/>
            <w:spacing w:val="0"/>
            <w:w w:val="100"/>
            <w:sz w:val="18"/>
            <w:szCs w:val="20"/>
            <w:lang w:val="en-GB" w:eastAsia="zh-CN"/>
          </w:rPr>
          <w:t>www</w:t>
        </w:r>
        <w:r w:rsidRPr="00BB4848">
          <w:rPr>
            <w:rStyle w:val="Hyperlink"/>
            <w:lang w:val="en-US"/>
          </w:rPr>
          <w:t>.helpage.org/global-agewatch/population-ageing-data/country-ageing-data/?country=Austria</w:t>
        </w:r>
      </w:hyperlink>
      <w:r w:rsidRPr="00BB4848">
        <w:rPr>
          <w:lang w:val="en-US"/>
        </w:rPr>
        <w:t>.</w:t>
      </w:r>
    </w:p>
  </w:footnote>
  <w:footnote w:id="4">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r>
      <w:r w:rsidRPr="00BB4848">
        <w:rPr>
          <w:rStyle w:val="Hyperlink"/>
          <w:rFonts w:eastAsia="SimSun"/>
          <w:spacing w:val="0"/>
          <w:w w:val="100"/>
          <w:sz w:val="18"/>
          <w:szCs w:val="20"/>
          <w:lang w:val="en-GB" w:eastAsia="zh-CN"/>
        </w:rPr>
        <w:t>Federal</w:t>
      </w:r>
      <w:r w:rsidRPr="00BB4848">
        <w:rPr>
          <w:lang w:val="en-US"/>
        </w:rPr>
        <w:t xml:space="preserve"> Law Gazette No. 84/1998.</w:t>
      </w:r>
    </w:p>
  </w:footnote>
  <w:footnote w:id="5">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r>
      <w:r>
        <w:rPr>
          <w:lang w:val="en-US"/>
        </w:rPr>
        <w:t xml:space="preserve">Federal Law </w:t>
      </w:r>
      <w:r w:rsidRPr="00BB4848">
        <w:rPr>
          <w:rStyle w:val="Hyperlink"/>
          <w:rFonts w:eastAsia="SimSun"/>
          <w:spacing w:val="0"/>
          <w:w w:val="100"/>
          <w:sz w:val="18"/>
          <w:szCs w:val="20"/>
          <w:lang w:val="en-GB" w:eastAsia="zh-CN"/>
        </w:rPr>
        <w:t>Gazette</w:t>
      </w:r>
      <w:r>
        <w:rPr>
          <w:lang w:val="en-US"/>
        </w:rPr>
        <w:t xml:space="preserve"> </w:t>
      </w:r>
      <w:r w:rsidRPr="00470FAC">
        <w:rPr>
          <w:lang w:val="en-US"/>
        </w:rPr>
        <w:t xml:space="preserve">No. </w:t>
      </w:r>
      <w:r>
        <w:rPr>
          <w:lang w:val="en-US"/>
        </w:rPr>
        <w:t>66</w:t>
      </w:r>
      <w:r w:rsidRPr="00470FAC">
        <w:rPr>
          <w:lang w:val="en-US"/>
        </w:rPr>
        <w:t>/</w:t>
      </w:r>
      <w:r>
        <w:rPr>
          <w:lang w:val="en-US"/>
        </w:rPr>
        <w:t>2004.</w:t>
      </w:r>
    </w:p>
  </w:footnote>
  <w:footnote w:id="6">
    <w:p w:rsidR="00BB4848" w:rsidRPr="00EF1AAB"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GB"/>
          <w:rPrChange w:id="2" w:author="veronique lanz" w:date="2015-08-11T15:15:00Z">
            <w:rPr>
              <w:lang w:val="fr-FR"/>
            </w:rPr>
          </w:rPrChange>
        </w:rPr>
      </w:pPr>
      <w:r w:rsidRPr="00BB4848">
        <w:rPr>
          <w:lang w:val="en-US"/>
        </w:rPr>
        <w:tab/>
      </w:r>
      <w:r w:rsidRPr="00281BB0">
        <w:rPr>
          <w:rStyle w:val="FootnoteReference"/>
        </w:rPr>
        <w:footnoteRef/>
      </w:r>
      <w:r w:rsidRPr="00BB4848">
        <w:rPr>
          <w:lang w:val="en-US"/>
        </w:rPr>
        <w:tab/>
      </w:r>
      <w:r w:rsidRPr="00EF1AAB">
        <w:rPr>
          <w:lang w:val="en-GB"/>
          <w:rPrChange w:id="3" w:author="veronique lanz" w:date="2015-08-11T15:15:00Z">
            <w:rPr>
              <w:lang w:val="fr-FR"/>
            </w:rPr>
          </w:rPrChange>
        </w:rPr>
        <w:t>See, for example, Behinderteneinstellungsgesetz, BGBI Nr. 22/1970, Bundes-Behindertengleichstellungsgesetz, BGBI  Nr. 82/2005 and Bundesbehindertengesetz, BGBI Nr. 283/1990.</w:t>
      </w:r>
    </w:p>
  </w:footnote>
  <w:footnote w:id="7">
    <w:p w:rsidR="00BB4848" w:rsidRPr="00EF1AAB" w:rsidRDefault="00BB4848" w:rsidP="00544957">
      <w:pPr>
        <w:pStyle w:val="FootnoteText"/>
        <w:tabs>
          <w:tab w:val="clear" w:pos="418"/>
          <w:tab w:val="right" w:pos="1195"/>
          <w:tab w:val="left" w:pos="1267"/>
          <w:tab w:val="left" w:pos="1742"/>
          <w:tab w:val="left" w:pos="2218"/>
          <w:tab w:val="left" w:pos="2693"/>
        </w:tabs>
        <w:ind w:left="1267" w:right="1267" w:hanging="432"/>
        <w:rPr>
          <w:lang w:val="en-GB"/>
          <w:rPrChange w:id="4" w:author="veronique lanz" w:date="2015-08-11T15:15:00Z">
            <w:rPr>
              <w:lang w:val="fr-FR"/>
            </w:rPr>
          </w:rPrChange>
        </w:rPr>
      </w:pPr>
      <w:r w:rsidRPr="00BB4848">
        <w:rPr>
          <w:lang w:val="en-US"/>
        </w:rPr>
        <w:tab/>
      </w:r>
      <w:r w:rsidRPr="00281BB0">
        <w:rPr>
          <w:rStyle w:val="FootnoteReference"/>
        </w:rPr>
        <w:footnoteRef/>
      </w:r>
      <w:r w:rsidRPr="00BB4848">
        <w:rPr>
          <w:lang w:val="en-US"/>
        </w:rPr>
        <w:tab/>
        <w:t xml:space="preserve">Specific awareness-raising measures under way to establish both advisory competences within existing structures </w:t>
      </w:r>
      <w:r w:rsidRPr="00BB4848">
        <w:rPr>
          <w:rFonts w:eastAsia="SimSun"/>
          <w:spacing w:val="0"/>
          <w:w w:val="100"/>
          <w:sz w:val="18"/>
          <w:szCs w:val="20"/>
          <w:lang w:val="en-GB" w:eastAsia="zh-CN"/>
        </w:rPr>
        <w:t>and</w:t>
      </w:r>
      <w:r w:rsidRPr="00BB4848">
        <w:rPr>
          <w:lang w:val="en-US"/>
        </w:rPr>
        <w:t xml:space="preserve"> efficient strategies of action against violence against older persons will have a medium-term effect.</w:t>
      </w:r>
      <w:r w:rsidRPr="00EF1AAB">
        <w:rPr>
          <w:lang w:val="en-GB"/>
          <w:rPrChange w:id="5" w:author="veronique lanz" w:date="2015-08-11T15:15:00Z">
            <w:rPr>
              <w:lang w:val="fr-FR"/>
            </w:rPr>
          </w:rPrChange>
        </w:rPr>
        <w:t xml:space="preserve"> </w:t>
      </w:r>
    </w:p>
  </w:footnote>
  <w:footnote w:id="8">
    <w:p w:rsidR="00BB4848" w:rsidRPr="00BB4848" w:rsidRDefault="00BB4848" w:rsidP="00544957">
      <w:pPr>
        <w:pStyle w:val="FootnoteText"/>
        <w:tabs>
          <w:tab w:val="clear" w:pos="418"/>
          <w:tab w:val="right" w:pos="1195"/>
          <w:tab w:val="left" w:pos="1267"/>
          <w:tab w:val="left" w:pos="1742"/>
          <w:tab w:val="left" w:pos="2218"/>
          <w:tab w:val="left" w:pos="2693"/>
        </w:tabs>
        <w:ind w:left="1267" w:right="1267" w:hanging="432"/>
        <w:rPr>
          <w:lang w:val="en-US"/>
        </w:rPr>
      </w:pPr>
      <w:r w:rsidRPr="00BB4848">
        <w:rPr>
          <w:lang w:val="en-US"/>
        </w:rPr>
        <w:tab/>
      </w:r>
      <w:r>
        <w:rPr>
          <w:rStyle w:val="FootnoteReference"/>
        </w:rPr>
        <w:footnoteRef/>
      </w:r>
      <w:r w:rsidRPr="00BB4848">
        <w:rPr>
          <w:lang w:val="en-US"/>
        </w:rPr>
        <w:tab/>
        <w:t xml:space="preserve">See </w:t>
      </w:r>
      <w:hyperlink r:id="rId2" w:history="1">
        <w:r w:rsidRPr="00BB4848">
          <w:rPr>
            <w:rStyle w:val="Hyperlink"/>
            <w:lang w:val="en-US"/>
          </w:rPr>
          <w:t>www.sozialministerium.at//cms/site/attachments/3/2/0/CH2275/</w:t>
        </w:r>
        <w:r w:rsidRPr="00BB4848">
          <w:rPr>
            <w:rFonts w:eastAsia="SimSun"/>
            <w:spacing w:val="0"/>
            <w:w w:val="100"/>
            <w:sz w:val="18"/>
            <w:szCs w:val="20"/>
            <w:lang w:val="en-GB" w:eastAsia="zh-CN"/>
          </w:rPr>
          <w:t>CMS</w:t>
        </w:r>
      </w:hyperlink>
      <w:hyperlink r:id="rId3" w:history="1">
        <w:r w:rsidRPr="00BB4848">
          <w:rPr>
            <w:rFonts w:eastAsia="SimSun"/>
            <w:spacing w:val="0"/>
            <w:w w:val="100"/>
            <w:sz w:val="18"/>
            <w:szCs w:val="20"/>
            <w:lang w:val="en-GB" w:eastAsia="zh-CN"/>
          </w:rPr>
          <w:t>1314805959138</w:t>
        </w:r>
        <w:r w:rsidRPr="00BB4848">
          <w:rPr>
            <w:rStyle w:val="Hyperlink"/>
            <w:lang w:val="en-US"/>
          </w:rPr>
          <w:t>/</w:t>
        </w:r>
        <w:r w:rsidRPr="00BB4848">
          <w:rPr>
            <w:rStyle w:val="Hyperlink"/>
            <w:lang w:val="en-US"/>
          </w:rPr>
          <w:br/>
          <w:t>praevention_und_intervention_bei_gewalt_gegen_aeltere_menschen_kompl</w:t>
        </w:r>
      </w:hyperlink>
      <w:r w:rsidRPr="00BB4848">
        <w:rPr>
          <w:lang w:val="en-US"/>
        </w:rPr>
        <w:t>.pdf.</w:t>
      </w:r>
    </w:p>
  </w:footnote>
  <w:footnote w:id="9">
    <w:p w:rsidR="00BB4848" w:rsidRPr="00BB4848" w:rsidRDefault="00BB4848" w:rsidP="00544957">
      <w:pPr>
        <w:pStyle w:val="FootnoteText"/>
        <w:tabs>
          <w:tab w:val="clear" w:pos="418"/>
          <w:tab w:val="right" w:pos="1195"/>
          <w:tab w:val="left" w:pos="1267"/>
          <w:tab w:val="left" w:pos="1742"/>
          <w:tab w:val="left" w:pos="2218"/>
          <w:tab w:val="left" w:pos="2693"/>
        </w:tabs>
        <w:ind w:left="1267" w:right="1267" w:hanging="432"/>
        <w:rPr>
          <w:lang w:val="en-US"/>
        </w:rPr>
      </w:pPr>
      <w:r w:rsidRPr="00BB4848">
        <w:rPr>
          <w:lang w:val="en-US"/>
        </w:rPr>
        <w:tab/>
      </w:r>
      <w:r>
        <w:rPr>
          <w:rStyle w:val="FootnoteReference"/>
        </w:rPr>
        <w:footnoteRef/>
      </w:r>
      <w:r w:rsidRPr="00BB4848">
        <w:rPr>
          <w:lang w:val="en-US"/>
        </w:rPr>
        <w:tab/>
        <w:t xml:space="preserve">See </w:t>
      </w:r>
      <w:hyperlink r:id="rId4" w:history="1">
        <w:r w:rsidRPr="00BB4848">
          <w:rPr>
            <w:rStyle w:val="Hyperlink"/>
            <w:lang w:val="en-US"/>
          </w:rPr>
          <w:t>www.inpea.net/images/AVOW-Austrian-Survey_2011.pdf</w:t>
        </w:r>
      </w:hyperlink>
      <w:r w:rsidRPr="00BB4848">
        <w:rPr>
          <w:lang w:val="en-US"/>
        </w:rPr>
        <w:t xml:space="preserve">. </w:t>
      </w:r>
    </w:p>
  </w:footnote>
  <w:footnote w:id="10">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r>
      <w:r w:rsidRPr="00BB4848">
        <w:rPr>
          <w:rFonts w:eastAsia="SimSun"/>
          <w:spacing w:val="0"/>
          <w:w w:val="100"/>
          <w:sz w:val="18"/>
          <w:szCs w:val="20"/>
          <w:lang w:val="en-GB" w:eastAsia="zh-CN"/>
        </w:rPr>
        <w:t>Ibid</w:t>
      </w:r>
      <w:r w:rsidRPr="00BB4848">
        <w:rPr>
          <w:lang w:val="en-US"/>
        </w:rPr>
        <w:t xml:space="preserve">. </w:t>
      </w:r>
    </w:p>
  </w:footnote>
  <w:footnote w:id="11">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 xml:space="preserve">See </w:t>
      </w:r>
      <w:r w:rsidRPr="00BB4848">
        <w:rPr>
          <w:rFonts w:eastAsia="SimSun"/>
          <w:spacing w:val="0"/>
          <w:w w:val="100"/>
          <w:sz w:val="18"/>
          <w:szCs w:val="20"/>
          <w:lang w:val="en-GB" w:eastAsia="zh-CN"/>
        </w:rPr>
        <w:t>footnote</w:t>
      </w:r>
      <w:r w:rsidRPr="00BB4848">
        <w:rPr>
          <w:lang w:val="en-US"/>
        </w:rPr>
        <w:t xml:space="preserve"> 2. </w:t>
      </w:r>
    </w:p>
  </w:footnote>
  <w:footnote w:id="12">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rStyle w:val="FootnoteReference"/>
          <w:szCs w:val="18"/>
          <w:lang w:val="en-US"/>
        </w:rPr>
      </w:pPr>
      <w:r w:rsidRPr="00BB4848">
        <w:rPr>
          <w:lang w:val="en-US"/>
        </w:rPr>
        <w:tab/>
      </w:r>
      <w:r>
        <w:rPr>
          <w:rStyle w:val="FootnoteReference"/>
        </w:rPr>
        <w:footnoteRef/>
      </w:r>
      <w:r w:rsidRPr="00BB4848">
        <w:rPr>
          <w:lang w:val="en-US"/>
        </w:rPr>
        <w:tab/>
      </w:r>
      <w:r w:rsidRPr="00BB4848">
        <w:rPr>
          <w:rStyle w:val="Hyperlink"/>
          <w:szCs w:val="18"/>
          <w:lang w:val="en-US"/>
        </w:rPr>
        <w:t xml:space="preserve">National </w:t>
      </w:r>
      <w:r w:rsidRPr="00BB4848">
        <w:rPr>
          <w:rFonts w:eastAsia="SimSun"/>
          <w:spacing w:val="0"/>
          <w:w w:val="100"/>
          <w:sz w:val="18"/>
          <w:szCs w:val="20"/>
          <w:lang w:val="en-GB" w:eastAsia="zh-CN"/>
        </w:rPr>
        <w:t>report</w:t>
      </w:r>
      <w:r w:rsidRPr="00BB4848">
        <w:rPr>
          <w:rStyle w:val="Hyperlink"/>
          <w:szCs w:val="18"/>
          <w:lang w:val="en-US"/>
        </w:rPr>
        <w:t xml:space="preserve"> on the implementation of the Economic Commission for Europe regional implementation strategy for the Madrid International Plan of Action on Ageing 2002 (2007-2012), Austria, October 2011, available from: </w:t>
      </w:r>
      <w:r w:rsidRPr="00BB4848">
        <w:rPr>
          <w:lang w:val="en-US"/>
        </w:rPr>
        <w:t>http://appsso.eurostat.ec.europa.eu/nui/show.do?dataset=ilc_li02&amp;lang=en.</w:t>
      </w:r>
    </w:p>
  </w:footnote>
  <w:footnote w:id="13">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 xml:space="preserve">Federal </w:t>
      </w:r>
      <w:r w:rsidRPr="00BB4848">
        <w:rPr>
          <w:rFonts w:eastAsia="SimSun"/>
          <w:spacing w:val="0"/>
          <w:w w:val="100"/>
          <w:sz w:val="18"/>
          <w:szCs w:val="20"/>
          <w:lang w:val="en-GB" w:eastAsia="zh-CN"/>
        </w:rPr>
        <w:t>Ministry</w:t>
      </w:r>
      <w:r w:rsidRPr="00BB4848">
        <w:rPr>
          <w:lang w:val="en-US"/>
        </w:rPr>
        <w:t xml:space="preserve"> of Labour, </w:t>
      </w:r>
      <w:r w:rsidRPr="00BB4848">
        <w:rPr>
          <w:rFonts w:eastAsia="SimSun"/>
          <w:spacing w:val="0"/>
          <w:w w:val="100"/>
          <w:sz w:val="18"/>
          <w:szCs w:val="20"/>
          <w:lang w:val="en-GB" w:eastAsia="zh-CN"/>
        </w:rPr>
        <w:t>Social</w:t>
      </w:r>
      <w:r w:rsidRPr="00BB4848">
        <w:rPr>
          <w:lang w:val="en-US"/>
        </w:rPr>
        <w:t xml:space="preserve"> Affairs and Consumer Protection, </w:t>
      </w:r>
      <w:r w:rsidRPr="00BB4848">
        <w:rPr>
          <w:i/>
          <w:lang w:val="en-US"/>
        </w:rPr>
        <w:t>Social Protection in Austria</w:t>
      </w:r>
      <w:r w:rsidRPr="00BB4848">
        <w:rPr>
          <w:lang w:val="en-US"/>
        </w:rPr>
        <w:t>, Vienna, April 2014.</w:t>
      </w:r>
    </w:p>
  </w:footnote>
  <w:footnote w:id="14">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 xml:space="preserve">Federal Law Gazette No. </w:t>
      </w:r>
      <w:r w:rsidRPr="00BB4848">
        <w:rPr>
          <w:rFonts w:eastAsia="SimSun"/>
          <w:spacing w:val="0"/>
          <w:w w:val="100"/>
          <w:sz w:val="18"/>
          <w:szCs w:val="20"/>
          <w:lang w:val="en-GB" w:eastAsia="zh-CN"/>
        </w:rPr>
        <w:t>520</w:t>
      </w:r>
      <w:r w:rsidRPr="00BB4848">
        <w:rPr>
          <w:lang w:val="en-US"/>
        </w:rPr>
        <w:t>/1981.</w:t>
      </w:r>
    </w:p>
  </w:footnote>
  <w:footnote w:id="15">
    <w:p w:rsidR="00BB4848" w:rsidRPr="007A5ABC"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 xml:space="preserve">See </w:t>
      </w:r>
      <w:hyperlink r:id="rId5" w:history="1">
        <w:r w:rsidRPr="007A5ABC">
          <w:rPr>
            <w:rStyle w:val="Hyperlink"/>
            <w:lang w:val="en-US"/>
          </w:rPr>
          <w:t>www.sozialministerium.at/cms/site/attachments/1/6/3/CH2088/CMS1313745345149/</w:t>
        </w:r>
        <w:r w:rsidRPr="007A5ABC">
          <w:rPr>
            <w:rStyle w:val="Hyperlink"/>
            <w:lang w:val="en-US"/>
          </w:rPr>
          <w:br/>
          <w:t>social_protection_in_austria.pdf</w:t>
        </w:r>
      </w:hyperlink>
    </w:p>
  </w:footnote>
  <w:footnote w:id="16">
    <w:p w:rsidR="00BB4848" w:rsidRPr="00B374A1"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de-DE"/>
        </w:rPr>
      </w:pPr>
      <w:r w:rsidRPr="00BB4848">
        <w:rPr>
          <w:lang w:val="en-US"/>
        </w:rPr>
        <w:tab/>
      </w:r>
      <w:r>
        <w:rPr>
          <w:rStyle w:val="FootnoteReference"/>
        </w:rPr>
        <w:footnoteRef/>
      </w:r>
      <w:r>
        <w:rPr>
          <w:lang w:val="de-DE"/>
        </w:rPr>
        <w:tab/>
      </w:r>
      <w:r w:rsidRPr="00B374A1">
        <w:rPr>
          <w:lang w:val="de-DE"/>
        </w:rPr>
        <w:t xml:space="preserve">Wirtschaftskammer </w:t>
      </w:r>
      <w:r w:rsidRPr="00BB4848">
        <w:rPr>
          <w:rFonts w:eastAsia="SimSun"/>
          <w:spacing w:val="0"/>
          <w:w w:val="100"/>
          <w:sz w:val="18"/>
          <w:szCs w:val="20"/>
          <w:lang w:val="en-GB" w:eastAsia="zh-CN"/>
        </w:rPr>
        <w:t>Österreich</w:t>
      </w:r>
      <w:r w:rsidRPr="00B374A1">
        <w:rPr>
          <w:lang w:val="de-DE"/>
        </w:rPr>
        <w:t>: Erwerbstätigkeit Älterer</w:t>
      </w:r>
      <w:r>
        <w:rPr>
          <w:lang w:val="de-DE"/>
        </w:rPr>
        <w:t xml:space="preserve"> et al.</w:t>
      </w:r>
      <w:r w:rsidRPr="00B374A1">
        <w:rPr>
          <w:lang w:val="de-DE"/>
        </w:rPr>
        <w:t xml:space="preserve"> 2012/1</w:t>
      </w:r>
      <w:r>
        <w:rPr>
          <w:lang w:val="de-DE"/>
        </w:rPr>
        <w:t>3.</w:t>
      </w:r>
    </w:p>
  </w:footnote>
  <w:footnote w:id="17">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7A5ABC">
        <w:rPr>
          <w:lang w:val="de-CH"/>
        </w:rPr>
        <w:tab/>
      </w:r>
      <w:r>
        <w:rPr>
          <w:rStyle w:val="FootnoteReference"/>
        </w:rPr>
        <w:footnoteRef/>
      </w:r>
      <w:r w:rsidRPr="00BB4848">
        <w:rPr>
          <w:lang w:val="en-US"/>
        </w:rPr>
        <w:tab/>
        <w:t xml:space="preserve">The Ministry of Health is not in a position to ascertain </w:t>
      </w:r>
      <w:r>
        <w:rPr>
          <w:lang w:val="en-US"/>
        </w:rPr>
        <w:t>if the services provided are legal entitlements.</w:t>
      </w:r>
    </w:p>
  </w:footnote>
  <w:footnote w:id="18">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 xml:space="preserve">See </w:t>
      </w:r>
      <w:hyperlink r:id="rId6" w:history="1">
        <w:r w:rsidRPr="00BB4848">
          <w:rPr>
            <w:rStyle w:val="Hyperlink"/>
            <w:lang w:val="en-US"/>
          </w:rPr>
          <w:t>www.sozialministerium.at/cms/site2/</w:t>
        </w:r>
        <w:r w:rsidRPr="00BB4848">
          <w:rPr>
            <w:rFonts w:eastAsia="SimSun"/>
            <w:spacing w:val="0"/>
            <w:w w:val="100"/>
            <w:sz w:val="18"/>
            <w:szCs w:val="20"/>
            <w:lang w:val="en-GB" w:eastAsia="zh-CN"/>
          </w:rPr>
          <w:t>attachments</w:t>
        </w:r>
        <w:r w:rsidRPr="00BB4848">
          <w:rPr>
            <w:rStyle w:val="Hyperlink"/>
            <w:lang w:val="en-US"/>
          </w:rPr>
          <w:t>/8/5/7/CH2233/CMS1218112881779/</w:t>
        </w:r>
        <w:r w:rsidRPr="00BB4848">
          <w:rPr>
            <w:rStyle w:val="Hyperlink"/>
            <w:lang w:val="en-US"/>
          </w:rPr>
          <w:br/>
          <w:t>kolland._lernbeduerfnisse.</w:t>
        </w:r>
        <w:r w:rsidRPr="00BB4848">
          <w:rPr>
            <w:rFonts w:eastAsia="SimSun"/>
            <w:spacing w:val="0"/>
            <w:w w:val="100"/>
            <w:sz w:val="18"/>
            <w:szCs w:val="20"/>
            <w:lang w:val="en-GB" w:eastAsia="zh-CN"/>
          </w:rPr>
          <w:t>zusammenfassung</w:t>
        </w:r>
        <w:r w:rsidRPr="00BB4848">
          <w:rPr>
            <w:rStyle w:val="Hyperlink"/>
            <w:lang w:val="en-US"/>
          </w:rPr>
          <w:t>[1].pdf</w:t>
        </w:r>
      </w:hyperlink>
      <w:r w:rsidRPr="00BB4848">
        <w:rPr>
          <w:lang w:val="en-US"/>
        </w:rPr>
        <w:t xml:space="preserve"> </w:t>
      </w:r>
    </w:p>
  </w:footnote>
  <w:footnote w:id="19">
    <w:p w:rsidR="00BB4848" w:rsidRPr="007A5ABC"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 xml:space="preserve">See CRPD/C/AUT/CO/1, para. </w:t>
      </w:r>
      <w:r w:rsidRPr="007A5ABC">
        <w:rPr>
          <w:lang w:val="en-US"/>
        </w:rPr>
        <w:t>27.</w:t>
      </w:r>
    </w:p>
  </w:footnote>
  <w:footnote w:id="20">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7A5ABC">
        <w:rPr>
          <w:lang w:val="en-US"/>
        </w:rPr>
        <w:tab/>
      </w:r>
      <w:r>
        <w:rPr>
          <w:rStyle w:val="FootnoteReference"/>
        </w:rPr>
        <w:footnoteRef/>
      </w:r>
      <w:r w:rsidRPr="00BB4848">
        <w:rPr>
          <w:lang w:val="en-US"/>
        </w:rPr>
        <w:tab/>
        <w:t xml:space="preserve">The Law on the Quality of Health </w:t>
      </w:r>
      <w:r w:rsidRPr="00BB4848">
        <w:rPr>
          <w:rFonts w:eastAsia="SimSun"/>
          <w:spacing w:val="0"/>
          <w:w w:val="100"/>
          <w:sz w:val="18"/>
          <w:szCs w:val="20"/>
          <w:lang w:val="en-GB" w:eastAsia="zh-CN"/>
        </w:rPr>
        <w:t>Care</w:t>
      </w:r>
      <w:r w:rsidRPr="00BB4848">
        <w:rPr>
          <w:lang w:val="en-US"/>
        </w:rPr>
        <w:t xml:space="preserve"> Services of 2005, for instance, guarantees cross-sectoral quality. Furthermore, during the last years a quality strategy for the Austrian health-care system and a patient security strategy </w:t>
      </w:r>
      <w:r w:rsidRPr="00BB4848">
        <w:rPr>
          <w:rFonts w:eastAsia="SimSun"/>
          <w:spacing w:val="0"/>
          <w:w w:val="100"/>
          <w:sz w:val="18"/>
          <w:szCs w:val="20"/>
          <w:lang w:val="en-GB" w:eastAsia="zh-CN"/>
        </w:rPr>
        <w:t>were</w:t>
      </w:r>
      <w:r w:rsidRPr="00BB4848">
        <w:rPr>
          <w:lang w:val="en-US"/>
        </w:rPr>
        <w:t xml:space="preserve"> developed.</w:t>
      </w:r>
    </w:p>
  </w:footnote>
  <w:footnote w:id="21">
    <w:p w:rsidR="00BB4848" w:rsidRPr="00BB4848" w:rsidRDefault="00BB4848" w:rsidP="00544957">
      <w:pPr>
        <w:pStyle w:val="FootnoteText"/>
        <w:tabs>
          <w:tab w:val="clear" w:pos="418"/>
          <w:tab w:val="right" w:pos="1195"/>
          <w:tab w:val="left" w:pos="1267"/>
          <w:tab w:val="left" w:pos="1742"/>
          <w:tab w:val="left" w:pos="2218"/>
          <w:tab w:val="left" w:pos="2693"/>
        </w:tabs>
        <w:ind w:left="1267" w:right="1267" w:hanging="432"/>
        <w:rPr>
          <w:lang w:val="en-US"/>
        </w:rPr>
      </w:pPr>
      <w:r w:rsidRPr="00BB4848">
        <w:rPr>
          <w:lang w:val="en-US"/>
        </w:rPr>
        <w:tab/>
      </w:r>
      <w:r>
        <w:rPr>
          <w:rStyle w:val="FootnoteReference"/>
        </w:rPr>
        <w:footnoteRef/>
      </w:r>
      <w:r w:rsidRPr="00BB4848">
        <w:rPr>
          <w:lang w:val="en-US"/>
        </w:rPr>
        <w:tab/>
        <w:t>Federal Law Gazette No. 33/2007, last amended by No. 57/2008.</w:t>
      </w:r>
    </w:p>
  </w:footnote>
  <w:footnote w:id="22">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Federal Law Gazette No. 140/</w:t>
      </w:r>
      <w:r w:rsidRPr="00BB4848">
        <w:rPr>
          <w:rFonts w:eastAsia="SimSun"/>
          <w:spacing w:val="0"/>
          <w:w w:val="100"/>
          <w:sz w:val="18"/>
          <w:szCs w:val="20"/>
          <w:lang w:val="en-GB" w:eastAsia="zh-CN"/>
        </w:rPr>
        <w:t>1979</w:t>
      </w:r>
      <w:r w:rsidRPr="00BB4848">
        <w:rPr>
          <w:lang w:val="en-US"/>
        </w:rPr>
        <w:t>, last amended by No. 12/2004.</w:t>
      </w:r>
    </w:p>
  </w:footnote>
  <w:footnote w:id="23">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sidRPr="002E6FFB">
        <w:rPr>
          <w:rStyle w:val="FootnoteReference"/>
        </w:rPr>
        <w:footnoteRef/>
      </w:r>
      <w:r w:rsidRPr="00BB4848">
        <w:rPr>
          <w:lang w:val="en-US"/>
        </w:rPr>
        <w:tab/>
        <w:t xml:space="preserve">Federal Law Gazette No. 11/2004, last amended by No. 18/2010. </w:t>
      </w:r>
    </w:p>
  </w:footnote>
  <w:footnote w:id="24">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Federal Law Gazette No. 155/</w:t>
      </w:r>
      <w:r w:rsidRPr="00BB4848">
        <w:rPr>
          <w:rFonts w:eastAsia="SimSun"/>
          <w:spacing w:val="0"/>
          <w:w w:val="100"/>
          <w:sz w:val="18"/>
          <w:szCs w:val="20"/>
          <w:lang w:val="en-GB" w:eastAsia="zh-CN"/>
        </w:rPr>
        <w:t>1990</w:t>
      </w:r>
      <w:r w:rsidRPr="00BB4848">
        <w:rPr>
          <w:lang w:val="en-US"/>
        </w:rPr>
        <w:t>, last amended by No. 18/2010.</w:t>
      </w:r>
    </w:p>
  </w:footnote>
  <w:footnote w:id="25">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sidRPr="00EE16E0">
        <w:rPr>
          <w:rStyle w:val="FootnoteReference"/>
        </w:rPr>
        <w:footnoteRef/>
      </w:r>
      <w:r w:rsidRPr="00BB4848">
        <w:rPr>
          <w:lang w:val="en-US"/>
        </w:rPr>
        <w:tab/>
        <w:t>Federal Law Gazette No. 140/1979, last amended by No. 50/2013.</w:t>
      </w:r>
    </w:p>
  </w:footnote>
  <w:footnote w:id="26">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 xml:space="preserve">Decision of the Austrian Supreme </w:t>
      </w:r>
      <w:r w:rsidRPr="00BB4848">
        <w:rPr>
          <w:rFonts w:eastAsia="SimSun"/>
          <w:spacing w:val="0"/>
          <w:w w:val="100"/>
          <w:sz w:val="18"/>
          <w:szCs w:val="20"/>
          <w:lang w:val="en-GB" w:eastAsia="zh-CN"/>
        </w:rPr>
        <w:t>Court</w:t>
      </w:r>
      <w:r w:rsidRPr="00BB4848">
        <w:rPr>
          <w:lang w:val="en-US"/>
        </w:rPr>
        <w:t>, No. 4 Ob 210/09z, Vienna, 23 February 2010.</w:t>
      </w:r>
    </w:p>
  </w:footnote>
  <w:footnote w:id="27">
    <w:p w:rsidR="00BB4848" w:rsidRPr="00590F71"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de-DE"/>
        </w:rPr>
      </w:pPr>
      <w:r w:rsidRPr="00BB4848">
        <w:rPr>
          <w:lang w:val="en-US"/>
        </w:rPr>
        <w:tab/>
      </w:r>
      <w:r>
        <w:rPr>
          <w:rStyle w:val="FootnoteReference"/>
        </w:rPr>
        <w:footnoteRef/>
      </w:r>
      <w:r w:rsidRPr="004918BF">
        <w:rPr>
          <w:lang w:val="de-DE"/>
        </w:rPr>
        <w:tab/>
        <w:t>Federal Law Gazette No. 8</w:t>
      </w:r>
      <w:r>
        <w:rPr>
          <w:lang w:val="de-DE"/>
        </w:rPr>
        <w:t>0/</w:t>
      </w:r>
      <w:r w:rsidRPr="00BB4848">
        <w:rPr>
          <w:rFonts w:eastAsia="SimSun"/>
          <w:spacing w:val="0"/>
          <w:w w:val="100"/>
          <w:sz w:val="18"/>
          <w:szCs w:val="20"/>
          <w:lang w:val="en-GB" w:eastAsia="zh-CN"/>
        </w:rPr>
        <w:t>2004</w:t>
      </w:r>
      <w:r w:rsidRPr="00590F71">
        <w:rPr>
          <w:lang w:val="de-DE"/>
        </w:rPr>
        <w:t>.</w:t>
      </w:r>
    </w:p>
  </w:footnote>
  <w:footnote w:id="28">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590F71">
        <w:rPr>
          <w:lang w:val="de-DE"/>
        </w:rPr>
        <w:tab/>
      </w:r>
      <w:r>
        <w:rPr>
          <w:rStyle w:val="FootnoteReference"/>
        </w:rPr>
        <w:footnoteRef/>
      </w:r>
      <w:r w:rsidRPr="00BB4848">
        <w:rPr>
          <w:lang w:val="en-US"/>
        </w:rPr>
        <w:tab/>
      </w:r>
      <w:r w:rsidRPr="006B5491">
        <w:rPr>
          <w:lang w:val="en-US"/>
        </w:rPr>
        <w:t>As of 1 Ja</w:t>
      </w:r>
      <w:r>
        <w:rPr>
          <w:lang w:val="en-US"/>
        </w:rPr>
        <w:t>nuary</w:t>
      </w:r>
      <w:r w:rsidRPr="006B5491">
        <w:rPr>
          <w:lang w:val="en-US"/>
        </w:rPr>
        <w:t xml:space="preserve"> 2016</w:t>
      </w:r>
      <w:r>
        <w:rPr>
          <w:lang w:val="en-US"/>
        </w:rPr>
        <w:t>,</w:t>
      </w:r>
      <w:r w:rsidRPr="006B5491">
        <w:rPr>
          <w:lang w:val="en-US"/>
        </w:rPr>
        <w:t xml:space="preserve"> the long-</w:t>
      </w:r>
      <w:r w:rsidRPr="00BB4848">
        <w:rPr>
          <w:rFonts w:eastAsia="SimSun"/>
          <w:spacing w:val="0"/>
          <w:w w:val="100"/>
          <w:sz w:val="18"/>
          <w:szCs w:val="20"/>
          <w:lang w:val="en-GB" w:eastAsia="zh-CN"/>
        </w:rPr>
        <w:t>term</w:t>
      </w:r>
      <w:r w:rsidRPr="006B5491">
        <w:rPr>
          <w:lang w:val="en-US"/>
        </w:rPr>
        <w:t xml:space="preserve"> care allowance </w:t>
      </w:r>
      <w:r>
        <w:rPr>
          <w:lang w:val="en-US"/>
        </w:rPr>
        <w:t xml:space="preserve">will </w:t>
      </w:r>
      <w:r w:rsidRPr="006B5491">
        <w:rPr>
          <w:lang w:val="en-US"/>
        </w:rPr>
        <w:t xml:space="preserve">be </w:t>
      </w:r>
      <w:r>
        <w:rPr>
          <w:lang w:val="en-US"/>
        </w:rPr>
        <w:t>increased by 2 per cent at each level.</w:t>
      </w:r>
    </w:p>
  </w:footnote>
  <w:footnote w:id="29">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 xml:space="preserve">Legal health insurance provides for medical treatment if an irregular physical or mental state requires such treatment. In this regard, it is irrelevant whether the medical service is provided at home or in a care institution. The term “medical treatment” also includes treatment solely for pain relief, as well as for the prevention </w:t>
      </w:r>
      <w:r w:rsidRPr="00BB4848">
        <w:rPr>
          <w:rFonts w:eastAsia="SimSun"/>
          <w:spacing w:val="0"/>
          <w:w w:val="100"/>
          <w:sz w:val="18"/>
          <w:szCs w:val="20"/>
          <w:lang w:val="en-GB" w:eastAsia="zh-CN"/>
        </w:rPr>
        <w:t>of</w:t>
      </w:r>
      <w:r w:rsidRPr="00BB4848">
        <w:rPr>
          <w:lang w:val="en-US"/>
        </w:rPr>
        <w:t xml:space="preserve"> deterioration of the state of health.</w:t>
      </w:r>
    </w:p>
  </w:footnote>
  <w:footnote w:id="30">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 xml:space="preserve">See </w:t>
      </w:r>
      <w:r w:rsidRPr="007A5ABC">
        <w:rPr>
          <w:lang w:val="en-US"/>
        </w:rPr>
        <w:t>Ärztinnen-/Ärzte-</w:t>
      </w:r>
      <w:r w:rsidRPr="00BB4848">
        <w:rPr>
          <w:rFonts w:eastAsia="SimSun"/>
          <w:spacing w:val="0"/>
          <w:w w:val="100"/>
          <w:sz w:val="18"/>
          <w:szCs w:val="20"/>
          <w:lang w:val="en-GB" w:eastAsia="zh-CN"/>
        </w:rPr>
        <w:t>Ausbildungsordnung</w:t>
      </w:r>
      <w:r w:rsidRPr="00BB4848">
        <w:rPr>
          <w:lang w:val="en-US"/>
        </w:rPr>
        <w:t xml:space="preserve"> 2015. </w:t>
      </w:r>
    </w:p>
  </w:footnote>
  <w:footnote w:id="31">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E. Mann et al., “</w:t>
      </w:r>
      <w:r w:rsidRPr="00BB4848">
        <w:rPr>
          <w:rFonts w:eastAsia="SimSun"/>
          <w:spacing w:val="0"/>
          <w:w w:val="100"/>
          <w:sz w:val="18"/>
          <w:szCs w:val="20"/>
          <w:lang w:val="en-GB" w:eastAsia="zh-CN"/>
        </w:rPr>
        <w:t>Potentially</w:t>
      </w:r>
      <w:r w:rsidRPr="00BB4848">
        <w:rPr>
          <w:lang w:val="en-US"/>
        </w:rPr>
        <w:t xml:space="preserve"> inappropriate medication in older persons in Austria: a nationwide prevalence study in 2012”, in </w:t>
      </w:r>
      <w:r w:rsidRPr="00BB4848">
        <w:rPr>
          <w:i/>
          <w:lang w:val="en-US"/>
        </w:rPr>
        <w:t>European Geriatric Medicine</w:t>
      </w:r>
      <w:r w:rsidRPr="00BB4848">
        <w:rPr>
          <w:lang w:val="en-US"/>
        </w:rPr>
        <w:t>, vol. 5, issue 6, December 2014, pp. 399-405.</w:t>
      </w:r>
    </w:p>
  </w:footnote>
  <w:footnote w:id="32">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BB4848">
        <w:rPr>
          <w:lang w:val="en-US"/>
        </w:rPr>
        <w:tab/>
      </w:r>
      <w:r>
        <w:rPr>
          <w:rStyle w:val="FootnoteReference"/>
        </w:rPr>
        <w:footnoteRef/>
      </w:r>
      <w:r w:rsidRPr="00BB4848">
        <w:rPr>
          <w:lang w:val="en-US"/>
        </w:rPr>
        <w:tab/>
        <w:t>Particular emphasis has been placed on “subject-specific geriatric treatment” in the special subject of “internal medicine”.</w:t>
      </w:r>
    </w:p>
  </w:footnote>
  <w:footnote w:id="33">
    <w:p w:rsidR="00BB4848" w:rsidRPr="00280139"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de-DE"/>
        </w:rPr>
      </w:pPr>
      <w:r w:rsidRPr="00BB4848">
        <w:rPr>
          <w:lang w:val="en-US"/>
        </w:rPr>
        <w:tab/>
      </w:r>
      <w:r>
        <w:rPr>
          <w:rStyle w:val="FootnoteReference"/>
        </w:rPr>
        <w:footnoteRef/>
      </w:r>
      <w:r>
        <w:rPr>
          <w:lang w:val="de-DE"/>
        </w:rPr>
        <w:tab/>
        <w:t>See H.</w:t>
      </w:r>
      <w:r w:rsidRPr="00D34860">
        <w:rPr>
          <w:lang w:val="de-DE"/>
        </w:rPr>
        <w:t xml:space="preserve"> Janig et al.,</w:t>
      </w:r>
      <w:r>
        <w:rPr>
          <w:lang w:val="de-DE"/>
        </w:rPr>
        <w:t xml:space="preserve"> “</w:t>
      </w:r>
      <w:r w:rsidRPr="00D34860">
        <w:rPr>
          <w:lang w:val="de-DE"/>
        </w:rPr>
        <w:t>Versorgung optimieren, vermeidbare Krankenhaustransporte reduzieren</w:t>
      </w:r>
      <w:r>
        <w:rPr>
          <w:lang w:val="de-DE"/>
        </w:rPr>
        <w:t>:</w:t>
      </w:r>
      <w:r w:rsidRPr="00D34860">
        <w:rPr>
          <w:lang w:val="de-DE"/>
        </w:rPr>
        <w:t xml:space="preserve"> Eine Interventionsstudie in Kärntner Pflegeheimen</w:t>
      </w:r>
      <w:r>
        <w:rPr>
          <w:lang w:val="de-DE"/>
        </w:rPr>
        <w:t xml:space="preserve">“, in G. Pinter et al., </w:t>
      </w:r>
      <w:r w:rsidRPr="007A5ABC">
        <w:rPr>
          <w:i/>
          <w:lang w:val="de-DE"/>
        </w:rPr>
        <w:t>Geriatrische Notfallversorgung</w:t>
      </w:r>
      <w:r w:rsidRPr="00280139">
        <w:rPr>
          <w:lang w:val="de-DE"/>
        </w:rPr>
        <w:t xml:space="preserve">, </w:t>
      </w:r>
      <w:r>
        <w:rPr>
          <w:lang w:val="de-DE"/>
        </w:rPr>
        <w:t xml:space="preserve">Vienna, </w:t>
      </w:r>
      <w:r w:rsidRPr="00280139">
        <w:rPr>
          <w:lang w:val="de-DE"/>
        </w:rPr>
        <w:t>2013.</w:t>
      </w:r>
    </w:p>
  </w:footnote>
  <w:footnote w:id="34">
    <w:p w:rsidR="00BB4848" w:rsidRPr="00BB4848"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rPr>
          <w:lang w:val="en-US"/>
        </w:rPr>
      </w:pPr>
      <w:r w:rsidRPr="00280139">
        <w:rPr>
          <w:lang w:val="de-DE"/>
        </w:rPr>
        <w:tab/>
      </w:r>
      <w:r>
        <w:rPr>
          <w:rStyle w:val="FootnoteReference"/>
        </w:rPr>
        <w:footnoteRef/>
      </w:r>
      <w:r w:rsidRPr="00BB4848">
        <w:rPr>
          <w:lang w:val="en-US"/>
        </w:rPr>
        <w:tab/>
        <w:t>According to the Government, there are broad, partly extensive provisions on quality for hospitals and practitioners (who also conduct home visits).</w:t>
      </w:r>
    </w:p>
  </w:footnote>
  <w:footnote w:id="35">
    <w:p w:rsidR="00BB4848" w:rsidRPr="00131054" w:rsidRDefault="00BB4848" w:rsidP="00544957">
      <w:pPr>
        <w:pStyle w:val="FootnoteText"/>
        <w:tabs>
          <w:tab w:val="clear" w:pos="418"/>
          <w:tab w:val="right" w:pos="1195"/>
          <w:tab w:val="left" w:pos="1267"/>
          <w:tab w:val="left" w:pos="1742"/>
          <w:tab w:val="left" w:pos="2218"/>
          <w:tab w:val="left" w:pos="2693"/>
        </w:tabs>
        <w:spacing w:line="220" w:lineRule="exact"/>
        <w:ind w:left="1267" w:right="1267" w:hanging="432"/>
      </w:pPr>
      <w:r w:rsidRPr="00BB4848">
        <w:rPr>
          <w:lang w:val="en-US"/>
        </w:rPr>
        <w:tab/>
      </w:r>
      <w:r>
        <w:rPr>
          <w:rStyle w:val="FootnoteReference"/>
        </w:rPr>
        <w:footnoteRef/>
      </w:r>
      <w:r w:rsidRPr="00BB4848">
        <w:rPr>
          <w:lang w:val="en-US"/>
        </w:rPr>
        <w:tab/>
        <w:t xml:space="preserve">See the report of the Committee on Economic, </w:t>
      </w:r>
      <w:r w:rsidRPr="00BB4848">
        <w:rPr>
          <w:rFonts w:eastAsia="SimSun"/>
          <w:spacing w:val="0"/>
          <w:w w:val="100"/>
          <w:sz w:val="18"/>
          <w:szCs w:val="20"/>
          <w:lang w:val="en-GB" w:eastAsia="zh-CN"/>
        </w:rPr>
        <w:t>Social</w:t>
      </w:r>
      <w:r w:rsidRPr="00BB4848">
        <w:rPr>
          <w:lang w:val="en-US"/>
        </w:rPr>
        <w:t xml:space="preserve"> and Cultural Rights for the obligations of States parties regarding the corporate sector and economic, social and cultural rights (E/2012/22, annex VI, sect. </w:t>
      </w:r>
      <w:r w:rsidRPr="00131054">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D79E6" w:rsidTr="00CD79E6">
      <w:trPr>
        <w:trHeight w:hRule="exact" w:val="864"/>
        <w:jc w:val="center"/>
      </w:trPr>
      <w:tc>
        <w:tcPr>
          <w:tcW w:w="4882" w:type="dxa"/>
          <w:shd w:val="clear" w:color="auto" w:fill="auto"/>
          <w:vAlign w:val="bottom"/>
        </w:tcPr>
        <w:p w:rsidR="00CD79E6" w:rsidRPr="00CD79E6" w:rsidRDefault="00CD79E6" w:rsidP="00CD79E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205BA">
            <w:rPr>
              <w:b/>
              <w:color w:val="000000"/>
            </w:rPr>
            <w:t>A/HRC/30/43/Add.2</w:t>
          </w:r>
          <w:r>
            <w:rPr>
              <w:b/>
              <w:color w:val="000000"/>
            </w:rPr>
            <w:fldChar w:fldCharType="end"/>
          </w:r>
        </w:p>
      </w:tc>
      <w:tc>
        <w:tcPr>
          <w:tcW w:w="5127" w:type="dxa"/>
          <w:shd w:val="clear" w:color="auto" w:fill="auto"/>
          <w:vAlign w:val="bottom"/>
        </w:tcPr>
        <w:p w:rsidR="00CD79E6" w:rsidRDefault="00CD79E6" w:rsidP="00CD79E6">
          <w:pPr>
            <w:pStyle w:val="Header"/>
          </w:pPr>
        </w:p>
      </w:tc>
    </w:tr>
  </w:tbl>
  <w:p w:rsidR="00CD79E6" w:rsidRPr="00CD79E6" w:rsidRDefault="00CD79E6" w:rsidP="00CD79E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D79E6" w:rsidTr="00CD79E6">
      <w:trPr>
        <w:trHeight w:hRule="exact" w:val="864"/>
        <w:jc w:val="center"/>
      </w:trPr>
      <w:tc>
        <w:tcPr>
          <w:tcW w:w="4882" w:type="dxa"/>
          <w:shd w:val="clear" w:color="auto" w:fill="auto"/>
          <w:vAlign w:val="bottom"/>
        </w:tcPr>
        <w:p w:rsidR="00CD79E6" w:rsidRDefault="00CD79E6" w:rsidP="00CD79E6">
          <w:pPr>
            <w:pStyle w:val="Header"/>
          </w:pPr>
        </w:p>
      </w:tc>
      <w:tc>
        <w:tcPr>
          <w:tcW w:w="5127" w:type="dxa"/>
          <w:shd w:val="clear" w:color="auto" w:fill="auto"/>
          <w:vAlign w:val="bottom"/>
        </w:tcPr>
        <w:p w:rsidR="00CD79E6" w:rsidRPr="00CD79E6" w:rsidRDefault="00CD79E6" w:rsidP="00CD79E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205BA">
            <w:rPr>
              <w:b/>
              <w:color w:val="000000"/>
            </w:rPr>
            <w:t>A/HRC/30/43/Add.2</w:t>
          </w:r>
          <w:r>
            <w:rPr>
              <w:b/>
              <w:color w:val="000000"/>
            </w:rPr>
            <w:fldChar w:fldCharType="end"/>
          </w:r>
        </w:p>
      </w:tc>
    </w:tr>
  </w:tbl>
  <w:p w:rsidR="00CD79E6" w:rsidRPr="00CD79E6" w:rsidRDefault="00CD79E6" w:rsidP="00CD79E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D79E6" w:rsidTr="00CD79E6">
      <w:trPr>
        <w:trHeight w:hRule="exact" w:val="864"/>
      </w:trPr>
      <w:tc>
        <w:tcPr>
          <w:tcW w:w="1267" w:type="dxa"/>
          <w:tcBorders>
            <w:bottom w:val="single" w:sz="4" w:space="0" w:color="auto"/>
          </w:tcBorders>
          <w:shd w:val="clear" w:color="auto" w:fill="auto"/>
          <w:vAlign w:val="bottom"/>
        </w:tcPr>
        <w:p w:rsidR="00CD79E6" w:rsidRDefault="00CD79E6" w:rsidP="00CD79E6">
          <w:pPr>
            <w:pStyle w:val="Header"/>
            <w:spacing w:after="120"/>
          </w:pPr>
        </w:p>
      </w:tc>
      <w:tc>
        <w:tcPr>
          <w:tcW w:w="2059" w:type="dxa"/>
          <w:tcBorders>
            <w:bottom w:val="single" w:sz="4" w:space="0" w:color="auto"/>
          </w:tcBorders>
          <w:shd w:val="clear" w:color="auto" w:fill="auto"/>
          <w:vAlign w:val="bottom"/>
        </w:tcPr>
        <w:p w:rsidR="00CD79E6" w:rsidRPr="00CD79E6" w:rsidRDefault="00CD79E6" w:rsidP="00CD79E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D79E6" w:rsidRDefault="00CD79E6" w:rsidP="00CD79E6">
          <w:pPr>
            <w:pStyle w:val="Header"/>
            <w:spacing w:after="120"/>
          </w:pPr>
        </w:p>
      </w:tc>
      <w:tc>
        <w:tcPr>
          <w:tcW w:w="6653" w:type="dxa"/>
          <w:gridSpan w:val="4"/>
          <w:tcBorders>
            <w:bottom w:val="single" w:sz="4" w:space="0" w:color="auto"/>
          </w:tcBorders>
          <w:shd w:val="clear" w:color="auto" w:fill="auto"/>
          <w:vAlign w:val="bottom"/>
        </w:tcPr>
        <w:p w:rsidR="00CD79E6" w:rsidRPr="00CD79E6" w:rsidRDefault="00CD79E6" w:rsidP="00CD79E6">
          <w:pPr>
            <w:spacing w:after="80" w:line="240" w:lineRule="auto"/>
            <w:jc w:val="right"/>
            <w:rPr>
              <w:position w:val="-4"/>
            </w:rPr>
          </w:pPr>
          <w:r>
            <w:rPr>
              <w:position w:val="-4"/>
              <w:sz w:val="40"/>
            </w:rPr>
            <w:t>A</w:t>
          </w:r>
          <w:r>
            <w:rPr>
              <w:position w:val="-4"/>
            </w:rPr>
            <w:t>/HRC/30/43/Add.2</w:t>
          </w:r>
        </w:p>
      </w:tc>
    </w:tr>
    <w:tr w:rsidR="00CD79E6" w:rsidRPr="00CD79E6" w:rsidTr="00CD79E6">
      <w:trPr>
        <w:gridAfter w:val="1"/>
        <w:wAfter w:w="18" w:type="dxa"/>
        <w:trHeight w:hRule="exact" w:val="2880"/>
      </w:trPr>
      <w:tc>
        <w:tcPr>
          <w:tcW w:w="1267" w:type="dxa"/>
          <w:tcBorders>
            <w:top w:val="single" w:sz="4" w:space="0" w:color="auto"/>
            <w:bottom w:val="single" w:sz="12" w:space="0" w:color="auto"/>
          </w:tcBorders>
          <w:shd w:val="clear" w:color="auto" w:fill="auto"/>
        </w:tcPr>
        <w:p w:rsidR="00CD79E6" w:rsidRPr="00CD79E6" w:rsidRDefault="00CD79E6" w:rsidP="00CD79E6">
          <w:pPr>
            <w:pStyle w:val="Header"/>
            <w:spacing w:before="120"/>
            <w:jc w:val="center"/>
          </w:pPr>
          <w:r>
            <w:t xml:space="preserve"> </w:t>
          </w:r>
          <w:r>
            <w:rPr>
              <w:lang w:val="en-GB" w:eastAsia="en-GB"/>
            </w:rPr>
            <w:drawing>
              <wp:inline distT="0" distB="0" distL="0" distR="0" wp14:anchorId="478F5966" wp14:editId="61656B4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D79E6" w:rsidRPr="00CD79E6" w:rsidRDefault="00CD79E6" w:rsidP="00CD79E6">
          <w:pPr>
            <w:pStyle w:val="XLarge"/>
            <w:spacing w:before="109"/>
          </w:pPr>
          <w:r>
            <w:t>Asamblea General</w:t>
          </w:r>
        </w:p>
      </w:tc>
      <w:tc>
        <w:tcPr>
          <w:tcW w:w="245" w:type="dxa"/>
          <w:tcBorders>
            <w:top w:val="single" w:sz="4" w:space="0" w:color="auto"/>
            <w:bottom w:val="single" w:sz="12" w:space="0" w:color="auto"/>
          </w:tcBorders>
          <w:shd w:val="clear" w:color="auto" w:fill="auto"/>
        </w:tcPr>
        <w:p w:rsidR="00CD79E6" w:rsidRPr="00CD79E6" w:rsidRDefault="00CD79E6" w:rsidP="00CD79E6">
          <w:pPr>
            <w:pStyle w:val="Header"/>
            <w:spacing w:before="109"/>
          </w:pPr>
        </w:p>
      </w:tc>
      <w:tc>
        <w:tcPr>
          <w:tcW w:w="3280" w:type="dxa"/>
          <w:tcBorders>
            <w:top w:val="single" w:sz="4" w:space="0" w:color="auto"/>
            <w:bottom w:val="single" w:sz="12" w:space="0" w:color="auto"/>
          </w:tcBorders>
          <w:shd w:val="clear" w:color="auto" w:fill="auto"/>
        </w:tcPr>
        <w:p w:rsidR="00CD79E6" w:rsidRDefault="00CD79E6" w:rsidP="00CD79E6">
          <w:pPr>
            <w:pStyle w:val="Distribution"/>
            <w:spacing w:before="240"/>
          </w:pPr>
          <w:r>
            <w:t>Distr. general</w:t>
          </w:r>
        </w:p>
        <w:p w:rsidR="00CD79E6" w:rsidRDefault="00CD79E6" w:rsidP="00CD79E6">
          <w:pPr>
            <w:pStyle w:val="Publication"/>
          </w:pPr>
          <w:r>
            <w:t>11 de agosto de 2015</w:t>
          </w:r>
        </w:p>
        <w:p w:rsidR="00CD79E6" w:rsidRDefault="00CD79E6" w:rsidP="00CD79E6">
          <w:r>
            <w:t>Español</w:t>
          </w:r>
        </w:p>
        <w:p w:rsidR="00CD79E6" w:rsidRDefault="00CD79E6" w:rsidP="00CD79E6">
          <w:pPr>
            <w:pStyle w:val="Original"/>
          </w:pPr>
          <w:r>
            <w:t>Original: inglés</w:t>
          </w:r>
        </w:p>
        <w:p w:rsidR="00CD79E6" w:rsidRPr="00CD79E6" w:rsidRDefault="00CD79E6" w:rsidP="00CD79E6"/>
      </w:tc>
    </w:tr>
  </w:tbl>
  <w:p w:rsidR="00CD79E6" w:rsidRPr="00CD79E6" w:rsidRDefault="00CD79E6" w:rsidP="00CD79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4E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227D3CD5"/>
    <w:multiLevelType w:val="hybridMultilevel"/>
    <w:tmpl w:val="319CBD9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121E01"/>
    <w:multiLevelType w:val="hybridMultilevel"/>
    <w:tmpl w:val="9C4CA96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3C607B"/>
    <w:multiLevelType w:val="hybridMultilevel"/>
    <w:tmpl w:val="3C04D48E"/>
    <w:lvl w:ilvl="0" w:tplc="8C840828">
      <w:start w:val="1"/>
      <w:numFmt w:val="decimal"/>
      <w:lvlText w:val="%1."/>
      <w:lvlJc w:val="left"/>
      <w:pPr>
        <w:tabs>
          <w:tab w:val="num" w:pos="1701"/>
        </w:tabs>
        <w:ind w:left="1134" w:firstLine="0"/>
      </w:pPr>
      <w:rPr>
        <w:rFonts w:hint="default"/>
        <w:b w:val="0"/>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0846A5"/>
    <w:multiLevelType w:val="hybridMultilevel"/>
    <w:tmpl w:val="69F0A684"/>
    <w:lvl w:ilvl="0" w:tplc="AD96C9E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D4A13A0"/>
    <w:multiLevelType w:val="hybridMultilevel"/>
    <w:tmpl w:val="D1A05EF6"/>
    <w:lvl w:ilvl="0" w:tplc="5070615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E9477AC"/>
    <w:multiLevelType w:val="hybridMultilevel"/>
    <w:tmpl w:val="41F47990"/>
    <w:lvl w:ilvl="0" w:tplc="F2CE688E">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380A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nsid w:val="5EB93B51"/>
    <w:multiLevelType w:val="hybridMultilevel"/>
    <w:tmpl w:val="CFF6ACF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nsid w:val="635625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1C14EA"/>
    <w:multiLevelType w:val="hybridMultilevel"/>
    <w:tmpl w:val="CE44C17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7D711E8F"/>
    <w:multiLevelType w:val="hybridMultilevel"/>
    <w:tmpl w:val="9FE2144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506BA1"/>
    <w:multiLevelType w:val="hybridMultilevel"/>
    <w:tmpl w:val="D246437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507744"/>
    <w:multiLevelType w:val="hybridMultilevel"/>
    <w:tmpl w:val="A92EDEE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3"/>
  </w:num>
  <w:num w:numId="4">
    <w:abstractNumId w:val="16"/>
  </w:num>
  <w:num w:numId="5">
    <w:abstractNumId w:val="4"/>
  </w:num>
  <w:num w:numId="6">
    <w:abstractNumId w:val="14"/>
  </w:num>
  <w:num w:numId="7">
    <w:abstractNumId w:val="1"/>
  </w:num>
  <w:num w:numId="8">
    <w:abstractNumId w:val="19"/>
  </w:num>
  <w:num w:numId="9">
    <w:abstractNumId w:val="10"/>
  </w:num>
  <w:num w:numId="10">
    <w:abstractNumId w:val="21"/>
  </w:num>
  <w:num w:numId="11">
    <w:abstractNumId w:val="7"/>
  </w:num>
  <w:num w:numId="12">
    <w:abstractNumId w:val="0"/>
  </w:num>
  <w:num w:numId="13">
    <w:abstractNumId w:val="18"/>
  </w:num>
  <w:num w:numId="14">
    <w:abstractNumId w:val="15"/>
  </w:num>
  <w:num w:numId="15">
    <w:abstractNumId w:val="24"/>
  </w:num>
  <w:num w:numId="16">
    <w:abstractNumId w:val="6"/>
  </w:num>
  <w:num w:numId="17">
    <w:abstractNumId w:val="11"/>
  </w:num>
  <w:num w:numId="18">
    <w:abstractNumId w:val="5"/>
  </w:num>
  <w:num w:numId="19">
    <w:abstractNumId w:val="8"/>
  </w:num>
  <w:num w:numId="20">
    <w:abstractNumId w:val="17"/>
  </w:num>
  <w:num w:numId="21">
    <w:abstractNumId w:val="12"/>
  </w:num>
  <w:num w:numId="22">
    <w:abstractNumId w:val="22"/>
  </w:num>
  <w:num w:numId="23">
    <w:abstractNumId w:val="23"/>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582*"/>
    <w:docVar w:name="CreationDt" w:val="8/25/2015 2:11: PM"/>
    <w:docVar w:name="DocCategory" w:val="Doc"/>
    <w:docVar w:name="DocType" w:val="Final"/>
    <w:docVar w:name="DutyStation" w:val="Geneva"/>
    <w:docVar w:name="FooterJN" w:val="GE.15-13582"/>
    <w:docVar w:name="jobn" w:val="GE.15-13582 (S)"/>
    <w:docVar w:name="jobnDT" w:val="GE.15-13582 (S)   250815"/>
    <w:docVar w:name="jobnDTDT" w:val="GE.15-13582 (S)   250815   250815"/>
    <w:docVar w:name="JobNo" w:val="GE.1513582S"/>
    <w:docVar w:name="JobNo2" w:val="15178142:11: PM"/>
    <w:docVar w:name="LocalDrive" w:val="0"/>
    <w:docVar w:name="OandT" w:val="Hm"/>
    <w:docVar w:name="PaperSize" w:val="A4"/>
    <w:docVar w:name="sss1" w:val="A/HRC/30/43/Add.2"/>
    <w:docVar w:name="sss2" w:val="-"/>
    <w:docVar w:name="Symbol1" w:val="A/HRC/30/43/Add.2"/>
    <w:docVar w:name="Symbol2" w:val="-"/>
  </w:docVars>
  <w:rsids>
    <w:rsidRoot w:val="00406F3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054B"/>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05BA"/>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6F31"/>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4957"/>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46E2"/>
    <w:rsid w:val="005A651B"/>
    <w:rsid w:val="005B0648"/>
    <w:rsid w:val="005B68DB"/>
    <w:rsid w:val="005C547D"/>
    <w:rsid w:val="005C7BD6"/>
    <w:rsid w:val="005D3721"/>
    <w:rsid w:val="005D63A4"/>
    <w:rsid w:val="005E4F7D"/>
    <w:rsid w:val="005E6371"/>
    <w:rsid w:val="005E6B39"/>
    <w:rsid w:val="005F4603"/>
    <w:rsid w:val="005F6986"/>
    <w:rsid w:val="00601523"/>
    <w:rsid w:val="00601FC7"/>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1D78"/>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43CB"/>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3F63"/>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25FE"/>
    <w:rsid w:val="00B8368A"/>
    <w:rsid w:val="00B91514"/>
    <w:rsid w:val="00B9503A"/>
    <w:rsid w:val="00BA68A6"/>
    <w:rsid w:val="00BB0959"/>
    <w:rsid w:val="00BB23DE"/>
    <w:rsid w:val="00BB4848"/>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9E6"/>
    <w:rsid w:val="00CD7F4C"/>
    <w:rsid w:val="00CE0045"/>
    <w:rsid w:val="00CE1381"/>
    <w:rsid w:val="00CE2A43"/>
    <w:rsid w:val="00CE4E1A"/>
    <w:rsid w:val="00D00E66"/>
    <w:rsid w:val="00D02C41"/>
    <w:rsid w:val="00D037B1"/>
    <w:rsid w:val="00D051A5"/>
    <w:rsid w:val="00D139B1"/>
    <w:rsid w:val="00D14B7E"/>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0A54"/>
    <w:rsid w:val="00FE1345"/>
    <w:rsid w:val="00FE6520"/>
    <w:rsid w:val="00FF2087"/>
    <w:rsid w:val="00FF2C05"/>
    <w:rsid w:val="00FF3B6B"/>
    <w:rsid w:val="00FF4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semiHidden/>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rsid w:val="00F61A78"/>
    <w:rPr>
      <w:rFonts w:ascii="Arial" w:eastAsia="Times New Roman" w:hAnsi="Arial" w:cs="Times New Roman"/>
      <w:b/>
      <w:bCs/>
      <w:spacing w:val="4"/>
      <w:w w:val="103"/>
      <w:kern w:val="14"/>
      <w:sz w:val="26"/>
    </w:rPr>
  </w:style>
  <w:style w:type="character" w:customStyle="1" w:styleId="Heading4Char">
    <w:name w:val="Heading 4 Char"/>
    <w:link w:val="Heading4"/>
    <w:rsid w:val="001C2E87"/>
    <w:rPr>
      <w:rFonts w:ascii="Cambria" w:eastAsia="Times New Roman" w:hAnsi="Cambria" w:cs="Times New Roman"/>
      <w:b/>
      <w:bCs/>
      <w:i/>
      <w:iCs/>
    </w:rPr>
  </w:style>
  <w:style w:type="character" w:customStyle="1" w:styleId="Heading5Char">
    <w:name w:val="Heading 5 Char"/>
    <w:link w:val="Heading5"/>
    <w:rsid w:val="001C2E87"/>
    <w:rPr>
      <w:rFonts w:ascii="Cambria" w:eastAsia="Times New Roman" w:hAnsi="Cambria" w:cs="Times New Roman"/>
      <w:b/>
      <w:bCs/>
      <w:color w:val="7F7F7F"/>
    </w:rPr>
  </w:style>
  <w:style w:type="character" w:customStyle="1" w:styleId="Heading6Char">
    <w:name w:val="Heading 6 Char"/>
    <w:link w:val="Heading6"/>
    <w:rsid w:val="001C2E87"/>
    <w:rPr>
      <w:rFonts w:ascii="Cambria" w:eastAsia="Times New Roman" w:hAnsi="Cambria" w:cs="Times New Roman"/>
      <w:b/>
      <w:bCs/>
      <w:i/>
      <w:iCs/>
      <w:color w:val="7F7F7F"/>
    </w:rPr>
  </w:style>
  <w:style w:type="character" w:customStyle="1" w:styleId="Heading7Char">
    <w:name w:val="Heading 7 Char"/>
    <w:link w:val="Heading7"/>
    <w:rsid w:val="001C2E87"/>
    <w:rPr>
      <w:rFonts w:ascii="Cambria" w:eastAsia="Times New Roman" w:hAnsi="Cambria" w:cs="Times New Roman"/>
      <w:i/>
      <w:iCs/>
    </w:rPr>
  </w:style>
  <w:style w:type="character" w:customStyle="1" w:styleId="Heading8Char">
    <w:name w:val="Heading 8 Char"/>
    <w:link w:val="Heading8"/>
    <w:rsid w:val="001C2E87"/>
    <w:rPr>
      <w:rFonts w:ascii="Cambria" w:eastAsia="Times New Roman" w:hAnsi="Cambria" w:cs="Times New Roman"/>
      <w:sz w:val="20"/>
      <w:szCs w:val="20"/>
    </w:rPr>
  </w:style>
  <w:style w:type="character" w:customStyle="1" w:styleId="Heading9Char">
    <w:name w:val="Heading 9 Char"/>
    <w:link w:val="Heading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D79E6"/>
    <w:pPr>
      <w:spacing w:line="240" w:lineRule="auto"/>
    </w:pPr>
    <w:rPr>
      <w:szCs w:val="20"/>
    </w:rPr>
  </w:style>
  <w:style w:type="character" w:customStyle="1" w:styleId="CommentTextChar">
    <w:name w:val="Comment Text Char"/>
    <w:basedOn w:val="DefaultParagraphFont"/>
    <w:link w:val="CommentText"/>
    <w:rsid w:val="00CD79E6"/>
    <w:rPr>
      <w:rFonts w:ascii="Times New Roman" w:hAnsi="Times New Roman"/>
      <w:spacing w:val="4"/>
      <w:w w:val="103"/>
      <w:lang w:val="es-ES"/>
    </w:rPr>
  </w:style>
  <w:style w:type="paragraph" w:styleId="CommentSubject">
    <w:name w:val="annotation subject"/>
    <w:basedOn w:val="CommentText"/>
    <w:next w:val="CommentText"/>
    <w:link w:val="CommentSubjectChar"/>
    <w:rsid w:val="00CD79E6"/>
    <w:rPr>
      <w:b/>
      <w:bCs/>
    </w:rPr>
  </w:style>
  <w:style w:type="character" w:customStyle="1" w:styleId="CommentSubjectChar">
    <w:name w:val="Comment Subject Char"/>
    <w:basedOn w:val="CommentTextChar"/>
    <w:link w:val="CommentSubject"/>
    <w:rsid w:val="00CD79E6"/>
    <w:rPr>
      <w:rFonts w:ascii="Times New Roman" w:hAnsi="Times New Roman"/>
      <w:b/>
      <w:bCs/>
      <w:spacing w:val="4"/>
      <w:w w:val="103"/>
      <w:lang w:val="es-ES"/>
    </w:rPr>
  </w:style>
  <w:style w:type="character" w:customStyle="1" w:styleId="FootnoteTextChar">
    <w:name w:val="Footnote Text Char"/>
    <w:aliases w:val="5_G Char"/>
    <w:basedOn w:val="DefaultParagraphFont"/>
    <w:link w:val="FootnoteText"/>
    <w:uiPriority w:val="99"/>
    <w:rsid w:val="000D054B"/>
    <w:rPr>
      <w:rFonts w:ascii="Times New Roman" w:hAnsi="Times New Roman"/>
      <w:spacing w:val="5"/>
      <w:w w:val="104"/>
      <w:sz w:val="17"/>
      <w:szCs w:val="22"/>
      <w:lang w:val="es-ES"/>
    </w:rPr>
  </w:style>
  <w:style w:type="paragraph" w:customStyle="1" w:styleId="SingleTxtG">
    <w:name w:val="_ Single Txt_G"/>
    <w:basedOn w:val="Normal"/>
    <w:rsid w:val="00BB4848"/>
    <w:pPr>
      <w:spacing w:after="120" w:line="240" w:lineRule="atLeast"/>
      <w:ind w:left="1134" w:right="1134"/>
      <w:jc w:val="both"/>
    </w:pPr>
    <w:rPr>
      <w:rFonts w:eastAsia="Times New Roman"/>
      <w:spacing w:val="0"/>
      <w:w w:val="100"/>
      <w:szCs w:val="20"/>
      <w:lang w:val="x-none"/>
    </w:rPr>
  </w:style>
  <w:style w:type="character" w:customStyle="1" w:styleId="SingleTxtGChar">
    <w:name w:val="_ Single Txt_G Char"/>
    <w:locked/>
    <w:rsid w:val="00BB4848"/>
    <w:rPr>
      <w:lang w:eastAsia="en-US"/>
    </w:rPr>
  </w:style>
  <w:style w:type="paragraph" w:customStyle="1" w:styleId="HMG">
    <w:name w:val="_ H __M_G"/>
    <w:basedOn w:val="Normal"/>
    <w:next w:val="Normal"/>
    <w:rsid w:val="00BB4848"/>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rsid w:val="00BB4848"/>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character" w:customStyle="1" w:styleId="HChGChar">
    <w:name w:val="_ H _Ch_G Char"/>
    <w:locked/>
    <w:rsid w:val="00BB4848"/>
    <w:rPr>
      <w:b/>
      <w:sz w:val="28"/>
      <w:lang w:eastAsia="en-US"/>
    </w:rPr>
  </w:style>
  <w:style w:type="character" w:customStyle="1" w:styleId="HeaderChar">
    <w:name w:val="Header Char"/>
    <w:aliases w:val="6_G Char"/>
    <w:basedOn w:val="DefaultParagraphFont"/>
    <w:link w:val="Header"/>
    <w:rsid w:val="00BB4848"/>
    <w:rPr>
      <w:rFonts w:ascii="Times New Roman" w:hAnsi="Times New Roman"/>
      <w:noProof/>
      <w:sz w:val="17"/>
      <w:szCs w:val="22"/>
    </w:rPr>
  </w:style>
  <w:style w:type="character" w:styleId="Hyperlink">
    <w:name w:val="Hyperlink"/>
    <w:rsid w:val="00BB4848"/>
    <w:rPr>
      <w:color w:val="auto"/>
      <w:u w:val="none"/>
    </w:rPr>
  </w:style>
  <w:style w:type="character" w:styleId="FollowedHyperlink">
    <w:name w:val="FollowedHyperlink"/>
    <w:rsid w:val="00BB4848"/>
    <w:rPr>
      <w:color w:val="auto"/>
      <w:u w:val="none"/>
    </w:rPr>
  </w:style>
  <w:style w:type="paragraph" w:customStyle="1" w:styleId="SMG">
    <w:name w:val="__S_M_G"/>
    <w:basedOn w:val="Normal"/>
    <w:next w:val="Normal"/>
    <w:rsid w:val="00BB4848"/>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BB4848"/>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BB4848"/>
    <w:pPr>
      <w:keepNext/>
      <w:keepLines/>
      <w:spacing w:before="240" w:after="240" w:line="300" w:lineRule="exact"/>
      <w:ind w:left="1134" w:right="1134"/>
    </w:pPr>
    <w:rPr>
      <w:rFonts w:eastAsia="Times New Roman"/>
      <w:b/>
      <w:spacing w:val="0"/>
      <w:w w:val="100"/>
      <w:sz w:val="28"/>
      <w:szCs w:val="20"/>
      <w:lang w:val="en-GB"/>
    </w:rPr>
  </w:style>
  <w:style w:type="character" w:customStyle="1" w:styleId="FootnoteTextChar1">
    <w:name w:val="Footnote Text Char1"/>
    <w:basedOn w:val="DefaultParagraphFont"/>
    <w:semiHidden/>
    <w:rsid w:val="00BB4848"/>
    <w:rPr>
      <w:lang w:eastAsia="en-US"/>
    </w:rPr>
  </w:style>
  <w:style w:type="character" w:customStyle="1" w:styleId="EndnoteTextChar">
    <w:name w:val="Endnote Text Char"/>
    <w:aliases w:val="2_G Char"/>
    <w:basedOn w:val="DefaultParagraphFont"/>
    <w:link w:val="EndnoteText"/>
    <w:semiHidden/>
    <w:rsid w:val="00BB4848"/>
    <w:rPr>
      <w:rFonts w:ascii="Times New Roman" w:hAnsi="Times New Roman"/>
      <w:spacing w:val="5"/>
      <w:w w:val="104"/>
      <w:sz w:val="17"/>
      <w:szCs w:val="22"/>
      <w:lang w:val="es-ES"/>
    </w:rPr>
  </w:style>
  <w:style w:type="character" w:styleId="PageNumber">
    <w:name w:val="page number"/>
    <w:aliases w:val="7_G"/>
    <w:rsid w:val="00BB4848"/>
    <w:rPr>
      <w:rFonts w:ascii="Times New Roman" w:hAnsi="Times New Roman"/>
      <w:b/>
      <w:sz w:val="18"/>
    </w:rPr>
  </w:style>
  <w:style w:type="paragraph" w:customStyle="1" w:styleId="XLargeG">
    <w:name w:val="__XLarge_G"/>
    <w:basedOn w:val="Normal"/>
    <w:next w:val="Normal"/>
    <w:rsid w:val="00BB4848"/>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BB4848"/>
    <w:pPr>
      <w:numPr>
        <w:numId w:val="7"/>
      </w:numPr>
      <w:spacing w:after="120" w:line="240" w:lineRule="atLeast"/>
      <w:ind w:right="1134"/>
      <w:jc w:val="both"/>
    </w:pPr>
    <w:rPr>
      <w:rFonts w:eastAsia="Times New Roman"/>
      <w:spacing w:val="0"/>
      <w:w w:val="100"/>
      <w:szCs w:val="20"/>
      <w:lang w:val="en-GB"/>
    </w:rPr>
  </w:style>
  <w:style w:type="character" w:customStyle="1" w:styleId="FooterChar">
    <w:name w:val="Footer Char"/>
    <w:aliases w:val="3_G Char"/>
    <w:basedOn w:val="DefaultParagraphFont"/>
    <w:link w:val="Footer"/>
    <w:rsid w:val="00BB4848"/>
    <w:rPr>
      <w:rFonts w:ascii="Times New Roman" w:hAnsi="Times New Roman"/>
      <w:b/>
      <w:noProof/>
      <w:sz w:val="17"/>
      <w:szCs w:val="22"/>
    </w:rPr>
  </w:style>
  <w:style w:type="paragraph" w:customStyle="1" w:styleId="Bullet2G">
    <w:name w:val="_Bullet 2_G"/>
    <w:basedOn w:val="Normal"/>
    <w:rsid w:val="00BB4848"/>
    <w:pPr>
      <w:numPr>
        <w:numId w:val="8"/>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BB4848"/>
    <w:pPr>
      <w:keepNext/>
      <w:keepLines/>
      <w:tabs>
        <w:tab w:val="right" w:pos="851"/>
      </w:tabs>
      <w:spacing w:before="360" w:after="240" w:line="270" w:lineRule="exact"/>
      <w:ind w:left="1134" w:right="1134" w:hanging="1134"/>
    </w:pPr>
    <w:rPr>
      <w:rFonts w:eastAsia="Times New Roman"/>
      <w:b/>
      <w:spacing w:val="0"/>
      <w:w w:val="100"/>
      <w:sz w:val="24"/>
      <w:szCs w:val="20"/>
      <w:lang w:val="x-none"/>
    </w:rPr>
  </w:style>
  <w:style w:type="character" w:customStyle="1" w:styleId="H1GChar">
    <w:name w:val="_ H_1_G Char"/>
    <w:locked/>
    <w:rsid w:val="00BB4848"/>
    <w:rPr>
      <w:b/>
      <w:sz w:val="24"/>
      <w:lang w:eastAsia="en-US"/>
    </w:rPr>
  </w:style>
  <w:style w:type="paragraph" w:customStyle="1" w:styleId="H23G">
    <w:name w:val="_ H_2/3_G"/>
    <w:basedOn w:val="Normal"/>
    <w:next w:val="Normal"/>
    <w:rsid w:val="00BB4848"/>
    <w:pPr>
      <w:keepNext/>
      <w:keepLines/>
      <w:tabs>
        <w:tab w:val="right" w:pos="851"/>
      </w:tabs>
      <w:spacing w:before="240" w:after="120"/>
      <w:ind w:left="1134" w:right="1134" w:hanging="1134"/>
    </w:pPr>
    <w:rPr>
      <w:rFonts w:eastAsia="Times New Roman"/>
      <w:b/>
      <w:spacing w:val="0"/>
      <w:w w:val="100"/>
      <w:szCs w:val="20"/>
      <w:lang w:val="x-none"/>
    </w:rPr>
  </w:style>
  <w:style w:type="character" w:customStyle="1" w:styleId="H23GChar">
    <w:name w:val="_ H_2/3_G Char"/>
    <w:locked/>
    <w:rsid w:val="00BB4848"/>
    <w:rPr>
      <w:b/>
      <w:lang w:eastAsia="en-US"/>
    </w:rPr>
  </w:style>
  <w:style w:type="paragraph" w:customStyle="1" w:styleId="H4G">
    <w:name w:val="_ H_4_G"/>
    <w:basedOn w:val="Normal"/>
    <w:next w:val="Normal"/>
    <w:rsid w:val="00BB4848"/>
    <w:pPr>
      <w:keepNext/>
      <w:keepLines/>
      <w:tabs>
        <w:tab w:val="right" w:pos="851"/>
      </w:tabs>
      <w:spacing w:before="240" w:after="120"/>
      <w:ind w:left="1134" w:right="1134" w:hanging="1134"/>
    </w:pPr>
    <w:rPr>
      <w:rFonts w:eastAsia="Times New Roman"/>
      <w:i/>
      <w:spacing w:val="0"/>
      <w:w w:val="100"/>
      <w:szCs w:val="20"/>
      <w:lang w:val="x-none"/>
    </w:rPr>
  </w:style>
  <w:style w:type="character" w:customStyle="1" w:styleId="H4GChar">
    <w:name w:val="_ H_4_G Char"/>
    <w:rsid w:val="00BB4848"/>
    <w:rPr>
      <w:i/>
      <w:lang w:eastAsia="en-US"/>
    </w:rPr>
  </w:style>
  <w:style w:type="paragraph" w:customStyle="1" w:styleId="H56G">
    <w:name w:val="_ H_5/6_G"/>
    <w:basedOn w:val="Normal"/>
    <w:next w:val="Normal"/>
    <w:rsid w:val="00BB4848"/>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MediumGrid1-Accent21">
    <w:name w:val="Medium Grid 1 - Accent 21"/>
    <w:basedOn w:val="Normal"/>
    <w:qFormat/>
    <w:rsid w:val="00BB4848"/>
    <w:pPr>
      <w:spacing w:line="240" w:lineRule="atLeast"/>
      <w:ind w:left="567"/>
    </w:pPr>
    <w:rPr>
      <w:rFonts w:eastAsia="Times New Roman"/>
      <w:spacing w:val="0"/>
      <w:w w:val="100"/>
      <w:szCs w:val="20"/>
      <w:lang w:val="en-GB"/>
    </w:rPr>
  </w:style>
  <w:style w:type="character" w:customStyle="1" w:styleId="BalloonTextChar">
    <w:name w:val="Balloon Text Char"/>
    <w:basedOn w:val="DefaultParagraphFont"/>
    <w:link w:val="BalloonText"/>
    <w:uiPriority w:val="99"/>
    <w:rsid w:val="00BB4848"/>
    <w:rPr>
      <w:rFonts w:ascii="Tahoma" w:hAnsi="Tahoma" w:cs="Tahoma"/>
      <w:spacing w:val="4"/>
      <w:w w:val="103"/>
      <w:sz w:val="16"/>
      <w:szCs w:val="16"/>
      <w:lang w:val="es-ES"/>
    </w:rPr>
  </w:style>
  <w:style w:type="character" w:customStyle="1" w:styleId="apple-converted-space">
    <w:name w:val="apple-converted-space"/>
    <w:rsid w:val="00BB4848"/>
  </w:style>
  <w:style w:type="paragraph" w:styleId="NormalWeb">
    <w:name w:val="Normal (Web)"/>
    <w:basedOn w:val="Normal"/>
    <w:uiPriority w:val="99"/>
    <w:rsid w:val="00BB4848"/>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Emphasis">
    <w:name w:val="Emphasis"/>
    <w:uiPriority w:val="20"/>
    <w:qFormat/>
    <w:rsid w:val="00BB4848"/>
    <w:rPr>
      <w:i/>
      <w:iCs/>
    </w:rPr>
  </w:style>
  <w:style w:type="character" w:customStyle="1" w:styleId="lblnewsfulltext">
    <w:name w:val="lblnewsfulltext"/>
    <w:rsid w:val="00BB4848"/>
  </w:style>
  <w:style w:type="character" w:styleId="Strong">
    <w:name w:val="Strong"/>
    <w:qFormat/>
    <w:rsid w:val="00BB4848"/>
    <w:rPr>
      <w:b/>
      <w:bCs/>
    </w:rPr>
  </w:style>
  <w:style w:type="paragraph" w:customStyle="1" w:styleId="FreeForm">
    <w:name w:val="Free Form"/>
    <w:rsid w:val="00BB4848"/>
    <w:rPr>
      <w:rFonts w:ascii="Lucida Grande" w:eastAsia="ヒラギノ角ゴ Pro W3" w:hAnsi="Lucida Grande"/>
      <w:color w:val="000000"/>
      <w:lang w:val="en-GB" w:eastAsia="en-GB"/>
    </w:rPr>
  </w:style>
  <w:style w:type="paragraph" w:customStyle="1" w:styleId="MediumShading1-Accent11">
    <w:name w:val="Medium Shading 1 - Accent 11"/>
    <w:qFormat/>
    <w:rsid w:val="00BB4848"/>
    <w:rPr>
      <w:rFonts w:ascii="Lucida Grande" w:eastAsia="ヒラギノ角ゴ Pro W3" w:hAnsi="Lucida Grande"/>
      <w:color w:val="000000"/>
      <w:sz w:val="22"/>
      <w:lang w:val="en-GB" w:eastAsia="en-GB"/>
    </w:rPr>
  </w:style>
  <w:style w:type="paragraph" w:customStyle="1" w:styleId="Body">
    <w:name w:val="Body"/>
    <w:rsid w:val="00BB4848"/>
    <w:rPr>
      <w:rFonts w:ascii="Helvetica" w:eastAsia="ヒラギノ角ゴ Pro W3" w:hAnsi="Helvetica"/>
      <w:color w:val="000000"/>
      <w:sz w:val="24"/>
      <w:lang w:eastAsia="en-GB"/>
    </w:rPr>
  </w:style>
  <w:style w:type="paragraph" w:customStyle="1" w:styleId="FootnoteText1">
    <w:name w:val="Footnote Text1"/>
    <w:rsid w:val="00BB4848"/>
    <w:rPr>
      <w:rFonts w:ascii="Helvetica" w:eastAsia="ヒラギノ角ゴ Pro W3" w:hAnsi="Helvetica"/>
      <w:color w:val="000000"/>
      <w:lang w:eastAsia="en-GB"/>
    </w:rPr>
  </w:style>
  <w:style w:type="paragraph" w:customStyle="1" w:styleId="NormalWeb1">
    <w:name w:val="Normal (Web)1"/>
    <w:rsid w:val="00BB4848"/>
    <w:pPr>
      <w:spacing w:before="100" w:after="100"/>
    </w:pPr>
    <w:rPr>
      <w:rFonts w:ascii="Lucida Grande" w:eastAsia="ヒラギノ角ゴ Pro W3" w:hAnsi="Lucida Grande"/>
      <w:color w:val="000000"/>
      <w:sz w:val="24"/>
      <w:lang w:eastAsia="en-GB"/>
    </w:rPr>
  </w:style>
  <w:style w:type="paragraph" w:customStyle="1" w:styleId="Default">
    <w:name w:val="Default"/>
    <w:rsid w:val="00BB4848"/>
    <w:pPr>
      <w:autoSpaceDE w:val="0"/>
      <w:autoSpaceDN w:val="0"/>
      <w:adjustRightInd w:val="0"/>
    </w:pPr>
    <w:rPr>
      <w:rFonts w:ascii="Times New Roman" w:eastAsia="Times New Roman" w:hAnsi="Times New Roman"/>
      <w:noProof/>
      <w:color w:val="000000"/>
      <w:sz w:val="24"/>
      <w:szCs w:val="24"/>
    </w:rPr>
  </w:style>
  <w:style w:type="paragraph" w:customStyle="1" w:styleId="MediumList2-Accent21">
    <w:name w:val="Medium List 2 - Accent 21"/>
    <w:hidden/>
    <w:semiHidden/>
    <w:rsid w:val="00BB4848"/>
    <w:rPr>
      <w:rFonts w:ascii="Times New Roman" w:eastAsia="Times New Roman" w:hAnsi="Times New Roman"/>
      <w:lang w:val="en-GB"/>
    </w:rPr>
  </w:style>
  <w:style w:type="paragraph" w:customStyle="1" w:styleId="ColorfulShading-Accent11">
    <w:name w:val="Colorful Shading - Accent 11"/>
    <w:hidden/>
    <w:semiHidden/>
    <w:rsid w:val="00BB4848"/>
    <w:rPr>
      <w:rFonts w:ascii="Times New Roman" w:eastAsia="Times New Roman" w:hAnsi="Times New Roman"/>
      <w:lang w:val="en-GB"/>
    </w:rPr>
  </w:style>
  <w:style w:type="paragraph" w:customStyle="1" w:styleId="ColorfulShading-Accent12">
    <w:name w:val="Colorful Shading - Accent 12"/>
    <w:hidden/>
    <w:semiHidden/>
    <w:rsid w:val="00BB4848"/>
    <w:rPr>
      <w:rFonts w:ascii="Times New Roman" w:eastAsia="Times New Roman" w:hAnsi="Times New Roman"/>
      <w:lang w:val="en-GB"/>
    </w:rPr>
  </w:style>
  <w:style w:type="character" w:customStyle="1" w:styleId="canliicitation">
    <w:name w:val="canliicitation"/>
    <w:rsid w:val="00BB4848"/>
  </w:style>
  <w:style w:type="character" w:customStyle="1" w:styleId="name">
    <w:name w:val="name"/>
    <w:rsid w:val="00BB4848"/>
  </w:style>
  <w:style w:type="character" w:customStyle="1" w:styleId="WW8Num1z3">
    <w:name w:val="WW8Num1z3"/>
    <w:rsid w:val="00BB4848"/>
    <w:rPr>
      <w:rFonts w:ascii="Wingdings" w:hAnsi="Wingdings" w:cs="Wingdings"/>
    </w:rPr>
  </w:style>
  <w:style w:type="paragraph" w:customStyle="1" w:styleId="ColorfulList-Accent11">
    <w:name w:val="Colorful List - Accent 11"/>
    <w:basedOn w:val="Normal"/>
    <w:rsid w:val="00BB4848"/>
    <w:pPr>
      <w:suppressAutoHyphens w:val="0"/>
      <w:spacing w:line="240" w:lineRule="auto"/>
      <w:ind w:left="720"/>
    </w:pPr>
    <w:rPr>
      <w:rFonts w:eastAsia="Times New Roman"/>
      <w:spacing w:val="0"/>
      <w:w w:val="100"/>
      <w:sz w:val="24"/>
      <w:szCs w:val="24"/>
      <w:lang w:val="en-US"/>
    </w:rPr>
  </w:style>
  <w:style w:type="paragraph" w:styleId="PlainText">
    <w:name w:val="Plain Text"/>
    <w:basedOn w:val="Normal"/>
    <w:link w:val="PlainTextChar"/>
    <w:uiPriority w:val="99"/>
    <w:unhideWhenUsed/>
    <w:rsid w:val="00BB4848"/>
    <w:pPr>
      <w:suppressAutoHyphens w:val="0"/>
      <w:spacing w:line="240" w:lineRule="auto"/>
    </w:pPr>
    <w:rPr>
      <w:rFonts w:ascii="Calibri" w:eastAsia="Times New Roman" w:hAnsi="Calibri" w:cs="Consolas"/>
      <w:spacing w:val="0"/>
      <w:w w:val="100"/>
      <w:sz w:val="22"/>
      <w:szCs w:val="21"/>
      <w:lang w:val="de-AT" w:eastAsia="de-AT"/>
    </w:rPr>
  </w:style>
  <w:style w:type="character" w:customStyle="1" w:styleId="PlainTextChar">
    <w:name w:val="Plain Text Char"/>
    <w:basedOn w:val="DefaultParagraphFont"/>
    <w:link w:val="PlainText"/>
    <w:uiPriority w:val="99"/>
    <w:rsid w:val="00BB4848"/>
    <w:rPr>
      <w:rFonts w:eastAsia="Times New Roman" w:cs="Consolas"/>
      <w:sz w:val="22"/>
      <w:szCs w:val="21"/>
      <w:lang w:val="de-AT" w:eastAsia="de-AT"/>
    </w:rPr>
  </w:style>
  <w:style w:type="character" w:customStyle="1" w:styleId="CommentTextChar1">
    <w:name w:val="Comment Text Char1"/>
    <w:semiHidden/>
    <w:rsid w:val="00BB4848"/>
    <w:rPr>
      <w:lang w:val="x-none" w:eastAsia="en-US"/>
    </w:rPr>
  </w:style>
  <w:style w:type="paragraph" w:customStyle="1" w:styleId="ColorfulShading-Accent13">
    <w:name w:val="Colorful Shading - Accent 13"/>
    <w:hidden/>
    <w:uiPriority w:val="99"/>
    <w:semiHidden/>
    <w:rsid w:val="00BB4848"/>
    <w:rPr>
      <w:rFonts w:ascii="Times New Roman" w:eastAsia="Times New Roman" w:hAnsi="Times New Roman"/>
      <w:lang w:val="en-GB"/>
    </w:rPr>
  </w:style>
  <w:style w:type="paragraph" w:styleId="Revision">
    <w:name w:val="Revision"/>
    <w:hidden/>
    <w:uiPriority w:val="99"/>
    <w:semiHidden/>
    <w:rsid w:val="00BB4848"/>
    <w:rPr>
      <w:rFonts w:ascii="Times New Roman" w:eastAsia="Times New Roman" w:hAnsi="Times New Roman"/>
      <w:lang w:val="en-GB"/>
    </w:rPr>
  </w:style>
  <w:style w:type="table" w:styleId="TableGrid">
    <w:name w:val="Table Grid"/>
    <w:basedOn w:val="TableNormal"/>
    <w:uiPriority w:val="59"/>
    <w:rsid w:val="00BB484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semiHidden/>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rsid w:val="00F61A78"/>
    <w:rPr>
      <w:rFonts w:ascii="Arial" w:eastAsia="Times New Roman" w:hAnsi="Arial" w:cs="Times New Roman"/>
      <w:b/>
      <w:bCs/>
      <w:spacing w:val="4"/>
      <w:w w:val="103"/>
      <w:kern w:val="14"/>
      <w:sz w:val="26"/>
    </w:rPr>
  </w:style>
  <w:style w:type="character" w:customStyle="1" w:styleId="Heading4Char">
    <w:name w:val="Heading 4 Char"/>
    <w:link w:val="Heading4"/>
    <w:rsid w:val="001C2E87"/>
    <w:rPr>
      <w:rFonts w:ascii="Cambria" w:eastAsia="Times New Roman" w:hAnsi="Cambria" w:cs="Times New Roman"/>
      <w:b/>
      <w:bCs/>
      <w:i/>
      <w:iCs/>
    </w:rPr>
  </w:style>
  <w:style w:type="character" w:customStyle="1" w:styleId="Heading5Char">
    <w:name w:val="Heading 5 Char"/>
    <w:link w:val="Heading5"/>
    <w:rsid w:val="001C2E87"/>
    <w:rPr>
      <w:rFonts w:ascii="Cambria" w:eastAsia="Times New Roman" w:hAnsi="Cambria" w:cs="Times New Roman"/>
      <w:b/>
      <w:bCs/>
      <w:color w:val="7F7F7F"/>
    </w:rPr>
  </w:style>
  <w:style w:type="character" w:customStyle="1" w:styleId="Heading6Char">
    <w:name w:val="Heading 6 Char"/>
    <w:link w:val="Heading6"/>
    <w:rsid w:val="001C2E87"/>
    <w:rPr>
      <w:rFonts w:ascii="Cambria" w:eastAsia="Times New Roman" w:hAnsi="Cambria" w:cs="Times New Roman"/>
      <w:b/>
      <w:bCs/>
      <w:i/>
      <w:iCs/>
      <w:color w:val="7F7F7F"/>
    </w:rPr>
  </w:style>
  <w:style w:type="character" w:customStyle="1" w:styleId="Heading7Char">
    <w:name w:val="Heading 7 Char"/>
    <w:link w:val="Heading7"/>
    <w:rsid w:val="001C2E87"/>
    <w:rPr>
      <w:rFonts w:ascii="Cambria" w:eastAsia="Times New Roman" w:hAnsi="Cambria" w:cs="Times New Roman"/>
      <w:i/>
      <w:iCs/>
    </w:rPr>
  </w:style>
  <w:style w:type="character" w:customStyle="1" w:styleId="Heading8Char">
    <w:name w:val="Heading 8 Char"/>
    <w:link w:val="Heading8"/>
    <w:rsid w:val="001C2E87"/>
    <w:rPr>
      <w:rFonts w:ascii="Cambria" w:eastAsia="Times New Roman" w:hAnsi="Cambria" w:cs="Times New Roman"/>
      <w:sz w:val="20"/>
      <w:szCs w:val="20"/>
    </w:rPr>
  </w:style>
  <w:style w:type="character" w:customStyle="1" w:styleId="Heading9Char">
    <w:name w:val="Heading 9 Char"/>
    <w:link w:val="Heading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D79E6"/>
    <w:pPr>
      <w:spacing w:line="240" w:lineRule="auto"/>
    </w:pPr>
    <w:rPr>
      <w:szCs w:val="20"/>
    </w:rPr>
  </w:style>
  <w:style w:type="character" w:customStyle="1" w:styleId="CommentTextChar">
    <w:name w:val="Comment Text Char"/>
    <w:basedOn w:val="DefaultParagraphFont"/>
    <w:link w:val="CommentText"/>
    <w:rsid w:val="00CD79E6"/>
    <w:rPr>
      <w:rFonts w:ascii="Times New Roman" w:hAnsi="Times New Roman"/>
      <w:spacing w:val="4"/>
      <w:w w:val="103"/>
      <w:lang w:val="es-ES"/>
    </w:rPr>
  </w:style>
  <w:style w:type="paragraph" w:styleId="CommentSubject">
    <w:name w:val="annotation subject"/>
    <w:basedOn w:val="CommentText"/>
    <w:next w:val="CommentText"/>
    <w:link w:val="CommentSubjectChar"/>
    <w:rsid w:val="00CD79E6"/>
    <w:rPr>
      <w:b/>
      <w:bCs/>
    </w:rPr>
  </w:style>
  <w:style w:type="character" w:customStyle="1" w:styleId="CommentSubjectChar">
    <w:name w:val="Comment Subject Char"/>
    <w:basedOn w:val="CommentTextChar"/>
    <w:link w:val="CommentSubject"/>
    <w:rsid w:val="00CD79E6"/>
    <w:rPr>
      <w:rFonts w:ascii="Times New Roman" w:hAnsi="Times New Roman"/>
      <w:b/>
      <w:bCs/>
      <w:spacing w:val="4"/>
      <w:w w:val="103"/>
      <w:lang w:val="es-ES"/>
    </w:rPr>
  </w:style>
  <w:style w:type="character" w:customStyle="1" w:styleId="FootnoteTextChar">
    <w:name w:val="Footnote Text Char"/>
    <w:aliases w:val="5_G Char"/>
    <w:basedOn w:val="DefaultParagraphFont"/>
    <w:link w:val="FootnoteText"/>
    <w:uiPriority w:val="99"/>
    <w:rsid w:val="000D054B"/>
    <w:rPr>
      <w:rFonts w:ascii="Times New Roman" w:hAnsi="Times New Roman"/>
      <w:spacing w:val="5"/>
      <w:w w:val="104"/>
      <w:sz w:val="17"/>
      <w:szCs w:val="22"/>
      <w:lang w:val="es-ES"/>
    </w:rPr>
  </w:style>
  <w:style w:type="paragraph" w:customStyle="1" w:styleId="SingleTxtG">
    <w:name w:val="_ Single Txt_G"/>
    <w:basedOn w:val="Normal"/>
    <w:rsid w:val="00BB4848"/>
    <w:pPr>
      <w:spacing w:after="120" w:line="240" w:lineRule="atLeast"/>
      <w:ind w:left="1134" w:right="1134"/>
      <w:jc w:val="both"/>
    </w:pPr>
    <w:rPr>
      <w:rFonts w:eastAsia="Times New Roman"/>
      <w:spacing w:val="0"/>
      <w:w w:val="100"/>
      <w:szCs w:val="20"/>
      <w:lang w:val="x-none"/>
    </w:rPr>
  </w:style>
  <w:style w:type="character" w:customStyle="1" w:styleId="SingleTxtGChar">
    <w:name w:val="_ Single Txt_G Char"/>
    <w:locked/>
    <w:rsid w:val="00BB4848"/>
    <w:rPr>
      <w:lang w:eastAsia="en-US"/>
    </w:rPr>
  </w:style>
  <w:style w:type="paragraph" w:customStyle="1" w:styleId="HMG">
    <w:name w:val="_ H __M_G"/>
    <w:basedOn w:val="Normal"/>
    <w:next w:val="Normal"/>
    <w:rsid w:val="00BB4848"/>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rsid w:val="00BB4848"/>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character" w:customStyle="1" w:styleId="HChGChar">
    <w:name w:val="_ H _Ch_G Char"/>
    <w:locked/>
    <w:rsid w:val="00BB4848"/>
    <w:rPr>
      <w:b/>
      <w:sz w:val="28"/>
      <w:lang w:eastAsia="en-US"/>
    </w:rPr>
  </w:style>
  <w:style w:type="character" w:customStyle="1" w:styleId="HeaderChar">
    <w:name w:val="Header Char"/>
    <w:aliases w:val="6_G Char"/>
    <w:basedOn w:val="DefaultParagraphFont"/>
    <w:link w:val="Header"/>
    <w:rsid w:val="00BB4848"/>
    <w:rPr>
      <w:rFonts w:ascii="Times New Roman" w:hAnsi="Times New Roman"/>
      <w:noProof/>
      <w:sz w:val="17"/>
      <w:szCs w:val="22"/>
    </w:rPr>
  </w:style>
  <w:style w:type="character" w:styleId="Hyperlink">
    <w:name w:val="Hyperlink"/>
    <w:rsid w:val="00BB4848"/>
    <w:rPr>
      <w:color w:val="auto"/>
      <w:u w:val="none"/>
    </w:rPr>
  </w:style>
  <w:style w:type="character" w:styleId="FollowedHyperlink">
    <w:name w:val="FollowedHyperlink"/>
    <w:rsid w:val="00BB4848"/>
    <w:rPr>
      <w:color w:val="auto"/>
      <w:u w:val="none"/>
    </w:rPr>
  </w:style>
  <w:style w:type="paragraph" w:customStyle="1" w:styleId="SMG">
    <w:name w:val="__S_M_G"/>
    <w:basedOn w:val="Normal"/>
    <w:next w:val="Normal"/>
    <w:rsid w:val="00BB4848"/>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BB4848"/>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BB4848"/>
    <w:pPr>
      <w:keepNext/>
      <w:keepLines/>
      <w:spacing w:before="240" w:after="240" w:line="300" w:lineRule="exact"/>
      <w:ind w:left="1134" w:right="1134"/>
    </w:pPr>
    <w:rPr>
      <w:rFonts w:eastAsia="Times New Roman"/>
      <w:b/>
      <w:spacing w:val="0"/>
      <w:w w:val="100"/>
      <w:sz w:val="28"/>
      <w:szCs w:val="20"/>
      <w:lang w:val="en-GB"/>
    </w:rPr>
  </w:style>
  <w:style w:type="character" w:customStyle="1" w:styleId="FootnoteTextChar1">
    <w:name w:val="Footnote Text Char1"/>
    <w:basedOn w:val="DefaultParagraphFont"/>
    <w:semiHidden/>
    <w:rsid w:val="00BB4848"/>
    <w:rPr>
      <w:lang w:eastAsia="en-US"/>
    </w:rPr>
  </w:style>
  <w:style w:type="character" w:customStyle="1" w:styleId="EndnoteTextChar">
    <w:name w:val="Endnote Text Char"/>
    <w:aliases w:val="2_G Char"/>
    <w:basedOn w:val="DefaultParagraphFont"/>
    <w:link w:val="EndnoteText"/>
    <w:semiHidden/>
    <w:rsid w:val="00BB4848"/>
    <w:rPr>
      <w:rFonts w:ascii="Times New Roman" w:hAnsi="Times New Roman"/>
      <w:spacing w:val="5"/>
      <w:w w:val="104"/>
      <w:sz w:val="17"/>
      <w:szCs w:val="22"/>
      <w:lang w:val="es-ES"/>
    </w:rPr>
  </w:style>
  <w:style w:type="character" w:styleId="PageNumber">
    <w:name w:val="page number"/>
    <w:aliases w:val="7_G"/>
    <w:rsid w:val="00BB4848"/>
    <w:rPr>
      <w:rFonts w:ascii="Times New Roman" w:hAnsi="Times New Roman"/>
      <w:b/>
      <w:sz w:val="18"/>
    </w:rPr>
  </w:style>
  <w:style w:type="paragraph" w:customStyle="1" w:styleId="XLargeG">
    <w:name w:val="__XLarge_G"/>
    <w:basedOn w:val="Normal"/>
    <w:next w:val="Normal"/>
    <w:rsid w:val="00BB4848"/>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BB4848"/>
    <w:pPr>
      <w:numPr>
        <w:numId w:val="7"/>
      </w:numPr>
      <w:spacing w:after="120" w:line="240" w:lineRule="atLeast"/>
      <w:ind w:right="1134"/>
      <w:jc w:val="both"/>
    </w:pPr>
    <w:rPr>
      <w:rFonts w:eastAsia="Times New Roman"/>
      <w:spacing w:val="0"/>
      <w:w w:val="100"/>
      <w:szCs w:val="20"/>
      <w:lang w:val="en-GB"/>
    </w:rPr>
  </w:style>
  <w:style w:type="character" w:customStyle="1" w:styleId="FooterChar">
    <w:name w:val="Footer Char"/>
    <w:aliases w:val="3_G Char"/>
    <w:basedOn w:val="DefaultParagraphFont"/>
    <w:link w:val="Footer"/>
    <w:rsid w:val="00BB4848"/>
    <w:rPr>
      <w:rFonts w:ascii="Times New Roman" w:hAnsi="Times New Roman"/>
      <w:b/>
      <w:noProof/>
      <w:sz w:val="17"/>
      <w:szCs w:val="22"/>
    </w:rPr>
  </w:style>
  <w:style w:type="paragraph" w:customStyle="1" w:styleId="Bullet2G">
    <w:name w:val="_Bullet 2_G"/>
    <w:basedOn w:val="Normal"/>
    <w:rsid w:val="00BB4848"/>
    <w:pPr>
      <w:numPr>
        <w:numId w:val="8"/>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BB4848"/>
    <w:pPr>
      <w:keepNext/>
      <w:keepLines/>
      <w:tabs>
        <w:tab w:val="right" w:pos="851"/>
      </w:tabs>
      <w:spacing w:before="360" w:after="240" w:line="270" w:lineRule="exact"/>
      <w:ind w:left="1134" w:right="1134" w:hanging="1134"/>
    </w:pPr>
    <w:rPr>
      <w:rFonts w:eastAsia="Times New Roman"/>
      <w:b/>
      <w:spacing w:val="0"/>
      <w:w w:val="100"/>
      <w:sz w:val="24"/>
      <w:szCs w:val="20"/>
      <w:lang w:val="x-none"/>
    </w:rPr>
  </w:style>
  <w:style w:type="character" w:customStyle="1" w:styleId="H1GChar">
    <w:name w:val="_ H_1_G Char"/>
    <w:locked/>
    <w:rsid w:val="00BB4848"/>
    <w:rPr>
      <w:b/>
      <w:sz w:val="24"/>
      <w:lang w:eastAsia="en-US"/>
    </w:rPr>
  </w:style>
  <w:style w:type="paragraph" w:customStyle="1" w:styleId="H23G">
    <w:name w:val="_ H_2/3_G"/>
    <w:basedOn w:val="Normal"/>
    <w:next w:val="Normal"/>
    <w:rsid w:val="00BB4848"/>
    <w:pPr>
      <w:keepNext/>
      <w:keepLines/>
      <w:tabs>
        <w:tab w:val="right" w:pos="851"/>
      </w:tabs>
      <w:spacing w:before="240" w:after="120"/>
      <w:ind w:left="1134" w:right="1134" w:hanging="1134"/>
    </w:pPr>
    <w:rPr>
      <w:rFonts w:eastAsia="Times New Roman"/>
      <w:b/>
      <w:spacing w:val="0"/>
      <w:w w:val="100"/>
      <w:szCs w:val="20"/>
      <w:lang w:val="x-none"/>
    </w:rPr>
  </w:style>
  <w:style w:type="character" w:customStyle="1" w:styleId="H23GChar">
    <w:name w:val="_ H_2/3_G Char"/>
    <w:locked/>
    <w:rsid w:val="00BB4848"/>
    <w:rPr>
      <w:b/>
      <w:lang w:eastAsia="en-US"/>
    </w:rPr>
  </w:style>
  <w:style w:type="paragraph" w:customStyle="1" w:styleId="H4G">
    <w:name w:val="_ H_4_G"/>
    <w:basedOn w:val="Normal"/>
    <w:next w:val="Normal"/>
    <w:rsid w:val="00BB4848"/>
    <w:pPr>
      <w:keepNext/>
      <w:keepLines/>
      <w:tabs>
        <w:tab w:val="right" w:pos="851"/>
      </w:tabs>
      <w:spacing w:before="240" w:after="120"/>
      <w:ind w:left="1134" w:right="1134" w:hanging="1134"/>
    </w:pPr>
    <w:rPr>
      <w:rFonts w:eastAsia="Times New Roman"/>
      <w:i/>
      <w:spacing w:val="0"/>
      <w:w w:val="100"/>
      <w:szCs w:val="20"/>
      <w:lang w:val="x-none"/>
    </w:rPr>
  </w:style>
  <w:style w:type="character" w:customStyle="1" w:styleId="H4GChar">
    <w:name w:val="_ H_4_G Char"/>
    <w:rsid w:val="00BB4848"/>
    <w:rPr>
      <w:i/>
      <w:lang w:eastAsia="en-US"/>
    </w:rPr>
  </w:style>
  <w:style w:type="paragraph" w:customStyle="1" w:styleId="H56G">
    <w:name w:val="_ H_5/6_G"/>
    <w:basedOn w:val="Normal"/>
    <w:next w:val="Normal"/>
    <w:rsid w:val="00BB4848"/>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MediumGrid1-Accent21">
    <w:name w:val="Medium Grid 1 - Accent 21"/>
    <w:basedOn w:val="Normal"/>
    <w:qFormat/>
    <w:rsid w:val="00BB4848"/>
    <w:pPr>
      <w:spacing w:line="240" w:lineRule="atLeast"/>
      <w:ind w:left="567"/>
    </w:pPr>
    <w:rPr>
      <w:rFonts w:eastAsia="Times New Roman"/>
      <w:spacing w:val="0"/>
      <w:w w:val="100"/>
      <w:szCs w:val="20"/>
      <w:lang w:val="en-GB"/>
    </w:rPr>
  </w:style>
  <w:style w:type="character" w:customStyle="1" w:styleId="BalloonTextChar">
    <w:name w:val="Balloon Text Char"/>
    <w:basedOn w:val="DefaultParagraphFont"/>
    <w:link w:val="BalloonText"/>
    <w:uiPriority w:val="99"/>
    <w:rsid w:val="00BB4848"/>
    <w:rPr>
      <w:rFonts w:ascii="Tahoma" w:hAnsi="Tahoma" w:cs="Tahoma"/>
      <w:spacing w:val="4"/>
      <w:w w:val="103"/>
      <w:sz w:val="16"/>
      <w:szCs w:val="16"/>
      <w:lang w:val="es-ES"/>
    </w:rPr>
  </w:style>
  <w:style w:type="character" w:customStyle="1" w:styleId="apple-converted-space">
    <w:name w:val="apple-converted-space"/>
    <w:rsid w:val="00BB4848"/>
  </w:style>
  <w:style w:type="paragraph" w:styleId="NormalWeb">
    <w:name w:val="Normal (Web)"/>
    <w:basedOn w:val="Normal"/>
    <w:uiPriority w:val="99"/>
    <w:rsid w:val="00BB4848"/>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Emphasis">
    <w:name w:val="Emphasis"/>
    <w:uiPriority w:val="20"/>
    <w:qFormat/>
    <w:rsid w:val="00BB4848"/>
    <w:rPr>
      <w:i/>
      <w:iCs/>
    </w:rPr>
  </w:style>
  <w:style w:type="character" w:customStyle="1" w:styleId="lblnewsfulltext">
    <w:name w:val="lblnewsfulltext"/>
    <w:rsid w:val="00BB4848"/>
  </w:style>
  <w:style w:type="character" w:styleId="Strong">
    <w:name w:val="Strong"/>
    <w:qFormat/>
    <w:rsid w:val="00BB4848"/>
    <w:rPr>
      <w:b/>
      <w:bCs/>
    </w:rPr>
  </w:style>
  <w:style w:type="paragraph" w:customStyle="1" w:styleId="FreeForm">
    <w:name w:val="Free Form"/>
    <w:rsid w:val="00BB4848"/>
    <w:rPr>
      <w:rFonts w:ascii="Lucida Grande" w:eastAsia="ヒラギノ角ゴ Pro W3" w:hAnsi="Lucida Grande"/>
      <w:color w:val="000000"/>
      <w:lang w:val="en-GB" w:eastAsia="en-GB"/>
    </w:rPr>
  </w:style>
  <w:style w:type="paragraph" w:customStyle="1" w:styleId="MediumShading1-Accent11">
    <w:name w:val="Medium Shading 1 - Accent 11"/>
    <w:qFormat/>
    <w:rsid w:val="00BB4848"/>
    <w:rPr>
      <w:rFonts w:ascii="Lucida Grande" w:eastAsia="ヒラギノ角ゴ Pro W3" w:hAnsi="Lucida Grande"/>
      <w:color w:val="000000"/>
      <w:sz w:val="22"/>
      <w:lang w:val="en-GB" w:eastAsia="en-GB"/>
    </w:rPr>
  </w:style>
  <w:style w:type="paragraph" w:customStyle="1" w:styleId="Body">
    <w:name w:val="Body"/>
    <w:rsid w:val="00BB4848"/>
    <w:rPr>
      <w:rFonts w:ascii="Helvetica" w:eastAsia="ヒラギノ角ゴ Pro W3" w:hAnsi="Helvetica"/>
      <w:color w:val="000000"/>
      <w:sz w:val="24"/>
      <w:lang w:eastAsia="en-GB"/>
    </w:rPr>
  </w:style>
  <w:style w:type="paragraph" w:customStyle="1" w:styleId="FootnoteText1">
    <w:name w:val="Footnote Text1"/>
    <w:rsid w:val="00BB4848"/>
    <w:rPr>
      <w:rFonts w:ascii="Helvetica" w:eastAsia="ヒラギノ角ゴ Pro W3" w:hAnsi="Helvetica"/>
      <w:color w:val="000000"/>
      <w:lang w:eastAsia="en-GB"/>
    </w:rPr>
  </w:style>
  <w:style w:type="paragraph" w:customStyle="1" w:styleId="NormalWeb1">
    <w:name w:val="Normal (Web)1"/>
    <w:rsid w:val="00BB4848"/>
    <w:pPr>
      <w:spacing w:before="100" w:after="100"/>
    </w:pPr>
    <w:rPr>
      <w:rFonts w:ascii="Lucida Grande" w:eastAsia="ヒラギノ角ゴ Pro W3" w:hAnsi="Lucida Grande"/>
      <w:color w:val="000000"/>
      <w:sz w:val="24"/>
      <w:lang w:eastAsia="en-GB"/>
    </w:rPr>
  </w:style>
  <w:style w:type="paragraph" w:customStyle="1" w:styleId="Default">
    <w:name w:val="Default"/>
    <w:rsid w:val="00BB4848"/>
    <w:pPr>
      <w:autoSpaceDE w:val="0"/>
      <w:autoSpaceDN w:val="0"/>
      <w:adjustRightInd w:val="0"/>
    </w:pPr>
    <w:rPr>
      <w:rFonts w:ascii="Times New Roman" w:eastAsia="Times New Roman" w:hAnsi="Times New Roman"/>
      <w:noProof/>
      <w:color w:val="000000"/>
      <w:sz w:val="24"/>
      <w:szCs w:val="24"/>
    </w:rPr>
  </w:style>
  <w:style w:type="paragraph" w:customStyle="1" w:styleId="MediumList2-Accent21">
    <w:name w:val="Medium List 2 - Accent 21"/>
    <w:hidden/>
    <w:semiHidden/>
    <w:rsid w:val="00BB4848"/>
    <w:rPr>
      <w:rFonts w:ascii="Times New Roman" w:eastAsia="Times New Roman" w:hAnsi="Times New Roman"/>
      <w:lang w:val="en-GB"/>
    </w:rPr>
  </w:style>
  <w:style w:type="paragraph" w:customStyle="1" w:styleId="ColorfulShading-Accent11">
    <w:name w:val="Colorful Shading - Accent 11"/>
    <w:hidden/>
    <w:semiHidden/>
    <w:rsid w:val="00BB4848"/>
    <w:rPr>
      <w:rFonts w:ascii="Times New Roman" w:eastAsia="Times New Roman" w:hAnsi="Times New Roman"/>
      <w:lang w:val="en-GB"/>
    </w:rPr>
  </w:style>
  <w:style w:type="paragraph" w:customStyle="1" w:styleId="ColorfulShading-Accent12">
    <w:name w:val="Colorful Shading - Accent 12"/>
    <w:hidden/>
    <w:semiHidden/>
    <w:rsid w:val="00BB4848"/>
    <w:rPr>
      <w:rFonts w:ascii="Times New Roman" w:eastAsia="Times New Roman" w:hAnsi="Times New Roman"/>
      <w:lang w:val="en-GB"/>
    </w:rPr>
  </w:style>
  <w:style w:type="character" w:customStyle="1" w:styleId="canliicitation">
    <w:name w:val="canliicitation"/>
    <w:rsid w:val="00BB4848"/>
  </w:style>
  <w:style w:type="character" w:customStyle="1" w:styleId="name">
    <w:name w:val="name"/>
    <w:rsid w:val="00BB4848"/>
  </w:style>
  <w:style w:type="character" w:customStyle="1" w:styleId="WW8Num1z3">
    <w:name w:val="WW8Num1z3"/>
    <w:rsid w:val="00BB4848"/>
    <w:rPr>
      <w:rFonts w:ascii="Wingdings" w:hAnsi="Wingdings" w:cs="Wingdings"/>
    </w:rPr>
  </w:style>
  <w:style w:type="paragraph" w:customStyle="1" w:styleId="ColorfulList-Accent11">
    <w:name w:val="Colorful List - Accent 11"/>
    <w:basedOn w:val="Normal"/>
    <w:rsid w:val="00BB4848"/>
    <w:pPr>
      <w:suppressAutoHyphens w:val="0"/>
      <w:spacing w:line="240" w:lineRule="auto"/>
      <w:ind w:left="720"/>
    </w:pPr>
    <w:rPr>
      <w:rFonts w:eastAsia="Times New Roman"/>
      <w:spacing w:val="0"/>
      <w:w w:val="100"/>
      <w:sz w:val="24"/>
      <w:szCs w:val="24"/>
      <w:lang w:val="en-US"/>
    </w:rPr>
  </w:style>
  <w:style w:type="paragraph" w:styleId="PlainText">
    <w:name w:val="Plain Text"/>
    <w:basedOn w:val="Normal"/>
    <w:link w:val="PlainTextChar"/>
    <w:uiPriority w:val="99"/>
    <w:unhideWhenUsed/>
    <w:rsid w:val="00BB4848"/>
    <w:pPr>
      <w:suppressAutoHyphens w:val="0"/>
      <w:spacing w:line="240" w:lineRule="auto"/>
    </w:pPr>
    <w:rPr>
      <w:rFonts w:ascii="Calibri" w:eastAsia="Times New Roman" w:hAnsi="Calibri" w:cs="Consolas"/>
      <w:spacing w:val="0"/>
      <w:w w:val="100"/>
      <w:sz w:val="22"/>
      <w:szCs w:val="21"/>
      <w:lang w:val="de-AT" w:eastAsia="de-AT"/>
    </w:rPr>
  </w:style>
  <w:style w:type="character" w:customStyle="1" w:styleId="PlainTextChar">
    <w:name w:val="Plain Text Char"/>
    <w:basedOn w:val="DefaultParagraphFont"/>
    <w:link w:val="PlainText"/>
    <w:uiPriority w:val="99"/>
    <w:rsid w:val="00BB4848"/>
    <w:rPr>
      <w:rFonts w:eastAsia="Times New Roman" w:cs="Consolas"/>
      <w:sz w:val="22"/>
      <w:szCs w:val="21"/>
      <w:lang w:val="de-AT" w:eastAsia="de-AT"/>
    </w:rPr>
  </w:style>
  <w:style w:type="character" w:customStyle="1" w:styleId="CommentTextChar1">
    <w:name w:val="Comment Text Char1"/>
    <w:semiHidden/>
    <w:rsid w:val="00BB4848"/>
    <w:rPr>
      <w:lang w:val="x-none" w:eastAsia="en-US"/>
    </w:rPr>
  </w:style>
  <w:style w:type="paragraph" w:customStyle="1" w:styleId="ColorfulShading-Accent13">
    <w:name w:val="Colorful Shading - Accent 13"/>
    <w:hidden/>
    <w:uiPriority w:val="99"/>
    <w:semiHidden/>
    <w:rsid w:val="00BB4848"/>
    <w:rPr>
      <w:rFonts w:ascii="Times New Roman" w:eastAsia="Times New Roman" w:hAnsi="Times New Roman"/>
      <w:lang w:val="en-GB"/>
    </w:rPr>
  </w:style>
  <w:style w:type="paragraph" w:styleId="Revision">
    <w:name w:val="Revision"/>
    <w:hidden/>
    <w:uiPriority w:val="99"/>
    <w:semiHidden/>
    <w:rsid w:val="00BB4848"/>
    <w:rPr>
      <w:rFonts w:ascii="Times New Roman" w:eastAsia="Times New Roman" w:hAnsi="Times New Roman"/>
      <w:lang w:val="en-GB"/>
    </w:rPr>
  </w:style>
  <w:style w:type="table" w:styleId="TableGrid">
    <w:name w:val="Table Grid"/>
    <w:basedOn w:val="TableNormal"/>
    <w:uiPriority w:val="59"/>
    <w:rsid w:val="00BB484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sozialministerium.at//cms/site/attachments/3/2/0/CH2275/CMS1314805959138/praevention_und_intervention_bei_gewalt_gegen_aeltere_menschen_kompl.pdf" TargetMode="External"/><Relationship Id="rId2" Type="http://schemas.openxmlformats.org/officeDocument/2006/relationships/hyperlink" Target="http://www.sozialministerium.at//cms/site/attachments/3/2/0/CH2275/CMS" TargetMode="External"/><Relationship Id="rId1" Type="http://schemas.openxmlformats.org/officeDocument/2006/relationships/hyperlink" Target="http://www.helpage.org/global-agewatch/population-ageing-data/country-ageing-data/?country=Austria" TargetMode="External"/><Relationship Id="rId6" Type="http://schemas.openxmlformats.org/officeDocument/2006/relationships/hyperlink" Target="http://www.sozialministerium.at/cms/site2/attachments/8/5/7/CH2233/CMS1218112881779/kolland._lernbeduerfnisse.zusammenfassung%5b1%5d.pdf" TargetMode="External"/><Relationship Id="rId5" Type="http://schemas.openxmlformats.org/officeDocument/2006/relationships/hyperlink" Target="http://www.sozialministerium.at/cms/site/attachments/1/6/3/CH2088/CMS1313745345149/social_protection_in_austria.pdf" TargetMode="External"/><Relationship Id="rId4" Type="http://schemas.openxmlformats.org/officeDocument/2006/relationships/hyperlink" Target="http://www.inpea.net/images/AVOW-Austrian-Survey_201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F785-DC39-4BF3-8700-7AB29902F36D}"/>
</file>

<file path=customXml/itemProps2.xml><?xml version="1.0" encoding="utf-8"?>
<ds:datastoreItem xmlns:ds="http://schemas.openxmlformats.org/officeDocument/2006/customXml" ds:itemID="{E692E923-85C1-4FE5-9C89-0C114A6F5FBA}"/>
</file>

<file path=customXml/itemProps3.xml><?xml version="1.0" encoding="utf-8"?>
<ds:datastoreItem xmlns:ds="http://schemas.openxmlformats.org/officeDocument/2006/customXml" ds:itemID="{2B8DB320-A2F9-4659-8D77-DE2AA9C56D6D}"/>
</file>

<file path=customXml/itemProps4.xml><?xml version="1.0" encoding="utf-8"?>
<ds:datastoreItem xmlns:ds="http://schemas.openxmlformats.org/officeDocument/2006/customXml" ds:itemID="{12F28834-EDA2-4607-B5BD-80EFA87C4777}"/>
</file>

<file path=docProps/app.xml><?xml version="1.0" encoding="utf-8"?>
<Properties xmlns="http://schemas.openxmlformats.org/officeDocument/2006/extended-properties" xmlns:vt="http://schemas.openxmlformats.org/officeDocument/2006/docPropsVTypes">
  <Template>Normal</Template>
  <TotalTime>0</TotalTime>
  <Pages>20</Pages>
  <Words>9736</Words>
  <Characters>55497</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Austria in Spanish</dc:title>
  <dc:creator>Horten</dc:creator>
  <cp:lastModifiedBy>Somova Iuliia</cp:lastModifiedBy>
  <cp:revision>2</cp:revision>
  <cp:lastPrinted>2015-08-25T14:09:00Z</cp:lastPrinted>
  <dcterms:created xsi:type="dcterms:W3CDTF">2015-09-07T09:39:00Z</dcterms:created>
  <dcterms:modified xsi:type="dcterms:W3CDTF">2015-09-07T09:39:00Z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1513582</vt:lpwstr>
  </property>
  <property fmtid="{D5CDD505-2E9C-101B-9397-08002B2CF9AE}" pid="3" name="ODSRefJobNo">
    <vt:lpwstr>1517814</vt:lpwstr>
  </property>
  <property fmtid="{D5CDD505-2E9C-101B-9397-08002B2CF9AE}" pid="4" name="Symbol1">
    <vt:lpwstr>A/HRC/30/43/Add.2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11 de agosto de 2015</vt:lpwstr>
  </property>
  <property fmtid="{D5CDD505-2E9C-101B-9397-08002B2CF9AE}" pid="8" name="Original">
    <vt:lpwstr>inglés</vt:lpwstr>
  </property>
  <property fmtid="{D5CDD505-2E9C-101B-9397-08002B2CF9AE}" pid="9" name="Release Date">
    <vt:lpwstr>250815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y fmtid="{D5CDD505-2E9C-101B-9397-08002B2CF9AE}" pid="14" name="ContentTypeId">
    <vt:lpwstr>0x010100EF670F518423CB4F888C4265EEC2C475</vt:lpwstr>
  </property>
  <property fmtid="{D5CDD505-2E9C-101B-9397-08002B2CF9AE}" pid="15" name="Order">
    <vt:r8>24600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