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813324" w:rsidP="00813324">
            <w:pPr>
              <w:jc w:val="right"/>
            </w:pPr>
            <w:r w:rsidRPr="00813324">
              <w:rPr>
                <w:sz w:val="40"/>
              </w:rPr>
              <w:t>A</w:t>
            </w:r>
            <w:r>
              <w:t>/HRC/33/12/Add.1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534D1"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813324" w:rsidP="00813324">
            <w:pPr>
              <w:spacing w:before="240" w:line="240" w:lineRule="exact"/>
            </w:pPr>
            <w:r>
              <w:t>Distr.: General</w:t>
            </w:r>
          </w:p>
          <w:p w:rsidR="00813324" w:rsidRDefault="00813324" w:rsidP="00813324">
            <w:pPr>
              <w:spacing w:line="240" w:lineRule="exact"/>
            </w:pPr>
            <w:r>
              <w:t>2</w:t>
            </w:r>
            <w:r w:rsidR="001C2890">
              <w:t>2</w:t>
            </w:r>
            <w:r>
              <w:t xml:space="preserve"> September 2016</w:t>
            </w:r>
          </w:p>
          <w:p w:rsidR="00813324" w:rsidRDefault="00813324" w:rsidP="00813324">
            <w:pPr>
              <w:spacing w:line="240" w:lineRule="exact"/>
            </w:pPr>
          </w:p>
          <w:p w:rsidR="00813324" w:rsidRDefault="00813324" w:rsidP="00813324">
            <w:pPr>
              <w:spacing w:line="240" w:lineRule="exact"/>
            </w:pPr>
            <w:r>
              <w:t>Original: English</w:t>
            </w:r>
          </w:p>
        </w:tc>
      </w:tr>
    </w:tbl>
    <w:p w:rsidR="00813324" w:rsidRPr="00C267F4" w:rsidRDefault="00813324" w:rsidP="00813324">
      <w:pPr>
        <w:rPr>
          <w:b/>
          <w:bCs/>
          <w:sz w:val="24"/>
          <w:szCs w:val="24"/>
        </w:rPr>
      </w:pPr>
      <w:r w:rsidRPr="00C267F4">
        <w:rPr>
          <w:b/>
          <w:bCs/>
          <w:sz w:val="24"/>
          <w:szCs w:val="24"/>
        </w:rPr>
        <w:t>Human Rights Council</w:t>
      </w:r>
      <w:r w:rsidR="001C2890">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813324" w:rsidRPr="00C267F4" w:rsidRDefault="00813324" w:rsidP="00813324">
      <w:pPr>
        <w:rPr>
          <w:b/>
          <w:bCs/>
        </w:rPr>
      </w:pPr>
      <w:r w:rsidRPr="00C267F4">
        <w:rPr>
          <w:b/>
          <w:bCs/>
        </w:rPr>
        <w:t>Thirty-</w:t>
      </w:r>
      <w:r>
        <w:rPr>
          <w:b/>
          <w:bCs/>
        </w:rPr>
        <w:t>third</w:t>
      </w:r>
      <w:r w:rsidRPr="00C267F4">
        <w:rPr>
          <w:b/>
          <w:bCs/>
        </w:rPr>
        <w:t xml:space="preserve"> </w:t>
      </w:r>
      <w:proofErr w:type="gramStart"/>
      <w:r w:rsidRPr="00C267F4">
        <w:rPr>
          <w:b/>
          <w:bCs/>
        </w:rPr>
        <w:t>session</w:t>
      </w:r>
      <w:proofErr w:type="gramEnd"/>
    </w:p>
    <w:p w:rsidR="00813324" w:rsidRPr="00C267F4" w:rsidRDefault="00813324" w:rsidP="00813324">
      <w:r w:rsidRPr="00C267F4">
        <w:t>Agenda item 6</w:t>
      </w:r>
    </w:p>
    <w:p w:rsidR="00813324" w:rsidRPr="00C267F4" w:rsidRDefault="00813324" w:rsidP="00813324">
      <w:pPr>
        <w:rPr>
          <w:b/>
        </w:rPr>
      </w:pPr>
      <w:r w:rsidRPr="00C267F4">
        <w:rPr>
          <w:b/>
        </w:rPr>
        <w:t>Universal Periodic Review</w:t>
      </w:r>
    </w:p>
    <w:p w:rsidR="00813324" w:rsidRPr="00C267F4" w:rsidRDefault="00813324" w:rsidP="00813324">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813324" w:rsidRPr="00C267F4" w:rsidRDefault="008D4A54" w:rsidP="00813324">
      <w:pPr>
        <w:keepNext/>
        <w:keepLines/>
        <w:tabs>
          <w:tab w:val="right" w:pos="851"/>
        </w:tabs>
        <w:spacing w:before="360" w:after="240" w:line="300" w:lineRule="exact"/>
        <w:ind w:left="1134" w:right="1134" w:hanging="1134"/>
        <w:rPr>
          <w:b/>
          <w:sz w:val="28"/>
        </w:rPr>
      </w:pPr>
      <w:r>
        <w:rPr>
          <w:b/>
          <w:sz w:val="28"/>
        </w:rPr>
        <w:tab/>
      </w:r>
      <w:r>
        <w:rPr>
          <w:b/>
          <w:sz w:val="28"/>
        </w:rPr>
        <w:tab/>
        <w:t>United Republic of Tanzania</w:t>
      </w:r>
    </w:p>
    <w:p w:rsidR="00813324" w:rsidRPr="00C267F4" w:rsidRDefault="00813324" w:rsidP="00813324">
      <w:pPr>
        <w:keepNext/>
        <w:keepLines/>
        <w:tabs>
          <w:tab w:val="right" w:pos="851"/>
        </w:tabs>
        <w:spacing w:before="360" w:after="240" w:line="270" w:lineRule="exact"/>
        <w:ind w:left="1134" w:right="1134" w:hanging="1134"/>
        <w:rPr>
          <w:b/>
          <w:sz w:val="24"/>
        </w:rPr>
      </w:pPr>
      <w:r>
        <w:rPr>
          <w:b/>
          <w:sz w:val="24"/>
        </w:rPr>
        <w:tab/>
      </w:r>
      <w:r>
        <w:rPr>
          <w:b/>
          <w:sz w:val="24"/>
        </w:rPr>
        <w:tab/>
        <w:t>Addendum</w:t>
      </w:r>
    </w:p>
    <w:p w:rsidR="00813324" w:rsidRPr="00C267F4" w:rsidRDefault="00813324" w:rsidP="00813324">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FF5612" w:rsidRPr="00FF5612" w:rsidRDefault="00813324" w:rsidP="00FF5612">
      <w:pPr>
        <w:pStyle w:val="SingleTxtG"/>
        <w:rPr>
          <w:lang w:val="en-US"/>
        </w:rPr>
      </w:pPr>
      <w:r w:rsidRPr="00C267F4">
        <w:br w:type="page"/>
      </w:r>
      <w:r w:rsidR="00FF5612">
        <w:lastRenderedPageBreak/>
        <w:t>1.</w:t>
      </w:r>
      <w:r w:rsidR="00FF5612">
        <w:tab/>
      </w:r>
      <w:r w:rsidR="00FF5612" w:rsidRPr="00FF5612">
        <w:rPr>
          <w:lang w:val="en-US"/>
        </w:rPr>
        <w:t>The Government of the United Republic of Tanzania has carefully reviewed the 227</w:t>
      </w:r>
      <w:r w:rsidR="00FF5612" w:rsidRPr="00FF5612">
        <w:rPr>
          <w:b/>
          <w:lang w:val="en-US"/>
        </w:rPr>
        <w:t xml:space="preserve"> </w:t>
      </w:r>
      <w:r w:rsidR="00FF5612" w:rsidRPr="00FF5612">
        <w:rPr>
          <w:lang w:val="en-US"/>
        </w:rPr>
        <w:t>recommendations made by member states during its Universal Periodic Review (UPR) in May 2016. During the review, the State accepted 130 recommendations, rejected 72, and deferred 25</w:t>
      </w:r>
      <w:r w:rsidR="00FF5612" w:rsidRPr="00FF5612">
        <w:rPr>
          <w:b/>
          <w:lang w:val="en-US"/>
        </w:rPr>
        <w:t xml:space="preserve"> </w:t>
      </w:r>
      <w:r w:rsidR="00FF5612" w:rsidRPr="00FF5612">
        <w:rPr>
          <w:lang w:val="en-US"/>
        </w:rPr>
        <w:t>for further consideration.</w:t>
      </w:r>
    </w:p>
    <w:p w:rsidR="00FF5612" w:rsidRPr="00FF5612" w:rsidRDefault="00FF5612" w:rsidP="00FF5612">
      <w:pPr>
        <w:pStyle w:val="SingleTxtG"/>
        <w:rPr>
          <w:lang w:val="en-US"/>
        </w:rPr>
      </w:pPr>
      <w:r>
        <w:rPr>
          <w:lang w:val="en-US"/>
        </w:rPr>
        <w:t>2.</w:t>
      </w:r>
      <w:r>
        <w:rPr>
          <w:lang w:val="en-US"/>
        </w:rPr>
        <w:tab/>
      </w:r>
      <w:r w:rsidRPr="00FF5612">
        <w:rPr>
          <w:lang w:val="en-US"/>
        </w:rPr>
        <w:t xml:space="preserve"> In compliance with paragraph 136 of the Draft Working Group Report, on the Universal Periodic Review for Tanzania, the Government of Tanzania undertook to examine the 25 deferred recommendations and to provide responses on or before the 33</w:t>
      </w:r>
      <w:r w:rsidRPr="00FF5612">
        <w:rPr>
          <w:vertAlign w:val="superscript"/>
          <w:lang w:val="en-US"/>
        </w:rPr>
        <w:t>rd</w:t>
      </w:r>
      <w:r w:rsidRPr="00FF5612">
        <w:rPr>
          <w:lang w:val="en-US"/>
        </w:rPr>
        <w:t xml:space="preserve"> session of the Human Rights Council.</w:t>
      </w:r>
    </w:p>
    <w:p w:rsidR="00FF5612" w:rsidRPr="00FF5612" w:rsidRDefault="00FF5612" w:rsidP="00FF5612">
      <w:pPr>
        <w:pStyle w:val="SingleTxtG"/>
        <w:rPr>
          <w:lang w:val="en-US"/>
        </w:rPr>
      </w:pPr>
      <w:r>
        <w:rPr>
          <w:lang w:val="en-US"/>
        </w:rPr>
        <w:t>3.</w:t>
      </w:r>
      <w:r>
        <w:rPr>
          <w:lang w:val="en-US"/>
        </w:rPr>
        <w:tab/>
      </w:r>
      <w:r w:rsidRPr="00FF5612">
        <w:rPr>
          <w:lang w:val="en-US"/>
        </w:rPr>
        <w:t>After a thorough consultative process with State and Non-State Actors from both sides of the Union and a review of the Recommendations in their totality, the State has ascertained its position on the deferred recommendations. The State has also reversed its decision on some rejecte</w:t>
      </w:r>
      <w:r>
        <w:rPr>
          <w:lang w:val="en-US"/>
        </w:rPr>
        <w:t>d and accepted recommendations.</w:t>
      </w:r>
    </w:p>
    <w:p w:rsidR="00FF5612" w:rsidRDefault="00FF5612" w:rsidP="00FF5612">
      <w:pPr>
        <w:pStyle w:val="HChG"/>
        <w:rPr>
          <w:lang w:val="en-US"/>
        </w:rPr>
      </w:pPr>
      <w:r>
        <w:rPr>
          <w:lang w:val="en-US"/>
        </w:rPr>
        <w:tab/>
        <w:t>I.</w:t>
      </w:r>
      <w:r>
        <w:rPr>
          <w:lang w:val="en-US"/>
        </w:rPr>
        <w:tab/>
        <w:t>Deferred recommendations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3"/>
      </w:tblGrid>
      <w:tr w:rsidR="00FF5612" w:rsidRPr="00FF5612" w:rsidTr="00FF5612">
        <w:trPr>
          <w:tblHeader/>
        </w:trPr>
        <w:tc>
          <w:tcPr>
            <w:tcW w:w="4252" w:type="dxa"/>
            <w:tcBorders>
              <w:top w:val="single" w:sz="4" w:space="0" w:color="auto"/>
              <w:bottom w:val="single" w:sz="12" w:space="0" w:color="auto"/>
            </w:tcBorders>
            <w:shd w:val="clear" w:color="auto" w:fill="auto"/>
            <w:vAlign w:val="bottom"/>
          </w:tcPr>
          <w:p w:rsidR="00FF5612" w:rsidRPr="00FF5612" w:rsidRDefault="00FF5612" w:rsidP="00FF5612">
            <w:pPr>
              <w:spacing w:before="80" w:after="80" w:line="200" w:lineRule="exact"/>
              <w:ind w:right="113"/>
              <w:rPr>
                <w:i/>
                <w:sz w:val="16"/>
              </w:rPr>
            </w:pPr>
            <w:r>
              <w:rPr>
                <w:i/>
                <w:sz w:val="16"/>
              </w:rPr>
              <w:t>No. of recommendation</w:t>
            </w:r>
          </w:p>
        </w:tc>
        <w:tc>
          <w:tcPr>
            <w:tcW w:w="4253" w:type="dxa"/>
            <w:tcBorders>
              <w:top w:val="single" w:sz="4" w:space="0" w:color="auto"/>
              <w:bottom w:val="single" w:sz="12" w:space="0" w:color="auto"/>
            </w:tcBorders>
            <w:shd w:val="clear" w:color="auto" w:fill="auto"/>
            <w:vAlign w:val="bottom"/>
          </w:tcPr>
          <w:p w:rsidR="00FF5612" w:rsidRPr="00FF5612" w:rsidRDefault="00FF5612" w:rsidP="00FF5612">
            <w:pPr>
              <w:spacing w:before="80" w:after="80" w:line="200" w:lineRule="exact"/>
              <w:ind w:right="113"/>
              <w:rPr>
                <w:i/>
                <w:sz w:val="16"/>
              </w:rPr>
            </w:pPr>
            <w:r>
              <w:rPr>
                <w:i/>
                <w:sz w:val="16"/>
              </w:rPr>
              <w:t>Response</w:t>
            </w:r>
          </w:p>
        </w:tc>
      </w:tr>
      <w:tr w:rsidR="00FF5612" w:rsidRPr="00FF5612" w:rsidTr="00AF67E1">
        <w:trPr>
          <w:tblHeader/>
        </w:trPr>
        <w:tc>
          <w:tcPr>
            <w:tcW w:w="8505" w:type="dxa"/>
            <w:gridSpan w:val="2"/>
            <w:tcBorders>
              <w:top w:val="single" w:sz="12" w:space="0" w:color="auto"/>
            </w:tcBorders>
            <w:shd w:val="clear" w:color="auto" w:fill="auto"/>
          </w:tcPr>
          <w:p w:rsidR="00FF5612" w:rsidRPr="00E260CB" w:rsidRDefault="00FF5612" w:rsidP="00FF5612">
            <w:pPr>
              <w:spacing w:before="40" w:after="120"/>
              <w:ind w:right="113"/>
              <w:rPr>
                <w:b/>
              </w:rPr>
            </w:pPr>
            <w:r w:rsidRPr="00E260CB">
              <w:rPr>
                <w:b/>
              </w:rPr>
              <w:t>Access to information and freedom of Expression</w:t>
            </w:r>
          </w:p>
        </w:tc>
      </w:tr>
      <w:tr w:rsidR="00FF5612" w:rsidRPr="00FF5612" w:rsidTr="00FF5612">
        <w:trPr>
          <w:tblHeader/>
        </w:trPr>
        <w:tc>
          <w:tcPr>
            <w:tcW w:w="4252" w:type="dxa"/>
            <w:shd w:val="clear" w:color="auto" w:fill="auto"/>
          </w:tcPr>
          <w:p w:rsidR="00FF5612" w:rsidRPr="00FF5612" w:rsidRDefault="00FF5612" w:rsidP="00FF5612">
            <w:pPr>
              <w:spacing w:before="40" w:after="120"/>
              <w:ind w:right="113"/>
            </w:pPr>
            <w:r w:rsidRPr="00FF5612">
              <w:rPr>
                <w:bCs/>
              </w:rPr>
              <w:t>136.1. Ensure the full compliance of the Media Service Bill of 2015 with the right to freedom of expression as guaranteed under the ICCPR and that its provisions facilitate the work of independent and pluralistic media, including citizen journalists. (Czech Republic)</w:t>
            </w:r>
          </w:p>
        </w:tc>
        <w:tc>
          <w:tcPr>
            <w:tcW w:w="4253" w:type="dxa"/>
            <w:shd w:val="clear" w:color="auto" w:fill="auto"/>
          </w:tcPr>
          <w:p w:rsidR="00FF5612" w:rsidRPr="00FF5612" w:rsidRDefault="00FF5612" w:rsidP="00FF5612">
            <w:pPr>
              <w:spacing w:before="40" w:after="60"/>
              <w:ind w:right="113"/>
              <w:rPr>
                <w:bCs/>
              </w:rPr>
            </w:pPr>
            <w:r w:rsidRPr="00FF5612">
              <w:rPr>
                <w:b/>
                <w:bCs/>
              </w:rPr>
              <w:t>Rejected.</w:t>
            </w:r>
            <w:r w:rsidRPr="00FF5612">
              <w:rPr>
                <w:bCs/>
              </w:rPr>
              <w:t xml:space="preserve"> The existing policy and legal framework do not accommodate the concepts of pluralistic media and citizen journalists. The media and citizens enjoy their right to freedom of expression as guaranteed by Article 18 of the Constitution of the United Republic of Tanzania, 1977 and the laws of the land.</w:t>
            </w:r>
          </w:p>
          <w:p w:rsidR="00FF5612" w:rsidRPr="00FF5612" w:rsidRDefault="00FF5612" w:rsidP="00FF5612">
            <w:pPr>
              <w:spacing w:before="40" w:after="120"/>
              <w:ind w:right="113"/>
            </w:pPr>
            <w:r w:rsidRPr="00FF5612">
              <w:rPr>
                <w:bCs/>
              </w:rPr>
              <w:t>Further, the Access to Information Act, 2016 has just passed in the September 2016 Parliamentary Session and the Media Services Bill, 2016 has undergone a first reading in the September Parliamentary Session. Both instruments have considered freedom of expression in accordance with the Constitution which incorporates rights provided in international human rights instruments.</w:t>
            </w:r>
          </w:p>
        </w:tc>
      </w:tr>
      <w:tr w:rsidR="00FF5612" w:rsidRPr="00FF5612" w:rsidTr="00FF5612">
        <w:trPr>
          <w:tblHeader/>
        </w:trPr>
        <w:tc>
          <w:tcPr>
            <w:tcW w:w="4252" w:type="dxa"/>
            <w:shd w:val="clear" w:color="auto" w:fill="auto"/>
          </w:tcPr>
          <w:p w:rsidR="00FF5612" w:rsidRPr="00FF5612" w:rsidRDefault="00FF5612" w:rsidP="00FF5612">
            <w:pPr>
              <w:spacing w:before="40" w:after="120"/>
              <w:ind w:right="113"/>
            </w:pPr>
            <w:r w:rsidRPr="00FF5612">
              <w:rPr>
                <w:bCs/>
              </w:rPr>
              <w:lastRenderedPageBreak/>
              <w:t>136.2. Adopt and implement, through an inclusive process, a revised Access to Information Act and Media Services Bill in line with international human rights law and standards. (Denmark)</w:t>
            </w:r>
          </w:p>
        </w:tc>
        <w:tc>
          <w:tcPr>
            <w:tcW w:w="4253" w:type="dxa"/>
            <w:shd w:val="clear" w:color="auto" w:fill="auto"/>
          </w:tcPr>
          <w:p w:rsidR="00FF5612" w:rsidRPr="00FF5612" w:rsidRDefault="00FF5612" w:rsidP="00FF5612">
            <w:pPr>
              <w:spacing w:before="40" w:after="60"/>
              <w:ind w:right="113"/>
              <w:rPr>
                <w:bCs/>
              </w:rPr>
            </w:pPr>
            <w:r w:rsidRPr="00FF5612">
              <w:rPr>
                <w:b/>
                <w:bCs/>
              </w:rPr>
              <w:t xml:space="preserve">Rejected. </w:t>
            </w:r>
            <w:r w:rsidRPr="00FF5612">
              <w:rPr>
                <w:bCs/>
              </w:rPr>
              <w:t>The recommendation is rejected on the basis that when the recommendation was issued the Access to Information Act was still in a Bill form. Further, it has just been passed into an Act in the September, 2016 Parliamentary Session. That being the case it cannot be revised. Further, the Media Services Bill, 2016 has just undergone a first reading during the September, 2016 Parliamentary Session. The stage it is at requires input through obtaining public opinions and we cannot guarantee any changes.</w:t>
            </w:r>
          </w:p>
          <w:p w:rsidR="00FF5612" w:rsidRPr="00FF5612" w:rsidRDefault="00FF5612" w:rsidP="00FF5612">
            <w:pPr>
              <w:spacing w:before="40" w:after="120"/>
              <w:ind w:right="113"/>
            </w:pPr>
            <w:r w:rsidRPr="00FF5612">
              <w:rPr>
                <w:bCs/>
              </w:rPr>
              <w:t>Both the Access to Information Act, 2016 and the Media Services Bill, 2016 were created through a consultative and participatory process with stakeholders in accordance with the provisions of the Constitution of the United Republic of Tanzania, 1977.</w:t>
            </w:r>
          </w:p>
        </w:tc>
      </w:tr>
      <w:tr w:rsidR="00FF5612" w:rsidRPr="00FF5612" w:rsidTr="00FF5612">
        <w:trPr>
          <w:tblHeader/>
        </w:trPr>
        <w:tc>
          <w:tcPr>
            <w:tcW w:w="4252" w:type="dxa"/>
            <w:shd w:val="clear" w:color="auto" w:fill="auto"/>
          </w:tcPr>
          <w:p w:rsidR="00FF5612" w:rsidRPr="00FF5612" w:rsidRDefault="00FF5612" w:rsidP="00FF5612">
            <w:pPr>
              <w:spacing w:before="40" w:after="120"/>
              <w:ind w:right="113"/>
            </w:pPr>
            <w:r w:rsidRPr="00FF5612">
              <w:rPr>
                <w:bCs/>
              </w:rPr>
              <w:t>136.4. Ensure compliance of legislation with its international human rights obligations, by inter alia reviewing the Cybercrime Act and the Statistics Act. (Germany)</w:t>
            </w:r>
          </w:p>
        </w:tc>
        <w:tc>
          <w:tcPr>
            <w:tcW w:w="4253" w:type="dxa"/>
            <w:shd w:val="clear" w:color="auto" w:fill="auto"/>
          </w:tcPr>
          <w:p w:rsidR="00FF5612" w:rsidRPr="00FF5612" w:rsidRDefault="00FF5612" w:rsidP="00FF5612">
            <w:pPr>
              <w:spacing w:before="40" w:after="60"/>
              <w:ind w:right="113"/>
              <w:rPr>
                <w:bCs/>
              </w:rPr>
            </w:pPr>
            <w:r w:rsidRPr="00FF5612">
              <w:rPr>
                <w:b/>
                <w:bCs/>
              </w:rPr>
              <w:t xml:space="preserve">Rejected. </w:t>
            </w:r>
            <w:r w:rsidRPr="00FF5612">
              <w:rPr>
                <w:bCs/>
              </w:rPr>
              <w:t>There are two Constitutional Petitions in the High Court challenging provisions of the Cybercrimes Act, 2015. In respect of the principle of separation of powers, the State is awaiting the decision of the Court which will determine the way f</w:t>
            </w:r>
            <w:r>
              <w:rPr>
                <w:bCs/>
              </w:rPr>
              <w:t>orward.</w:t>
            </w:r>
          </w:p>
          <w:p w:rsidR="00FF5612" w:rsidRPr="00FF5612" w:rsidRDefault="00FF5612" w:rsidP="00FF5612">
            <w:pPr>
              <w:spacing w:before="40" w:after="60"/>
              <w:ind w:right="113"/>
              <w:rPr>
                <w:bCs/>
              </w:rPr>
            </w:pPr>
            <w:r w:rsidRPr="00FF5612">
              <w:rPr>
                <w:bCs/>
              </w:rPr>
              <w:t>The State finds no need to review the Statistics Act, 2015 which was enacted in a participatory and consultative manner. The Act establishes the National Bureau of Statistics as the National statistics office responsible for the production, coordination, supervision and dissemination of official statistics and for the custodianship of official statistics in the Country.</w:t>
            </w:r>
          </w:p>
          <w:p w:rsidR="00FF5612" w:rsidRPr="00FF5612" w:rsidRDefault="00FF5612" w:rsidP="00FF5612">
            <w:pPr>
              <w:spacing w:before="40" w:after="120"/>
              <w:ind w:right="113"/>
            </w:pPr>
            <w:r w:rsidRPr="00FF5612">
              <w:rPr>
                <w:bCs/>
              </w:rPr>
              <w:t>The Act is in line with the Constitution and human rights aspects contained therein.</w:t>
            </w:r>
          </w:p>
        </w:tc>
      </w:tr>
      <w:tr w:rsidR="00FF5612" w:rsidRPr="00FF5612" w:rsidTr="00FF5612">
        <w:trPr>
          <w:tblHeader/>
        </w:trPr>
        <w:tc>
          <w:tcPr>
            <w:tcW w:w="4252" w:type="dxa"/>
            <w:shd w:val="clear" w:color="auto" w:fill="auto"/>
          </w:tcPr>
          <w:p w:rsidR="00FF5612" w:rsidRPr="00FF5612" w:rsidRDefault="00FF5612" w:rsidP="00FF5612">
            <w:pPr>
              <w:spacing w:before="40" w:after="120"/>
              <w:ind w:right="113"/>
            </w:pPr>
            <w:r w:rsidRPr="00FF5612">
              <w:rPr>
                <w:bCs/>
              </w:rPr>
              <w:t>136.5. Amend all laws infringing on press freedom, in particular the Statistics Act and the Cyber Crimes Act. (Belgium)</w:t>
            </w:r>
          </w:p>
        </w:tc>
        <w:tc>
          <w:tcPr>
            <w:tcW w:w="4253" w:type="dxa"/>
            <w:shd w:val="clear" w:color="auto" w:fill="auto"/>
          </w:tcPr>
          <w:p w:rsidR="00FF5612" w:rsidRPr="00FF5612" w:rsidRDefault="00FF5612" w:rsidP="00FF5612">
            <w:pPr>
              <w:spacing w:before="40" w:after="120"/>
              <w:ind w:right="113"/>
            </w:pPr>
            <w:r w:rsidRPr="00FF5612">
              <w:rPr>
                <w:b/>
                <w:bCs/>
              </w:rPr>
              <w:t xml:space="preserve">Rejected. </w:t>
            </w:r>
            <w:r w:rsidRPr="00FF5612">
              <w:rPr>
                <w:bCs/>
              </w:rPr>
              <w:t xml:space="preserve">The Recommendation is broad and calls for the amendment of all laws infringing press freedom. The State </w:t>
            </w:r>
            <w:proofErr w:type="gramStart"/>
            <w:r w:rsidRPr="00FF5612">
              <w:rPr>
                <w:bCs/>
              </w:rPr>
              <w:t>reiterate</w:t>
            </w:r>
            <w:proofErr w:type="gramEnd"/>
            <w:r w:rsidRPr="00FF5612">
              <w:rPr>
                <w:bCs/>
              </w:rPr>
              <w:t xml:space="preserve"> its position above on the Cyber Crimes Act, 2015 and the Statistics Act, 2015.</w:t>
            </w:r>
          </w:p>
        </w:tc>
      </w:tr>
      <w:tr w:rsidR="00FF5612" w:rsidRPr="00FF5612" w:rsidTr="00FF5612">
        <w:trPr>
          <w:tblHeader/>
        </w:trPr>
        <w:tc>
          <w:tcPr>
            <w:tcW w:w="4252" w:type="dxa"/>
            <w:shd w:val="clear" w:color="auto" w:fill="auto"/>
          </w:tcPr>
          <w:p w:rsidR="00FF5612" w:rsidRPr="00FF5612" w:rsidRDefault="00FF5612" w:rsidP="00FF5612">
            <w:pPr>
              <w:spacing w:before="40" w:after="120"/>
              <w:ind w:right="113"/>
            </w:pPr>
            <w:r w:rsidRPr="00FF5612">
              <w:rPr>
                <w:bCs/>
              </w:rPr>
              <w:t>136.6. Amend the recently adopted Cybercrime legislation to make sure it does not infringe human rights and redraft the Access to Information Bill and the Media Service Bill of 2015 in line with international human rights law and highest human rights standards. (Sweden)</w:t>
            </w:r>
          </w:p>
        </w:tc>
        <w:tc>
          <w:tcPr>
            <w:tcW w:w="4253" w:type="dxa"/>
            <w:shd w:val="clear" w:color="auto" w:fill="auto"/>
          </w:tcPr>
          <w:p w:rsidR="00FF5612" w:rsidRPr="00FF5612" w:rsidRDefault="00FF5612" w:rsidP="00FF5612">
            <w:pPr>
              <w:spacing w:before="40" w:after="120"/>
              <w:ind w:right="113"/>
            </w:pPr>
            <w:r w:rsidRPr="00FF5612">
              <w:rPr>
                <w:b/>
                <w:bCs/>
              </w:rPr>
              <w:t xml:space="preserve">Rejected. </w:t>
            </w:r>
            <w:r w:rsidRPr="00FF5612">
              <w:rPr>
                <w:bCs/>
              </w:rPr>
              <w:t xml:space="preserve">The State </w:t>
            </w:r>
            <w:proofErr w:type="spellStart"/>
            <w:r w:rsidRPr="00FF5612">
              <w:rPr>
                <w:bCs/>
              </w:rPr>
              <w:t>can not</w:t>
            </w:r>
            <w:proofErr w:type="spellEnd"/>
            <w:r w:rsidRPr="00FF5612">
              <w:rPr>
                <w:bCs/>
              </w:rPr>
              <w:t xml:space="preserve"> commit to amending the Cybercrimes Act, 2015 for reasons as explained above. The status of the Access to Information Act, 2016 and the Media Services Bill, 2016 have been explained above.</w:t>
            </w:r>
          </w:p>
        </w:tc>
      </w:tr>
      <w:tr w:rsidR="00FF5612" w:rsidRPr="00FF5612" w:rsidTr="00FF5612">
        <w:trPr>
          <w:tblHeader/>
        </w:trPr>
        <w:tc>
          <w:tcPr>
            <w:tcW w:w="4252" w:type="dxa"/>
            <w:shd w:val="clear" w:color="auto" w:fill="auto"/>
          </w:tcPr>
          <w:p w:rsidR="00FF5612" w:rsidRPr="00FF5612" w:rsidRDefault="00FF5612" w:rsidP="00FF5612">
            <w:pPr>
              <w:spacing w:before="40" w:after="120"/>
              <w:ind w:right="113"/>
            </w:pPr>
            <w:r w:rsidRPr="00FF5612">
              <w:rPr>
                <w:bCs/>
              </w:rPr>
              <w:t>136.7. Ensure that the legal framework and enforcement of laws, including the Cybercrimes Act and other laws affecting members of the media, are fully consistent with the human rights and fundamental freedoms in Tanzania’s Constitution and the Universal Declaration of Human Rights. (United States of America)</w:t>
            </w:r>
          </w:p>
        </w:tc>
        <w:tc>
          <w:tcPr>
            <w:tcW w:w="4253" w:type="dxa"/>
            <w:shd w:val="clear" w:color="auto" w:fill="auto"/>
          </w:tcPr>
          <w:p w:rsidR="00FF5612" w:rsidRPr="00FF5612" w:rsidRDefault="00FF5612" w:rsidP="00FF5612">
            <w:pPr>
              <w:spacing w:before="40" w:after="120"/>
              <w:ind w:right="113"/>
            </w:pPr>
            <w:r w:rsidRPr="00FF5612">
              <w:rPr>
                <w:b/>
                <w:bCs/>
              </w:rPr>
              <w:t xml:space="preserve">Rejected. </w:t>
            </w:r>
            <w:r w:rsidRPr="00FF5612">
              <w:rPr>
                <w:bCs/>
              </w:rPr>
              <w:t>The Recommendation is rejected on the basis that the Cybercrimes Act of 2015 is being challenged in Court and the State is awaiting the decision of the Court.</w:t>
            </w:r>
          </w:p>
        </w:tc>
      </w:tr>
      <w:tr w:rsidR="00FF5612" w:rsidRPr="00FF5612" w:rsidTr="00FF5612">
        <w:trPr>
          <w:tblHeader/>
        </w:trPr>
        <w:tc>
          <w:tcPr>
            <w:tcW w:w="4252" w:type="dxa"/>
            <w:shd w:val="clear" w:color="auto" w:fill="auto"/>
          </w:tcPr>
          <w:p w:rsidR="00FF5612" w:rsidRPr="00FF5612" w:rsidRDefault="00FF5612" w:rsidP="00FF5612">
            <w:pPr>
              <w:spacing w:before="40" w:after="120"/>
              <w:ind w:right="113"/>
            </w:pPr>
            <w:r w:rsidRPr="00FF5612">
              <w:rPr>
                <w:bCs/>
              </w:rPr>
              <w:t>136.8. Undertakes a thorough review with key stakeholders and civil society of its existing Cyber Crime and Statistic Acts and proposed Media Services and Access to Information bills, to meet human rights obligations. (United Kingdom of Great Britain and Northern Ireland)</w:t>
            </w:r>
          </w:p>
        </w:tc>
        <w:tc>
          <w:tcPr>
            <w:tcW w:w="4253" w:type="dxa"/>
            <w:shd w:val="clear" w:color="auto" w:fill="auto"/>
          </w:tcPr>
          <w:p w:rsidR="00FF5612" w:rsidRPr="00FF5612" w:rsidRDefault="00FF5612" w:rsidP="00FF5612">
            <w:pPr>
              <w:spacing w:before="40" w:after="120"/>
              <w:ind w:right="113"/>
            </w:pPr>
            <w:r w:rsidRPr="00FF5612">
              <w:rPr>
                <w:b/>
                <w:bCs/>
              </w:rPr>
              <w:t xml:space="preserve">Rejected. </w:t>
            </w:r>
            <w:r w:rsidRPr="00FF5612">
              <w:rPr>
                <w:bCs/>
              </w:rPr>
              <w:t>The Recommendation is rejected for reasons cited above.</w:t>
            </w:r>
          </w:p>
        </w:tc>
      </w:tr>
      <w:tr w:rsidR="00FF5612" w:rsidRPr="00FF5612" w:rsidTr="00FF5612">
        <w:trPr>
          <w:tblHeader/>
        </w:trPr>
        <w:tc>
          <w:tcPr>
            <w:tcW w:w="4252" w:type="dxa"/>
            <w:shd w:val="clear" w:color="auto" w:fill="auto"/>
          </w:tcPr>
          <w:p w:rsidR="00FF5612" w:rsidRPr="00FF5612" w:rsidRDefault="00E260CB" w:rsidP="00FF5612">
            <w:pPr>
              <w:spacing w:before="40" w:after="120"/>
              <w:ind w:right="113"/>
            </w:pPr>
            <w:r w:rsidRPr="00E260CB">
              <w:rPr>
                <w:bCs/>
              </w:rPr>
              <w:t>136.24. Guarantee freedom of expression and association through amending the media laws (that is the Cybercrime Act, Statistics Act, both of 2015 and Newspaper Act of 1976) and to ensure a conducive environment for civil society organizations, human rights defenders and media to operate freely in accordance with the Constitution of the United Republic of Tanzania and the United Nations Declaration on Human Rights Defenders. (Netherlands)</w:t>
            </w:r>
          </w:p>
        </w:tc>
        <w:tc>
          <w:tcPr>
            <w:tcW w:w="4253" w:type="dxa"/>
            <w:shd w:val="clear" w:color="auto" w:fill="auto"/>
          </w:tcPr>
          <w:p w:rsidR="00FF5612" w:rsidRPr="00FF5612" w:rsidRDefault="00E260CB" w:rsidP="00FF5612">
            <w:pPr>
              <w:spacing w:before="40" w:after="120"/>
              <w:ind w:right="113"/>
            </w:pPr>
            <w:r w:rsidRPr="00E260CB">
              <w:rPr>
                <w:b/>
                <w:bCs/>
              </w:rPr>
              <w:t xml:space="preserve">Rejected. </w:t>
            </w:r>
            <w:r w:rsidRPr="00E260CB">
              <w:rPr>
                <w:bCs/>
              </w:rPr>
              <w:t xml:space="preserve">The Recommendation is rejected for being based on the presupposition that there is no </w:t>
            </w:r>
            <w:proofErr w:type="gramStart"/>
            <w:r w:rsidRPr="00E260CB">
              <w:rPr>
                <w:bCs/>
              </w:rPr>
              <w:t>conducive</w:t>
            </w:r>
            <w:proofErr w:type="gramEnd"/>
            <w:r w:rsidRPr="00E260CB">
              <w:rPr>
                <w:bCs/>
              </w:rPr>
              <w:t xml:space="preserve"> environment for</w:t>
            </w:r>
            <w:r w:rsidRPr="00E260CB">
              <w:rPr>
                <w:lang w:val="en-US"/>
              </w:rPr>
              <w:t xml:space="preserve"> </w:t>
            </w:r>
            <w:r w:rsidRPr="00E260CB">
              <w:rPr>
                <w:bCs/>
              </w:rPr>
              <w:t>civil society organisations, human rights defenders and the media to operate freely. The Government plays a facilitative role ensuring civil society organisation, human rights defenders and the media operate in accordance with the Constitution and the laws of the land such as; the Non-Government Organisation Act and the Societies Act.  The status of the Cybercrimes Act, Access to Information Act, 2016 and the Media Services Bill, 2016 is explained above.</w:t>
            </w:r>
          </w:p>
        </w:tc>
      </w:tr>
      <w:tr w:rsidR="00E260CB" w:rsidRPr="00FF5612" w:rsidTr="008B5ADC">
        <w:trPr>
          <w:tblHeader/>
        </w:trPr>
        <w:tc>
          <w:tcPr>
            <w:tcW w:w="8505" w:type="dxa"/>
            <w:gridSpan w:val="2"/>
            <w:shd w:val="clear" w:color="auto" w:fill="auto"/>
          </w:tcPr>
          <w:p w:rsidR="00E260CB" w:rsidRPr="00FF5612" w:rsidRDefault="00E260CB" w:rsidP="00FF5612">
            <w:pPr>
              <w:spacing w:before="40" w:after="120"/>
              <w:ind w:right="113"/>
            </w:pPr>
            <w:r w:rsidRPr="00E260CB">
              <w:rPr>
                <w:b/>
                <w:bCs/>
              </w:rPr>
              <w:t>Right t</w:t>
            </w:r>
            <w:r>
              <w:rPr>
                <w:b/>
                <w:bCs/>
              </w:rPr>
              <w:t>o health-a</w:t>
            </w:r>
            <w:r w:rsidRPr="00E260CB">
              <w:rPr>
                <w:b/>
                <w:bCs/>
              </w:rPr>
              <w:t>bortion</w:t>
            </w:r>
          </w:p>
        </w:tc>
      </w:tr>
      <w:tr w:rsidR="00FF5612" w:rsidRPr="00FF5612" w:rsidTr="00FF5612">
        <w:trPr>
          <w:tblHeader/>
        </w:trPr>
        <w:tc>
          <w:tcPr>
            <w:tcW w:w="4252" w:type="dxa"/>
            <w:shd w:val="clear" w:color="auto" w:fill="auto"/>
          </w:tcPr>
          <w:p w:rsidR="00FF5612" w:rsidRPr="00FF5612" w:rsidRDefault="00E260CB" w:rsidP="00FF5612">
            <w:pPr>
              <w:spacing w:before="40" w:after="120"/>
              <w:ind w:right="113"/>
            </w:pPr>
            <w:r w:rsidRPr="00E260CB">
              <w:rPr>
                <w:bCs/>
              </w:rPr>
              <w:t>136.3. Implement the provisions in the African Union’s Maputo protocol into its national legislation, including women’s rights to medical abortion in cases of sexual assault, rape, incest and where the life of the mother or the foetus is in danger. (Norway)</w:t>
            </w:r>
          </w:p>
        </w:tc>
        <w:tc>
          <w:tcPr>
            <w:tcW w:w="4253" w:type="dxa"/>
            <w:shd w:val="clear" w:color="auto" w:fill="auto"/>
          </w:tcPr>
          <w:p w:rsidR="00FF5612" w:rsidRPr="00FF5612" w:rsidRDefault="00E260CB" w:rsidP="00FF5612">
            <w:pPr>
              <w:spacing w:before="40" w:after="120"/>
              <w:ind w:right="113"/>
            </w:pPr>
            <w:r w:rsidRPr="00E260CB">
              <w:rPr>
                <w:b/>
                <w:bCs/>
              </w:rPr>
              <w:t xml:space="preserve">Rejected. </w:t>
            </w:r>
            <w:r w:rsidRPr="00E260CB">
              <w:rPr>
                <w:bCs/>
              </w:rPr>
              <w:t xml:space="preserve"> The Penal Code, Cap 16 provides for lawful abortion only when the life of the mother is in danger. Further, the recommendation is contrary to Article 14 of the Constitution which provides for the right to life.</w:t>
            </w:r>
          </w:p>
        </w:tc>
      </w:tr>
      <w:tr w:rsidR="00FF5612" w:rsidRPr="00FF5612" w:rsidTr="00FF5612">
        <w:trPr>
          <w:tblHeader/>
        </w:trPr>
        <w:tc>
          <w:tcPr>
            <w:tcW w:w="4252" w:type="dxa"/>
            <w:shd w:val="clear" w:color="auto" w:fill="auto"/>
          </w:tcPr>
          <w:p w:rsidR="00FF5612" w:rsidRPr="00FF5612" w:rsidRDefault="00E260CB" w:rsidP="00E260CB">
            <w:pPr>
              <w:spacing w:before="40" w:after="120"/>
              <w:ind w:right="113"/>
            </w:pPr>
            <w:r>
              <w:rPr>
                <w:b/>
                <w:bCs/>
              </w:rPr>
              <w:t>Non-discrimination-a</w:t>
            </w:r>
            <w:r w:rsidRPr="00E260CB">
              <w:rPr>
                <w:b/>
                <w:bCs/>
              </w:rPr>
              <w:t xml:space="preserve">ge of </w:t>
            </w:r>
            <w:r>
              <w:rPr>
                <w:b/>
                <w:bCs/>
              </w:rPr>
              <w:t>m</w:t>
            </w:r>
            <w:r w:rsidRPr="00E260CB">
              <w:rPr>
                <w:b/>
                <w:bCs/>
              </w:rPr>
              <w:t>arriage</w:t>
            </w:r>
          </w:p>
        </w:tc>
        <w:tc>
          <w:tcPr>
            <w:tcW w:w="4253" w:type="dxa"/>
            <w:shd w:val="clear" w:color="auto" w:fill="auto"/>
          </w:tcPr>
          <w:p w:rsidR="00FF5612" w:rsidRPr="00FF5612" w:rsidRDefault="00FF5612" w:rsidP="00FF5612">
            <w:pPr>
              <w:spacing w:before="40" w:after="120"/>
              <w:ind w:right="113"/>
            </w:pPr>
          </w:p>
        </w:tc>
      </w:tr>
      <w:tr w:rsidR="00FF5612" w:rsidRPr="00FF5612" w:rsidTr="00FF5612">
        <w:trPr>
          <w:tblHeader/>
        </w:trPr>
        <w:tc>
          <w:tcPr>
            <w:tcW w:w="4252" w:type="dxa"/>
            <w:shd w:val="clear" w:color="auto" w:fill="auto"/>
          </w:tcPr>
          <w:p w:rsidR="00FF5612" w:rsidRPr="00FF5612" w:rsidRDefault="00E260CB" w:rsidP="00FF5612">
            <w:pPr>
              <w:spacing w:before="40" w:after="120"/>
              <w:ind w:right="113"/>
            </w:pPr>
            <w:r w:rsidRPr="00E260CB">
              <w:rPr>
                <w:bCs/>
              </w:rPr>
              <w:t>136.10. Set the minimum age to marriage and voting to 18 years for both genders without preference. (Haiti)</w:t>
            </w:r>
          </w:p>
        </w:tc>
        <w:tc>
          <w:tcPr>
            <w:tcW w:w="4253" w:type="dxa"/>
            <w:shd w:val="clear" w:color="auto" w:fill="auto"/>
          </w:tcPr>
          <w:p w:rsidR="00E260CB" w:rsidRPr="00E260CB" w:rsidRDefault="00E260CB" w:rsidP="00E260CB">
            <w:pPr>
              <w:spacing w:before="40" w:after="60"/>
              <w:ind w:right="113"/>
              <w:rPr>
                <w:bCs/>
              </w:rPr>
            </w:pPr>
            <w:r w:rsidRPr="00E260CB">
              <w:rPr>
                <w:b/>
                <w:bCs/>
              </w:rPr>
              <w:t xml:space="preserve">Rejected. </w:t>
            </w:r>
            <w:r w:rsidRPr="00E260CB">
              <w:rPr>
                <w:bCs/>
              </w:rPr>
              <w:t>Currently, there is a case at the Court of Appeal challenging the age of marriage in the Law of Marriage Act, 1971. The State is awaiting the Court of Appeal decision before addressing all matters and initiatives relating to the age of marriage. The State does not sanction forced marriages.</w:t>
            </w:r>
          </w:p>
          <w:p w:rsidR="00FF5612" w:rsidRPr="00FF5612" w:rsidRDefault="00E260CB" w:rsidP="00E260CB">
            <w:pPr>
              <w:spacing w:before="40" w:after="120"/>
              <w:ind w:right="113"/>
            </w:pPr>
            <w:r w:rsidRPr="00E260CB">
              <w:rPr>
                <w:bCs/>
              </w:rPr>
              <w:t>The State wishes to clarify that the minimum age for voting is 18 years for both genders without preference as prescribed by Article 5 of the Constitution of the United Republic of Tanzania, 1977.</w:t>
            </w:r>
          </w:p>
        </w:tc>
      </w:tr>
      <w:tr w:rsidR="00FF5612" w:rsidRPr="00FF5612" w:rsidTr="00FF5612">
        <w:trPr>
          <w:tblHeader/>
        </w:trPr>
        <w:tc>
          <w:tcPr>
            <w:tcW w:w="4252" w:type="dxa"/>
            <w:shd w:val="clear" w:color="auto" w:fill="auto"/>
          </w:tcPr>
          <w:p w:rsidR="00FF5612" w:rsidRPr="00FF5612" w:rsidRDefault="00E260CB" w:rsidP="00FF5612">
            <w:pPr>
              <w:spacing w:before="40" w:after="120"/>
              <w:ind w:right="113"/>
            </w:pPr>
            <w:r w:rsidRPr="00E260CB">
              <w:rPr>
                <w:bCs/>
              </w:rPr>
              <w:t>136.11. Review legislation with the view of establishing a minimum marriage age at 18 years for both boys and girls, under the Convention on the Rights of the Child. (Panama)</w:t>
            </w:r>
          </w:p>
        </w:tc>
        <w:tc>
          <w:tcPr>
            <w:tcW w:w="4253" w:type="dxa"/>
            <w:shd w:val="clear" w:color="auto" w:fill="auto"/>
          </w:tcPr>
          <w:p w:rsidR="00FF5612" w:rsidRPr="00FF5612" w:rsidRDefault="00E260CB" w:rsidP="00FF5612">
            <w:pPr>
              <w:spacing w:before="40" w:after="120"/>
              <w:ind w:right="113"/>
            </w:pPr>
            <w:r w:rsidRPr="00E260CB">
              <w:rPr>
                <w:b/>
                <w:bCs/>
              </w:rPr>
              <w:t>Rejected as above.</w:t>
            </w:r>
          </w:p>
        </w:tc>
      </w:tr>
      <w:tr w:rsidR="00FF5612" w:rsidRPr="00FF5612" w:rsidTr="00FF5612">
        <w:trPr>
          <w:tblHeader/>
        </w:trPr>
        <w:tc>
          <w:tcPr>
            <w:tcW w:w="4252" w:type="dxa"/>
            <w:shd w:val="clear" w:color="auto" w:fill="auto"/>
          </w:tcPr>
          <w:p w:rsidR="00FF5612" w:rsidRPr="00FF5612" w:rsidRDefault="00E260CB" w:rsidP="00FF5612">
            <w:pPr>
              <w:spacing w:before="40" w:after="120"/>
              <w:ind w:right="113"/>
            </w:pPr>
            <w:r w:rsidRPr="00E260CB">
              <w:rPr>
                <w:bCs/>
              </w:rPr>
              <w:t>136.12. Amend the Law of Marriage Act of 1971 and increase the minimum marital age for girls, as well as prevent child, early and forced marriage. (Poland)</w:t>
            </w:r>
          </w:p>
        </w:tc>
        <w:tc>
          <w:tcPr>
            <w:tcW w:w="4253" w:type="dxa"/>
            <w:shd w:val="clear" w:color="auto" w:fill="auto"/>
          </w:tcPr>
          <w:p w:rsidR="00FF5612" w:rsidRPr="00FF5612" w:rsidRDefault="00E260CB" w:rsidP="00FF5612">
            <w:pPr>
              <w:spacing w:before="40" w:after="120"/>
              <w:ind w:right="113"/>
            </w:pPr>
            <w:r w:rsidRPr="00E260CB">
              <w:rPr>
                <w:b/>
                <w:bCs/>
              </w:rPr>
              <w:t>Rejected as above.</w:t>
            </w:r>
          </w:p>
        </w:tc>
      </w:tr>
      <w:tr w:rsidR="00FF5612" w:rsidRPr="00FF5612" w:rsidTr="00FF5612">
        <w:trPr>
          <w:tblHeader/>
        </w:trPr>
        <w:tc>
          <w:tcPr>
            <w:tcW w:w="4252" w:type="dxa"/>
            <w:shd w:val="clear" w:color="auto" w:fill="auto"/>
          </w:tcPr>
          <w:p w:rsidR="00FF5612" w:rsidRPr="00FF5612" w:rsidRDefault="00E260CB" w:rsidP="00FF5612">
            <w:pPr>
              <w:spacing w:before="40" w:after="120"/>
              <w:ind w:right="113"/>
            </w:pPr>
            <w:r w:rsidRPr="00E260CB">
              <w:rPr>
                <w:bCs/>
              </w:rPr>
              <w:t>136.13. Consider adapting the Marriage Act of 1971 and set a minimum marriage age at 18 years for boys and girls according to international standards. (Austria)</w:t>
            </w:r>
          </w:p>
        </w:tc>
        <w:tc>
          <w:tcPr>
            <w:tcW w:w="4253" w:type="dxa"/>
            <w:shd w:val="clear" w:color="auto" w:fill="auto"/>
          </w:tcPr>
          <w:p w:rsidR="00FF5612" w:rsidRPr="00FF5612" w:rsidRDefault="00E260CB" w:rsidP="00FF5612">
            <w:pPr>
              <w:spacing w:before="40" w:after="120"/>
              <w:ind w:right="113"/>
            </w:pPr>
            <w:r w:rsidRPr="00E260CB">
              <w:rPr>
                <w:b/>
                <w:bCs/>
              </w:rPr>
              <w:t>Rejected as above.</w:t>
            </w:r>
          </w:p>
        </w:tc>
      </w:tr>
      <w:tr w:rsidR="00FF5612" w:rsidRPr="00FF5612" w:rsidTr="00FF5612">
        <w:trPr>
          <w:tblHeader/>
        </w:trPr>
        <w:tc>
          <w:tcPr>
            <w:tcW w:w="4252" w:type="dxa"/>
            <w:shd w:val="clear" w:color="auto" w:fill="auto"/>
          </w:tcPr>
          <w:p w:rsidR="00FF5612" w:rsidRPr="00FF5612" w:rsidRDefault="009B4CAD" w:rsidP="009B4CAD">
            <w:pPr>
              <w:spacing w:before="40" w:after="120"/>
              <w:ind w:right="113"/>
            </w:pPr>
            <w:proofErr w:type="gramStart"/>
            <w:r w:rsidRPr="009B4CAD">
              <w:rPr>
                <w:bCs/>
              </w:rPr>
              <w:t>136.16. Raise</w:t>
            </w:r>
            <w:proofErr w:type="gramEnd"/>
            <w:r w:rsidRPr="009B4CAD">
              <w:rPr>
                <w:bCs/>
              </w:rPr>
              <w:t xml:space="preserve"> the age of marriage for girls to 18. (Sierra Leone)</w:t>
            </w:r>
          </w:p>
        </w:tc>
        <w:tc>
          <w:tcPr>
            <w:tcW w:w="4253" w:type="dxa"/>
            <w:shd w:val="clear" w:color="auto" w:fill="auto"/>
          </w:tcPr>
          <w:p w:rsidR="00FF5612" w:rsidRPr="00FF5612" w:rsidRDefault="009B4CAD" w:rsidP="00FF5612">
            <w:pPr>
              <w:spacing w:before="40" w:after="120"/>
              <w:ind w:right="113"/>
            </w:pPr>
            <w:r w:rsidRPr="009B4CAD">
              <w:rPr>
                <w:b/>
                <w:bCs/>
              </w:rPr>
              <w:t>Rejected as above.</w:t>
            </w:r>
          </w:p>
        </w:tc>
      </w:tr>
      <w:tr w:rsidR="00FF5612" w:rsidRPr="00FF5612" w:rsidTr="00FF5612">
        <w:trPr>
          <w:tblHeader/>
        </w:trPr>
        <w:tc>
          <w:tcPr>
            <w:tcW w:w="4252" w:type="dxa"/>
            <w:shd w:val="clear" w:color="auto" w:fill="auto"/>
          </w:tcPr>
          <w:p w:rsidR="00FF5612" w:rsidRPr="00FF5612" w:rsidRDefault="009B4CAD" w:rsidP="009B4CAD">
            <w:pPr>
              <w:spacing w:before="40" w:after="120"/>
              <w:ind w:right="113"/>
            </w:pPr>
            <w:proofErr w:type="gramStart"/>
            <w:r w:rsidRPr="009B4CAD">
              <w:rPr>
                <w:bCs/>
              </w:rPr>
              <w:t>136.17. Raise</w:t>
            </w:r>
            <w:proofErr w:type="gramEnd"/>
            <w:r w:rsidRPr="009B4CAD">
              <w:rPr>
                <w:bCs/>
              </w:rPr>
              <w:t xml:space="preserve"> the minimum age for marriage to comply with international child rights standards, to prevent child, early and forced marriages. (Australia)</w:t>
            </w:r>
          </w:p>
        </w:tc>
        <w:tc>
          <w:tcPr>
            <w:tcW w:w="4253" w:type="dxa"/>
            <w:shd w:val="clear" w:color="auto" w:fill="auto"/>
          </w:tcPr>
          <w:p w:rsidR="00FF5612" w:rsidRPr="00FF5612" w:rsidRDefault="009B4CAD" w:rsidP="00FF5612">
            <w:pPr>
              <w:spacing w:before="40" w:after="120"/>
              <w:ind w:right="113"/>
            </w:pPr>
            <w:r w:rsidRPr="009B4CAD">
              <w:rPr>
                <w:b/>
                <w:bCs/>
              </w:rPr>
              <w:t>Rejected as above.</w:t>
            </w:r>
          </w:p>
        </w:tc>
      </w:tr>
      <w:tr w:rsidR="00FF5612" w:rsidRPr="00FF5612" w:rsidTr="00FF5612">
        <w:trPr>
          <w:tblHeader/>
        </w:trPr>
        <w:tc>
          <w:tcPr>
            <w:tcW w:w="4252" w:type="dxa"/>
            <w:shd w:val="clear" w:color="auto" w:fill="auto"/>
          </w:tcPr>
          <w:p w:rsidR="00FF5612" w:rsidRPr="00FF5612" w:rsidRDefault="009B4CAD" w:rsidP="00FF5612">
            <w:pPr>
              <w:spacing w:before="40" w:after="120"/>
              <w:ind w:right="113"/>
            </w:pPr>
            <w:r w:rsidRPr="009B4CAD">
              <w:rPr>
                <w:bCs/>
              </w:rPr>
              <w:t>136.18. Set the minimum age of marriage at 18 for men and women alike and develop a national action plan to prevent and address the consequences of child marriage. (Slovenia)</w:t>
            </w:r>
          </w:p>
        </w:tc>
        <w:tc>
          <w:tcPr>
            <w:tcW w:w="4253" w:type="dxa"/>
            <w:shd w:val="clear" w:color="auto" w:fill="auto"/>
          </w:tcPr>
          <w:p w:rsidR="00FF5612" w:rsidRPr="00FF5612" w:rsidRDefault="009B4CAD" w:rsidP="00FF5612">
            <w:pPr>
              <w:spacing w:before="40" w:after="120"/>
              <w:ind w:right="113"/>
            </w:pPr>
            <w:r w:rsidRPr="009B4CAD">
              <w:rPr>
                <w:b/>
                <w:bCs/>
              </w:rPr>
              <w:t>Rejected as above.</w:t>
            </w:r>
          </w:p>
        </w:tc>
      </w:tr>
      <w:tr w:rsidR="00FF5612" w:rsidRPr="00FF5612" w:rsidTr="00FF5612">
        <w:trPr>
          <w:tblHeader/>
        </w:trPr>
        <w:tc>
          <w:tcPr>
            <w:tcW w:w="4252" w:type="dxa"/>
            <w:shd w:val="clear" w:color="auto" w:fill="auto"/>
          </w:tcPr>
          <w:p w:rsidR="00FF5612" w:rsidRPr="00FF5612" w:rsidRDefault="009B4CAD" w:rsidP="00FF5612">
            <w:pPr>
              <w:spacing w:before="40" w:after="120"/>
              <w:ind w:right="113"/>
            </w:pPr>
            <w:r w:rsidRPr="009B4CAD">
              <w:rPr>
                <w:bCs/>
              </w:rPr>
              <w:t>136.19. Prevent child marriage by increasing minimum age restriction of marriage to 18 for girls so as to have the same age restriction for both genders. (Botswana)</w:t>
            </w:r>
          </w:p>
        </w:tc>
        <w:tc>
          <w:tcPr>
            <w:tcW w:w="4253" w:type="dxa"/>
            <w:shd w:val="clear" w:color="auto" w:fill="auto"/>
          </w:tcPr>
          <w:p w:rsidR="00FF5612" w:rsidRPr="00FF5612" w:rsidRDefault="009B4CAD" w:rsidP="00FF5612">
            <w:pPr>
              <w:spacing w:before="40" w:after="120"/>
              <w:ind w:right="113"/>
            </w:pPr>
            <w:r w:rsidRPr="009B4CAD">
              <w:rPr>
                <w:b/>
                <w:bCs/>
              </w:rPr>
              <w:t>Rejected as above.</w:t>
            </w:r>
          </w:p>
        </w:tc>
      </w:tr>
      <w:tr w:rsidR="00FF5612" w:rsidRPr="00FF5612" w:rsidTr="00FF5612">
        <w:trPr>
          <w:tblHeader/>
        </w:trPr>
        <w:tc>
          <w:tcPr>
            <w:tcW w:w="4252" w:type="dxa"/>
            <w:shd w:val="clear" w:color="auto" w:fill="auto"/>
          </w:tcPr>
          <w:p w:rsidR="00FF5612" w:rsidRPr="00FF5612" w:rsidRDefault="009B4CAD" w:rsidP="00FF5612">
            <w:pPr>
              <w:spacing w:before="40" w:after="120"/>
              <w:ind w:right="113"/>
            </w:pPr>
            <w:r w:rsidRPr="009B4CAD">
              <w:rPr>
                <w:bCs/>
              </w:rPr>
              <w:t>136.20. Prevent and bring to justice those responsible for the practice of child early and forced marriage by amending the 1971 Law of Marriage Act to set the minimum age of marriage to 18, for both boys and girls without exception and make it consistent with the 2009 Law of the Child Act, which defines a child as anyone under 18. (Canada)</w:t>
            </w:r>
          </w:p>
        </w:tc>
        <w:tc>
          <w:tcPr>
            <w:tcW w:w="4253" w:type="dxa"/>
            <w:shd w:val="clear" w:color="auto" w:fill="auto"/>
          </w:tcPr>
          <w:p w:rsidR="00FF5612" w:rsidRPr="00FF5612" w:rsidRDefault="009B4CAD" w:rsidP="00FF5612">
            <w:pPr>
              <w:spacing w:before="40" w:after="120"/>
              <w:ind w:right="113"/>
            </w:pPr>
            <w:r w:rsidRPr="009B4CAD">
              <w:rPr>
                <w:b/>
                <w:bCs/>
              </w:rPr>
              <w:t>Rejected as above.</w:t>
            </w:r>
          </w:p>
        </w:tc>
      </w:tr>
      <w:tr w:rsidR="009B4CAD" w:rsidRPr="00FF5612" w:rsidTr="004B1A95">
        <w:trPr>
          <w:tblHeader/>
        </w:trPr>
        <w:tc>
          <w:tcPr>
            <w:tcW w:w="8505" w:type="dxa"/>
            <w:gridSpan w:val="2"/>
            <w:shd w:val="clear" w:color="auto" w:fill="auto"/>
          </w:tcPr>
          <w:p w:rsidR="009B4CAD" w:rsidRPr="00FF5612" w:rsidRDefault="009B4CAD" w:rsidP="009B4CAD">
            <w:pPr>
              <w:spacing w:before="40" w:after="120"/>
              <w:ind w:right="113"/>
            </w:pPr>
            <w:r w:rsidRPr="009B4CAD">
              <w:rPr>
                <w:b/>
                <w:bCs/>
              </w:rPr>
              <w:t>Rights o</w:t>
            </w:r>
            <w:r>
              <w:rPr>
                <w:b/>
                <w:bCs/>
              </w:rPr>
              <w:t>f the c</w:t>
            </w:r>
            <w:r w:rsidRPr="009B4CAD">
              <w:rPr>
                <w:b/>
                <w:bCs/>
              </w:rPr>
              <w:t xml:space="preserve">hild- Universal and </w:t>
            </w:r>
            <w:r>
              <w:rPr>
                <w:b/>
                <w:bCs/>
              </w:rPr>
              <w:t>f</w:t>
            </w:r>
            <w:r w:rsidRPr="009B4CAD">
              <w:rPr>
                <w:b/>
                <w:bCs/>
              </w:rPr>
              <w:t xml:space="preserve">ree </w:t>
            </w:r>
            <w:r>
              <w:rPr>
                <w:b/>
                <w:bCs/>
              </w:rPr>
              <w:t>b</w:t>
            </w:r>
            <w:r w:rsidRPr="009B4CAD">
              <w:rPr>
                <w:b/>
                <w:bCs/>
              </w:rPr>
              <w:t xml:space="preserve">irth </w:t>
            </w:r>
            <w:r>
              <w:rPr>
                <w:b/>
                <w:bCs/>
              </w:rPr>
              <w:t>r</w:t>
            </w:r>
            <w:r w:rsidRPr="009B4CAD">
              <w:rPr>
                <w:b/>
                <w:bCs/>
              </w:rPr>
              <w:t>egistration</w:t>
            </w:r>
          </w:p>
        </w:tc>
      </w:tr>
      <w:tr w:rsidR="00FF5612" w:rsidRPr="00FF5612" w:rsidTr="00FF5612">
        <w:trPr>
          <w:tblHeader/>
        </w:trPr>
        <w:tc>
          <w:tcPr>
            <w:tcW w:w="4252" w:type="dxa"/>
            <w:shd w:val="clear" w:color="auto" w:fill="auto"/>
          </w:tcPr>
          <w:p w:rsidR="00FF5612" w:rsidRPr="00FF5612" w:rsidRDefault="009B4CAD" w:rsidP="00FF5612">
            <w:pPr>
              <w:spacing w:before="40" w:after="120"/>
              <w:ind w:right="113"/>
            </w:pPr>
            <w:r w:rsidRPr="009B4CAD">
              <w:rPr>
                <w:bCs/>
              </w:rPr>
              <w:t xml:space="preserve">136.14. Provide birth registration and issue birth certificates free of charge for all children </w:t>
            </w:r>
            <w:proofErr w:type="gramStart"/>
            <w:r w:rsidRPr="009B4CAD">
              <w:rPr>
                <w:bCs/>
              </w:rPr>
              <w:t>under</w:t>
            </w:r>
            <w:proofErr w:type="gramEnd"/>
            <w:r w:rsidRPr="009B4CAD">
              <w:rPr>
                <w:bCs/>
              </w:rPr>
              <w:t xml:space="preserve"> 5 years of age in order to reach universal coverage and increase public awareness of the importance of birth registration. (Poland)</w:t>
            </w:r>
          </w:p>
        </w:tc>
        <w:tc>
          <w:tcPr>
            <w:tcW w:w="4253" w:type="dxa"/>
            <w:shd w:val="clear" w:color="auto" w:fill="auto"/>
          </w:tcPr>
          <w:p w:rsidR="00FF5612" w:rsidRPr="00FF5612" w:rsidRDefault="009B4CAD" w:rsidP="00FF5612">
            <w:pPr>
              <w:spacing w:before="40" w:after="120"/>
              <w:ind w:right="113"/>
            </w:pPr>
            <w:r w:rsidRPr="009B4CAD">
              <w:rPr>
                <w:b/>
                <w:bCs/>
              </w:rPr>
              <w:t xml:space="preserve">Accepted. </w:t>
            </w:r>
            <w:r w:rsidRPr="009B4CAD">
              <w:rPr>
                <w:bCs/>
              </w:rPr>
              <w:t xml:space="preserve">The State began the under 5 birth registration in 2013 with support from UNICEF. The program is being implemented in the Regions of </w:t>
            </w:r>
            <w:proofErr w:type="spellStart"/>
            <w:r w:rsidRPr="009B4CAD">
              <w:rPr>
                <w:bCs/>
              </w:rPr>
              <w:t>Mbeya</w:t>
            </w:r>
            <w:proofErr w:type="spellEnd"/>
            <w:r w:rsidRPr="009B4CAD">
              <w:rPr>
                <w:bCs/>
              </w:rPr>
              <w:t xml:space="preserve"> and </w:t>
            </w:r>
            <w:proofErr w:type="spellStart"/>
            <w:r w:rsidRPr="009B4CAD">
              <w:rPr>
                <w:bCs/>
              </w:rPr>
              <w:t>Mwanza</w:t>
            </w:r>
            <w:proofErr w:type="spellEnd"/>
            <w:r w:rsidRPr="009B4CAD">
              <w:rPr>
                <w:bCs/>
              </w:rPr>
              <w:t xml:space="preserve"> and will soon extend to the Region of </w:t>
            </w:r>
            <w:proofErr w:type="spellStart"/>
            <w:r w:rsidRPr="009B4CAD">
              <w:rPr>
                <w:bCs/>
              </w:rPr>
              <w:t>Iringa</w:t>
            </w:r>
            <w:proofErr w:type="spellEnd"/>
            <w:r w:rsidRPr="009B4CAD">
              <w:rPr>
                <w:bCs/>
              </w:rPr>
              <w:t xml:space="preserve"> with the objective of covering the whole country. The State shall continue to expand the program based on its resources and financial capacity.</w:t>
            </w:r>
          </w:p>
        </w:tc>
      </w:tr>
      <w:tr w:rsidR="00FF5612" w:rsidRPr="00FF5612" w:rsidTr="00FF5612">
        <w:trPr>
          <w:tblHeader/>
        </w:trPr>
        <w:tc>
          <w:tcPr>
            <w:tcW w:w="4252" w:type="dxa"/>
            <w:shd w:val="clear" w:color="auto" w:fill="auto"/>
          </w:tcPr>
          <w:p w:rsidR="00FF5612" w:rsidRPr="00FF5612" w:rsidRDefault="009B4CAD" w:rsidP="00FF5612">
            <w:pPr>
              <w:spacing w:before="40" w:after="120"/>
              <w:ind w:right="113"/>
            </w:pPr>
            <w:r w:rsidRPr="009B4CAD">
              <w:rPr>
                <w:bCs/>
              </w:rPr>
              <w:t>136.15. Accelerate efforts regarding birth registration, while ensuring the free issuance of birth certificates to all children. (Turkey)</w:t>
            </w:r>
          </w:p>
        </w:tc>
        <w:tc>
          <w:tcPr>
            <w:tcW w:w="4253" w:type="dxa"/>
            <w:shd w:val="clear" w:color="auto" w:fill="auto"/>
          </w:tcPr>
          <w:p w:rsidR="00FF5612" w:rsidRPr="00FF5612" w:rsidRDefault="009866F7" w:rsidP="00FF5612">
            <w:pPr>
              <w:spacing w:before="40" w:after="120"/>
              <w:ind w:right="113"/>
            </w:pPr>
            <w:r w:rsidRPr="009866F7">
              <w:rPr>
                <w:b/>
                <w:bCs/>
              </w:rPr>
              <w:t>Accepted as above.</w:t>
            </w:r>
          </w:p>
        </w:tc>
      </w:tr>
      <w:tr w:rsidR="009866F7" w:rsidRPr="00FF5612" w:rsidTr="00431C8D">
        <w:trPr>
          <w:tblHeader/>
        </w:trPr>
        <w:tc>
          <w:tcPr>
            <w:tcW w:w="8505" w:type="dxa"/>
            <w:gridSpan w:val="2"/>
            <w:shd w:val="clear" w:color="auto" w:fill="auto"/>
          </w:tcPr>
          <w:p w:rsidR="009866F7" w:rsidRPr="00FF5612" w:rsidRDefault="009866F7" w:rsidP="009866F7">
            <w:pPr>
              <w:spacing w:before="40" w:after="120"/>
              <w:ind w:right="113"/>
            </w:pPr>
            <w:r>
              <w:rPr>
                <w:b/>
                <w:bCs/>
              </w:rPr>
              <w:t>Rights of p</w:t>
            </w:r>
            <w:r w:rsidRPr="009866F7">
              <w:rPr>
                <w:b/>
                <w:bCs/>
              </w:rPr>
              <w:t xml:space="preserve">ersons with </w:t>
            </w:r>
            <w:r>
              <w:rPr>
                <w:b/>
                <w:bCs/>
              </w:rPr>
              <w:t>a</w:t>
            </w:r>
            <w:r w:rsidRPr="009866F7">
              <w:rPr>
                <w:b/>
                <w:bCs/>
              </w:rPr>
              <w:t>lbinism</w:t>
            </w:r>
          </w:p>
        </w:tc>
      </w:tr>
      <w:tr w:rsidR="00FF5612" w:rsidRPr="00FF5612" w:rsidTr="00FF5612">
        <w:trPr>
          <w:tblHeader/>
        </w:trPr>
        <w:tc>
          <w:tcPr>
            <w:tcW w:w="4252" w:type="dxa"/>
            <w:shd w:val="clear" w:color="auto" w:fill="auto"/>
          </w:tcPr>
          <w:p w:rsidR="00FF5612" w:rsidRPr="00FF5612" w:rsidRDefault="009866F7" w:rsidP="00FF5612">
            <w:pPr>
              <w:spacing w:before="40" w:after="120"/>
              <w:ind w:right="113"/>
            </w:pPr>
            <w:r w:rsidRPr="009866F7">
              <w:rPr>
                <w:bCs/>
              </w:rPr>
              <w:t>136.9. Amend the 2002 Law on Alternative Medicine in order to prevent healers harming persons with albinism. (Spain)</w:t>
            </w:r>
          </w:p>
        </w:tc>
        <w:tc>
          <w:tcPr>
            <w:tcW w:w="4253" w:type="dxa"/>
            <w:shd w:val="clear" w:color="auto" w:fill="auto"/>
          </w:tcPr>
          <w:p w:rsidR="009866F7" w:rsidRPr="009866F7" w:rsidRDefault="009866F7" w:rsidP="009866F7">
            <w:pPr>
              <w:spacing w:before="40" w:after="60"/>
              <w:ind w:right="113"/>
              <w:rPr>
                <w:bCs/>
              </w:rPr>
            </w:pPr>
            <w:r w:rsidRPr="009866F7">
              <w:rPr>
                <w:b/>
                <w:bCs/>
              </w:rPr>
              <w:t>Rejected.</w:t>
            </w:r>
            <w:r w:rsidRPr="009866F7">
              <w:rPr>
                <w:bCs/>
              </w:rPr>
              <w:t xml:space="preserve"> The State wishes to clarify that the Act was enacted to regulate</w:t>
            </w:r>
            <w:r w:rsidRPr="009866F7">
              <w:rPr>
                <w:lang w:val="en-US"/>
              </w:rPr>
              <w:t xml:space="preserve"> </w:t>
            </w:r>
            <w:r w:rsidRPr="009866F7">
              <w:rPr>
                <w:bCs/>
              </w:rPr>
              <w:t>Alternative Health Practitioners and Traditional Health Practitioners. The former are formally trained with skills in alternative medicine while the later are recognised by the community as competent persons to provide health care based on using plants, animal, mineral substances and the like. The Act does not sanction harming person with albinism by either Alternative or Traditional Health Practitioners and such incidences are the acts of the individual Healer breaking the law and not otherwise. The legislation itself and the Penal Code, Cap 16 provide penalties for unlawful acts by either Alternative or Traditional Health Practitioners. The issue of attacks and killings of persons with albinism is based on individual superstitious beliefs.</w:t>
            </w:r>
          </w:p>
          <w:p w:rsidR="00FF5612" w:rsidRPr="00FF5612" w:rsidRDefault="009866F7" w:rsidP="009866F7">
            <w:pPr>
              <w:spacing w:before="40" w:after="120"/>
              <w:ind w:right="113"/>
            </w:pPr>
            <w:r w:rsidRPr="009866F7">
              <w:rPr>
                <w:bCs/>
              </w:rPr>
              <w:t xml:space="preserve">The State is willing to review the Traditional and Alternative Medicines Act of 2002 in general and to assess its positive and negative aspects. The State </w:t>
            </w:r>
            <w:proofErr w:type="spellStart"/>
            <w:r w:rsidRPr="009866F7">
              <w:rPr>
                <w:bCs/>
              </w:rPr>
              <w:t>can not</w:t>
            </w:r>
            <w:proofErr w:type="spellEnd"/>
            <w:r w:rsidRPr="009866F7">
              <w:rPr>
                <w:bCs/>
              </w:rPr>
              <w:t xml:space="preserve"> commit that the review will lead to an amendment of the legislation as recommended.</w:t>
            </w:r>
          </w:p>
        </w:tc>
      </w:tr>
      <w:tr w:rsidR="00FF5612" w:rsidRPr="00FF5612" w:rsidTr="00FF5612">
        <w:trPr>
          <w:tblHeader/>
        </w:trPr>
        <w:tc>
          <w:tcPr>
            <w:tcW w:w="4252" w:type="dxa"/>
            <w:shd w:val="clear" w:color="auto" w:fill="auto"/>
          </w:tcPr>
          <w:p w:rsidR="00FF5612" w:rsidRPr="00FF5612" w:rsidRDefault="009866F7" w:rsidP="00FF5612">
            <w:pPr>
              <w:spacing w:before="40" w:after="120"/>
              <w:ind w:right="113"/>
            </w:pPr>
            <w:r w:rsidRPr="009866F7">
              <w:rPr>
                <w:bCs/>
              </w:rPr>
              <w:t>136.22</w:t>
            </w:r>
            <w:proofErr w:type="gramStart"/>
            <w:r w:rsidRPr="009866F7">
              <w:rPr>
                <w:bCs/>
              </w:rPr>
              <w:t>.Provide</w:t>
            </w:r>
            <w:proofErr w:type="gramEnd"/>
            <w:r w:rsidRPr="009866F7">
              <w:rPr>
                <w:bCs/>
              </w:rPr>
              <w:t xml:space="preserve"> financial and structural support to civil society organisations to conduct awareness-raising campaigns against the discrimination o</w:t>
            </w:r>
            <w:r>
              <w:rPr>
                <w:bCs/>
              </w:rPr>
              <w:t>f persons with albinism. (Haiti)</w:t>
            </w:r>
          </w:p>
        </w:tc>
        <w:tc>
          <w:tcPr>
            <w:tcW w:w="4253" w:type="dxa"/>
            <w:shd w:val="clear" w:color="auto" w:fill="auto"/>
          </w:tcPr>
          <w:p w:rsidR="00FF5612" w:rsidRPr="00FF5612" w:rsidRDefault="009866F7" w:rsidP="00FF5612">
            <w:pPr>
              <w:spacing w:before="40" w:after="120"/>
              <w:ind w:right="113"/>
            </w:pPr>
            <w:r w:rsidRPr="009866F7">
              <w:rPr>
                <w:b/>
                <w:bCs/>
              </w:rPr>
              <w:t xml:space="preserve">Accepted in Part. </w:t>
            </w:r>
            <w:r w:rsidRPr="009866F7">
              <w:rPr>
                <w:bCs/>
              </w:rPr>
              <w:t xml:space="preserve">The State accepts to provide structural support to Civil Society Organisations as it has already established a normative framework by enacting legislation such as the </w:t>
            </w:r>
            <w:proofErr w:type="spellStart"/>
            <w:r w:rsidRPr="009866F7">
              <w:rPr>
                <w:bCs/>
              </w:rPr>
              <w:t>Non Government</w:t>
            </w:r>
            <w:proofErr w:type="spellEnd"/>
            <w:r w:rsidRPr="009866F7">
              <w:rPr>
                <w:bCs/>
              </w:rPr>
              <w:t xml:space="preserve"> Organisation Act, Cap 24 and the Societies Act, Cap 337 which establish various Civil Society Organisations. </w:t>
            </w:r>
            <w:proofErr w:type="gramStart"/>
            <w:r w:rsidRPr="009866F7">
              <w:rPr>
                <w:bCs/>
              </w:rPr>
              <w:t>These</w:t>
            </w:r>
            <w:proofErr w:type="gramEnd"/>
            <w:r w:rsidRPr="009866F7">
              <w:rPr>
                <w:bCs/>
              </w:rPr>
              <w:t xml:space="preserve"> legislation ensure that CSOs can seek funding to implement their activities and to operate within the provisions of the law.</w:t>
            </w:r>
          </w:p>
        </w:tc>
      </w:tr>
      <w:tr w:rsidR="00FF5612" w:rsidRPr="00FF5612" w:rsidTr="00FF5612">
        <w:trPr>
          <w:tblHeader/>
        </w:trPr>
        <w:tc>
          <w:tcPr>
            <w:tcW w:w="4252" w:type="dxa"/>
            <w:shd w:val="clear" w:color="auto" w:fill="auto"/>
          </w:tcPr>
          <w:p w:rsidR="00FF5612" w:rsidRPr="00FF5612" w:rsidRDefault="009866F7" w:rsidP="00FF5612">
            <w:pPr>
              <w:spacing w:before="40" w:after="120"/>
              <w:ind w:right="113"/>
            </w:pPr>
            <w:r w:rsidRPr="009866F7">
              <w:rPr>
                <w:bCs/>
              </w:rPr>
              <w:t>136.23</w:t>
            </w:r>
            <w:proofErr w:type="gramStart"/>
            <w:r w:rsidRPr="009866F7">
              <w:rPr>
                <w:bCs/>
              </w:rPr>
              <w:t>.Deepen</w:t>
            </w:r>
            <w:proofErr w:type="gramEnd"/>
            <w:r w:rsidRPr="009866F7">
              <w:rPr>
                <w:bCs/>
              </w:rPr>
              <w:t xml:space="preserve"> cooperation with all stakeholders to fight discrimination and violence against persons with albinism, and in particular with the Independent Expert on the Enjoyment of Human Rights by Persons with Albinism, in full respect of the indepen</w:t>
            </w:r>
            <w:r>
              <w:rPr>
                <w:bCs/>
              </w:rPr>
              <w:t>dence of her mandate. (Portugal)</w:t>
            </w:r>
          </w:p>
        </w:tc>
        <w:tc>
          <w:tcPr>
            <w:tcW w:w="4253" w:type="dxa"/>
            <w:shd w:val="clear" w:color="auto" w:fill="auto"/>
          </w:tcPr>
          <w:p w:rsidR="00FF5612" w:rsidRPr="00FF5612" w:rsidRDefault="009866F7" w:rsidP="009866F7">
            <w:pPr>
              <w:spacing w:before="40" w:after="120"/>
              <w:ind w:right="113"/>
            </w:pPr>
            <w:r w:rsidRPr="009866F7">
              <w:rPr>
                <w:b/>
                <w:bCs/>
              </w:rPr>
              <w:t xml:space="preserve">Accepted. </w:t>
            </w:r>
            <w:r w:rsidRPr="009866F7">
              <w:rPr>
                <w:bCs/>
              </w:rPr>
              <w:t>The State cooperates with all stakeholders to fight discrimination and violence against persons with albinism and the State is willing to receive the Independent Expert. However, her mandate has to be exercised in accordance with the laws of the land.</w:t>
            </w:r>
          </w:p>
        </w:tc>
      </w:tr>
      <w:tr w:rsidR="009866F7" w:rsidRPr="00FF5612" w:rsidTr="00E051DC">
        <w:trPr>
          <w:tblHeader/>
        </w:trPr>
        <w:tc>
          <w:tcPr>
            <w:tcW w:w="8505" w:type="dxa"/>
            <w:gridSpan w:val="2"/>
            <w:shd w:val="clear" w:color="auto" w:fill="auto"/>
          </w:tcPr>
          <w:p w:rsidR="009866F7" w:rsidRPr="00FF5612" w:rsidRDefault="009866F7" w:rsidP="00FF5612">
            <w:pPr>
              <w:spacing w:before="40" w:after="120"/>
              <w:ind w:right="113"/>
            </w:pPr>
            <w:r w:rsidRPr="009866F7">
              <w:rPr>
                <w:b/>
                <w:bCs/>
              </w:rPr>
              <w:t xml:space="preserve">Corporal </w:t>
            </w:r>
            <w:r>
              <w:rPr>
                <w:b/>
                <w:bCs/>
              </w:rPr>
              <w:t>p</w:t>
            </w:r>
            <w:r w:rsidRPr="009866F7">
              <w:rPr>
                <w:b/>
                <w:bCs/>
              </w:rPr>
              <w:t>unishment</w:t>
            </w:r>
          </w:p>
        </w:tc>
      </w:tr>
      <w:tr w:rsidR="009866F7" w:rsidRPr="00FF5612" w:rsidTr="009866F7">
        <w:trPr>
          <w:tblHeader/>
        </w:trPr>
        <w:tc>
          <w:tcPr>
            <w:tcW w:w="4252" w:type="dxa"/>
            <w:shd w:val="clear" w:color="auto" w:fill="auto"/>
          </w:tcPr>
          <w:p w:rsidR="009866F7" w:rsidRPr="00FF5612" w:rsidRDefault="009866F7" w:rsidP="00FF5612">
            <w:pPr>
              <w:spacing w:before="40" w:after="120"/>
              <w:ind w:right="113"/>
            </w:pPr>
            <w:r w:rsidRPr="009866F7">
              <w:rPr>
                <w:bCs/>
              </w:rPr>
              <w:t>136.21</w:t>
            </w:r>
            <w:proofErr w:type="gramStart"/>
            <w:r w:rsidRPr="009866F7">
              <w:rPr>
                <w:bCs/>
              </w:rPr>
              <w:t>.Prohibit</w:t>
            </w:r>
            <w:proofErr w:type="gramEnd"/>
            <w:r w:rsidRPr="009866F7">
              <w:rPr>
                <w:bCs/>
              </w:rPr>
              <w:t xml:space="preserve"> all forms of corporal punishment</w:t>
            </w:r>
            <w:r>
              <w:rPr>
                <w:bCs/>
              </w:rPr>
              <w:t>.</w:t>
            </w:r>
            <w:r w:rsidRPr="009866F7">
              <w:rPr>
                <w:bCs/>
              </w:rPr>
              <w:t xml:space="preserve"> (Sweden)</w:t>
            </w:r>
          </w:p>
        </w:tc>
        <w:tc>
          <w:tcPr>
            <w:tcW w:w="4253" w:type="dxa"/>
            <w:shd w:val="clear" w:color="auto" w:fill="auto"/>
          </w:tcPr>
          <w:p w:rsidR="009866F7" w:rsidRPr="00FF5612" w:rsidRDefault="009866F7" w:rsidP="00FF5612">
            <w:pPr>
              <w:spacing w:before="40" w:after="120"/>
              <w:ind w:right="113"/>
            </w:pPr>
            <w:r w:rsidRPr="009866F7">
              <w:rPr>
                <w:b/>
                <w:bCs/>
              </w:rPr>
              <w:t xml:space="preserve">Rejected. </w:t>
            </w:r>
            <w:r w:rsidRPr="009866F7">
              <w:rPr>
                <w:bCs/>
              </w:rPr>
              <w:t>Corporal punishment is provided by the Corporal Punishment Act, Cap 17. It is a lawful punishment handed out by Courts of law for specific offences. It is not administered indiscriminately as it is only administered on men below 55 years of age and subject to guidelines ensuring no harm is caused to the offender. Further, a study by the Law Reform Commission revealed that the majority of citizens are in favour of corporal punishment. This form of punishment plays a significant deterrent role in the society.</w:t>
            </w:r>
          </w:p>
        </w:tc>
      </w:tr>
      <w:tr w:rsidR="009866F7" w:rsidRPr="00FF5612" w:rsidTr="00271131">
        <w:trPr>
          <w:tblHeader/>
        </w:trPr>
        <w:tc>
          <w:tcPr>
            <w:tcW w:w="8505" w:type="dxa"/>
            <w:gridSpan w:val="2"/>
            <w:shd w:val="clear" w:color="auto" w:fill="auto"/>
          </w:tcPr>
          <w:p w:rsidR="009866F7" w:rsidRPr="00FF5612" w:rsidRDefault="009866F7" w:rsidP="00FF5612">
            <w:pPr>
              <w:spacing w:before="40" w:after="120"/>
              <w:ind w:right="113"/>
            </w:pPr>
            <w:r w:rsidRPr="009866F7">
              <w:rPr>
                <w:b/>
                <w:bCs/>
              </w:rPr>
              <w:t>Elections</w:t>
            </w:r>
          </w:p>
        </w:tc>
      </w:tr>
      <w:tr w:rsidR="009866F7" w:rsidRPr="00FF5612" w:rsidTr="00FF5612">
        <w:trPr>
          <w:tblHeader/>
        </w:trPr>
        <w:tc>
          <w:tcPr>
            <w:tcW w:w="4252" w:type="dxa"/>
            <w:tcBorders>
              <w:bottom w:val="single" w:sz="12" w:space="0" w:color="auto"/>
            </w:tcBorders>
            <w:shd w:val="clear" w:color="auto" w:fill="auto"/>
          </w:tcPr>
          <w:p w:rsidR="009866F7" w:rsidRPr="00FF5612" w:rsidRDefault="009866F7" w:rsidP="00FF5612">
            <w:pPr>
              <w:spacing w:before="40" w:after="120"/>
              <w:ind w:right="113"/>
            </w:pPr>
            <w:r w:rsidRPr="009866F7">
              <w:rPr>
                <w:bCs/>
              </w:rPr>
              <w:t>136.25. Play an active role to ensure inclusive and legitimate democracy in Zanzibar by supporting a reconciliation process in Zanzibar that leads to a truly representative Government of National Unity, as required by the Constitution of Zanzibar</w:t>
            </w:r>
            <w:r>
              <w:rPr>
                <w:bCs/>
              </w:rPr>
              <w:t>. (Netherlands)</w:t>
            </w:r>
          </w:p>
        </w:tc>
        <w:tc>
          <w:tcPr>
            <w:tcW w:w="4253" w:type="dxa"/>
            <w:tcBorders>
              <w:bottom w:val="single" w:sz="12" w:space="0" w:color="auto"/>
            </w:tcBorders>
            <w:shd w:val="clear" w:color="auto" w:fill="auto"/>
          </w:tcPr>
          <w:p w:rsidR="009866F7" w:rsidRPr="00FF5612" w:rsidRDefault="009866F7" w:rsidP="00FF5612">
            <w:pPr>
              <w:spacing w:before="40" w:after="120"/>
              <w:ind w:right="113"/>
            </w:pPr>
            <w:r w:rsidRPr="009866F7">
              <w:rPr>
                <w:b/>
                <w:bCs/>
              </w:rPr>
              <w:t xml:space="preserve">Rejected. </w:t>
            </w:r>
            <w:r w:rsidRPr="009866F7">
              <w:rPr>
                <w:bCs/>
              </w:rPr>
              <w:t xml:space="preserve">The Recommendation is based on the premise that there is no inclusive and legitimate democracy in Zanzibar. There is a legitimate Government in place as a result of free and fair elections where every political party was at liberty to contest. Parties which chose not to contest did </w:t>
            </w:r>
            <w:proofErr w:type="gramStart"/>
            <w:r w:rsidRPr="009866F7">
              <w:rPr>
                <w:bCs/>
              </w:rPr>
              <w:t>so on</w:t>
            </w:r>
            <w:proofErr w:type="gramEnd"/>
            <w:r w:rsidRPr="009866F7">
              <w:rPr>
                <w:bCs/>
              </w:rPr>
              <w:t xml:space="preserve"> their own prerogative.</w:t>
            </w:r>
          </w:p>
        </w:tc>
      </w:tr>
    </w:tbl>
    <w:p w:rsidR="00CF586F" w:rsidRDefault="009866F7" w:rsidP="009866F7">
      <w:pPr>
        <w:pStyle w:val="HChG"/>
      </w:pPr>
      <w:r>
        <w:tab/>
        <w:t>II.</w:t>
      </w:r>
      <w:r>
        <w:tab/>
        <w:t>Reversed positions on recommendations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3"/>
      </w:tblGrid>
      <w:tr w:rsidR="009866F7" w:rsidRPr="009866F7" w:rsidTr="009866F7">
        <w:trPr>
          <w:tblHeader/>
        </w:trPr>
        <w:tc>
          <w:tcPr>
            <w:tcW w:w="4824" w:type="dxa"/>
            <w:tcBorders>
              <w:top w:val="single" w:sz="4" w:space="0" w:color="auto"/>
              <w:bottom w:val="single" w:sz="12" w:space="0" w:color="auto"/>
            </w:tcBorders>
            <w:shd w:val="clear" w:color="auto" w:fill="auto"/>
            <w:vAlign w:val="bottom"/>
          </w:tcPr>
          <w:p w:rsidR="009866F7" w:rsidRPr="009866F7" w:rsidRDefault="009866F7" w:rsidP="009866F7">
            <w:pPr>
              <w:spacing w:before="80" w:after="80" w:line="200" w:lineRule="exact"/>
              <w:ind w:right="113"/>
              <w:rPr>
                <w:i/>
                <w:sz w:val="16"/>
              </w:rPr>
            </w:pPr>
            <w:r>
              <w:rPr>
                <w:i/>
                <w:sz w:val="16"/>
              </w:rPr>
              <w:t>Initially accepted</w:t>
            </w:r>
          </w:p>
        </w:tc>
        <w:tc>
          <w:tcPr>
            <w:tcW w:w="4825" w:type="dxa"/>
            <w:tcBorders>
              <w:top w:val="single" w:sz="4" w:space="0" w:color="auto"/>
              <w:bottom w:val="single" w:sz="12" w:space="0" w:color="auto"/>
            </w:tcBorders>
            <w:shd w:val="clear" w:color="auto" w:fill="auto"/>
            <w:vAlign w:val="bottom"/>
          </w:tcPr>
          <w:p w:rsidR="009866F7" w:rsidRPr="009866F7" w:rsidRDefault="009866F7" w:rsidP="009866F7">
            <w:pPr>
              <w:spacing w:before="80" w:after="80" w:line="200" w:lineRule="exact"/>
              <w:ind w:right="113"/>
              <w:rPr>
                <w:i/>
                <w:sz w:val="16"/>
              </w:rPr>
            </w:pPr>
            <w:r>
              <w:rPr>
                <w:i/>
                <w:sz w:val="16"/>
              </w:rPr>
              <w:t>Position</w:t>
            </w:r>
          </w:p>
        </w:tc>
      </w:tr>
      <w:tr w:rsidR="009866F7" w:rsidRPr="009866F7" w:rsidTr="009866F7">
        <w:trPr>
          <w:tblHeader/>
        </w:trPr>
        <w:tc>
          <w:tcPr>
            <w:tcW w:w="4824" w:type="dxa"/>
            <w:tcBorders>
              <w:top w:val="single" w:sz="12" w:space="0" w:color="auto"/>
            </w:tcBorders>
            <w:shd w:val="clear" w:color="auto" w:fill="auto"/>
          </w:tcPr>
          <w:p w:rsidR="009866F7" w:rsidRPr="009866F7" w:rsidRDefault="009866F7" w:rsidP="009866F7">
            <w:pPr>
              <w:spacing w:before="40" w:after="120"/>
              <w:ind w:right="113"/>
            </w:pPr>
            <w:r w:rsidRPr="009866F7">
              <w:rPr>
                <w:lang w:val="en-US"/>
              </w:rPr>
              <w:t>134.14. Combat the phenomenon of early and forced marriage by amending the relevant legislation accordingly</w:t>
            </w:r>
            <w:r w:rsidR="00EF29A8">
              <w:rPr>
                <w:lang w:val="en-US"/>
              </w:rPr>
              <w:t>.</w:t>
            </w:r>
            <w:r w:rsidRPr="009866F7">
              <w:rPr>
                <w:lang w:val="en-US"/>
              </w:rPr>
              <w:t xml:space="preserve"> (Cyprus)</w:t>
            </w:r>
          </w:p>
        </w:tc>
        <w:tc>
          <w:tcPr>
            <w:tcW w:w="4825" w:type="dxa"/>
            <w:tcBorders>
              <w:top w:val="single" w:sz="12" w:space="0" w:color="auto"/>
            </w:tcBorders>
            <w:shd w:val="clear" w:color="auto" w:fill="auto"/>
          </w:tcPr>
          <w:p w:rsidR="009866F7" w:rsidRPr="009866F7" w:rsidRDefault="009866F7" w:rsidP="009866F7">
            <w:pPr>
              <w:spacing w:before="40" w:after="120"/>
              <w:ind w:right="113"/>
            </w:pPr>
            <w:r w:rsidRPr="009866F7">
              <w:rPr>
                <w:b/>
                <w:lang w:val="en-US"/>
              </w:rPr>
              <w:t xml:space="preserve">Rejected </w:t>
            </w:r>
            <w:r w:rsidRPr="009866F7">
              <w:rPr>
                <w:lang w:val="en-US"/>
              </w:rPr>
              <w:t>pending outcome of the Court of Appeal decision.</w:t>
            </w:r>
          </w:p>
        </w:tc>
      </w:tr>
      <w:tr w:rsidR="009866F7" w:rsidRPr="009866F7" w:rsidTr="009866F7">
        <w:trPr>
          <w:tblHeader/>
        </w:trPr>
        <w:tc>
          <w:tcPr>
            <w:tcW w:w="4824" w:type="dxa"/>
            <w:shd w:val="clear" w:color="auto" w:fill="auto"/>
          </w:tcPr>
          <w:p w:rsidR="009866F7" w:rsidRPr="009866F7" w:rsidRDefault="009866F7" w:rsidP="009866F7">
            <w:pPr>
              <w:spacing w:before="40" w:after="120"/>
              <w:ind w:right="113"/>
            </w:pPr>
            <w:r w:rsidRPr="009866F7">
              <w:rPr>
                <w:lang w:val="en-US"/>
              </w:rPr>
              <w:t>134.61. Strengthen efforts to end child, early and forced marriages, especially among girls</w:t>
            </w:r>
            <w:r w:rsidR="00EF29A8">
              <w:rPr>
                <w:lang w:val="en-US"/>
              </w:rPr>
              <w:t>.</w:t>
            </w:r>
            <w:r w:rsidRPr="009866F7">
              <w:rPr>
                <w:lang w:val="en-US"/>
              </w:rPr>
              <w:t xml:space="preserve"> (Maldives)</w:t>
            </w:r>
          </w:p>
        </w:tc>
        <w:tc>
          <w:tcPr>
            <w:tcW w:w="4825" w:type="dxa"/>
            <w:shd w:val="clear" w:color="auto" w:fill="auto"/>
          </w:tcPr>
          <w:p w:rsidR="009866F7" w:rsidRPr="009866F7" w:rsidRDefault="009866F7" w:rsidP="009866F7">
            <w:pPr>
              <w:spacing w:before="40" w:after="120"/>
              <w:ind w:right="113"/>
            </w:pPr>
            <w:r w:rsidRPr="009866F7">
              <w:rPr>
                <w:b/>
                <w:lang w:val="en-US"/>
              </w:rPr>
              <w:t xml:space="preserve">Rejected </w:t>
            </w:r>
            <w:r w:rsidRPr="009866F7">
              <w:rPr>
                <w:lang w:val="en-US"/>
              </w:rPr>
              <w:t>pending outcome of the Court of Appeal decision on the matter.</w:t>
            </w:r>
          </w:p>
        </w:tc>
      </w:tr>
      <w:tr w:rsidR="009866F7" w:rsidRPr="009866F7" w:rsidTr="009866F7">
        <w:trPr>
          <w:tblHeader/>
        </w:trPr>
        <w:tc>
          <w:tcPr>
            <w:tcW w:w="4824" w:type="dxa"/>
            <w:shd w:val="clear" w:color="auto" w:fill="auto"/>
          </w:tcPr>
          <w:p w:rsidR="009866F7" w:rsidRPr="009866F7" w:rsidRDefault="009866F7" w:rsidP="009866F7">
            <w:pPr>
              <w:spacing w:before="40" w:after="120"/>
              <w:ind w:right="113"/>
            </w:pPr>
            <w:r w:rsidRPr="009866F7">
              <w:rPr>
                <w:lang w:val="en-US"/>
              </w:rPr>
              <w:t>134.62. Accelerates moves to end child and forced marriage, revises the 1971Marriage Law Act, tightens legislation and enforcement to protect against Female Genital Mutilation, and in the process, collaborates with civil society organizations at community level</w:t>
            </w:r>
            <w:r w:rsidR="00EF29A8">
              <w:rPr>
                <w:lang w:val="en-US"/>
              </w:rPr>
              <w:t>.</w:t>
            </w:r>
            <w:r w:rsidRPr="009866F7">
              <w:rPr>
                <w:lang w:val="en-US"/>
              </w:rPr>
              <w:t xml:space="preserve"> (UK and Northern Ireland)</w:t>
            </w:r>
          </w:p>
        </w:tc>
        <w:tc>
          <w:tcPr>
            <w:tcW w:w="4825" w:type="dxa"/>
            <w:shd w:val="clear" w:color="auto" w:fill="auto"/>
          </w:tcPr>
          <w:p w:rsidR="009866F7" w:rsidRPr="009866F7" w:rsidRDefault="009866F7" w:rsidP="009866F7">
            <w:pPr>
              <w:spacing w:before="40" w:after="120"/>
              <w:ind w:right="113"/>
            </w:pPr>
            <w:r w:rsidRPr="009866F7">
              <w:rPr>
                <w:lang w:val="en-US"/>
              </w:rPr>
              <w:t>The aspect of the Recommendation on the Law of Marriage Act, 1971 is</w:t>
            </w:r>
            <w:r w:rsidRPr="009866F7">
              <w:rPr>
                <w:b/>
                <w:lang w:val="en-US"/>
              </w:rPr>
              <w:t xml:space="preserve"> Rejected </w:t>
            </w:r>
            <w:r w:rsidRPr="009866F7">
              <w:rPr>
                <w:lang w:val="en-US"/>
              </w:rPr>
              <w:t xml:space="preserve">pending outcome of the Court of Appeal decision. The State shall continue its efforts to tighten legislation and its enforcement to protect against Female Genital   Mutilation, and shall collaborate with Civil Society </w:t>
            </w:r>
            <w:proofErr w:type="spellStart"/>
            <w:r w:rsidRPr="009866F7">
              <w:rPr>
                <w:lang w:val="en-US"/>
              </w:rPr>
              <w:t>Organisations</w:t>
            </w:r>
            <w:proofErr w:type="spellEnd"/>
            <w:r w:rsidRPr="009866F7">
              <w:rPr>
                <w:lang w:val="en-US"/>
              </w:rPr>
              <w:t xml:space="preserve"> to that end.</w:t>
            </w:r>
          </w:p>
        </w:tc>
      </w:tr>
      <w:tr w:rsidR="009866F7" w:rsidRPr="009866F7" w:rsidTr="009866F7">
        <w:trPr>
          <w:tblHeader/>
        </w:trPr>
        <w:tc>
          <w:tcPr>
            <w:tcW w:w="4824" w:type="dxa"/>
            <w:shd w:val="clear" w:color="auto" w:fill="auto"/>
          </w:tcPr>
          <w:p w:rsidR="009866F7" w:rsidRPr="009866F7" w:rsidRDefault="009866F7" w:rsidP="009866F7">
            <w:pPr>
              <w:spacing w:before="40" w:after="120"/>
              <w:ind w:right="113"/>
            </w:pPr>
            <w:r w:rsidRPr="009866F7">
              <w:rPr>
                <w:lang w:val="en-US"/>
              </w:rPr>
              <w:t>134.63.</w:t>
            </w:r>
            <w:r>
              <w:rPr>
                <w:lang w:val="en-US"/>
              </w:rPr>
              <w:t xml:space="preserve"> </w:t>
            </w:r>
            <w:r w:rsidRPr="009866F7">
              <w:rPr>
                <w:lang w:val="en-US"/>
              </w:rPr>
              <w:t>Adopt necessary measures to end the practice of forced and early marriages</w:t>
            </w:r>
            <w:r w:rsidR="00EF29A8">
              <w:rPr>
                <w:lang w:val="en-US"/>
              </w:rPr>
              <w:t>.</w:t>
            </w:r>
            <w:r>
              <w:rPr>
                <w:lang w:val="en-US"/>
              </w:rPr>
              <w:t xml:space="preserve"> </w:t>
            </w:r>
            <w:r w:rsidRPr="009866F7">
              <w:rPr>
                <w:lang w:val="en-US"/>
              </w:rPr>
              <w:t>(Argentina)</w:t>
            </w:r>
          </w:p>
        </w:tc>
        <w:tc>
          <w:tcPr>
            <w:tcW w:w="4825" w:type="dxa"/>
            <w:shd w:val="clear" w:color="auto" w:fill="auto"/>
          </w:tcPr>
          <w:p w:rsidR="009866F7" w:rsidRPr="009866F7" w:rsidRDefault="009866F7" w:rsidP="009866F7">
            <w:pPr>
              <w:spacing w:before="40" w:after="120"/>
              <w:ind w:right="113"/>
            </w:pPr>
            <w:r w:rsidRPr="009866F7">
              <w:rPr>
                <w:b/>
                <w:lang w:val="en-US"/>
              </w:rPr>
              <w:t>Rejected</w:t>
            </w:r>
            <w:r w:rsidRPr="009866F7">
              <w:rPr>
                <w:lang w:val="en-US"/>
              </w:rPr>
              <w:t xml:space="preserve"> pending outcome of the Court of Appeal decision on the matter. The State does not sanction forced marriage.</w:t>
            </w:r>
          </w:p>
        </w:tc>
      </w:tr>
      <w:tr w:rsidR="009866F7" w:rsidRPr="009866F7" w:rsidTr="009866F7">
        <w:trPr>
          <w:tblHeader/>
        </w:trPr>
        <w:tc>
          <w:tcPr>
            <w:tcW w:w="4824" w:type="dxa"/>
            <w:shd w:val="clear" w:color="auto" w:fill="auto"/>
          </w:tcPr>
          <w:p w:rsidR="009866F7" w:rsidRPr="009866F7" w:rsidRDefault="009866F7" w:rsidP="009866F7">
            <w:pPr>
              <w:spacing w:before="40" w:after="120"/>
              <w:ind w:right="113"/>
            </w:pPr>
            <w:r w:rsidRPr="009866F7">
              <w:rPr>
                <w:lang w:val="en-US"/>
              </w:rPr>
              <w:t>134.56. Draw up and implement with external assistance, a comprehensive plan to address the problems faced by persons living with albinism, to include: massive public awareness campaign; free healthcare services, including preventive cancer treatment; protection mechanisms; investigation and prosecution of perpetrators of violence against them and reparation to victims of such attacks.</w:t>
            </w:r>
            <w:r w:rsidR="00EF29A8">
              <w:rPr>
                <w:lang w:val="en-US"/>
              </w:rPr>
              <w:t xml:space="preserve"> (Sierra Leone)</w:t>
            </w:r>
          </w:p>
        </w:tc>
        <w:tc>
          <w:tcPr>
            <w:tcW w:w="4825" w:type="dxa"/>
            <w:shd w:val="clear" w:color="auto" w:fill="auto"/>
          </w:tcPr>
          <w:p w:rsidR="009866F7" w:rsidRPr="009866F7" w:rsidRDefault="009866F7" w:rsidP="009866F7">
            <w:pPr>
              <w:spacing w:before="40" w:after="120"/>
              <w:ind w:right="113"/>
            </w:pPr>
            <w:r w:rsidRPr="009866F7">
              <w:rPr>
                <w:b/>
                <w:lang w:val="en-US"/>
              </w:rPr>
              <w:t xml:space="preserve">Accepted in Part. </w:t>
            </w:r>
            <w:r w:rsidRPr="009866F7">
              <w:rPr>
                <w:lang w:val="en-US"/>
              </w:rPr>
              <w:t>The State has continued with its efforts to raise awareness on the rights of persons with albinism, to provide them with free healthcare services including preventive cancer treatment; to protect them through the community police initiative and to investigate, prosecute and trial cases where persons with albinism are victims. The issue of reparations will not be accepted at this stage as it is a matter which will have to be addressed comprehensively within the State before commitments can be made at the international level, including what type of reparations, conditions to be granted reparations, is it contested and who is responsible for ensuring reparations and the financial implications as a whole.</w:t>
            </w:r>
          </w:p>
        </w:tc>
      </w:tr>
      <w:tr w:rsidR="009866F7" w:rsidRPr="009866F7" w:rsidTr="009866F7">
        <w:trPr>
          <w:tblHeader/>
        </w:trPr>
        <w:tc>
          <w:tcPr>
            <w:tcW w:w="4824" w:type="dxa"/>
            <w:shd w:val="clear" w:color="auto" w:fill="auto"/>
          </w:tcPr>
          <w:p w:rsidR="009866F7" w:rsidRPr="00EF29A8" w:rsidRDefault="009866F7" w:rsidP="009866F7">
            <w:pPr>
              <w:spacing w:before="40" w:after="120"/>
              <w:ind w:right="113"/>
              <w:rPr>
                <w:i/>
                <w:sz w:val="16"/>
                <w:szCs w:val="16"/>
              </w:rPr>
            </w:pPr>
            <w:r w:rsidRPr="00EF29A8">
              <w:rPr>
                <w:i/>
                <w:sz w:val="16"/>
                <w:szCs w:val="16"/>
              </w:rPr>
              <w:t>Initially rejected</w:t>
            </w:r>
          </w:p>
        </w:tc>
        <w:tc>
          <w:tcPr>
            <w:tcW w:w="4825" w:type="dxa"/>
            <w:shd w:val="clear" w:color="auto" w:fill="auto"/>
          </w:tcPr>
          <w:p w:rsidR="009866F7" w:rsidRPr="009866F7" w:rsidRDefault="009866F7" w:rsidP="009866F7">
            <w:pPr>
              <w:spacing w:before="40" w:after="120"/>
              <w:ind w:right="113"/>
            </w:pPr>
          </w:p>
        </w:tc>
      </w:tr>
      <w:tr w:rsidR="009866F7" w:rsidRPr="009866F7" w:rsidTr="009866F7">
        <w:trPr>
          <w:tblHeader/>
        </w:trPr>
        <w:tc>
          <w:tcPr>
            <w:tcW w:w="4824" w:type="dxa"/>
            <w:shd w:val="clear" w:color="auto" w:fill="auto"/>
          </w:tcPr>
          <w:p w:rsidR="009866F7" w:rsidRPr="009866F7" w:rsidRDefault="00EF29A8" w:rsidP="009866F7">
            <w:pPr>
              <w:spacing w:before="40" w:after="120"/>
              <w:ind w:right="113"/>
            </w:pPr>
            <w:r w:rsidRPr="00EF29A8">
              <w:rPr>
                <w:lang w:val="en-US"/>
              </w:rPr>
              <w:t>137.46. Widen the social welfare domain and make it available to its beneficiaries. (Egypt)</w:t>
            </w:r>
          </w:p>
        </w:tc>
        <w:tc>
          <w:tcPr>
            <w:tcW w:w="4825" w:type="dxa"/>
            <w:shd w:val="clear" w:color="auto" w:fill="auto"/>
          </w:tcPr>
          <w:p w:rsidR="009866F7" w:rsidRPr="009866F7" w:rsidRDefault="00EF29A8" w:rsidP="009866F7">
            <w:pPr>
              <w:spacing w:before="40" w:after="120"/>
              <w:ind w:right="113"/>
            </w:pPr>
            <w:r w:rsidRPr="00EF29A8">
              <w:rPr>
                <w:b/>
                <w:lang w:val="en-US"/>
              </w:rPr>
              <w:t xml:space="preserve">Accepted. </w:t>
            </w:r>
            <w:r w:rsidRPr="00EF29A8">
              <w:rPr>
                <w:lang w:val="en-US"/>
              </w:rPr>
              <w:t>It is</w:t>
            </w:r>
            <w:r w:rsidRPr="00EF29A8">
              <w:rPr>
                <w:b/>
                <w:lang w:val="en-US"/>
              </w:rPr>
              <w:t xml:space="preserve"> </w:t>
            </w:r>
            <w:r w:rsidRPr="00EF29A8">
              <w:rPr>
                <w:lang w:val="en-US"/>
              </w:rPr>
              <w:t>within the Action Plan of the State to make its social welfare services available to its beneficiaries. The</w:t>
            </w:r>
            <w:r w:rsidRPr="00EF29A8">
              <w:rPr>
                <w:b/>
                <w:lang w:val="en-US"/>
              </w:rPr>
              <w:t xml:space="preserve"> </w:t>
            </w:r>
            <w:r w:rsidRPr="00EF29A8">
              <w:rPr>
                <w:lang w:val="en-US"/>
              </w:rPr>
              <w:t>breadth of the</w:t>
            </w:r>
            <w:r w:rsidRPr="00EF29A8">
              <w:rPr>
                <w:b/>
                <w:lang w:val="en-US"/>
              </w:rPr>
              <w:t xml:space="preserve"> </w:t>
            </w:r>
            <w:r w:rsidRPr="00EF29A8">
              <w:rPr>
                <w:lang w:val="en-US"/>
              </w:rPr>
              <w:t>extension of the social welfare domain shall be subject to the resources and financial capacity of the State.</w:t>
            </w:r>
          </w:p>
        </w:tc>
      </w:tr>
      <w:tr w:rsidR="009866F7" w:rsidRPr="009866F7" w:rsidTr="009866F7">
        <w:trPr>
          <w:tblHeader/>
        </w:trPr>
        <w:tc>
          <w:tcPr>
            <w:tcW w:w="4824" w:type="dxa"/>
            <w:shd w:val="clear" w:color="auto" w:fill="auto"/>
          </w:tcPr>
          <w:p w:rsidR="009866F7" w:rsidRPr="009866F7" w:rsidRDefault="00EF29A8" w:rsidP="009866F7">
            <w:pPr>
              <w:spacing w:before="40" w:after="120"/>
              <w:ind w:right="113"/>
            </w:pPr>
            <w:r w:rsidRPr="00EF29A8">
              <w:rPr>
                <w:lang w:val="en-US"/>
              </w:rPr>
              <w:t>137.69. Increase the measures taken to counter homelessness and the lack of adequate and affordable housing especially for vulnerable people such as those living in poverty and single mothers. (Malaysia)</w:t>
            </w:r>
          </w:p>
        </w:tc>
        <w:tc>
          <w:tcPr>
            <w:tcW w:w="4825" w:type="dxa"/>
            <w:shd w:val="clear" w:color="auto" w:fill="auto"/>
          </w:tcPr>
          <w:p w:rsidR="009866F7" w:rsidRPr="009866F7" w:rsidRDefault="00EF29A8" w:rsidP="009866F7">
            <w:pPr>
              <w:spacing w:before="40" w:after="120"/>
              <w:ind w:right="113"/>
            </w:pPr>
            <w:r w:rsidRPr="00EF29A8">
              <w:rPr>
                <w:b/>
                <w:lang w:val="en-US"/>
              </w:rPr>
              <w:t xml:space="preserve">Accepted. </w:t>
            </w:r>
            <w:r w:rsidRPr="00EF29A8">
              <w:rPr>
                <w:lang w:val="en-US"/>
              </w:rPr>
              <w:t>The Tanzania Social Action Fund (TASAF) seeks to enhance the livelihoods of single mothers in poverty stricken areas. Also, the social welfare system offers assistance to vulnerable people as defined in the United Republic of Tanzania as women, the elderly, children, persons with disabilities and people with HIV/AIDS. The State shall endeavor to implement the recommendation subject to its resources and financial capacity.</w:t>
            </w:r>
          </w:p>
        </w:tc>
      </w:tr>
      <w:tr w:rsidR="009866F7" w:rsidRPr="009866F7" w:rsidTr="009866F7">
        <w:trPr>
          <w:tblHeader/>
        </w:trPr>
        <w:tc>
          <w:tcPr>
            <w:tcW w:w="4824" w:type="dxa"/>
            <w:tcBorders>
              <w:bottom w:val="single" w:sz="12" w:space="0" w:color="auto"/>
            </w:tcBorders>
            <w:shd w:val="clear" w:color="auto" w:fill="auto"/>
          </w:tcPr>
          <w:p w:rsidR="009866F7" w:rsidRPr="009866F7" w:rsidRDefault="00EF29A8" w:rsidP="009866F7">
            <w:pPr>
              <w:spacing w:before="40" w:after="120"/>
              <w:ind w:right="113"/>
            </w:pPr>
            <w:r w:rsidRPr="00EF29A8">
              <w:rPr>
                <w:lang w:val="en-US"/>
              </w:rPr>
              <w:t>137.65. Strengthen efforts to protect the rights of people with albinism, and other vulnerable and minority groups.(Australia)</w:t>
            </w:r>
          </w:p>
        </w:tc>
        <w:tc>
          <w:tcPr>
            <w:tcW w:w="4825" w:type="dxa"/>
            <w:tcBorders>
              <w:bottom w:val="single" w:sz="12" w:space="0" w:color="auto"/>
            </w:tcBorders>
            <w:shd w:val="clear" w:color="auto" w:fill="auto"/>
          </w:tcPr>
          <w:p w:rsidR="009866F7" w:rsidRPr="009866F7" w:rsidRDefault="00EF29A8" w:rsidP="009866F7">
            <w:pPr>
              <w:spacing w:before="40" w:after="120"/>
              <w:ind w:right="113"/>
            </w:pPr>
            <w:r w:rsidRPr="00EF29A8">
              <w:rPr>
                <w:b/>
                <w:lang w:val="en-US"/>
              </w:rPr>
              <w:t xml:space="preserve">Accepted. </w:t>
            </w:r>
            <w:r w:rsidRPr="00EF29A8">
              <w:rPr>
                <w:lang w:val="en-US"/>
              </w:rPr>
              <w:t>The State shall continue to protect the rights of people with albinism as well as other vulnerable and minority groups. The recommendation is accepted based on the understanding that minority groups in the State refers to women, children, the elderly, people living with HIV/AIDS.</w:t>
            </w:r>
          </w:p>
        </w:tc>
      </w:tr>
    </w:tbl>
    <w:p w:rsidR="009866F7" w:rsidRPr="00EF29A8" w:rsidRDefault="00EF29A8" w:rsidP="00EF29A8">
      <w:pPr>
        <w:spacing w:before="240"/>
        <w:ind w:left="1134" w:right="1134"/>
        <w:jc w:val="center"/>
        <w:rPr>
          <w:u w:val="single"/>
        </w:rPr>
      </w:pPr>
      <w:r>
        <w:rPr>
          <w:u w:val="single"/>
        </w:rPr>
        <w:tab/>
      </w:r>
      <w:r>
        <w:rPr>
          <w:u w:val="single"/>
        </w:rPr>
        <w:tab/>
      </w:r>
      <w:r>
        <w:rPr>
          <w:u w:val="single"/>
        </w:rPr>
        <w:tab/>
      </w:r>
    </w:p>
    <w:sectPr w:rsidR="009866F7" w:rsidRPr="00EF29A8" w:rsidSect="00813324">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24" w:rsidRDefault="00813324"/>
  </w:endnote>
  <w:endnote w:type="continuationSeparator" w:id="0">
    <w:p w:rsidR="00813324" w:rsidRDefault="00813324"/>
  </w:endnote>
  <w:endnote w:type="continuationNotice" w:id="1">
    <w:p w:rsidR="00813324" w:rsidRDefault="00813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24" w:rsidRPr="00813324" w:rsidRDefault="00813324" w:rsidP="00813324">
    <w:pPr>
      <w:pStyle w:val="Footer"/>
      <w:tabs>
        <w:tab w:val="right" w:pos="9638"/>
      </w:tabs>
    </w:pPr>
    <w:r w:rsidRPr="00813324">
      <w:rPr>
        <w:b/>
        <w:sz w:val="18"/>
      </w:rPr>
      <w:fldChar w:fldCharType="begin"/>
    </w:r>
    <w:r w:rsidRPr="00813324">
      <w:rPr>
        <w:b/>
        <w:sz w:val="18"/>
      </w:rPr>
      <w:instrText xml:space="preserve"> PAGE  \* MERGEFORMAT </w:instrText>
    </w:r>
    <w:r w:rsidRPr="00813324">
      <w:rPr>
        <w:b/>
        <w:sz w:val="18"/>
      </w:rPr>
      <w:fldChar w:fldCharType="separate"/>
    </w:r>
    <w:r w:rsidR="00401F0F">
      <w:rPr>
        <w:b/>
        <w:noProof/>
        <w:sz w:val="18"/>
      </w:rPr>
      <w:t>8</w:t>
    </w:r>
    <w:r w:rsidRPr="008133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24" w:rsidRPr="00813324" w:rsidRDefault="00813324" w:rsidP="00813324">
    <w:pPr>
      <w:pStyle w:val="Footer"/>
      <w:tabs>
        <w:tab w:val="right" w:pos="9638"/>
      </w:tabs>
      <w:rPr>
        <w:b/>
        <w:sz w:val="18"/>
      </w:rPr>
    </w:pPr>
    <w:r>
      <w:tab/>
    </w:r>
    <w:r w:rsidRPr="00813324">
      <w:rPr>
        <w:b/>
        <w:sz w:val="18"/>
      </w:rPr>
      <w:fldChar w:fldCharType="begin"/>
    </w:r>
    <w:r w:rsidRPr="00813324">
      <w:rPr>
        <w:b/>
        <w:sz w:val="18"/>
      </w:rPr>
      <w:instrText xml:space="preserve"> PAGE  \* MERGEFORMAT </w:instrText>
    </w:r>
    <w:r w:rsidRPr="00813324">
      <w:rPr>
        <w:b/>
        <w:sz w:val="18"/>
      </w:rPr>
      <w:fldChar w:fldCharType="separate"/>
    </w:r>
    <w:r w:rsidR="00401F0F">
      <w:rPr>
        <w:b/>
        <w:noProof/>
        <w:sz w:val="18"/>
      </w:rPr>
      <w:t>7</w:t>
    </w:r>
    <w:r w:rsidRPr="0081332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24" w:rsidRPr="000B175B" w:rsidRDefault="00813324" w:rsidP="000B175B">
      <w:pPr>
        <w:tabs>
          <w:tab w:val="right" w:pos="2155"/>
        </w:tabs>
        <w:spacing w:after="80"/>
        <w:ind w:left="680"/>
        <w:rPr>
          <w:u w:val="single"/>
        </w:rPr>
      </w:pPr>
      <w:r>
        <w:rPr>
          <w:u w:val="single"/>
        </w:rPr>
        <w:tab/>
      </w:r>
    </w:p>
  </w:footnote>
  <w:footnote w:type="continuationSeparator" w:id="0">
    <w:p w:rsidR="00813324" w:rsidRPr="00FC68B7" w:rsidRDefault="00813324" w:rsidP="00FC68B7">
      <w:pPr>
        <w:tabs>
          <w:tab w:val="left" w:pos="2155"/>
        </w:tabs>
        <w:spacing w:after="80"/>
        <w:ind w:left="680"/>
        <w:rPr>
          <w:u w:val="single"/>
        </w:rPr>
      </w:pPr>
      <w:r>
        <w:rPr>
          <w:u w:val="single"/>
        </w:rPr>
        <w:tab/>
      </w:r>
    </w:p>
  </w:footnote>
  <w:footnote w:type="continuationNotice" w:id="1">
    <w:p w:rsidR="00813324" w:rsidRDefault="00813324"/>
  </w:footnote>
  <w:footnote w:id="2">
    <w:p w:rsidR="00813324" w:rsidRDefault="00813324" w:rsidP="00813324">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24" w:rsidRPr="00813324" w:rsidRDefault="00813324">
    <w:pPr>
      <w:pStyle w:val="Header"/>
    </w:pPr>
    <w:r>
      <w:t>A/HRC/33/12/Add.1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24" w:rsidRPr="00813324" w:rsidRDefault="00813324" w:rsidP="00813324">
    <w:pPr>
      <w:pStyle w:val="Header"/>
      <w:jc w:val="right"/>
    </w:pPr>
    <w:r>
      <w:t>A/HRC/33/12/Add.1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255AD5"/>
    <w:multiLevelType w:val="hybridMultilevel"/>
    <w:tmpl w:val="7D14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24"/>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2890"/>
    <w:rsid w:val="001C6663"/>
    <w:rsid w:val="001C7895"/>
    <w:rsid w:val="001D26DF"/>
    <w:rsid w:val="001E2790"/>
    <w:rsid w:val="00211E0B"/>
    <w:rsid w:val="00211E72"/>
    <w:rsid w:val="00214047"/>
    <w:rsid w:val="0022130F"/>
    <w:rsid w:val="00237785"/>
    <w:rsid w:val="002410DD"/>
    <w:rsid w:val="00241466"/>
    <w:rsid w:val="002534D1"/>
    <w:rsid w:val="00253D58"/>
    <w:rsid w:val="0027725F"/>
    <w:rsid w:val="002C21F0"/>
    <w:rsid w:val="003107FA"/>
    <w:rsid w:val="00317977"/>
    <w:rsid w:val="003229D8"/>
    <w:rsid w:val="003314D1"/>
    <w:rsid w:val="00335A2F"/>
    <w:rsid w:val="00341937"/>
    <w:rsid w:val="0039277A"/>
    <w:rsid w:val="003972E0"/>
    <w:rsid w:val="003975ED"/>
    <w:rsid w:val="003C2CC4"/>
    <w:rsid w:val="003D4B23"/>
    <w:rsid w:val="00401F0F"/>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3324"/>
    <w:rsid w:val="008155C3"/>
    <w:rsid w:val="008175E9"/>
    <w:rsid w:val="0082243E"/>
    <w:rsid w:val="008242D7"/>
    <w:rsid w:val="00856CD2"/>
    <w:rsid w:val="00861BC6"/>
    <w:rsid w:val="00871FD5"/>
    <w:rsid w:val="008979B1"/>
    <w:rsid w:val="008A6B25"/>
    <w:rsid w:val="008A6C4F"/>
    <w:rsid w:val="008C1E4D"/>
    <w:rsid w:val="008D4A54"/>
    <w:rsid w:val="008E0E46"/>
    <w:rsid w:val="0090452C"/>
    <w:rsid w:val="00907C3F"/>
    <w:rsid w:val="0092237C"/>
    <w:rsid w:val="0093707B"/>
    <w:rsid w:val="009400EB"/>
    <w:rsid w:val="009427E3"/>
    <w:rsid w:val="00956D9B"/>
    <w:rsid w:val="00963CBA"/>
    <w:rsid w:val="009654B7"/>
    <w:rsid w:val="009866F7"/>
    <w:rsid w:val="00991261"/>
    <w:rsid w:val="009A0B83"/>
    <w:rsid w:val="009B3800"/>
    <w:rsid w:val="009B4CAD"/>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5FDD"/>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260CB"/>
    <w:rsid w:val="00E438D9"/>
    <w:rsid w:val="00E5644E"/>
    <w:rsid w:val="00E7260F"/>
    <w:rsid w:val="00E806EE"/>
    <w:rsid w:val="00E96630"/>
    <w:rsid w:val="00EB0FB9"/>
    <w:rsid w:val="00ED0CA9"/>
    <w:rsid w:val="00ED7A2A"/>
    <w:rsid w:val="00EF1D7F"/>
    <w:rsid w:val="00EF29A8"/>
    <w:rsid w:val="00EF5BDB"/>
    <w:rsid w:val="00F07FD9"/>
    <w:rsid w:val="00F23933"/>
    <w:rsid w:val="00F24119"/>
    <w:rsid w:val="00F40E75"/>
    <w:rsid w:val="00F42CD9"/>
    <w:rsid w:val="00F52936"/>
    <w:rsid w:val="00F677CB"/>
    <w:rsid w:val="00FA7DF3"/>
    <w:rsid w:val="00FC68B7"/>
    <w:rsid w:val="00FD7C12"/>
    <w:rsid w:val="00FF56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13324"/>
    <w:rPr>
      <w:sz w:val="18"/>
      <w:lang w:eastAsia="en-US"/>
    </w:rPr>
  </w:style>
  <w:style w:type="paragraph" w:styleId="ListParagraph">
    <w:name w:val="List Paragraph"/>
    <w:basedOn w:val="Normal"/>
    <w:uiPriority w:val="34"/>
    <w:qFormat/>
    <w:rsid w:val="00FF5612"/>
    <w:pPr>
      <w:ind w:left="567"/>
    </w:pPr>
  </w:style>
  <w:style w:type="paragraph" w:styleId="BalloonText">
    <w:name w:val="Balloon Text"/>
    <w:basedOn w:val="Normal"/>
    <w:link w:val="BalloonTextChar"/>
    <w:rsid w:val="002534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534D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13324"/>
    <w:rPr>
      <w:sz w:val="18"/>
      <w:lang w:eastAsia="en-US"/>
    </w:rPr>
  </w:style>
  <w:style w:type="paragraph" w:styleId="ListParagraph">
    <w:name w:val="List Paragraph"/>
    <w:basedOn w:val="Normal"/>
    <w:uiPriority w:val="34"/>
    <w:qFormat/>
    <w:rsid w:val="00FF5612"/>
    <w:pPr>
      <w:ind w:left="567"/>
    </w:pPr>
  </w:style>
  <w:style w:type="paragraph" w:styleId="BalloonText">
    <w:name w:val="Balloon Text"/>
    <w:basedOn w:val="Normal"/>
    <w:link w:val="BalloonTextChar"/>
    <w:rsid w:val="002534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534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F59278-A775-48B2-B6B0-E7BB8E6CC8A4}"/>
</file>

<file path=customXml/itemProps2.xml><?xml version="1.0" encoding="utf-8"?>
<ds:datastoreItem xmlns:ds="http://schemas.openxmlformats.org/officeDocument/2006/customXml" ds:itemID="{E54DCD73-54BA-4F1B-9BAA-E80FEAB6BAFB}"/>
</file>

<file path=customXml/itemProps3.xml><?xml version="1.0" encoding="utf-8"?>
<ds:datastoreItem xmlns:ds="http://schemas.openxmlformats.org/officeDocument/2006/customXml" ds:itemID="{0E245F8D-485E-4FC3-BC12-856B43C25B40}"/>
</file>

<file path=customXml/itemProps4.xml><?xml version="1.0" encoding="utf-8"?>
<ds:datastoreItem xmlns:ds="http://schemas.openxmlformats.org/officeDocument/2006/customXml" ds:itemID="{20685824-2EF7-4BC5-8D5E-D4B39C2301B0}"/>
</file>

<file path=docProps/app.xml><?xml version="1.0" encoding="utf-8"?>
<Properties xmlns="http://schemas.openxmlformats.org/officeDocument/2006/extended-properties" xmlns:vt="http://schemas.openxmlformats.org/officeDocument/2006/docPropsVTypes">
  <Template>A_E.dotm</Template>
  <TotalTime>1</TotalTime>
  <Pages>8</Pages>
  <Words>2650</Words>
  <Characters>15111</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Republic of Tanzania Addendum - Views on conclusions and/or recommendations, voluntary commitments and replies presented by the State under review in English</dc:title>
  <dc:creator>Sumiko IHARA</dc:creator>
  <cp:lastModifiedBy>Sumiko IHARA</cp:lastModifiedBy>
  <cp:revision>2</cp:revision>
  <cp:lastPrinted>2016-09-21T10:15:00Z</cp:lastPrinted>
  <dcterms:created xsi:type="dcterms:W3CDTF">2016-09-21T15:37:00Z</dcterms:created>
  <dcterms:modified xsi:type="dcterms:W3CDTF">2016-09-21T15:37:00Z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