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996"/>
        <w:gridCol w:w="3398"/>
        <w:gridCol w:w="2142"/>
        <w:gridCol w:w="2819"/>
      </w:tblGrid>
      <w:tr w:rsidR="002D5AAC" w:rsidTr="00212402">
        <w:trPr>
          <w:trHeight w:hRule="exact" w:val="851"/>
        </w:trPr>
        <w:tc>
          <w:tcPr>
            <w:tcW w:w="284" w:type="dxa"/>
            <w:tcBorders>
              <w:bottom w:val="single" w:sz="4" w:space="0" w:color="auto"/>
            </w:tcBorders>
          </w:tcPr>
          <w:p w:rsidR="002D5AAC" w:rsidRDefault="002D5AAC" w:rsidP="00B601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782C09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601B0" w:rsidP="00715D68">
            <w:pPr>
              <w:jc w:val="right"/>
            </w:pPr>
            <w:r w:rsidRPr="00B601B0">
              <w:rPr>
                <w:sz w:val="40"/>
              </w:rPr>
              <w:t>A</w:t>
            </w:r>
            <w:r>
              <w:t>/HRC/3</w:t>
            </w:r>
            <w:r w:rsidR="00715D68">
              <w:rPr>
                <w:lang w:val="en-GB"/>
              </w:rPr>
              <w:t>9</w:t>
            </w:r>
            <w:r>
              <w:t>/</w:t>
            </w:r>
            <w:r w:rsidR="00800C69">
              <w:rPr>
                <w:lang w:val="en-GB"/>
              </w:rPr>
              <w:t>3</w:t>
            </w:r>
            <w:r>
              <w:t>/Add.1</w:t>
            </w:r>
          </w:p>
        </w:tc>
      </w:tr>
      <w:tr w:rsidR="002D5AAC" w:rsidRPr="00870494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782C09">
            <w:pPr>
              <w:spacing w:before="120"/>
              <w:jc w:val="center"/>
            </w:pP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212402" w:rsidRDefault="00212402" w:rsidP="00782C09">
            <w:pPr>
              <w:spacing w:before="120" w:line="360" w:lineRule="exact"/>
              <w:rPr>
                <w:b/>
                <w:sz w:val="34"/>
                <w:szCs w:val="34"/>
                <w:lang w:val="en-GB"/>
              </w:rPr>
            </w:pPr>
            <w:r>
              <w:rPr>
                <w:b/>
                <w:spacing w:val="-4"/>
                <w:sz w:val="40"/>
                <w:szCs w:val="40"/>
                <w:lang w:val="en-GB"/>
              </w:rPr>
              <w:t>Advance Unedited Version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601B0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601B0" w:rsidRDefault="00800C69" w:rsidP="00B601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B601B0">
              <w:rPr>
                <w:lang w:val="en-US"/>
              </w:rPr>
              <w:t xml:space="preserve"> </w:t>
            </w:r>
            <w:r w:rsidR="00715D68">
              <w:rPr>
                <w:lang w:val="en-US"/>
              </w:rPr>
              <w:t>September</w:t>
            </w:r>
            <w:r w:rsidR="00B601B0">
              <w:rPr>
                <w:lang w:val="en-US"/>
              </w:rPr>
              <w:t xml:space="preserve"> 2018</w:t>
            </w:r>
          </w:p>
          <w:p w:rsidR="00B601B0" w:rsidRDefault="00B601B0" w:rsidP="00B601B0">
            <w:pPr>
              <w:spacing w:line="240" w:lineRule="exact"/>
              <w:rPr>
                <w:lang w:val="en-US"/>
              </w:rPr>
            </w:pPr>
          </w:p>
          <w:p w:rsidR="00B601B0" w:rsidRPr="00E71476" w:rsidRDefault="00B601B0" w:rsidP="00715D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715D68">
              <w:rPr>
                <w:lang w:val="en-US"/>
              </w:rPr>
              <w:t>Russian</w:t>
            </w:r>
          </w:p>
        </w:tc>
      </w:tr>
    </w:tbl>
    <w:p w:rsidR="00DF71B9" w:rsidRPr="00B601B0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B601B0" w:rsidRPr="00407429" w:rsidRDefault="00715D68" w:rsidP="00B601B0">
      <w:pPr>
        <w:kinsoku w:val="0"/>
        <w:overflowPunct w:val="0"/>
        <w:autoSpaceDE w:val="0"/>
        <w:autoSpaceDN w:val="0"/>
        <w:adjustRightInd w:val="0"/>
        <w:snapToGrid w:val="0"/>
        <w:rPr>
          <w:b/>
        </w:rPr>
      </w:pPr>
      <w:r w:rsidRPr="00715D68">
        <w:rPr>
          <w:b/>
        </w:rPr>
        <w:t>Тридцать девятая сессия</w:t>
      </w:r>
    </w:p>
    <w:p w:rsidR="00B601B0" w:rsidRPr="00407429" w:rsidRDefault="00715D68" w:rsidP="00B601B0">
      <w:pPr>
        <w:kinsoku w:val="0"/>
        <w:overflowPunct w:val="0"/>
        <w:autoSpaceDE w:val="0"/>
        <w:autoSpaceDN w:val="0"/>
        <w:adjustRightInd w:val="0"/>
        <w:snapToGrid w:val="0"/>
      </w:pPr>
      <w:r w:rsidRPr="00715D68">
        <w:t>10–28 сентября 2018 года</w:t>
      </w:r>
    </w:p>
    <w:p w:rsidR="00B601B0" w:rsidRPr="00407429" w:rsidRDefault="00B601B0" w:rsidP="00B601B0">
      <w:pPr>
        <w:kinsoku w:val="0"/>
        <w:overflowPunct w:val="0"/>
        <w:autoSpaceDE w:val="0"/>
        <w:autoSpaceDN w:val="0"/>
        <w:adjustRightInd w:val="0"/>
        <w:snapToGrid w:val="0"/>
      </w:pPr>
      <w:r>
        <w:t>Пункт 6 повестки дня</w:t>
      </w:r>
    </w:p>
    <w:p w:rsidR="00B601B0" w:rsidRPr="00407429" w:rsidRDefault="00B601B0" w:rsidP="00B601B0">
      <w:pPr>
        <w:kinsoku w:val="0"/>
        <w:overflowPunct w:val="0"/>
        <w:autoSpaceDE w:val="0"/>
        <w:autoSpaceDN w:val="0"/>
        <w:adjustRightInd w:val="0"/>
        <w:snapToGrid w:val="0"/>
      </w:pPr>
      <w:r>
        <w:rPr>
          <w:b/>
          <w:bCs/>
        </w:rPr>
        <w:t>Универсальный периодический обзор</w:t>
      </w:r>
    </w:p>
    <w:p w:rsidR="00B601B0" w:rsidRPr="00407429" w:rsidRDefault="00B601B0" w:rsidP="00B601B0">
      <w:pPr>
        <w:pStyle w:val="HChGR"/>
      </w:pPr>
      <w:r>
        <w:lastRenderedPageBreak/>
        <w:tab/>
      </w:r>
      <w:r>
        <w:tab/>
        <w:t>Доклад Рабочей группы по универсальному периодическому обзору</w:t>
      </w:r>
      <w:r w:rsidRPr="00B601B0">
        <w:rPr>
          <w:b w:val="0"/>
          <w:sz w:val="20"/>
        </w:rPr>
        <w:footnoteReference w:customMarkFollows="1" w:id="1"/>
        <w:t>*</w:t>
      </w:r>
    </w:p>
    <w:p w:rsidR="00B601B0" w:rsidRPr="00021276" w:rsidRDefault="00B601B0" w:rsidP="00800C69">
      <w:pPr>
        <w:pStyle w:val="H1GR"/>
      </w:pPr>
      <w:r>
        <w:tab/>
      </w:r>
      <w:r>
        <w:tab/>
      </w:r>
      <w:r w:rsidR="00800C69" w:rsidRPr="00151201">
        <w:t>Туркменистан</w:t>
      </w:r>
    </w:p>
    <w:p w:rsidR="00B601B0" w:rsidRPr="00021276" w:rsidRDefault="00B601B0" w:rsidP="007053C0">
      <w:pPr>
        <w:pStyle w:val="H23GR"/>
      </w:pPr>
      <w:r>
        <w:tab/>
      </w:r>
      <w:r>
        <w:tab/>
      </w:r>
      <w:r w:rsidRPr="00657383">
        <w:t>Добавление</w:t>
      </w:r>
    </w:p>
    <w:p w:rsidR="00B601B0" w:rsidRDefault="00B601B0" w:rsidP="00B601B0">
      <w:pPr>
        <w:pStyle w:val="H1GR"/>
      </w:pPr>
      <w:r>
        <w:tab/>
      </w:r>
      <w:r>
        <w:tab/>
        <w:t>Соображения в отношении выводов и/или рекомендаций, добровольные обязательства и ответы, представленные государством – объектом обзора</w:t>
      </w:r>
    </w:p>
    <w:p w:rsidR="00715D68" w:rsidRDefault="00715D68">
      <w:pPr>
        <w:suppressAutoHyphens w:val="0"/>
        <w:spacing w:line="240" w:lineRule="auto"/>
        <w:rPr>
          <w:lang w:eastAsia="ru-RU"/>
        </w:rPr>
      </w:pPr>
      <w:r>
        <w:rPr>
          <w:lang w:eastAsia="ru-RU"/>
        </w:rPr>
        <w:br w:type="page"/>
      </w:r>
    </w:p>
    <w:p w:rsidR="00D33DBC" w:rsidRPr="00D33DBC" w:rsidRDefault="00715D68" w:rsidP="00D33DBC">
      <w:pPr>
        <w:pStyle w:val="HChGR"/>
      </w:pPr>
      <w:r>
        <w:lastRenderedPageBreak/>
        <w:tab/>
      </w:r>
      <w:r>
        <w:tab/>
      </w:r>
      <w:r w:rsidR="00D33DBC" w:rsidRPr="00D33DBC">
        <w:t xml:space="preserve">Ответ Туркменистана на рекомендации Рабочей группы </w:t>
      </w:r>
      <w:r w:rsidR="00D33DBC" w:rsidRPr="00D33DBC">
        <w:rPr>
          <w:lang w:val="tk-TM"/>
        </w:rPr>
        <w:t xml:space="preserve">по </w:t>
      </w:r>
      <w:r w:rsidR="00D33DBC" w:rsidRPr="00D33DBC">
        <w:t>Универсальному периодическому обзору</w:t>
      </w:r>
    </w:p>
    <w:p w:rsidR="00D33DBC" w:rsidRPr="00D33DBC" w:rsidRDefault="00D33DBC" w:rsidP="00D33DBC">
      <w:pPr>
        <w:pStyle w:val="SingleTxtGR"/>
      </w:pPr>
      <w:r w:rsidRPr="00151201">
        <w:t>1.</w:t>
      </w:r>
      <w:r w:rsidRPr="00151201">
        <w:tab/>
      </w:r>
      <w:r>
        <w:t>В рамках проходящей в период 7–</w:t>
      </w:r>
      <w:r w:rsidRPr="00D33DBC">
        <w:t>18 мая 2018 года в г. Женева, Швейцария, 30-ой сессии Рабочей группы по Универсальному периодическому обзору (УПО) делегация Туркменистана приняла участие на состоявшемся 7 мая 2018 года представлении 3-его доклада Туркменистана.</w:t>
      </w:r>
    </w:p>
    <w:p w:rsidR="00D33DBC" w:rsidRPr="00D33DBC" w:rsidRDefault="00D673F6" w:rsidP="00D33DBC">
      <w:pPr>
        <w:pStyle w:val="SingleTxtGR"/>
      </w:pPr>
      <w:r w:rsidRPr="00151201">
        <w:t>2.</w:t>
      </w:r>
      <w:r w:rsidRPr="00151201">
        <w:tab/>
      </w:r>
      <w:r w:rsidR="00D33DBC" w:rsidRPr="00D33DBC">
        <w:t>В результате проведенного диалога Туркменистан принял 98 рекомендаций, 90 рекомендаций были приняты для их дальнейшего изучения и 3 рекомендации были отклонены.</w:t>
      </w:r>
    </w:p>
    <w:p w:rsidR="00D33DBC" w:rsidRPr="00D33DBC" w:rsidRDefault="00D673F6" w:rsidP="00D33DBC">
      <w:pPr>
        <w:pStyle w:val="SingleTxtGR"/>
      </w:pPr>
      <w:r w:rsidRPr="00151201">
        <w:t>3.</w:t>
      </w:r>
      <w:r w:rsidRPr="00151201">
        <w:tab/>
      </w:r>
      <w:r w:rsidR="00D33DBC" w:rsidRPr="00D33DBC">
        <w:t>18 июня 2018 года на заседании Межведомственной комиссии по обеспечению выполнения международных обязательств Туркменистана в области прав человека и международного гуманитарного права были заслушаны результаты проведенного диа</w:t>
      </w:r>
      <w:r>
        <w:t>лога по УПО.</w:t>
      </w:r>
    </w:p>
    <w:p w:rsidR="00D33DBC" w:rsidRPr="00D33DBC" w:rsidRDefault="00D673F6" w:rsidP="00D33DBC">
      <w:pPr>
        <w:pStyle w:val="SingleTxtGR"/>
      </w:pPr>
      <w:r w:rsidRPr="00151201">
        <w:t>4.</w:t>
      </w:r>
      <w:r w:rsidRPr="00151201">
        <w:tab/>
      </w:r>
      <w:r w:rsidR="00D33DBC" w:rsidRPr="00D33DBC">
        <w:t xml:space="preserve">Рекомендации были изучены </w:t>
      </w:r>
      <w:r w:rsidR="00D33DBC" w:rsidRPr="00D33DBC">
        <w:rPr>
          <w:lang w:val="tk-TM"/>
        </w:rPr>
        <w:t xml:space="preserve">соответсвующими государственным структурами </w:t>
      </w:r>
      <w:r w:rsidR="00D33DBC" w:rsidRPr="00D33DBC">
        <w:rPr>
          <w:lang w:val="tk-TM"/>
        </w:rPr>
        <w:lastRenderedPageBreak/>
        <w:t xml:space="preserve">и общественными объединениями, которые представили </w:t>
      </w:r>
      <w:r w:rsidR="00D33DBC" w:rsidRPr="00D33DBC">
        <w:t>свои предложения по их реализации.</w:t>
      </w:r>
    </w:p>
    <w:p w:rsidR="00D33DBC" w:rsidRPr="00D33DBC" w:rsidRDefault="00D673F6" w:rsidP="00D33DBC">
      <w:pPr>
        <w:pStyle w:val="SingleTxtGR"/>
      </w:pPr>
      <w:r w:rsidRPr="00151201">
        <w:t>5.</w:t>
      </w:r>
      <w:r w:rsidRPr="00151201">
        <w:tab/>
      </w:r>
      <w:r w:rsidR="00D33DBC" w:rsidRPr="00D33DBC">
        <w:t>Таким образом, рассмотрев рекомендации, туркменская сторона поддерживает 7</w:t>
      </w:r>
      <w:r w:rsidR="00D33DBC" w:rsidRPr="00D33DBC">
        <w:rPr>
          <w:lang w:val="tk-TM"/>
        </w:rPr>
        <w:t>4</w:t>
      </w:r>
      <w:r w:rsidR="00D33DBC" w:rsidRPr="00D33DBC">
        <w:t xml:space="preserve"> рекомендации.</w:t>
      </w:r>
    </w:p>
    <w:p w:rsidR="00D33DBC" w:rsidRPr="00D33DBC" w:rsidRDefault="00D673F6" w:rsidP="00D33DBC">
      <w:pPr>
        <w:pStyle w:val="SingleTxtGR"/>
      </w:pPr>
      <w:r w:rsidRPr="00151201">
        <w:t>6.</w:t>
      </w:r>
      <w:r w:rsidRPr="00151201">
        <w:tab/>
      </w:r>
      <w:r w:rsidR="00D33DBC" w:rsidRPr="00D33DBC">
        <w:t>Одновременно туркменская сторона не принимает 1</w:t>
      </w:r>
      <w:r w:rsidR="00D33DBC" w:rsidRPr="00D33DBC">
        <w:rPr>
          <w:lang w:val="tk-TM"/>
        </w:rPr>
        <w:t>6</w:t>
      </w:r>
      <w:r w:rsidR="00D33DBC" w:rsidRPr="00D33DBC">
        <w:t xml:space="preserve"> рекомендаций, разъяснения по некоторым следуют ниже:</w:t>
      </w:r>
    </w:p>
    <w:p w:rsidR="00D33DBC" w:rsidRPr="00D33DBC" w:rsidRDefault="00D673F6" w:rsidP="00D33DBC">
      <w:pPr>
        <w:pStyle w:val="SingleTxtGR"/>
        <w:rPr>
          <w:iCs/>
        </w:rPr>
      </w:pPr>
      <w:r>
        <w:tab/>
      </w:r>
      <w:r w:rsidR="00D33DBC" w:rsidRPr="00D33DBC">
        <w:t xml:space="preserve">116.18 – </w:t>
      </w:r>
      <w:r w:rsidR="00D33DBC" w:rsidRPr="00D33DBC">
        <w:rPr>
          <w:iCs/>
        </w:rPr>
        <w:t>Согласно определению Организации Объединённых Наций</w:t>
      </w:r>
      <w:r w:rsidR="00870494" w:rsidRPr="00151201">
        <w:rPr>
          <w:iCs/>
        </w:rPr>
        <w:t>,</w:t>
      </w:r>
      <w:r w:rsidR="00D33DBC" w:rsidRPr="00D33DBC">
        <w:rPr>
          <w:iCs/>
        </w:rPr>
        <w:t xml:space="preserve"> «коренной народ состоит из нынешних потомков народов, которые проживали на нынешней территории всей или части какой-либо страны в момент, когда на неё прибыли из других частей мира лица другой культуры и этнического происхождения, которые покорили их и поставили в зависимое и колониальное положение путём завоевания, колонизации и других средств». Учитывая, что в Туркменистане нет коренных народов, соответствующих указанному определению, считаем нецелесообразным ратифицировать Конвенцию 169 Международной организации труда о коренных народах и народах, ведущих племенной образ жизни</w:t>
      </w:r>
      <w:r w:rsidR="00870494">
        <w:rPr>
          <w:iCs/>
        </w:rPr>
        <w:t xml:space="preserve"> в независимых странах</w:t>
      </w:r>
      <w:r w:rsidR="00D33DBC" w:rsidRPr="00D33DBC">
        <w:rPr>
          <w:iCs/>
        </w:rPr>
        <w:t>;</w:t>
      </w:r>
    </w:p>
    <w:p w:rsidR="00D33DBC" w:rsidRPr="00D33DBC" w:rsidRDefault="00D673F6" w:rsidP="00D33DBC">
      <w:pPr>
        <w:pStyle w:val="SingleTxtGR"/>
      </w:pPr>
      <w:r>
        <w:lastRenderedPageBreak/>
        <w:tab/>
      </w:r>
      <w:r w:rsidR="00D33DBC" w:rsidRPr="00D33DBC">
        <w:t>116.35, 116.36, 116.37, 116.38, 116.39, 116.40 – В силу противоречия сложившимся взглядам гражданского общества;</w:t>
      </w:r>
    </w:p>
    <w:p w:rsidR="00D33DBC" w:rsidRPr="00D33DBC" w:rsidRDefault="00D673F6" w:rsidP="00D33DBC">
      <w:pPr>
        <w:pStyle w:val="SingleTxtGR"/>
      </w:pPr>
      <w:r>
        <w:tab/>
      </w:r>
      <w:r w:rsidR="00D33DBC" w:rsidRPr="00D33DBC">
        <w:t>116.54;</w:t>
      </w:r>
    </w:p>
    <w:p w:rsidR="00D33DBC" w:rsidRPr="00D33DBC" w:rsidRDefault="00D673F6" w:rsidP="00D33DBC">
      <w:pPr>
        <w:pStyle w:val="SingleTxtGR"/>
      </w:pPr>
      <w:r>
        <w:tab/>
      </w:r>
      <w:r w:rsidR="00D33DBC" w:rsidRPr="00D33DBC">
        <w:t>116.59 – Статья 58 Конституции Туркменистана предусматривает, что защита Туркменистана - священный долг каждого гражданина. Для граждан Туркменистана - мужчин установлена всеобщая воинская обязанность;</w:t>
      </w:r>
    </w:p>
    <w:p w:rsidR="00D33DBC" w:rsidRPr="00D33DBC" w:rsidRDefault="00D673F6" w:rsidP="00D33DBC">
      <w:pPr>
        <w:pStyle w:val="SingleTxtGR"/>
      </w:pPr>
      <w:r>
        <w:tab/>
      </w:r>
      <w:r w:rsidR="00D33DBC" w:rsidRPr="00D33DBC">
        <w:t>116.60, 116.90 – В статье 42 Конституции Туркменистана отражено, что каждому человеку гарантируется свобода мысли и слова. Никто не имеет права запретить человеку свободно выражать своё мнение;</w:t>
      </w:r>
    </w:p>
    <w:p w:rsidR="00D33DBC" w:rsidRPr="00D33DBC" w:rsidRDefault="00D673F6" w:rsidP="00D33DBC">
      <w:pPr>
        <w:pStyle w:val="SingleTxtGR"/>
      </w:pPr>
      <w:r>
        <w:tab/>
      </w:r>
      <w:r w:rsidR="00D33DBC" w:rsidRPr="00D33DBC">
        <w:t xml:space="preserve">116.68, 116.71 – </w:t>
      </w:r>
      <w:r w:rsidR="00D33DBC" w:rsidRPr="00D33DBC">
        <w:rPr>
          <w:bCs/>
        </w:rPr>
        <w:t>Статья 51 Закона Туркменистана «О средствах массовой информации» предусматривает ответственность за ущемление свободы массовой информации</w:t>
      </w:r>
      <w:r w:rsidR="00D33DBC" w:rsidRPr="00D33DBC">
        <w:t>;</w:t>
      </w:r>
    </w:p>
    <w:p w:rsidR="00D33DBC" w:rsidRPr="00D33DBC" w:rsidRDefault="00D673F6" w:rsidP="00D33DBC">
      <w:pPr>
        <w:pStyle w:val="SingleTxtGR"/>
      </w:pPr>
      <w:r>
        <w:tab/>
      </w:r>
      <w:r w:rsidR="00D33DBC" w:rsidRPr="00D33DBC">
        <w:t>116.85 – В статье 49 новой редакции Конституции Туркменистана введена норма, запрещающая принудительный труд и худшие формы детского труда;</w:t>
      </w:r>
    </w:p>
    <w:p w:rsidR="00D33DBC" w:rsidRPr="00D33DBC" w:rsidRDefault="00D673F6" w:rsidP="00D33DBC">
      <w:pPr>
        <w:pStyle w:val="SingleTxtGR"/>
      </w:pPr>
      <w:r>
        <w:tab/>
      </w:r>
      <w:r w:rsidR="00D33DBC" w:rsidRPr="00D33DBC">
        <w:t>116.86;</w:t>
      </w:r>
    </w:p>
    <w:p w:rsidR="00800C69" w:rsidRPr="00B601B0" w:rsidRDefault="00D673F6" w:rsidP="00D33DBC">
      <w:pPr>
        <w:pStyle w:val="SingleTxtGR"/>
      </w:pPr>
      <w:r>
        <w:lastRenderedPageBreak/>
        <w:tab/>
      </w:r>
      <w:r w:rsidR="00D33DBC" w:rsidRPr="00D33DBC">
        <w:t>116.87 – Закон Туркменистана «О противодействии распространени</w:t>
      </w:r>
      <w:r w:rsidR="00870494">
        <w:t>ю</w:t>
      </w:r>
      <w:r w:rsidR="00D33DBC" w:rsidRPr="00D33DBC">
        <w:t xml:space="preserve"> заболевания</w:t>
      </w:r>
      <w:r w:rsidR="00870494">
        <w:t>,</w:t>
      </w:r>
      <w:r w:rsidR="00D33DBC" w:rsidRPr="00D33DBC">
        <w:t xml:space="preserve"> вызываемого вирусом иммунодефицита человека (ВИЧ-инфекция</w:t>
      </w:r>
      <w:r w:rsidR="00D33DBC" w:rsidRPr="00830FDA">
        <w:t>)</w:t>
      </w:r>
      <w:r w:rsidR="00830FDA" w:rsidRPr="00830FDA">
        <w:t>»</w:t>
      </w:r>
      <w:r w:rsidR="00D33DBC" w:rsidRPr="00D33DBC">
        <w:t xml:space="preserve"> не является дискриминационным и проводимые меры профилактики ВИЧ не противоречат нормам соблюдения прав человека</w:t>
      </w:r>
      <w:r w:rsidR="00D33DBC" w:rsidRPr="00D33DBC">
        <w:rPr>
          <w:lang w:val="tk-TM"/>
        </w:rPr>
        <w:t>.</w:t>
      </w:r>
    </w:p>
    <w:p w:rsidR="00B601B0" w:rsidRPr="00B601B0" w:rsidRDefault="00B601B0" w:rsidP="00B601B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601B0" w:rsidRPr="00B601B0" w:rsidSect="00B601B0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F8" w:rsidRPr="00A312BC" w:rsidRDefault="00327FF8" w:rsidP="00A312BC"/>
  </w:endnote>
  <w:endnote w:type="continuationSeparator" w:id="0">
    <w:p w:rsidR="00327FF8" w:rsidRPr="00A312BC" w:rsidRDefault="00327FF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F8" w:rsidRPr="00B601B0" w:rsidRDefault="00327FF8">
    <w:pPr>
      <w:pStyle w:val="Footer"/>
    </w:pPr>
    <w:r w:rsidRPr="00B601B0">
      <w:rPr>
        <w:b/>
        <w:sz w:val="18"/>
      </w:rPr>
      <w:fldChar w:fldCharType="begin"/>
    </w:r>
    <w:r w:rsidRPr="00B601B0">
      <w:rPr>
        <w:b/>
        <w:sz w:val="18"/>
      </w:rPr>
      <w:instrText xml:space="preserve"> PAGE  \* MERGEFORMAT </w:instrText>
    </w:r>
    <w:r w:rsidRPr="00B601B0">
      <w:rPr>
        <w:b/>
        <w:sz w:val="18"/>
      </w:rPr>
      <w:fldChar w:fldCharType="separate"/>
    </w:r>
    <w:r w:rsidR="0071218F">
      <w:rPr>
        <w:b/>
        <w:noProof/>
        <w:sz w:val="18"/>
      </w:rPr>
      <w:t>2</w:t>
    </w:r>
    <w:r w:rsidRPr="00B601B0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F8" w:rsidRPr="00B601B0" w:rsidRDefault="00327FF8" w:rsidP="00B601B0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 w:rsidRPr="00B601B0">
      <w:rPr>
        <w:b/>
        <w:sz w:val="18"/>
      </w:rPr>
      <w:fldChar w:fldCharType="begin"/>
    </w:r>
    <w:r w:rsidRPr="00B601B0">
      <w:rPr>
        <w:b/>
        <w:sz w:val="18"/>
      </w:rPr>
      <w:instrText xml:space="preserve"> PAGE  \* MERGEFORMAT </w:instrText>
    </w:r>
    <w:r w:rsidRPr="00B601B0">
      <w:rPr>
        <w:b/>
        <w:sz w:val="18"/>
      </w:rPr>
      <w:fldChar w:fldCharType="separate"/>
    </w:r>
    <w:r w:rsidR="00D673F6">
      <w:rPr>
        <w:b/>
        <w:noProof/>
        <w:sz w:val="18"/>
      </w:rPr>
      <w:t>3</w:t>
    </w:r>
    <w:r w:rsidRPr="00B601B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F8" w:rsidRPr="001075E9" w:rsidRDefault="00327FF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7FF8" w:rsidRDefault="00327FF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27FF8" w:rsidRPr="00407429" w:rsidRDefault="00327FF8" w:rsidP="00B601B0">
      <w:pPr>
        <w:pStyle w:val="FootnoteText"/>
      </w:pPr>
      <w:r>
        <w:tab/>
      </w:r>
      <w:r w:rsidRPr="00B601B0">
        <w:rPr>
          <w:sz w:val="20"/>
        </w:rPr>
        <w:t>*</w:t>
      </w:r>
      <w:r>
        <w:tab/>
        <w:t>Настоящий документ до его передачи в службы письменного перевода Организации Объединенных Наций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F8" w:rsidRPr="00B601B0" w:rsidRDefault="00800C69">
    <w:pPr>
      <w:pStyle w:val="Header"/>
    </w:pPr>
    <w:r>
      <w:t>A/HRC/39/3</w:t>
    </w:r>
    <w:r w:rsidR="00327FF8"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F8" w:rsidRPr="00B601B0" w:rsidRDefault="00327FF8" w:rsidP="00B601B0">
    <w:pPr>
      <w:pStyle w:val="Header"/>
      <w:jc w:val="right"/>
    </w:pPr>
    <w:r>
      <w:t>A/HRC/39/</w:t>
    </w:r>
    <w:r w:rsidR="00800C69">
      <w:t>3</w:t>
    </w:r>
    <w:r>
      <w:t>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B673B"/>
    <w:multiLevelType w:val="hybridMultilevel"/>
    <w:tmpl w:val="1E7AA796"/>
    <w:lvl w:ilvl="0" w:tplc="CDB41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0087C5C"/>
    <w:multiLevelType w:val="hybridMultilevel"/>
    <w:tmpl w:val="AFC6CC36"/>
    <w:lvl w:ilvl="0" w:tplc="AECC533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BC85375"/>
    <w:multiLevelType w:val="hybridMultilevel"/>
    <w:tmpl w:val="4FC0CD5A"/>
    <w:lvl w:ilvl="0" w:tplc="041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6A85EE7"/>
    <w:multiLevelType w:val="hybridMultilevel"/>
    <w:tmpl w:val="A6AA574C"/>
    <w:lvl w:ilvl="0" w:tplc="041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7"/>
  </w:num>
  <w:num w:numId="19">
    <w:abstractNumId w:val="18"/>
  </w:num>
  <w:num w:numId="20">
    <w:abstractNumId w:val="14"/>
  </w:num>
  <w:num w:numId="21">
    <w:abstractNumId w:val="17"/>
  </w:num>
  <w:num w:numId="22">
    <w:abstractNumId w:val="12"/>
  </w:num>
  <w:num w:numId="23">
    <w:abstractNumId w:val="21"/>
  </w:num>
  <w:num w:numId="24">
    <w:abstractNumId w:val="16"/>
  </w:num>
  <w:num w:numId="2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80"/>
    <w:rsid w:val="00033EE1"/>
    <w:rsid w:val="00040272"/>
    <w:rsid w:val="00041EA6"/>
    <w:rsid w:val="00042B72"/>
    <w:rsid w:val="000558BD"/>
    <w:rsid w:val="000842B4"/>
    <w:rsid w:val="000B57E7"/>
    <w:rsid w:val="000B6373"/>
    <w:rsid w:val="000D7ED7"/>
    <w:rsid w:val="000E20E5"/>
    <w:rsid w:val="000F09DF"/>
    <w:rsid w:val="000F61B2"/>
    <w:rsid w:val="001075E9"/>
    <w:rsid w:val="00146489"/>
    <w:rsid w:val="00151201"/>
    <w:rsid w:val="00180183"/>
    <w:rsid w:val="0018024D"/>
    <w:rsid w:val="0018649F"/>
    <w:rsid w:val="00196389"/>
    <w:rsid w:val="001B3EF6"/>
    <w:rsid w:val="001C7A89"/>
    <w:rsid w:val="00212402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FF8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84ECD"/>
    <w:rsid w:val="005961C8"/>
    <w:rsid w:val="005D7914"/>
    <w:rsid w:val="005E2B41"/>
    <w:rsid w:val="005F0B42"/>
    <w:rsid w:val="00653D80"/>
    <w:rsid w:val="00681A10"/>
    <w:rsid w:val="006870F6"/>
    <w:rsid w:val="006A1ED8"/>
    <w:rsid w:val="006C2031"/>
    <w:rsid w:val="006D461A"/>
    <w:rsid w:val="006D579C"/>
    <w:rsid w:val="006F0B59"/>
    <w:rsid w:val="006F35EE"/>
    <w:rsid w:val="007021FF"/>
    <w:rsid w:val="007053C0"/>
    <w:rsid w:val="0071218F"/>
    <w:rsid w:val="00712895"/>
    <w:rsid w:val="00715D68"/>
    <w:rsid w:val="00757357"/>
    <w:rsid w:val="00782C09"/>
    <w:rsid w:val="007D3BD5"/>
    <w:rsid w:val="007D5A02"/>
    <w:rsid w:val="00800C69"/>
    <w:rsid w:val="00825F8D"/>
    <w:rsid w:val="00830FDA"/>
    <w:rsid w:val="00834B71"/>
    <w:rsid w:val="0086445C"/>
    <w:rsid w:val="00865660"/>
    <w:rsid w:val="00870494"/>
    <w:rsid w:val="00894693"/>
    <w:rsid w:val="008A08D7"/>
    <w:rsid w:val="008B0FBC"/>
    <w:rsid w:val="008B6909"/>
    <w:rsid w:val="008C6AA7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312BC"/>
    <w:rsid w:val="00A84021"/>
    <w:rsid w:val="00A84D35"/>
    <w:rsid w:val="00A917B3"/>
    <w:rsid w:val="00AB4B51"/>
    <w:rsid w:val="00B10CC7"/>
    <w:rsid w:val="00B539E7"/>
    <w:rsid w:val="00B601B0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1711E"/>
    <w:rsid w:val="00D323B0"/>
    <w:rsid w:val="00D33D63"/>
    <w:rsid w:val="00D33DBC"/>
    <w:rsid w:val="00D673F6"/>
    <w:rsid w:val="00D90028"/>
    <w:rsid w:val="00D90138"/>
    <w:rsid w:val="00DD78D1"/>
    <w:rsid w:val="00DE0138"/>
    <w:rsid w:val="00DF0D07"/>
    <w:rsid w:val="00DF71B9"/>
    <w:rsid w:val="00E71476"/>
    <w:rsid w:val="00E73F76"/>
    <w:rsid w:val="00EA2AAD"/>
    <w:rsid w:val="00EA2C9F"/>
    <w:rsid w:val="00EA420E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8064B4A-7DA7-4C99-922B-50D1B23F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A21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BE067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E0674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0674"/>
    <w:pPr>
      <w:spacing w:before="40" w:after="120" w:line="240" w:lineRule="atLeast"/>
    </w:pPr>
    <w:rPr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0674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0674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0674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E0674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0674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0674"/>
  </w:style>
  <w:style w:type="character" w:customStyle="1" w:styleId="EndnoteTextChar">
    <w:name w:val="Endnote Text Char"/>
    <w:aliases w:val="2_GR Char"/>
    <w:basedOn w:val="DefaultParagraphFont"/>
    <w:link w:val="EndnoteText"/>
    <w:rsid w:val="00BE0674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0674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BE0674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E0674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qFormat/>
    <w:rsid w:val="00B601B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CH"/>
    </w:rPr>
  </w:style>
  <w:style w:type="paragraph" w:customStyle="1" w:styleId="H1G">
    <w:name w:val="_ H_1_G"/>
    <w:basedOn w:val="Normal"/>
    <w:next w:val="Normal"/>
    <w:qFormat/>
    <w:rsid w:val="00B601B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SingleTxtG">
    <w:name w:val="_ Single Txt_G"/>
    <w:basedOn w:val="Normal"/>
    <w:qFormat/>
    <w:rsid w:val="00B601B0"/>
    <w:pPr>
      <w:spacing w:after="120"/>
      <w:ind w:left="1134" w:right="1134"/>
      <w:jc w:val="both"/>
    </w:pPr>
    <w:rPr>
      <w:rFonts w:eastAsia="Times New Roman" w:cs="Times New Roman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715D68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">
    <w:name w:val="Основной текст (2)_"/>
    <w:basedOn w:val="DefaultParagraphFont"/>
    <w:link w:val="20"/>
    <w:rsid w:val="00715D68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15D68"/>
    <w:pPr>
      <w:widowControl w:val="0"/>
      <w:shd w:val="clear" w:color="auto" w:fill="FFFFFF"/>
      <w:suppressAutoHyphens w:val="0"/>
      <w:spacing w:line="240" w:lineRule="exact"/>
      <w:jc w:val="both"/>
    </w:pPr>
    <w:rPr>
      <w:rFonts w:eastAsia="Times New Roman" w:cs="Times New Roman"/>
      <w:sz w:val="18"/>
      <w:szCs w:val="18"/>
      <w:lang w:val="es-ES" w:eastAsia="es-ES"/>
    </w:rPr>
  </w:style>
  <w:style w:type="paragraph" w:styleId="BodyText">
    <w:name w:val="Body Text"/>
    <w:basedOn w:val="Normal"/>
    <w:link w:val="BodyTextChar"/>
    <w:semiHidden/>
    <w:unhideWhenUsed/>
    <w:rsid w:val="00D33DB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3DBC"/>
    <w:rPr>
      <w:rFonts w:eastAsiaTheme="minorHAnsi" w:cstheme="minorBidi"/>
      <w:szCs w:val="22"/>
      <w:lang w:val="ru-RU" w:eastAsia="en-US"/>
    </w:rPr>
  </w:style>
  <w:style w:type="paragraph" w:styleId="NoSpacing">
    <w:name w:val="No Spacing"/>
    <w:uiPriority w:val="1"/>
    <w:qFormat/>
    <w:rsid w:val="00D33DBC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3332B0D2C3F428E807682140002FB" ma:contentTypeVersion="1" ma:contentTypeDescription="Create a new document." ma:contentTypeScope="" ma:versionID="01e5ba7be5194eb3980d966c8df720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5B4F34-3F67-405D-921F-15BE231E7B45}"/>
</file>

<file path=customXml/itemProps2.xml><?xml version="1.0" encoding="utf-8"?>
<ds:datastoreItem xmlns:ds="http://schemas.openxmlformats.org/officeDocument/2006/customXml" ds:itemID="{7FEC2B24-AF60-4C6F-A9EE-2B0DFA24E7B5}"/>
</file>

<file path=customXml/itemProps3.xml><?xml version="1.0" encoding="utf-8"?>
<ds:datastoreItem xmlns:ds="http://schemas.openxmlformats.org/officeDocument/2006/customXml" ds:itemID="{3AC95A96-5464-43CB-9813-12168740704E}"/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2</Pages>
  <Words>498</Words>
  <Characters>2841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A/HRC/38/4/Add.1</vt:lpstr>
      <vt:lpstr>A/HRC/38/4/Add.1</vt:lpstr>
      <vt:lpstr>A/</vt:lpstr>
    </vt:vector>
  </TitlesOfParts>
  <Company>DCM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PROKOUDINA</dc:creator>
  <cp:keywords/>
  <cp:lastModifiedBy>IHARA Sumiko</cp:lastModifiedBy>
  <cp:revision>2</cp:revision>
  <cp:lastPrinted>2018-05-17T08:08:00Z</cp:lastPrinted>
  <dcterms:created xsi:type="dcterms:W3CDTF">2018-09-14T08:15:00Z</dcterms:created>
  <dcterms:modified xsi:type="dcterms:W3CDTF">2018-09-14T08:15:00Z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0x01010031F3332B0D2C3F428E807682140002FB</vt:lpwstr>
  </property>
</Properties>
</file>