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5B6929" w:rsidTr="0040017C">
        <w:trPr>
          <w:trHeight w:val="851"/>
        </w:trPr>
        <w:tc>
          <w:tcPr>
            <w:tcW w:w="1259" w:type="dxa"/>
            <w:tcBorders>
              <w:top w:val="nil"/>
              <w:left w:val="nil"/>
              <w:bottom w:val="single" w:sz="4" w:space="0" w:color="auto"/>
              <w:right w:val="nil"/>
            </w:tcBorders>
          </w:tcPr>
          <w:p w:rsidR="00E52109" w:rsidRPr="005B6929" w:rsidRDefault="00E52109" w:rsidP="0040017C">
            <w:pPr>
              <w:pStyle w:val="HMG"/>
            </w:pPr>
          </w:p>
        </w:tc>
        <w:tc>
          <w:tcPr>
            <w:tcW w:w="2236" w:type="dxa"/>
            <w:tcBorders>
              <w:top w:val="nil"/>
              <w:left w:val="nil"/>
              <w:bottom w:val="single" w:sz="4" w:space="0" w:color="auto"/>
              <w:right w:val="nil"/>
            </w:tcBorders>
            <w:vAlign w:val="bottom"/>
          </w:tcPr>
          <w:p w:rsidR="00E52109" w:rsidRPr="005B692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Pr="005B6929" w:rsidRDefault="00020AB0" w:rsidP="00020AB0">
            <w:pPr>
              <w:suppressAutoHyphens w:val="0"/>
              <w:spacing w:after="20"/>
              <w:jc w:val="right"/>
            </w:pPr>
            <w:r w:rsidRPr="005B6929">
              <w:rPr>
                <w:sz w:val="40"/>
              </w:rPr>
              <w:t>A</w:t>
            </w:r>
            <w:r w:rsidRPr="005B6929">
              <w:t>/HRC/41/1</w:t>
            </w:r>
          </w:p>
        </w:tc>
      </w:tr>
      <w:tr w:rsidR="00E52109" w:rsidRPr="005B6929" w:rsidTr="0040017C">
        <w:trPr>
          <w:trHeight w:val="2835"/>
        </w:trPr>
        <w:tc>
          <w:tcPr>
            <w:tcW w:w="1259" w:type="dxa"/>
            <w:tcBorders>
              <w:top w:val="single" w:sz="4" w:space="0" w:color="auto"/>
              <w:left w:val="nil"/>
              <w:bottom w:val="single" w:sz="12" w:space="0" w:color="auto"/>
              <w:right w:val="nil"/>
            </w:tcBorders>
          </w:tcPr>
          <w:p w:rsidR="00E52109" w:rsidRPr="005B692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Pr="005B6929" w:rsidRDefault="001555F1"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Pr="005B6929" w:rsidRDefault="00020AB0" w:rsidP="00020AB0">
            <w:pPr>
              <w:spacing w:before="240"/>
            </w:pPr>
            <w:r w:rsidRPr="005B6929">
              <w:t>Distr.: General</w:t>
            </w:r>
          </w:p>
          <w:p w:rsidR="00020AB0" w:rsidRPr="005B6929" w:rsidRDefault="00100380" w:rsidP="00020AB0">
            <w:pPr>
              <w:suppressAutoHyphens w:val="0"/>
            </w:pPr>
            <w:r w:rsidRPr="005B6929">
              <w:t>10</w:t>
            </w:r>
            <w:r w:rsidR="00020AB0" w:rsidRPr="005B6929">
              <w:t xml:space="preserve"> May 2019</w:t>
            </w:r>
          </w:p>
          <w:p w:rsidR="00020AB0" w:rsidRPr="005B6929" w:rsidRDefault="00020AB0" w:rsidP="00020AB0">
            <w:pPr>
              <w:suppressAutoHyphens w:val="0"/>
            </w:pPr>
          </w:p>
          <w:p w:rsidR="00020AB0" w:rsidRPr="005B6929" w:rsidRDefault="00020AB0" w:rsidP="00020AB0">
            <w:pPr>
              <w:suppressAutoHyphens w:val="0"/>
            </w:pPr>
            <w:r w:rsidRPr="005B6929">
              <w:t>Original: English</w:t>
            </w:r>
          </w:p>
        </w:tc>
      </w:tr>
    </w:tbl>
    <w:p w:rsidR="001B5021" w:rsidRPr="005B6929" w:rsidRDefault="001B5021" w:rsidP="001B5021">
      <w:pPr>
        <w:spacing w:before="120"/>
        <w:rPr>
          <w:b/>
          <w:sz w:val="24"/>
          <w:szCs w:val="24"/>
        </w:rPr>
      </w:pPr>
      <w:r w:rsidRPr="005B6929">
        <w:rPr>
          <w:b/>
          <w:sz w:val="24"/>
          <w:szCs w:val="24"/>
        </w:rPr>
        <w:t>Human Rights Council</w:t>
      </w:r>
    </w:p>
    <w:p w:rsidR="001B5021" w:rsidRPr="005B6929" w:rsidRDefault="001B5021" w:rsidP="001B5021">
      <w:pPr>
        <w:rPr>
          <w:b/>
          <w:bCs/>
        </w:rPr>
      </w:pPr>
      <w:r w:rsidRPr="005B6929">
        <w:rPr>
          <w:b/>
          <w:bCs/>
        </w:rPr>
        <w:t>Forty-first session</w:t>
      </w:r>
    </w:p>
    <w:p w:rsidR="001B5021" w:rsidRPr="005B6929" w:rsidRDefault="001B5021" w:rsidP="001B5021">
      <w:r w:rsidRPr="005B6929">
        <w:t>24 June–12 July 2019</w:t>
      </w:r>
    </w:p>
    <w:p w:rsidR="001B5021" w:rsidRPr="005B6929" w:rsidRDefault="001B5021" w:rsidP="001B5021">
      <w:r w:rsidRPr="005B6929">
        <w:t>Agenda item 1</w:t>
      </w:r>
    </w:p>
    <w:p w:rsidR="001B5021" w:rsidRPr="005B6929" w:rsidRDefault="001B5021" w:rsidP="001B5021">
      <w:pPr>
        <w:rPr>
          <w:b/>
          <w:bCs/>
        </w:rPr>
      </w:pPr>
      <w:r w:rsidRPr="005B6929">
        <w:rPr>
          <w:b/>
          <w:bCs/>
        </w:rPr>
        <w:t>Organizational and procedural matters</w:t>
      </w:r>
    </w:p>
    <w:p w:rsidR="001B5021" w:rsidRPr="005B6929" w:rsidRDefault="001B5021" w:rsidP="005F714F">
      <w:pPr>
        <w:pStyle w:val="HChG"/>
      </w:pPr>
      <w:r w:rsidRPr="005B6929">
        <w:tab/>
      </w:r>
      <w:r w:rsidRPr="005B6929">
        <w:tab/>
        <w:t>Agenda and annotations</w:t>
      </w:r>
    </w:p>
    <w:p w:rsidR="001B5021" w:rsidRPr="005B6929" w:rsidRDefault="001B5021" w:rsidP="005F714F">
      <w:pPr>
        <w:pStyle w:val="H1G"/>
      </w:pPr>
      <w:r w:rsidRPr="005B6929">
        <w:tab/>
      </w:r>
      <w:r w:rsidRPr="005B6929">
        <w:tab/>
        <w:t>Agenda</w:t>
      </w:r>
    </w:p>
    <w:p w:rsidR="001B5021" w:rsidRPr="005B6929" w:rsidRDefault="001B5021" w:rsidP="001B5021">
      <w:pPr>
        <w:pStyle w:val="SingleTxtG"/>
      </w:pPr>
      <w:r w:rsidRPr="005B6929">
        <w:t>1.</w:t>
      </w:r>
      <w:r w:rsidRPr="005B6929">
        <w:tab/>
        <w:t>Organizational and procedural matters.</w:t>
      </w:r>
    </w:p>
    <w:p w:rsidR="001B5021" w:rsidRPr="005B6929" w:rsidRDefault="001B5021" w:rsidP="00683CFE">
      <w:pPr>
        <w:pStyle w:val="SingleTxtG"/>
        <w:ind w:left="1701" w:hanging="567"/>
      </w:pPr>
      <w:r w:rsidRPr="005B6929">
        <w:t>2.</w:t>
      </w:r>
      <w:r w:rsidRPr="005B6929">
        <w:tab/>
        <w:t>Annual report of the United Nations High Commissioner for Human Rights and reports of the Office of the High Commissioner and the Secretary-General.</w:t>
      </w:r>
    </w:p>
    <w:p w:rsidR="001B5021" w:rsidRPr="005B6929" w:rsidRDefault="001B5021" w:rsidP="00683CFE">
      <w:pPr>
        <w:pStyle w:val="SingleTxtG"/>
        <w:ind w:left="1701" w:hanging="567"/>
      </w:pPr>
      <w:r w:rsidRPr="005B6929">
        <w:t>3.</w:t>
      </w:r>
      <w:r w:rsidRPr="005B6929">
        <w:tab/>
        <w:t>Promotion and protection of all human rights, civil, political, economic, social and cultural rights, including the right to development.</w:t>
      </w:r>
    </w:p>
    <w:p w:rsidR="001B5021" w:rsidRPr="005B6929" w:rsidRDefault="001B5021" w:rsidP="00683CFE">
      <w:pPr>
        <w:pStyle w:val="SingleTxtG"/>
        <w:ind w:left="1701" w:hanging="567"/>
      </w:pPr>
      <w:r w:rsidRPr="005B6929">
        <w:t>4.</w:t>
      </w:r>
      <w:r w:rsidRPr="005B6929">
        <w:tab/>
        <w:t>Human rights situations that require the Council</w:t>
      </w:r>
      <w:r w:rsidR="00331271">
        <w:t>’</w:t>
      </w:r>
      <w:r w:rsidRPr="005B6929">
        <w:t>s attention.</w:t>
      </w:r>
    </w:p>
    <w:p w:rsidR="001B5021" w:rsidRPr="005B6929" w:rsidRDefault="001B5021" w:rsidP="00683CFE">
      <w:pPr>
        <w:pStyle w:val="SingleTxtG"/>
        <w:ind w:left="1701" w:hanging="567"/>
      </w:pPr>
      <w:r w:rsidRPr="005B6929">
        <w:t>5.</w:t>
      </w:r>
      <w:r w:rsidRPr="005B6929">
        <w:tab/>
        <w:t>Human rights bodies and mechanisms.</w:t>
      </w:r>
    </w:p>
    <w:p w:rsidR="001B5021" w:rsidRPr="005B6929" w:rsidRDefault="001B5021" w:rsidP="00683CFE">
      <w:pPr>
        <w:pStyle w:val="SingleTxtG"/>
        <w:ind w:left="1701" w:hanging="567"/>
      </w:pPr>
      <w:r w:rsidRPr="005B6929">
        <w:t>6.</w:t>
      </w:r>
      <w:r w:rsidRPr="005B6929">
        <w:tab/>
        <w:t>Universal periodic review.</w:t>
      </w:r>
    </w:p>
    <w:p w:rsidR="001B5021" w:rsidRPr="005B6929" w:rsidRDefault="001B5021" w:rsidP="00683CFE">
      <w:pPr>
        <w:pStyle w:val="SingleTxtG"/>
        <w:ind w:left="1701" w:hanging="567"/>
      </w:pPr>
      <w:r w:rsidRPr="005B6929">
        <w:t>7.</w:t>
      </w:r>
      <w:r w:rsidRPr="005B6929">
        <w:tab/>
        <w:t>Human rights situation in Palestine and other occupied Arab territories.</w:t>
      </w:r>
    </w:p>
    <w:p w:rsidR="001B5021" w:rsidRPr="005B6929" w:rsidRDefault="001B5021" w:rsidP="00683CFE">
      <w:pPr>
        <w:pStyle w:val="SingleTxtG"/>
        <w:ind w:left="1701" w:hanging="567"/>
      </w:pPr>
      <w:r w:rsidRPr="005B6929">
        <w:t>8.</w:t>
      </w:r>
      <w:r w:rsidRPr="005B6929">
        <w:tab/>
        <w:t>Follow-up to and implementation of the Vienna Declaration and Programme of Action.</w:t>
      </w:r>
    </w:p>
    <w:p w:rsidR="001B5021" w:rsidRPr="005B6929" w:rsidRDefault="001B5021" w:rsidP="00683CFE">
      <w:pPr>
        <w:pStyle w:val="SingleTxtG"/>
        <w:ind w:left="1701" w:hanging="567"/>
      </w:pPr>
      <w:r w:rsidRPr="005B6929">
        <w:t>9.</w:t>
      </w:r>
      <w:r w:rsidRPr="005B6929">
        <w:tab/>
        <w:t>Racism, racial discrimination, xenophobia and related forms of intolerance, follow-up to and implementation of the Durban Declaration and Programme of Action.</w:t>
      </w:r>
    </w:p>
    <w:p w:rsidR="001B5021" w:rsidRPr="005B6929" w:rsidRDefault="001B5021" w:rsidP="001B5021">
      <w:pPr>
        <w:pStyle w:val="SingleTxtG"/>
      </w:pPr>
      <w:r w:rsidRPr="005B6929">
        <w:t>10.</w:t>
      </w:r>
      <w:r w:rsidRPr="005B6929">
        <w:tab/>
        <w:t>Technical assistance and capacity-building.</w:t>
      </w:r>
    </w:p>
    <w:p w:rsidR="001B5021" w:rsidRPr="005B6929" w:rsidRDefault="001B5021" w:rsidP="005F714F">
      <w:pPr>
        <w:pStyle w:val="H1G"/>
      </w:pPr>
      <w:r w:rsidRPr="005B6929">
        <w:tab/>
      </w:r>
      <w:r w:rsidRPr="005B6929">
        <w:tab/>
        <w:t>Annotations</w:t>
      </w:r>
    </w:p>
    <w:p w:rsidR="001B5021" w:rsidRPr="005B6929" w:rsidRDefault="001B5021" w:rsidP="005F714F">
      <w:pPr>
        <w:pStyle w:val="H23G"/>
      </w:pPr>
      <w:r w:rsidRPr="005B6929">
        <w:tab/>
        <w:t>1.</w:t>
      </w:r>
      <w:r w:rsidRPr="005B6929">
        <w:tab/>
        <w:t>Organizational and procedural matters</w:t>
      </w:r>
    </w:p>
    <w:p w:rsidR="001B5021" w:rsidRPr="005B6929" w:rsidRDefault="001B5021" w:rsidP="00683CFE">
      <w:pPr>
        <w:pStyle w:val="H4G"/>
        <w:rPr>
          <w:highlight w:val="yellow"/>
        </w:rPr>
      </w:pPr>
      <w:bookmarkStart w:id="1" w:name="_Toc220320987"/>
      <w:r w:rsidRPr="005B6929">
        <w:tab/>
      </w:r>
      <w:bookmarkStart w:id="2" w:name="_Toc220320988"/>
      <w:bookmarkEnd w:id="1"/>
      <w:r w:rsidRPr="005B6929">
        <w:tab/>
        <w:t>Date and venue of the session</w:t>
      </w:r>
      <w:bookmarkEnd w:id="2"/>
    </w:p>
    <w:p w:rsidR="001B5021" w:rsidRPr="005B6929" w:rsidRDefault="001B5021" w:rsidP="001B5021">
      <w:pPr>
        <w:pStyle w:val="SingleTxtG"/>
      </w:pPr>
      <w:r w:rsidRPr="005B6929">
        <w:t>1.</w:t>
      </w:r>
      <w:r w:rsidRPr="005B6929">
        <w:tab/>
        <w:t>In accordance with its three-year programme of work, as considered on 15 January 2019 at its organizational meeting, the Human Rights Council will hold its forty-first session from 24 June to 12 July 2019 at the United Nations Office at Geneva.</w:t>
      </w:r>
    </w:p>
    <w:p w:rsidR="001B5021" w:rsidRPr="005B6929" w:rsidRDefault="001B5021" w:rsidP="001B5021">
      <w:pPr>
        <w:pStyle w:val="SingleTxtG"/>
      </w:pPr>
      <w:r w:rsidRPr="005B6929">
        <w:t>2.</w:t>
      </w:r>
      <w:r w:rsidRPr="005B6929">
        <w:tab/>
        <w:t>In accordance with rule 8 (b) of the rules of procedure of the Human Rights Council, as contained in section VII of the annex to Council resolution 5/1, the organizational meeting for the forty-first session will be held on 7 June 2019.</w:t>
      </w:r>
    </w:p>
    <w:p w:rsidR="001B5021" w:rsidRPr="005B6929" w:rsidRDefault="001B5021" w:rsidP="00683CFE">
      <w:pPr>
        <w:pStyle w:val="H4G"/>
      </w:pPr>
      <w:bookmarkStart w:id="3" w:name="_Toc220320989"/>
      <w:r w:rsidRPr="005B6929">
        <w:lastRenderedPageBreak/>
        <w:tab/>
      </w:r>
      <w:r w:rsidRPr="005B6929">
        <w:tab/>
        <w:t>Agenda of the session</w:t>
      </w:r>
      <w:bookmarkEnd w:id="3"/>
    </w:p>
    <w:p w:rsidR="001B5021" w:rsidRPr="005B6929" w:rsidRDefault="001B5021" w:rsidP="001B5021">
      <w:pPr>
        <w:pStyle w:val="SingleTxtG"/>
      </w:pPr>
      <w:r w:rsidRPr="005B6929">
        <w:t>3.</w:t>
      </w:r>
      <w:r w:rsidRPr="005B6929">
        <w:tab/>
        <w:t>The agenda of the Human Rights Council is contained in section V of the annex to Council resolution 5/1. The Council will have before it the present annotations relating to items included in the agenda for the forty-first session.</w:t>
      </w:r>
    </w:p>
    <w:p w:rsidR="001B5021" w:rsidRPr="005B6929" w:rsidRDefault="001B5021" w:rsidP="00683CFE">
      <w:pPr>
        <w:pStyle w:val="H4G"/>
        <w:rPr>
          <w:rFonts w:eastAsia="Calibri"/>
        </w:rPr>
      </w:pPr>
      <w:bookmarkStart w:id="4" w:name="_Toc220320990"/>
      <w:r w:rsidRPr="005B6929">
        <w:tab/>
      </w:r>
      <w:r w:rsidRPr="005B6929">
        <w:tab/>
        <w:t>Composition of the Human Rights Council</w:t>
      </w:r>
    </w:p>
    <w:p w:rsidR="001B5021" w:rsidRPr="005B6929" w:rsidRDefault="001B5021" w:rsidP="001B5021">
      <w:pPr>
        <w:pStyle w:val="SingleTxtG"/>
      </w:pPr>
      <w:r w:rsidRPr="005B6929">
        <w:t>4.</w:t>
      </w:r>
      <w:r w:rsidRPr="005B6929">
        <w:tab/>
        <w:t>The composition of the Human Rights Council at its forty-first session is as follows:</w:t>
      </w:r>
      <w:r w:rsidRPr="005B6929">
        <w:rPr>
          <w:rStyle w:val="FootnoteReference"/>
        </w:rPr>
        <w:footnoteReference w:id="2"/>
      </w:r>
      <w:r w:rsidRPr="005B6929">
        <w:t xml:space="preserve"> Afghanistan (2020); Angola (2020); Argentina (2021); Australia (2020); Austria (2021); Bahamas (2021); Bahrain (2021); Bangladesh (2021); Brazil (2019); Bulgaria (2021); Burkina Faso (2021); Cameroon (2021); Chile (2020); China (2019); Croatia (2019); Cuba (2019); Czechia (2021); Democratic Republic of the Congo (2020); Denmark (2021); Egypt (2019); Eritrea (2021); Fiji (2021); Hungary (2019); Iceland (2019); India (2021); Iraq (2019); Italy (2021); Japan (2019); Mexico (2020); Nepal (2020); Nigeria (2020); Pakistan (2020); Peru (2020); Philippines (2021); Qatar (2020); Rwanda (2019); Saudi Arabia (2019); Senegal (2020); Slovakia (2020); Somalia (2021); South Africa (2019); Spain (2020); Togo (2021); Tunisia (2019); Ukraine (2020); United Kingdom of Great Britain and Northern Ireland (2019); and Uruguay (2021).</w:t>
      </w:r>
    </w:p>
    <w:p w:rsidR="001B5021" w:rsidRPr="005B6929" w:rsidRDefault="001B5021" w:rsidP="00683CFE">
      <w:pPr>
        <w:pStyle w:val="H4G"/>
      </w:pPr>
      <w:r w:rsidRPr="005B6929">
        <w:tab/>
      </w:r>
      <w:r w:rsidRPr="005B6929">
        <w:tab/>
        <w:t>Bureau of the Human Rights Council</w:t>
      </w:r>
    </w:p>
    <w:p w:rsidR="001B5021" w:rsidRPr="005B6929" w:rsidRDefault="001B5021" w:rsidP="001B5021">
      <w:pPr>
        <w:pStyle w:val="SingleTxtG"/>
      </w:pPr>
      <w:r w:rsidRPr="005B6929">
        <w:t>5.</w:t>
      </w:r>
      <w:r w:rsidRPr="005B6929">
        <w:tab/>
        <w:t xml:space="preserve">At its organizational session, held on 3 December 2018, and its organizational meeting, held on 15 January 2019, the Human Rights Council elected the following members of the Bureau for its thirteenth cycle, which will run from 1 January to 31 December 2019: </w:t>
      </w:r>
    </w:p>
    <w:p w:rsidR="001B5021" w:rsidRPr="005B6929" w:rsidRDefault="001B5021" w:rsidP="00683CFE">
      <w:pPr>
        <w:pStyle w:val="SingleTxtG"/>
        <w:ind w:left="1701"/>
      </w:pPr>
      <w:r w:rsidRPr="005B6929">
        <w:rPr>
          <w:i/>
          <w:iCs/>
        </w:rPr>
        <w:t>President</w:t>
      </w:r>
      <w:r w:rsidRPr="005B6929">
        <w:tab/>
      </w:r>
      <w:r w:rsidR="00683CFE" w:rsidRPr="005B6929">
        <w:tab/>
      </w:r>
      <w:r w:rsidR="00683CFE" w:rsidRPr="005B6929">
        <w:tab/>
      </w:r>
      <w:r w:rsidR="00683CFE" w:rsidRPr="005B6929">
        <w:tab/>
      </w:r>
      <w:r w:rsidRPr="005B6929">
        <w:t>Coly Seck (Senegal)</w:t>
      </w:r>
    </w:p>
    <w:p w:rsidR="001B5021" w:rsidRPr="005B6929" w:rsidRDefault="001B5021" w:rsidP="00683CFE">
      <w:pPr>
        <w:pStyle w:val="SingleTxtG"/>
        <w:spacing w:after="0"/>
        <w:ind w:left="1701"/>
        <w:rPr>
          <w:strike/>
        </w:rPr>
      </w:pPr>
      <w:r w:rsidRPr="005B6929">
        <w:rPr>
          <w:i/>
          <w:iCs/>
        </w:rPr>
        <w:t>Vice-Presidents</w:t>
      </w:r>
      <w:r w:rsidRPr="005B6929">
        <w:tab/>
      </w:r>
      <w:r w:rsidR="00683CFE" w:rsidRPr="005B6929">
        <w:tab/>
      </w:r>
      <w:r w:rsidR="00683CFE" w:rsidRPr="005B6929">
        <w:tab/>
      </w:r>
      <w:r w:rsidRPr="005B6929">
        <w:t>Harald Aspelund (Iceland)</w:t>
      </w:r>
    </w:p>
    <w:p w:rsidR="001B5021" w:rsidRPr="005B6929" w:rsidRDefault="001B5021" w:rsidP="00683CFE">
      <w:pPr>
        <w:pStyle w:val="SingleTxtG"/>
        <w:spacing w:after="0"/>
        <w:ind w:left="1701"/>
      </w:pPr>
      <w:r w:rsidRPr="005B6929">
        <w:tab/>
      </w:r>
      <w:r w:rsidR="00683CFE" w:rsidRPr="005B6929">
        <w:tab/>
      </w:r>
      <w:r w:rsidRPr="005B6929">
        <w:tab/>
      </w:r>
      <w:r w:rsidR="00683CFE" w:rsidRPr="005B6929">
        <w:tab/>
      </w:r>
      <w:r w:rsidR="00683CFE" w:rsidRPr="005B6929">
        <w:tab/>
      </w:r>
      <w:r w:rsidRPr="005B6929">
        <w:t xml:space="preserve">Nazhat Shameem Khan (Fiji) </w:t>
      </w:r>
    </w:p>
    <w:p w:rsidR="001B5021" w:rsidRPr="005B6929" w:rsidRDefault="001B5021" w:rsidP="00683CFE">
      <w:pPr>
        <w:pStyle w:val="SingleTxtG"/>
        <w:ind w:left="1701"/>
      </w:pPr>
      <w:r w:rsidRPr="005B6929">
        <w:tab/>
      </w:r>
      <w:r w:rsidRPr="005B6929" w:rsidDel="00352AA9">
        <w:tab/>
      </w:r>
      <w:r w:rsidR="00683CFE" w:rsidRPr="005B6929">
        <w:tab/>
      </w:r>
      <w:r w:rsidR="00683CFE" w:rsidRPr="005B6929">
        <w:tab/>
      </w:r>
      <w:r w:rsidR="00683CFE" w:rsidRPr="005B6929">
        <w:tab/>
      </w:r>
      <w:r w:rsidRPr="005B6929" w:rsidDel="00352AA9">
        <w:t>Carlos Mario Foradori (Argentina)</w:t>
      </w:r>
    </w:p>
    <w:p w:rsidR="001B5021" w:rsidRPr="005B6929" w:rsidRDefault="001B5021" w:rsidP="00683CFE">
      <w:pPr>
        <w:pStyle w:val="SingleTxtG"/>
        <w:ind w:left="1701"/>
      </w:pPr>
      <w:r w:rsidRPr="005B6929">
        <w:rPr>
          <w:i/>
          <w:iCs/>
        </w:rPr>
        <w:t>Vice-President and Rapporteur</w:t>
      </w:r>
      <w:r w:rsidRPr="005B6929">
        <w:tab/>
        <w:t>Vesna Batistić Kos (Croatia)</w:t>
      </w:r>
    </w:p>
    <w:p w:rsidR="001B5021" w:rsidRPr="005B6929" w:rsidRDefault="001B5021" w:rsidP="00683CFE">
      <w:pPr>
        <w:pStyle w:val="H4G"/>
      </w:pPr>
      <w:bookmarkStart w:id="5" w:name="_Toc220320993"/>
      <w:bookmarkEnd w:id="4"/>
      <w:r w:rsidRPr="005B6929">
        <w:tab/>
      </w:r>
      <w:r w:rsidRPr="005B6929">
        <w:tab/>
        <w:t>Selection and appointment of mandate holders</w:t>
      </w:r>
      <w:bookmarkEnd w:id="5"/>
    </w:p>
    <w:p w:rsidR="001B5021" w:rsidRPr="005B6929" w:rsidRDefault="001B5021" w:rsidP="001B5021">
      <w:pPr>
        <w:pStyle w:val="SingleTxtG"/>
      </w:pPr>
      <w:r w:rsidRPr="005B6929">
        <w:t>6.</w:t>
      </w:r>
      <w:r w:rsidRPr="005B6929">
        <w:tab/>
        <w:t>In accordance with paragraph 47 of the annex to Human Rights Council resolution 5/1 and the requirements set out in Council decision 6/102, the consultative group for the period from 1 April 2019 to 31 March 2020, is composed of Kadra Ahmed Hassan (Djibouti), Alejandro Dávalos (Ecuador), Abbas Kadhom Obaid Al-Fatlawi (Iraq), Oxana Domenti (Republic of Moldova) and Ernesto Massimo Bellelli (Italy). No appointments are foreseen for this session.</w:t>
      </w:r>
      <w:r w:rsidRPr="005B6929" w:rsidDel="00CC7424">
        <w:t xml:space="preserve"> </w:t>
      </w:r>
    </w:p>
    <w:p w:rsidR="001B5021" w:rsidRPr="005B6929" w:rsidRDefault="001B5021" w:rsidP="00683CFE">
      <w:pPr>
        <w:pStyle w:val="H4G"/>
      </w:pPr>
      <w:bookmarkStart w:id="6" w:name="_Toc220320995"/>
      <w:r w:rsidRPr="005B6929">
        <w:tab/>
      </w:r>
      <w:r w:rsidRPr="005B6929">
        <w:tab/>
        <w:t>Report of the session</w:t>
      </w:r>
      <w:bookmarkEnd w:id="6"/>
    </w:p>
    <w:p w:rsidR="001B5021" w:rsidRPr="005B6929" w:rsidRDefault="001B5021" w:rsidP="001B5021">
      <w:pPr>
        <w:pStyle w:val="SingleTxtG"/>
        <w:rPr>
          <w:highlight w:val="yellow"/>
        </w:rPr>
      </w:pPr>
      <w:r w:rsidRPr="005B6929">
        <w:t>7.</w:t>
      </w:r>
      <w:r w:rsidRPr="005B6929">
        <w:tab/>
        <w:t>At the end of its forty-first session, the Human Rights Council will have before it for adoption a draft report containing a technical summary of the proceedings of the session.</w:t>
      </w:r>
    </w:p>
    <w:p w:rsidR="001B5021" w:rsidRPr="005B6929" w:rsidRDefault="001B5021" w:rsidP="005F714F">
      <w:pPr>
        <w:pStyle w:val="H23G"/>
        <w:rPr>
          <w:highlight w:val="yellow"/>
        </w:rPr>
      </w:pPr>
      <w:bookmarkStart w:id="7" w:name="_Toc220320996"/>
      <w:r w:rsidRPr="005B6929">
        <w:tab/>
        <w:t>2.</w:t>
      </w:r>
      <w:r w:rsidRPr="005B6929">
        <w:tab/>
        <w:t>Annual report of the United Nations High Commissioner for Human Rights and reports of the Office of the High Commissioner and the Secretary-General</w:t>
      </w:r>
      <w:bookmarkEnd w:id="7"/>
    </w:p>
    <w:p w:rsidR="001B5021" w:rsidRPr="005B6929" w:rsidRDefault="001B5021" w:rsidP="001B5021">
      <w:pPr>
        <w:pStyle w:val="SingleTxtG"/>
      </w:pPr>
      <w:r w:rsidRPr="005B6929">
        <w:t>8.</w:t>
      </w:r>
      <w:r w:rsidRPr="005B6929">
        <w:tab/>
        <w:t>All reports of the United Nations High Commissioner for Human Rights, the Office of the High Commissioner for Human Rights (OHCHR) and the Secretary-General are submitted under agenda item 2, which remains an open-ended item throughout the session. These reports will be considered under the relevant agenda items, as appropriate. The specific timing of their introduction will be reflected in the programme of work.</w:t>
      </w:r>
    </w:p>
    <w:p w:rsidR="001B5021" w:rsidRPr="005B6929" w:rsidRDefault="001B5021" w:rsidP="00683CFE">
      <w:pPr>
        <w:pStyle w:val="H4G"/>
      </w:pPr>
      <w:r w:rsidRPr="005B6929">
        <w:lastRenderedPageBreak/>
        <w:tab/>
      </w:r>
      <w:r w:rsidRPr="005B6929">
        <w:tab/>
        <w:t>Violence against women</w:t>
      </w:r>
    </w:p>
    <w:p w:rsidR="001B5021" w:rsidRPr="005B6929" w:rsidRDefault="001B5021" w:rsidP="001B5021">
      <w:pPr>
        <w:pStyle w:val="SingleTxtG"/>
      </w:pPr>
      <w:r w:rsidRPr="005B6929">
        <w:t>9.</w:t>
      </w:r>
      <w:r w:rsidRPr="005B6929">
        <w:tab/>
        <w:t>Reference is made to the report on the activities of the United Nations trust fund in support of actions to eliminate violence against women (</w:t>
      </w:r>
      <w:r w:rsidRPr="005B6929">
        <w:rPr>
          <w:bCs/>
        </w:rPr>
        <w:t>A/HRC/41/3-E/CN.6/2019/7</w:t>
      </w:r>
      <w:r w:rsidRPr="005B6929">
        <w:t>) (see para. 44 below).</w:t>
      </w:r>
    </w:p>
    <w:p w:rsidR="001B5021" w:rsidRPr="005B6929" w:rsidRDefault="001B5021" w:rsidP="00683CFE">
      <w:pPr>
        <w:pStyle w:val="H4G"/>
      </w:pPr>
      <w:r w:rsidRPr="005B6929">
        <w:tab/>
      </w:r>
      <w:r w:rsidRPr="005B6929">
        <w:tab/>
        <w:t>Situation of human rights in the Bolivarian Republic of Venezuela</w:t>
      </w:r>
    </w:p>
    <w:p w:rsidR="001B5021" w:rsidRPr="005B6929" w:rsidRDefault="001B5021" w:rsidP="005F714F">
      <w:pPr>
        <w:pStyle w:val="SingleTxtG"/>
      </w:pPr>
      <w:r w:rsidRPr="005B6929">
        <w:t>10.</w:t>
      </w:r>
      <w:r w:rsidRPr="005B6929">
        <w:tab/>
        <w:t>In its resolution 39/1, the Human Rights Council requested the High Commissioner to prepare a comprehensive written report on the human rights situation in the Bolivarian Republic of Venezuela and to present it to the Council at its forty-first session, to be followed by an enhanced interactive dialogue. Accordingly, the Council will hold an enhanced interactive dialogue on the report of the High Commissioner (A/HRC/41/18).</w:t>
      </w:r>
    </w:p>
    <w:p w:rsidR="001B5021" w:rsidRPr="005B6929" w:rsidRDefault="001B5021" w:rsidP="00683CFE">
      <w:pPr>
        <w:pStyle w:val="H4G"/>
      </w:pPr>
      <w:r w:rsidRPr="005B6929">
        <w:tab/>
      </w:r>
      <w:r w:rsidRPr="005B6929">
        <w:tab/>
        <w:t>Situation of human rights of Rohingya Muslims and other minorities in Myanmar</w:t>
      </w:r>
    </w:p>
    <w:p w:rsidR="001B5021" w:rsidRPr="005B6929" w:rsidRDefault="001B5021" w:rsidP="001B5021">
      <w:pPr>
        <w:pStyle w:val="SingleTxtG"/>
      </w:pPr>
      <w:r w:rsidRPr="005B6929">
        <w:t>11.</w:t>
      </w:r>
      <w:r w:rsidRPr="005B6929">
        <w:tab/>
        <w:t>In its resolution S-27/1, adopted at its twenty-seventh special session on the situation of human rights of the minority Rohingya Muslim population and other minorities in Rakhine State of Myanmar, held on 5 December 2017, the Human Rights Council requested the High Commissioner to track progress concerning the human rights situation of Rohingya people, and to provide an oral update, followed by an interactive dialogue, at its forty-first session. Accordingly, the Council will hold an interactive dialogue on the oral update by the High Commissioner.</w:t>
      </w:r>
    </w:p>
    <w:p w:rsidR="001B5021" w:rsidRPr="005B6929" w:rsidRDefault="001B5021" w:rsidP="00683CFE">
      <w:pPr>
        <w:pStyle w:val="H4G"/>
      </w:pPr>
      <w:r w:rsidRPr="005B6929">
        <w:tab/>
      </w:r>
      <w:r w:rsidRPr="005B6929">
        <w:tab/>
        <w:t>Promotion and protection of human rights in Nicaragua</w:t>
      </w:r>
    </w:p>
    <w:p w:rsidR="001B5021" w:rsidRPr="005B6929" w:rsidRDefault="001B5021" w:rsidP="005F714F">
      <w:pPr>
        <w:pStyle w:val="SingleTxtG"/>
      </w:pPr>
      <w:r w:rsidRPr="005B6929">
        <w:t>12.</w:t>
      </w:r>
      <w:r w:rsidRPr="005B6929">
        <w:tab/>
        <w:t>In its resolution 40/2, the Human Rights Council requested the High Commissioner to present an oral update on the human rights situation in Nicaragua at its forty-first session. Accordingly, the Council will hear the oral update by the High Commissioner.</w:t>
      </w:r>
    </w:p>
    <w:p w:rsidR="001B5021" w:rsidRPr="005B6929" w:rsidRDefault="001B5021" w:rsidP="00683CFE">
      <w:pPr>
        <w:pStyle w:val="H4G"/>
      </w:pPr>
      <w:r w:rsidRPr="005B6929">
        <w:tab/>
      </w:r>
      <w:r w:rsidRPr="005B6929">
        <w:tab/>
        <w:t>Child, early and forced marriage in humanitarian settings</w:t>
      </w:r>
    </w:p>
    <w:p w:rsidR="001B5021" w:rsidRPr="005B6929" w:rsidRDefault="001B5021" w:rsidP="001B5021">
      <w:pPr>
        <w:pStyle w:val="SingleTxtG"/>
      </w:pPr>
      <w:r w:rsidRPr="005B6929">
        <w:t>13.</w:t>
      </w:r>
      <w:r w:rsidRPr="005B6929">
        <w:tab/>
        <w:t>Reference is made to the report by the High Commissioner on child, early and forced marriage with a focus on humanitarian settings (A/HRC/41/19) (see para. 38 below).</w:t>
      </w:r>
    </w:p>
    <w:p w:rsidR="001B5021" w:rsidRPr="005B6929" w:rsidRDefault="001B5021" w:rsidP="00683CFE">
      <w:pPr>
        <w:pStyle w:val="H4G"/>
      </w:pPr>
      <w:r w:rsidRPr="005B6929">
        <w:tab/>
      </w:r>
      <w:r w:rsidRPr="005B6929">
        <w:tab/>
        <w:t>Negative impact of corruption on the enjoyment of human rights</w:t>
      </w:r>
    </w:p>
    <w:p w:rsidR="001B5021" w:rsidRPr="005B6929" w:rsidRDefault="001B5021" w:rsidP="001B5021">
      <w:pPr>
        <w:pStyle w:val="SingleTxtG"/>
        <w:rPr>
          <w:b/>
        </w:rPr>
      </w:pPr>
      <w:r w:rsidRPr="005B6929">
        <w:t>14.</w:t>
      </w:r>
      <w:r w:rsidRPr="005B6929">
        <w:tab/>
        <w:t>Reference is made to the summary report of OHCHR on the expert workshop on good practices of United Nations-system support to States in preventing and fighting against corruption, with a focus on human rights</w:t>
      </w:r>
      <w:r w:rsidRPr="005B6929">
        <w:rPr>
          <w:b/>
        </w:rPr>
        <w:t xml:space="preserve"> </w:t>
      </w:r>
      <w:r w:rsidRPr="005B6929">
        <w:t>(A/HRC/41/20) (see para. 55 below).</w:t>
      </w:r>
    </w:p>
    <w:p w:rsidR="001B5021" w:rsidRPr="005B6929" w:rsidRDefault="001B5021" w:rsidP="00683CFE">
      <w:pPr>
        <w:pStyle w:val="H4G"/>
      </w:pPr>
      <w:r w:rsidRPr="005B6929">
        <w:tab/>
      </w:r>
      <w:r w:rsidRPr="005B6929">
        <w:tab/>
        <w:t>Human rights and climate change</w:t>
      </w:r>
    </w:p>
    <w:p w:rsidR="001B5021" w:rsidRPr="005B6929" w:rsidRDefault="001B5021" w:rsidP="001B5021">
      <w:pPr>
        <w:pStyle w:val="SingleTxtG"/>
      </w:pPr>
      <w:r w:rsidRPr="005B6929">
        <w:t>15.</w:t>
      </w:r>
      <w:r w:rsidRPr="005B6929">
        <w:tab/>
        <w:t>Reference is made to the analytical study of OHCHR on gender-responsive climate action for the full and effective enjoyment of the rights of women (A/HRC/41/26) (see para. 53 below).</w:t>
      </w:r>
    </w:p>
    <w:p w:rsidR="001B5021" w:rsidRPr="005B6929" w:rsidRDefault="001B5021" w:rsidP="00683CFE">
      <w:pPr>
        <w:pStyle w:val="H4G"/>
      </w:pPr>
      <w:r w:rsidRPr="005B6929">
        <w:tab/>
      </w:r>
      <w:r w:rsidRPr="005B6929">
        <w:tab/>
        <w:t>Right of everyone to the enjoyment of the highest attainable standard of physical and mental health</w:t>
      </w:r>
    </w:p>
    <w:p w:rsidR="001B5021" w:rsidRPr="005B6929" w:rsidRDefault="001B5021" w:rsidP="001B5021">
      <w:pPr>
        <w:pStyle w:val="SingleTxtG"/>
      </w:pPr>
      <w:r w:rsidRPr="005B6929">
        <w:t>16.</w:t>
      </w:r>
      <w:r w:rsidRPr="005B6929">
        <w:tab/>
        <w:t>Reference is made to the report of the High Commissioner on human rights in the response to HIV</w:t>
      </w:r>
      <w:r w:rsidRPr="005B6929" w:rsidDel="00134887">
        <w:t xml:space="preserve"> </w:t>
      </w:r>
      <w:r w:rsidRPr="005B6929">
        <w:t>(A/HRC/41/27) (see para. 29 below).</w:t>
      </w:r>
    </w:p>
    <w:p w:rsidR="001B5021" w:rsidRPr="005B6929" w:rsidRDefault="001B5021" w:rsidP="00683CFE">
      <w:pPr>
        <w:pStyle w:val="H4G"/>
      </w:pPr>
      <w:r w:rsidRPr="005B6929">
        <w:tab/>
      </w:r>
      <w:r w:rsidRPr="005B6929">
        <w:tab/>
        <w:t>Human rights and indigenous peoples</w:t>
      </w:r>
    </w:p>
    <w:p w:rsidR="001B5021" w:rsidRPr="005B6929" w:rsidRDefault="001B5021" w:rsidP="001B5021">
      <w:pPr>
        <w:pStyle w:val="SingleTxtG"/>
      </w:pPr>
      <w:r w:rsidRPr="005B6929">
        <w:t>17.</w:t>
      </w:r>
      <w:r w:rsidRPr="005B6929">
        <w:tab/>
        <w:t xml:space="preserve">Reference is made to the summary report of OHCHR on the annual half-day panel discussion on the rights of indigenous peoples (A/HRC/41/22) (see para. 39 below). </w:t>
      </w:r>
    </w:p>
    <w:p w:rsidR="001B5021" w:rsidRPr="005B6929" w:rsidRDefault="001B5021" w:rsidP="00683CFE">
      <w:pPr>
        <w:pStyle w:val="H4G"/>
      </w:pPr>
      <w:r w:rsidRPr="005B6929">
        <w:tab/>
      </w:r>
      <w:r w:rsidRPr="005B6929">
        <w:tab/>
        <w:t>Conscientious objection to military service</w:t>
      </w:r>
    </w:p>
    <w:p w:rsidR="001B5021" w:rsidRPr="005B6929" w:rsidRDefault="001B5021" w:rsidP="001B5021">
      <w:pPr>
        <w:pStyle w:val="SingleTxtG"/>
      </w:pPr>
      <w:r w:rsidRPr="005B6929">
        <w:t>18.</w:t>
      </w:r>
      <w:r w:rsidRPr="005B6929">
        <w:tab/>
        <w:t>Reference is made to the report of OHCHR on different approaches and challenges with regard to application procedures for obtaining the status of conscientious objector to military service (A/HRC/41/23) (see para. 37 below).</w:t>
      </w:r>
    </w:p>
    <w:p w:rsidR="001B5021" w:rsidRPr="005B6929" w:rsidRDefault="001B5021" w:rsidP="00683CFE">
      <w:pPr>
        <w:pStyle w:val="H4G"/>
      </w:pPr>
      <w:r w:rsidRPr="005B6929">
        <w:lastRenderedPageBreak/>
        <w:tab/>
      </w:r>
      <w:r w:rsidRPr="005B6929">
        <w:tab/>
        <w:t xml:space="preserve">Prevention of genocide </w:t>
      </w:r>
    </w:p>
    <w:p w:rsidR="001B5021" w:rsidRPr="005B6929" w:rsidRDefault="001B5021" w:rsidP="001B5021">
      <w:pPr>
        <w:pStyle w:val="SingleTxtG"/>
      </w:pPr>
      <w:r w:rsidRPr="005B6929">
        <w:t>19.</w:t>
      </w:r>
      <w:r w:rsidRPr="005B6929">
        <w:tab/>
        <w:t>Reference is made to the follow-up report of the Secretary-General on the prevention of genocide (A/HRC/41/24) (see para. 49 below).</w:t>
      </w:r>
    </w:p>
    <w:p w:rsidR="001B5021" w:rsidRPr="005B6929" w:rsidDel="00EA2CC8" w:rsidRDefault="001B5021" w:rsidP="00683CFE">
      <w:pPr>
        <w:pStyle w:val="H4G"/>
      </w:pPr>
      <w:r w:rsidRPr="005B6929">
        <w:tab/>
      </w:r>
      <w:r w:rsidRPr="005B6929">
        <w:tab/>
      </w:r>
      <w:r w:rsidRPr="005B6929" w:rsidDel="00EA2CC8">
        <w:t>Enhancement of international cooperation in the field of human rights</w:t>
      </w:r>
    </w:p>
    <w:p w:rsidR="001B5021" w:rsidRPr="005B6929" w:rsidDel="00EA2CC8" w:rsidRDefault="001B5021" w:rsidP="001B5021">
      <w:pPr>
        <w:pStyle w:val="SingleTxtG"/>
      </w:pPr>
      <w:r w:rsidRPr="005B6929">
        <w:t>20</w:t>
      </w:r>
      <w:r w:rsidRPr="005B6929" w:rsidDel="00EA2CC8">
        <w:t>.</w:t>
      </w:r>
      <w:r w:rsidRPr="005B6929" w:rsidDel="00EA2CC8">
        <w:tab/>
        <w:t xml:space="preserve">Reference is made to the report of </w:t>
      </w:r>
      <w:r w:rsidRPr="005B6929">
        <w:t>the High Commissioner</w:t>
      </w:r>
      <w:r w:rsidRPr="005B6929" w:rsidDel="00EA2CC8">
        <w:t xml:space="preserve"> </w:t>
      </w:r>
      <w:r w:rsidRPr="005B6929">
        <w:t xml:space="preserve">on </w:t>
      </w:r>
      <w:r w:rsidRPr="005B6929" w:rsidDel="00EA2CC8">
        <w:t>the implementation and enhancement of international cooperation in the field of human rights (A/HRC/41/25) (see para</w:t>
      </w:r>
      <w:r w:rsidRPr="005B6929">
        <w:t>.</w:t>
      </w:r>
      <w:r w:rsidRPr="005B6929" w:rsidDel="00EA2CC8">
        <w:t xml:space="preserve"> </w:t>
      </w:r>
      <w:r w:rsidRPr="005B6929">
        <w:t xml:space="preserve">57 </w:t>
      </w:r>
      <w:r w:rsidRPr="005B6929" w:rsidDel="00EA2CC8">
        <w:t>below).</w:t>
      </w:r>
    </w:p>
    <w:p w:rsidR="001B5021" w:rsidRPr="005B6929" w:rsidRDefault="001B5021" w:rsidP="00683CFE">
      <w:pPr>
        <w:pStyle w:val="H4G"/>
      </w:pPr>
      <w:r w:rsidRPr="005B6929">
        <w:tab/>
      </w:r>
      <w:r w:rsidRPr="005B6929">
        <w:tab/>
        <w:t>Operations of the Voluntary Fund for participation in the universal periodic review and the Voluntary Fund for Financial and Technical Assistance in the implementation of the universal periodic review</w:t>
      </w:r>
    </w:p>
    <w:p w:rsidR="001B5021" w:rsidRPr="005B6929" w:rsidRDefault="001B5021" w:rsidP="001B5021">
      <w:pPr>
        <w:pStyle w:val="SingleTxtG"/>
      </w:pPr>
      <w:r w:rsidRPr="005B6929">
        <w:t>21.</w:t>
      </w:r>
      <w:r w:rsidRPr="005B6929">
        <w:tab/>
        <w:t xml:space="preserve">Reference is made to the reports of OHCHR on the operations of the Voluntary Fund for participation in the universal periodic review (A/HRC/41/28) and on the operations of the Voluntary Fund for Financial and Technical Assistance in the implementation of the universal periodic review (A/HRC/41/29) (see para. 69 below). </w:t>
      </w:r>
    </w:p>
    <w:p w:rsidR="001B5021" w:rsidRPr="005B6929" w:rsidRDefault="001B5021" w:rsidP="00683CFE">
      <w:pPr>
        <w:pStyle w:val="H4G"/>
      </w:pPr>
      <w:r w:rsidRPr="005B6929">
        <w:tab/>
      </w:r>
      <w:r w:rsidRPr="005B6929">
        <w:tab/>
        <w:t xml:space="preserve">National human rights institutions </w:t>
      </w:r>
    </w:p>
    <w:p w:rsidR="001B5021" w:rsidRPr="005B6929" w:rsidRDefault="001B5021" w:rsidP="005F714F">
      <w:pPr>
        <w:pStyle w:val="SingleTxtG"/>
      </w:pPr>
      <w:r w:rsidRPr="005B6929">
        <w:t>22.</w:t>
      </w:r>
      <w:r w:rsidRPr="005B6929">
        <w:tab/>
        <w:t>Reference is made to the summary report of the half-day consultation on the experiences and practices of national human rights institutions in working to support the establishment and maintenance of inclusive societies and the implementation of the 2030 Agenda for Sustainable Development (A/HRC/41/30) (see para. 71 below).</w:t>
      </w:r>
    </w:p>
    <w:p w:rsidR="001B5021" w:rsidRPr="005B6929" w:rsidRDefault="001B5021" w:rsidP="00683CFE">
      <w:pPr>
        <w:pStyle w:val="H4G"/>
      </w:pPr>
      <w:r w:rsidRPr="005B6929">
        <w:tab/>
      </w:r>
      <w:r w:rsidRPr="005B6929">
        <w:tab/>
        <w:t>National policies and human rights</w:t>
      </w:r>
    </w:p>
    <w:p w:rsidR="001B5021" w:rsidRPr="005B6929" w:rsidRDefault="001B5021" w:rsidP="001B5021">
      <w:pPr>
        <w:pStyle w:val="SingleTxtG"/>
      </w:pPr>
      <w:r w:rsidRPr="005B6929">
        <w:t>23.</w:t>
      </w:r>
      <w:r w:rsidRPr="005B6929">
        <w:tab/>
        <w:t>Reference is made to the OHCHR compilation of good practices, challenges, lessons learned and recommendations in mainstreaming human rights (A/HRC/41/21) (see para. 56 below).</w:t>
      </w:r>
    </w:p>
    <w:p w:rsidR="001B5021" w:rsidRPr="005B6929" w:rsidRDefault="001B5021" w:rsidP="00683CFE">
      <w:pPr>
        <w:pStyle w:val="H4G"/>
      </w:pPr>
      <w:r w:rsidRPr="005B6929">
        <w:tab/>
      </w:r>
      <w:r w:rsidRPr="005B6929">
        <w:tab/>
        <w:t>Technical assistance to the Democratic Republic of the Congo and accountability concerning the events in the Kasai region</w:t>
      </w:r>
    </w:p>
    <w:p w:rsidR="001B5021" w:rsidRPr="005B6929" w:rsidRDefault="001B5021" w:rsidP="001B5021">
      <w:pPr>
        <w:pStyle w:val="SingleTxtG"/>
      </w:pPr>
      <w:r w:rsidRPr="005B6929">
        <w:t>24.</w:t>
      </w:r>
      <w:r w:rsidRPr="005B6929">
        <w:tab/>
        <w:t>Reference is made to the enhanced interactive dialogue on the report of the High Commissioner on the findings of the team of international experts on the situation in the Kasai region of the Democratic Republic of the Congo (</w:t>
      </w:r>
      <w:r w:rsidRPr="005B6929">
        <w:rPr>
          <w:bCs/>
        </w:rPr>
        <w:t>A/HRC/41/31</w:t>
      </w:r>
      <w:r w:rsidRPr="005B6929">
        <w:t>) and on the oral update by OHCHR on the situation of human rights in the Democratic Republic of the Congo</w:t>
      </w:r>
      <w:r w:rsidRPr="005B6929" w:rsidDel="00F33DAA">
        <w:t xml:space="preserve"> </w:t>
      </w:r>
      <w:r w:rsidRPr="005B6929">
        <w:t>(see para. 74 below).</w:t>
      </w:r>
    </w:p>
    <w:p w:rsidR="001B5021" w:rsidRPr="005B6929" w:rsidRDefault="001B5021" w:rsidP="00683CFE">
      <w:pPr>
        <w:pStyle w:val="H4G"/>
      </w:pPr>
      <w:r w:rsidRPr="005B6929">
        <w:tab/>
      </w:r>
      <w:r w:rsidRPr="005B6929">
        <w:tab/>
        <w:t>Cooperation with and assistance to Ukraine in the field of human rights</w:t>
      </w:r>
    </w:p>
    <w:p w:rsidR="001B5021" w:rsidRPr="005B6929" w:rsidRDefault="001B5021" w:rsidP="001B5021">
      <w:pPr>
        <w:pStyle w:val="SingleTxtG"/>
      </w:pPr>
      <w:r w:rsidRPr="005B6929">
        <w:t>25.</w:t>
      </w:r>
      <w:r w:rsidRPr="005B6929">
        <w:tab/>
        <w:t xml:space="preserve">Reference is made to the oral presentation by the High Commissioner on the situation of human rights in Ukraine (see para. 75 below). </w:t>
      </w:r>
    </w:p>
    <w:p w:rsidR="001B5021" w:rsidRPr="005B6929" w:rsidRDefault="001B5021" w:rsidP="00683CFE">
      <w:pPr>
        <w:pStyle w:val="H4G"/>
      </w:pPr>
      <w:r w:rsidRPr="005B6929">
        <w:tab/>
      </w:r>
      <w:r w:rsidRPr="005B6929">
        <w:tab/>
        <w:t>Cooperation with Georgia</w:t>
      </w:r>
    </w:p>
    <w:p w:rsidR="001B5021" w:rsidRPr="005B6929" w:rsidRDefault="001B5021" w:rsidP="001B5021">
      <w:pPr>
        <w:pStyle w:val="SingleTxtG"/>
      </w:pPr>
      <w:r w:rsidRPr="005B6929">
        <w:t>26.</w:t>
      </w:r>
      <w:r w:rsidRPr="005B6929">
        <w:tab/>
        <w:t>Reference is made to the oral update by the High Commissioner on the follow-up to Council resolution 40/28 (see para. 78 below).</w:t>
      </w:r>
    </w:p>
    <w:p w:rsidR="001B5021" w:rsidRPr="005B6929" w:rsidRDefault="001B5021" w:rsidP="00683CFE">
      <w:pPr>
        <w:pStyle w:val="H4G"/>
      </w:pPr>
      <w:r w:rsidRPr="005B6929">
        <w:tab/>
      </w:r>
      <w:r w:rsidRPr="005B6929">
        <w:tab/>
        <w:t>Enhancement of technical cooperation and capacity-building in the field of human rights</w:t>
      </w:r>
    </w:p>
    <w:p w:rsidR="001B5021" w:rsidRPr="005B6929" w:rsidRDefault="001B5021" w:rsidP="005F714F">
      <w:pPr>
        <w:pStyle w:val="SingleTxtG"/>
        <w:rPr>
          <w:highlight w:val="cyan"/>
        </w:rPr>
      </w:pPr>
      <w:r w:rsidRPr="005B6929">
        <w:t>27.</w:t>
      </w:r>
      <w:r w:rsidRPr="005B6929">
        <w:tab/>
        <w:t>Reference is made to the a</w:t>
      </w:r>
      <w:r w:rsidRPr="005B6929">
        <w:rPr>
          <w:bCs/>
        </w:rPr>
        <w:t>ctivities undertaken by the Office and relevant United Nations country teams and agencies, and regional organizations to support States</w:t>
      </w:r>
      <w:r w:rsidR="00331271">
        <w:rPr>
          <w:bCs/>
        </w:rPr>
        <w:t>’</w:t>
      </w:r>
      <w:r w:rsidRPr="005B6929">
        <w:rPr>
          <w:bCs/>
        </w:rPr>
        <w:t xml:space="preserve"> efforts to promote and protect the human rights of older persons and their autonomy and independence </w:t>
      </w:r>
      <w:r w:rsidRPr="005B6929">
        <w:t>(A/HRC/41/32) (see para. 80 below).</w:t>
      </w:r>
    </w:p>
    <w:p w:rsidR="001B5021" w:rsidRPr="005B6929" w:rsidRDefault="001B5021" w:rsidP="005F714F">
      <w:pPr>
        <w:pStyle w:val="H23G"/>
      </w:pPr>
      <w:r w:rsidRPr="005B6929">
        <w:lastRenderedPageBreak/>
        <w:tab/>
        <w:t>3.</w:t>
      </w:r>
      <w:r w:rsidRPr="005B6929">
        <w:tab/>
        <w:t>Promotion and protection of all human rights, civil, political, economic, social and cultural rights, including the right to development</w:t>
      </w:r>
    </w:p>
    <w:p w:rsidR="001B5021" w:rsidRPr="005B6929" w:rsidRDefault="001B5021" w:rsidP="005F714F">
      <w:pPr>
        <w:pStyle w:val="H23G"/>
      </w:pPr>
      <w:bookmarkStart w:id="8" w:name="_Toc220320998"/>
      <w:r w:rsidRPr="005B6929">
        <w:tab/>
      </w:r>
      <w:r w:rsidRPr="005B6929">
        <w:tab/>
        <w:t>Economic, social and cultural rights</w:t>
      </w:r>
      <w:bookmarkEnd w:id="8"/>
    </w:p>
    <w:p w:rsidR="001B5021" w:rsidRPr="005B6929" w:rsidRDefault="001B5021" w:rsidP="00683CFE">
      <w:pPr>
        <w:pStyle w:val="H4G"/>
      </w:pPr>
      <w:r w:rsidRPr="005B6929">
        <w:tab/>
      </w:r>
      <w:r w:rsidRPr="005B6929">
        <w:tab/>
        <w:t>Right of everyone to the enjoyment of the highest attainable standard of physical and mental health</w:t>
      </w:r>
    </w:p>
    <w:p w:rsidR="001B5021" w:rsidRPr="005B6929" w:rsidRDefault="001B5021" w:rsidP="001B5021">
      <w:pPr>
        <w:pStyle w:val="SingleTxtG"/>
      </w:pPr>
      <w:r w:rsidRPr="005B6929">
        <w:t>28.</w:t>
      </w:r>
      <w:r w:rsidRPr="005B6929">
        <w:tab/>
        <w:t>In its resolution 33/9, the Human Rights Council decided to extend the mandate of the Special Rapporteur on the right of everyone to the enjoyment of the highest attainable standard of physical and mental health for a further period of three years, and requested the Special Rapporteur to submit an annual report to the Council covering all activities relating to the mandate. Accordingly, the Council will consider the reports of the mandate holder, Dainius Pūras (A/HRC/41/34 and Add.1–2).</w:t>
      </w:r>
    </w:p>
    <w:p w:rsidR="001B5021" w:rsidRPr="005B6929" w:rsidRDefault="001B5021" w:rsidP="001B5021">
      <w:pPr>
        <w:pStyle w:val="SingleTxtG"/>
      </w:pPr>
      <w:r w:rsidRPr="005B6929">
        <w:t>29.</w:t>
      </w:r>
      <w:r w:rsidRPr="005B6929">
        <w:tab/>
        <w:t>In its resolution 38/8, the Council requested the High Commissioner to organize a consultation, in the first half of 2019, in coordination with the Joint United Nations Programme on HIV/AIDS, lasting one and a half days, to discuss all relevant issues and challenges pertaining to respect for and the protection and fulfilment of human rights in the context of the response to HIV, with a focus on regional and subregional strategies and best practices. The Council further requested the High Commissioner to prepare a report on the outcome of the consultation and to present the report to the Council at its forty-first session. Accordingly, the Council will consider the report of the High Commissioner on the consultation, held on 12 and 13 February 2019 (A/HRC/41/27) (see para. 16 above).</w:t>
      </w:r>
    </w:p>
    <w:p w:rsidR="001B5021" w:rsidRPr="005B6929" w:rsidRDefault="001B5021" w:rsidP="00683CFE">
      <w:pPr>
        <w:pStyle w:val="H4G"/>
      </w:pPr>
      <w:r w:rsidRPr="005B6929">
        <w:tab/>
      </w:r>
      <w:r w:rsidRPr="005B6929">
        <w:tab/>
        <w:t>Right to education</w:t>
      </w:r>
    </w:p>
    <w:p w:rsidR="001B5021" w:rsidRPr="005B6929" w:rsidRDefault="001B5021" w:rsidP="001B5021">
      <w:pPr>
        <w:pStyle w:val="SingleTxtG"/>
      </w:pPr>
      <w:r w:rsidRPr="005B6929">
        <w:t>30.</w:t>
      </w:r>
      <w:r w:rsidRPr="005B6929">
        <w:tab/>
        <w:t>In its resolution 35/2, the Human Rights Council decided to extend the mandate of the Special Rapporteur on the right to education for a period of three years, and requested the Special Rapporteur to take fully into account, in the discharge of the mandate, all provisions of Council resolutions on the right to education. The Council will consider the report of the mandate holder, Koumbou Boly Barry (A/HRC/41/37).</w:t>
      </w:r>
    </w:p>
    <w:p w:rsidR="001B5021" w:rsidRPr="005B6929" w:rsidRDefault="001B5021" w:rsidP="00683CFE">
      <w:pPr>
        <w:pStyle w:val="H4G"/>
      </w:pPr>
      <w:r w:rsidRPr="005B6929">
        <w:tab/>
      </w:r>
      <w:r w:rsidRPr="005B6929">
        <w:tab/>
        <w:t>Extreme poverty and human rights</w:t>
      </w:r>
    </w:p>
    <w:p w:rsidR="001B5021" w:rsidRPr="005B6929" w:rsidRDefault="001B5021" w:rsidP="001B5021">
      <w:pPr>
        <w:pStyle w:val="SingleTxtG"/>
      </w:pPr>
      <w:r w:rsidRPr="005B6929">
        <w:t>31.</w:t>
      </w:r>
      <w:r w:rsidRPr="005B6929">
        <w:tab/>
        <w:t>In its resolution 35/19, the Human Rights Council decided to extend, for a period of three years, the mandate of the Special Rapporteur on extreme poverty and human rights, as set out in Council resolution 8/11, and requested the Special Rapporteur to submit an annual report on the implementation of resolution 35/19. Accordingly, the Council will consider the reports of the mandate holder, Philip Alston (A/HRC/41/39 and Add.1–2).</w:t>
      </w:r>
    </w:p>
    <w:p w:rsidR="001B5021" w:rsidRPr="005B6929" w:rsidRDefault="00C57A27" w:rsidP="00C57A27">
      <w:pPr>
        <w:pStyle w:val="H4G"/>
      </w:pPr>
      <w:r w:rsidRPr="005B6929">
        <w:tab/>
      </w:r>
      <w:r w:rsidRPr="005B6929">
        <w:tab/>
      </w:r>
      <w:r w:rsidR="001B5021" w:rsidRPr="005B6929">
        <w:t>Effects of foreign debt and other related international financial obligations of States on the full enjoyment of all human rights, particularly economic, social and cultural rights</w:t>
      </w:r>
    </w:p>
    <w:p w:rsidR="001B5021" w:rsidRPr="005B6929" w:rsidRDefault="001B5021" w:rsidP="001B5021">
      <w:pPr>
        <w:pStyle w:val="SingleTxtG"/>
        <w:rPr>
          <w:i/>
        </w:rPr>
      </w:pPr>
      <w:r w:rsidRPr="005B6929">
        <w:t>32.</w:t>
      </w:r>
      <w:r w:rsidRPr="005B6929">
        <w:tab/>
        <w:t>Reference is made to the final report of the Human Rights Council Advisory Committee on the activities of vulture funds (A/HRC/41/51) (see para. 65 below).</w:t>
      </w:r>
    </w:p>
    <w:p w:rsidR="001B5021" w:rsidRPr="005B6929" w:rsidRDefault="001B5021" w:rsidP="005F714F">
      <w:pPr>
        <w:pStyle w:val="H23G"/>
      </w:pPr>
      <w:bookmarkStart w:id="9" w:name="_Toc220320999"/>
      <w:r w:rsidRPr="005B6929">
        <w:tab/>
      </w:r>
      <w:r w:rsidRPr="005B6929">
        <w:tab/>
        <w:t>Civil and political rights</w:t>
      </w:r>
      <w:bookmarkEnd w:id="9"/>
    </w:p>
    <w:p w:rsidR="001B5021" w:rsidRPr="005B6929" w:rsidRDefault="001B5021" w:rsidP="00683CFE">
      <w:pPr>
        <w:pStyle w:val="H4G"/>
      </w:pPr>
      <w:r w:rsidRPr="005B6929">
        <w:tab/>
      </w:r>
      <w:r w:rsidRPr="005B6929">
        <w:tab/>
        <w:t>Independence of judges and lawyers</w:t>
      </w:r>
    </w:p>
    <w:p w:rsidR="001B5021" w:rsidRPr="005B6929" w:rsidRDefault="001B5021" w:rsidP="001B5021">
      <w:pPr>
        <w:pStyle w:val="SingleTxtG"/>
      </w:pPr>
      <w:r w:rsidRPr="005B6929">
        <w:t>33.</w:t>
      </w:r>
      <w:r w:rsidRPr="005B6929">
        <w:tab/>
        <w:t>In its resolution 35/11, the Human Rights Council decided to extend the mandate of the Special Rapporteur on the independence of judges and lawyers for a period of three years, on the same terms as provided by the Council in its resolution 26/7. Accordingly, the Council will consider the report of the mandate holder, Diego García-Sayán (A/HRC/41/48).</w:t>
      </w:r>
    </w:p>
    <w:p w:rsidR="001B5021" w:rsidRPr="005B6929" w:rsidRDefault="001B5021" w:rsidP="00683CFE">
      <w:pPr>
        <w:pStyle w:val="H4G"/>
        <w:rPr>
          <w:highlight w:val="yellow"/>
        </w:rPr>
      </w:pPr>
      <w:r w:rsidRPr="005B6929">
        <w:tab/>
      </w:r>
      <w:r w:rsidRPr="005B6929">
        <w:tab/>
        <w:t>Rights to freedom of peaceful assembly and of association</w:t>
      </w:r>
    </w:p>
    <w:p w:rsidR="001B5021" w:rsidRPr="005B6929" w:rsidRDefault="001B5021" w:rsidP="001B5021">
      <w:pPr>
        <w:pStyle w:val="SingleTxtG"/>
      </w:pPr>
      <w:r w:rsidRPr="005B6929">
        <w:t>34.</w:t>
      </w:r>
      <w:r w:rsidRPr="005B6929">
        <w:tab/>
        <w:t xml:space="preserve">In its resolution 32/32, the Human Rights Council decided to renew the mandate of the Special Rapporteur on the rights to freedom of peaceful assembly and of association for a period of three years, and requested the Special Rapporteur to continue to report annually </w:t>
      </w:r>
      <w:r w:rsidRPr="005B6929">
        <w:lastRenderedPageBreak/>
        <w:t>to the Council. The Council will consider the reports of the mandate holder, Clément Nyaletsossi Voule (A/HRC/41/41 and Add.1–4).</w:t>
      </w:r>
    </w:p>
    <w:p w:rsidR="001B5021" w:rsidRPr="005B6929" w:rsidRDefault="001B5021" w:rsidP="00683CFE">
      <w:pPr>
        <w:pStyle w:val="H4G"/>
      </w:pPr>
      <w:r w:rsidRPr="005B6929">
        <w:tab/>
      </w:r>
      <w:r w:rsidRPr="005B6929">
        <w:tab/>
        <w:t>Extrajudicial, summary or arbitrary executions</w:t>
      </w:r>
    </w:p>
    <w:p w:rsidR="001B5021" w:rsidRPr="005B6929" w:rsidRDefault="001B5021" w:rsidP="001B5021">
      <w:pPr>
        <w:pStyle w:val="SingleTxtG"/>
      </w:pPr>
      <w:r w:rsidRPr="005B6929">
        <w:t>35.</w:t>
      </w:r>
      <w:r w:rsidRPr="005B6929">
        <w:tab/>
        <w:t>In its resolution 35/15, the Human Rights Council decided to extend the mandate of the Special Rapporteur on extrajudicial, summary or arbitrary executions for three years, and requested the Special Rapporteur, in carrying out the mandate, to continue to examine situations of extrajudicial, summary or arbitrary executions in all circumstances and for whatever reason, and to submit her findings on an annual basis, together with conclusions and recommendations. Accordingly, the Council will consider the reports of the mandate holder, Agnès Callamard (A/HRC/41/36 and Add.1–2).</w:t>
      </w:r>
    </w:p>
    <w:p w:rsidR="001B5021" w:rsidRPr="005B6929" w:rsidRDefault="001B5021" w:rsidP="00683CFE">
      <w:pPr>
        <w:pStyle w:val="H4G"/>
      </w:pPr>
      <w:r w:rsidRPr="005B6929">
        <w:tab/>
      </w:r>
      <w:r w:rsidRPr="005B6929">
        <w:tab/>
        <w:t>Freedom of opinion and expression</w:t>
      </w:r>
    </w:p>
    <w:p w:rsidR="001B5021" w:rsidRPr="005B6929" w:rsidRDefault="001B5021" w:rsidP="001B5021">
      <w:pPr>
        <w:pStyle w:val="SingleTxtG"/>
      </w:pPr>
      <w:r w:rsidRPr="005B6929">
        <w:t>36.</w:t>
      </w:r>
      <w:r w:rsidRPr="005B6929">
        <w:tab/>
        <w:t>In its resolution 34/18, the Human Rights Council decided to extend the mandate of the Special Rapporteur on the promotion and protection of the right to freedom of opinion and expression for a further period of three years, and requested the Special Rapporteur to submit an annual report to the Council covering all activities relating to the mandate. Accordingly, the Council will consider the reports of the mandate holder, David Kaye (A/HRC/41/35 and Add.1–2).</w:t>
      </w:r>
    </w:p>
    <w:p w:rsidR="001B5021" w:rsidRPr="005B6929" w:rsidRDefault="001B5021" w:rsidP="00683CFE">
      <w:pPr>
        <w:pStyle w:val="H4G"/>
      </w:pPr>
      <w:r w:rsidRPr="005B6929">
        <w:tab/>
      </w:r>
      <w:r w:rsidRPr="005B6929">
        <w:tab/>
        <w:t>Conscientious objection to military service</w:t>
      </w:r>
    </w:p>
    <w:p w:rsidR="001B5021" w:rsidRPr="005B6929" w:rsidRDefault="001B5021" w:rsidP="001B5021">
      <w:pPr>
        <w:pStyle w:val="SingleTxtG"/>
      </w:pPr>
      <w:r w:rsidRPr="005B6929">
        <w:t>37.</w:t>
      </w:r>
      <w:r w:rsidRPr="005B6929">
        <w:rPr>
          <w:i/>
        </w:rPr>
        <w:tab/>
      </w:r>
      <w:r w:rsidRPr="005B6929">
        <w:t>In its resolution 36/18, the Human Rights Council requested OHCHR to prepare, in consultation with all States and the relevant intergovernmental organizations, United Nations agencies, funds and programmes, special procedures, treaty bodies, national human rights institutions and non-governmental organizations, a report on different approaches and challenges with regard to application procedures for obtaining the status of conscientious objector to military service in accordance with human rights standards, and to present the report to the Council at its forty-first session. Accordingly, the Council will consider the report of OHCHR (A/HRC/41/23) (see para. 18 above).</w:t>
      </w:r>
    </w:p>
    <w:p w:rsidR="001B5021" w:rsidRPr="005B6929" w:rsidRDefault="001B5021" w:rsidP="005F714F">
      <w:pPr>
        <w:pStyle w:val="H23G"/>
      </w:pPr>
      <w:r w:rsidRPr="005B6929">
        <w:tab/>
      </w:r>
      <w:r w:rsidRPr="005B6929">
        <w:tab/>
      </w:r>
      <w:bookmarkStart w:id="10" w:name="_Toc220321000"/>
      <w:r w:rsidRPr="005B6929">
        <w:t>Rights of peoples, and of specific groups and individuals</w:t>
      </w:r>
      <w:bookmarkEnd w:id="10"/>
    </w:p>
    <w:p w:rsidR="001B5021" w:rsidRPr="005B6929" w:rsidRDefault="001B5021" w:rsidP="00683CFE">
      <w:pPr>
        <w:pStyle w:val="H4G"/>
        <w:rPr>
          <w:highlight w:val="yellow"/>
        </w:rPr>
      </w:pPr>
      <w:r w:rsidRPr="005B6929">
        <w:tab/>
      </w:r>
      <w:r w:rsidRPr="005B6929">
        <w:tab/>
        <w:t>Child, early and forced marriage in humanitarian settings</w:t>
      </w:r>
    </w:p>
    <w:p w:rsidR="001B5021" w:rsidRPr="005B6929" w:rsidRDefault="001B5021" w:rsidP="001B5021">
      <w:pPr>
        <w:pStyle w:val="SingleTxtG"/>
        <w:rPr>
          <w:highlight w:val="yellow"/>
        </w:rPr>
      </w:pPr>
      <w:r w:rsidRPr="005B6929">
        <w:t>38.</w:t>
      </w:r>
      <w:r w:rsidRPr="005B6929">
        <w:tab/>
        <w:t>In its resolution 35/16, the Human Rights Council requested the High Commissioner to provide a written report, with input from all relevant stakeholders, on child, early and forced marriage with a focus on humanitarian settings at its forty-first session. Accordingly, the Council will consider the report of the High Commissioner (A/HRC/41/19) (see para. 13 above).</w:t>
      </w:r>
    </w:p>
    <w:p w:rsidR="001B5021" w:rsidRPr="005B6929" w:rsidRDefault="001B5021" w:rsidP="00683CFE">
      <w:pPr>
        <w:pStyle w:val="H4G"/>
      </w:pPr>
      <w:r w:rsidRPr="005B6929">
        <w:tab/>
      </w:r>
      <w:r w:rsidRPr="005B6929">
        <w:tab/>
      </w:r>
      <w:bookmarkStart w:id="11" w:name="_Ref216686773"/>
      <w:r w:rsidRPr="005B6929">
        <w:t>Human rights and indigenous peoples</w:t>
      </w:r>
    </w:p>
    <w:p w:rsidR="001B5021" w:rsidRPr="005B6929" w:rsidRDefault="001B5021" w:rsidP="001B5021">
      <w:pPr>
        <w:pStyle w:val="SingleTxtG"/>
      </w:pPr>
      <w:r w:rsidRPr="005B6929">
        <w:t>39.</w:t>
      </w:r>
      <w:r w:rsidRPr="005B6929">
        <w:tab/>
        <w:t xml:space="preserve">Pursuant to its resolution 36/14, the Human Rights Council will have before it </w:t>
      </w:r>
      <w:bookmarkEnd w:id="11"/>
      <w:r w:rsidRPr="005B6929">
        <w:t>the summary report of OHCHR on the annual half-day panel discussion on the means of participation for and the inclusion of indigenous peoples in the development of strategies and projects, and the implementation of those projects in the context of the 2030 Agenda for Sustainable Development and related Goals, held at its thirty-ninth session (A/HRC/41/22) (see para. 17 above).</w:t>
      </w:r>
    </w:p>
    <w:p w:rsidR="001B5021" w:rsidRPr="005B6929" w:rsidRDefault="001B5021" w:rsidP="00683CFE">
      <w:pPr>
        <w:pStyle w:val="H4G"/>
      </w:pPr>
      <w:r w:rsidRPr="005B6929">
        <w:tab/>
      </w:r>
      <w:r w:rsidRPr="005B6929">
        <w:tab/>
        <w:t>Human rights of migrants</w:t>
      </w:r>
    </w:p>
    <w:p w:rsidR="001B5021" w:rsidRPr="005B6929" w:rsidRDefault="001B5021" w:rsidP="001B5021">
      <w:pPr>
        <w:pStyle w:val="SingleTxtG"/>
      </w:pPr>
      <w:r w:rsidRPr="005B6929">
        <w:t>40.</w:t>
      </w:r>
      <w:r w:rsidRPr="005B6929">
        <w:tab/>
        <w:t xml:space="preserve">In its resolution 34/21, the Human Rights Council decided to extend for a period of three years the mandate of the Special Rapporteur on the human rights of migrants. Accordingly, the Council will consider the reports of the mandate holder, Felipe González Morales (A/HRC/41/38 and Add.1). </w:t>
      </w:r>
    </w:p>
    <w:p w:rsidR="001B5021" w:rsidRPr="005B6929" w:rsidRDefault="001B5021" w:rsidP="00683CFE">
      <w:pPr>
        <w:pStyle w:val="H4G"/>
      </w:pPr>
      <w:r w:rsidRPr="005B6929">
        <w:lastRenderedPageBreak/>
        <w:tab/>
      </w:r>
      <w:r w:rsidRPr="005B6929">
        <w:tab/>
        <w:t>Protection against violence and discrimination based on sexual orientation and gender identity</w:t>
      </w:r>
    </w:p>
    <w:p w:rsidR="001B5021" w:rsidRPr="005B6929" w:rsidRDefault="001B5021" w:rsidP="001B5021">
      <w:pPr>
        <w:pStyle w:val="SingleTxtG"/>
      </w:pPr>
      <w:r w:rsidRPr="005B6929">
        <w:t>41.</w:t>
      </w:r>
      <w:r w:rsidRPr="005B6929">
        <w:tab/>
        <w:t>In its resolution 32/2, the Human Rights Council decided to appoint, for a period of three years, an Independent Expert on protection against violence and discrimination based on sexual orientation and gender identity, and requested the Independent Expert to report annually to the Council. Accordingly, the Council will consider the reports of the mandate holder, Victor Madrigal-Borloz (A/HRC/41/45 and Add.1–2).</w:t>
      </w:r>
    </w:p>
    <w:p w:rsidR="001B5021" w:rsidRPr="005B6929" w:rsidRDefault="001B5021" w:rsidP="00683CFE">
      <w:pPr>
        <w:pStyle w:val="H4G"/>
      </w:pPr>
      <w:r w:rsidRPr="005B6929">
        <w:tab/>
      </w:r>
      <w:r w:rsidRPr="005B6929">
        <w:tab/>
        <w:t>Human rights of internally displaced persons</w:t>
      </w:r>
    </w:p>
    <w:p w:rsidR="001B5021" w:rsidRPr="005B6929" w:rsidRDefault="001B5021" w:rsidP="001B5021">
      <w:pPr>
        <w:pStyle w:val="SingleTxtG"/>
      </w:pPr>
      <w:r w:rsidRPr="005B6929">
        <w:t>42.</w:t>
      </w:r>
      <w:r w:rsidRPr="005B6929">
        <w:tab/>
        <w:t xml:space="preserve">In its resolution 32/11, the Human Rights Council decided to extend the mandate of the Special Rapporteur on the human rights of internally displaced persons for a period of three years, and requested the Special Rapporteur to continue to submit annual reports on the implementation of the mandate to the Council. Accordingly, the Council will consider the reports of the mandate holder, Cecilia Jimenez-Damary (A/HRC/41/40 and Add.1). </w:t>
      </w:r>
    </w:p>
    <w:p w:rsidR="001B5021" w:rsidRPr="005B6929" w:rsidRDefault="001B5021" w:rsidP="00683CFE">
      <w:pPr>
        <w:pStyle w:val="H4G"/>
      </w:pPr>
      <w:r w:rsidRPr="005B6929">
        <w:tab/>
      </w:r>
      <w:r w:rsidRPr="005B6929">
        <w:tab/>
        <w:t>Violence against women</w:t>
      </w:r>
    </w:p>
    <w:p w:rsidR="001B5021" w:rsidRPr="005B6929" w:rsidRDefault="001B5021" w:rsidP="001B5021">
      <w:pPr>
        <w:pStyle w:val="SingleTxtG"/>
      </w:pPr>
      <w:r w:rsidRPr="005B6929">
        <w:t>43.</w:t>
      </w:r>
      <w:r w:rsidRPr="005B6929">
        <w:tab/>
        <w:t>In its resolution 32/19, the Human Rights Council decided to extend the mandate of the Special Rapporteur on violence against women, its causes and consequences, as set out in its resolution 23/25, for a period of three years. Accordingly, the Council will consider the reports of the mandate holder, Dubravka Šimonović (A/HRC/41/42 and Add.1–2).</w:t>
      </w:r>
    </w:p>
    <w:p w:rsidR="001B5021" w:rsidRPr="005B6929" w:rsidRDefault="001B5021" w:rsidP="001B5021">
      <w:pPr>
        <w:pStyle w:val="SingleTxtG"/>
      </w:pPr>
      <w:r w:rsidRPr="005B6929">
        <w:t>44.</w:t>
      </w:r>
      <w:r w:rsidRPr="005B6929">
        <w:tab/>
        <w:t>Pursuant to General Assembly resolution 50/166, the Human Rights Council will have before it the report of the United Nations Entity for Gender Equality and the Empowerment of Women on the activities of the United Nations trust fund in support of actions to eliminate violence against women (</w:t>
      </w:r>
      <w:r w:rsidRPr="005B6929">
        <w:rPr>
          <w:bCs/>
        </w:rPr>
        <w:t>A/HRC/41/3-E/CN.6/2019/7</w:t>
      </w:r>
      <w:r w:rsidRPr="005B6929">
        <w:t>) (see para. 9 above).</w:t>
      </w:r>
    </w:p>
    <w:p w:rsidR="001B5021" w:rsidRPr="005B6929" w:rsidRDefault="001B5021" w:rsidP="00683CFE">
      <w:pPr>
        <w:pStyle w:val="H4G"/>
      </w:pPr>
      <w:r w:rsidRPr="005B6929">
        <w:tab/>
      </w:r>
      <w:r w:rsidRPr="005B6929">
        <w:tab/>
        <w:t>Elimination of discrimination against women</w:t>
      </w:r>
    </w:p>
    <w:p w:rsidR="001B5021" w:rsidRPr="005B6929" w:rsidRDefault="001B5021" w:rsidP="001B5021">
      <w:pPr>
        <w:pStyle w:val="SingleTxtG"/>
      </w:pPr>
      <w:r w:rsidRPr="005B6929">
        <w:t>45.</w:t>
      </w:r>
      <w:r w:rsidRPr="005B6929">
        <w:tab/>
        <w:t>In its resolution 6/30, the Human Rights Council decided to incorporate into its programme of work sufficient and adequate time, at minimum an annual full-day meeting, to discuss the human rights of women, including measures that can be adopted by States and other stakeholders to address human rights violations experienced by women. The Council will, accordingly, hold a full-day discussion thereon (see annex).</w:t>
      </w:r>
    </w:p>
    <w:p w:rsidR="001B5021" w:rsidRPr="005B6929" w:rsidRDefault="001B5021" w:rsidP="001B5021">
      <w:pPr>
        <w:pStyle w:val="SingleTxtG"/>
      </w:pPr>
      <w:r w:rsidRPr="005B6929">
        <w:t>46.</w:t>
      </w:r>
      <w:r w:rsidRPr="005B6929">
        <w:tab/>
        <w:t>In its resolution 32/4, the Human Rights Council decided to extend the mandate of the Working Group on the issue of discrimination against women in law and in practice for a period of three years, on the same terms as provided for in its resolution 23/7. Accordingly, the Council will consider the reports of the Working Group (A/HRC/41/33 and Add.1–2).</w:t>
      </w:r>
    </w:p>
    <w:p w:rsidR="001B5021" w:rsidRPr="005B6929" w:rsidRDefault="001B5021" w:rsidP="00683CFE">
      <w:pPr>
        <w:pStyle w:val="H4G"/>
      </w:pPr>
      <w:r w:rsidRPr="005B6929">
        <w:tab/>
      </w:r>
      <w:r w:rsidRPr="005B6929">
        <w:tab/>
        <w:t>Trafficking in persons, especially women and children</w:t>
      </w:r>
    </w:p>
    <w:p w:rsidR="001B5021" w:rsidRPr="005B6929" w:rsidRDefault="001B5021" w:rsidP="001B5021">
      <w:pPr>
        <w:pStyle w:val="SingleTxtG"/>
      </w:pPr>
      <w:r w:rsidRPr="005B6929">
        <w:t>47.</w:t>
      </w:r>
      <w:r w:rsidRPr="005B6929">
        <w:tab/>
        <w:t>In its resolution 35/5, the Human Rights Council decided to extend the mandate of the Special Rapporteur on trafficking in persons, especially women and children, for a period of three years. Accordingly, the Council will consider the reports of the mandate holder, Maria Grazia Giammarinaro (A/HRC/41/46 and Add.1).</w:t>
      </w:r>
      <w:bookmarkStart w:id="12" w:name="_Toc220321001"/>
    </w:p>
    <w:p w:rsidR="001B5021" w:rsidRPr="005B6929" w:rsidRDefault="001B5021" w:rsidP="00683CFE">
      <w:pPr>
        <w:pStyle w:val="H4G"/>
      </w:pPr>
      <w:r w:rsidRPr="005B6929">
        <w:tab/>
      </w:r>
      <w:r w:rsidRPr="005B6929">
        <w:tab/>
        <w:t>Elimination of discrimination against persons affected by leprosy and their family members</w:t>
      </w:r>
    </w:p>
    <w:p w:rsidR="001B5021" w:rsidRPr="005B6929" w:rsidRDefault="001B5021" w:rsidP="001B5021">
      <w:pPr>
        <w:pStyle w:val="SingleTxtG"/>
      </w:pPr>
      <w:r w:rsidRPr="005B6929">
        <w:t>48.</w:t>
      </w:r>
      <w:r w:rsidRPr="005B6929">
        <w:tab/>
        <w:t>In its resolution 35/9, the Human Rights Council decided to appoint, for a period of three years, a Special Rapporteur on the elimination of discrimination against persons affected by leprosy and their family members. Pursuant to the same resolution, the Council will consider the annual report of the mandate holder, Alice Cruz (A/HRC/41/47).</w:t>
      </w:r>
    </w:p>
    <w:p w:rsidR="001B5021" w:rsidRPr="005B6929" w:rsidRDefault="001B5021" w:rsidP="00683CFE">
      <w:pPr>
        <w:pStyle w:val="H4G"/>
      </w:pPr>
      <w:r w:rsidRPr="005B6929">
        <w:tab/>
      </w:r>
      <w:r w:rsidRPr="005B6929">
        <w:tab/>
        <w:t xml:space="preserve">Prevention of genocide </w:t>
      </w:r>
    </w:p>
    <w:p w:rsidR="001B5021" w:rsidRPr="005B6929" w:rsidRDefault="001B5021" w:rsidP="001B5021">
      <w:pPr>
        <w:pStyle w:val="SingleTxtG"/>
      </w:pPr>
      <w:r w:rsidRPr="005B6929">
        <w:t>49.</w:t>
      </w:r>
      <w:r w:rsidRPr="005B6929">
        <w:tab/>
        <w:t xml:space="preserve">In its resolution 37/26, the Human Rights Council requested the Secretary-General to prepare a follow-up report based on information provided by States on the implementation of the provisions of the above-mentioned resolution, with a particular focus on activities aimed at raising awareness of the Convention on the Prevention and </w:t>
      </w:r>
      <w:r w:rsidRPr="005B6929">
        <w:lastRenderedPageBreak/>
        <w:t>Punishment of the Crime of Genocide and the realization of educational programmes and projects that contribute to the prevention of genocide, and to submit the report to the Council at its forty-first session. Accordingly, the Council will consider the follow-up report of the Secretary-General (A/HRC/41/24) (see para. 19 above).</w:t>
      </w:r>
    </w:p>
    <w:p w:rsidR="001B5021" w:rsidRPr="005B6929" w:rsidRDefault="001B5021" w:rsidP="005F714F">
      <w:pPr>
        <w:pStyle w:val="H23G"/>
      </w:pPr>
      <w:r w:rsidRPr="005B6929">
        <w:tab/>
      </w:r>
      <w:r w:rsidRPr="005B6929">
        <w:tab/>
        <w:t>Interrelation of human rights and human rights thematic issues</w:t>
      </w:r>
      <w:bookmarkStart w:id="13" w:name="_Toc220321002"/>
      <w:bookmarkEnd w:id="12"/>
    </w:p>
    <w:p w:rsidR="001B5021" w:rsidRPr="005B6929" w:rsidRDefault="001B5021" w:rsidP="00683CFE">
      <w:pPr>
        <w:pStyle w:val="H4G"/>
      </w:pPr>
      <w:r w:rsidRPr="005B6929">
        <w:tab/>
      </w:r>
      <w:r w:rsidRPr="005B6929">
        <w:tab/>
        <w:t>Business and human rights</w:t>
      </w:r>
    </w:p>
    <w:p w:rsidR="001B5021" w:rsidRPr="005B6929" w:rsidRDefault="001B5021" w:rsidP="001B5021">
      <w:pPr>
        <w:pStyle w:val="SingleTxtG"/>
      </w:pPr>
      <w:r w:rsidRPr="005B6929">
        <w:t>50.</w:t>
      </w:r>
      <w:r w:rsidRPr="005B6929">
        <w:tab/>
        <w:t>In its resolution 35/7, the Human Rights Council decided to extend the mandate of the Working Group on the issue of human rights and transnational corporations and other business enterprises, as set out in Council resolution 17/4, for a period of three years. Accordingly, the Council will consider the reports of the Working Group (A/HRC/41/43 and Add.1–3).</w:t>
      </w:r>
    </w:p>
    <w:p w:rsidR="001B5021" w:rsidRPr="005B6929" w:rsidRDefault="001B5021" w:rsidP="001B5021">
      <w:pPr>
        <w:pStyle w:val="SingleTxtG"/>
      </w:pPr>
      <w:r w:rsidRPr="005B6929">
        <w:t>51.</w:t>
      </w:r>
      <w:r w:rsidRPr="005B6929">
        <w:tab/>
        <w:t>Reference is also made to the report of the Working Group on the seventh session of the Forum on Business and Human Rights (A/HRC/41/49) (see para. 63 below).</w:t>
      </w:r>
    </w:p>
    <w:p w:rsidR="001B5021" w:rsidRPr="005B6929" w:rsidRDefault="001B5021" w:rsidP="00683CFE">
      <w:pPr>
        <w:pStyle w:val="H4G"/>
      </w:pPr>
      <w:r w:rsidRPr="005B6929">
        <w:tab/>
      </w:r>
      <w:r w:rsidRPr="005B6929">
        <w:tab/>
        <w:t>Human rights and international solidarity</w:t>
      </w:r>
    </w:p>
    <w:p w:rsidR="001B5021" w:rsidRPr="005B6929" w:rsidRDefault="001B5021" w:rsidP="001B5021">
      <w:pPr>
        <w:pStyle w:val="SingleTxtG"/>
      </w:pPr>
      <w:r w:rsidRPr="005B6929">
        <w:t>52.</w:t>
      </w:r>
      <w:r w:rsidRPr="005B6929">
        <w:tab/>
        <w:t>Pursuant to its resolution 35/3, the Human Rights Council will consider the reports of the Independent Expert on human rights and international solidarity, Obiora C. Okafor (A/HRC/41/44 and Add.1–2).</w:t>
      </w:r>
    </w:p>
    <w:p w:rsidR="001B5021" w:rsidRPr="005B6929" w:rsidRDefault="001B5021" w:rsidP="00683CFE">
      <w:pPr>
        <w:pStyle w:val="H4G"/>
      </w:pPr>
      <w:r w:rsidRPr="005B6929">
        <w:tab/>
      </w:r>
      <w:r w:rsidRPr="005B6929">
        <w:tab/>
        <w:t>Human rights and climate change</w:t>
      </w:r>
    </w:p>
    <w:p w:rsidR="001B5021" w:rsidRPr="005B6929" w:rsidRDefault="001B5021" w:rsidP="001B5021">
      <w:pPr>
        <w:pStyle w:val="SingleTxtG"/>
      </w:pPr>
      <w:r w:rsidRPr="005B6929">
        <w:t>53.</w:t>
      </w:r>
      <w:r w:rsidRPr="005B6929">
        <w:tab/>
        <w:t>Pursuant to its resolution 38/4, the Human Rights Council will consider the analytical study of OHCHR on gender-responsive climate action for the full and effective enjoyment of the rights of women (A/HRC/41/26) (see para. 15 above).</w:t>
      </w:r>
    </w:p>
    <w:p w:rsidR="001B5021" w:rsidRPr="005B6929" w:rsidRDefault="001B5021" w:rsidP="001B5021">
      <w:pPr>
        <w:pStyle w:val="SingleTxtG"/>
      </w:pPr>
      <w:r w:rsidRPr="005B6929">
        <w:t>54.</w:t>
      </w:r>
      <w:r w:rsidRPr="005B6929">
        <w:tab/>
        <w:t xml:space="preserve">In the same resolution, the Human Rights Council decided to incorporate into the programme of work for its forty-first session, on the basis of the different elements contained in that resolution, a panel discussion on the theme </w:t>
      </w:r>
      <w:r w:rsidR="00331271">
        <w:t>“</w:t>
      </w:r>
      <w:r w:rsidRPr="005B6929">
        <w:t>Women</w:t>
      </w:r>
      <w:r w:rsidR="00331271">
        <w:t>’</w:t>
      </w:r>
      <w:r w:rsidRPr="005B6929">
        <w:t>s rights and climate change: climate action, best practices and lessons learned</w:t>
      </w:r>
      <w:r w:rsidR="00331271">
        <w:t>”</w:t>
      </w:r>
      <w:r w:rsidRPr="005B6929">
        <w:t xml:space="preserve">, focusing on best practices and lessons learned in the promotion and protection of the rights of women and girls in the context of the adverse impact of climate change (see annex). </w:t>
      </w:r>
    </w:p>
    <w:p w:rsidR="001B5021" w:rsidRPr="005B6929" w:rsidRDefault="001B5021" w:rsidP="00683CFE">
      <w:pPr>
        <w:pStyle w:val="H4G"/>
      </w:pPr>
      <w:r w:rsidRPr="005B6929">
        <w:tab/>
      </w:r>
      <w:r w:rsidRPr="005B6929">
        <w:tab/>
        <w:t xml:space="preserve">Negative impact of corruption on the enjoyment of human rights </w:t>
      </w:r>
    </w:p>
    <w:p w:rsidR="001B5021" w:rsidRPr="005B6929" w:rsidRDefault="001B5021" w:rsidP="001B5021">
      <w:pPr>
        <w:pStyle w:val="SingleTxtG"/>
      </w:pPr>
      <w:r w:rsidRPr="005B6929">
        <w:t>55.</w:t>
      </w:r>
      <w:r w:rsidRPr="005B6929">
        <w:tab/>
        <w:t>Pursuant to its resolution 35/25, the Human Rights Council will have before it the summary report of OHCHR on the expert workshop on good practices of United Nations-system support to States in preventing and fighting against corruption, with a focus on human rights, held on 11 June 2018</w:t>
      </w:r>
      <w:r w:rsidRPr="005B6929">
        <w:rPr>
          <w:b/>
        </w:rPr>
        <w:t xml:space="preserve"> </w:t>
      </w:r>
      <w:r w:rsidRPr="005B6929">
        <w:t>(A/HRC/41/20) (see para. 14 above).</w:t>
      </w:r>
    </w:p>
    <w:p w:rsidR="001B5021" w:rsidRPr="005B6929" w:rsidRDefault="001B5021" w:rsidP="00683CFE">
      <w:pPr>
        <w:pStyle w:val="H4G"/>
      </w:pPr>
      <w:r w:rsidRPr="005B6929">
        <w:tab/>
      </w:r>
      <w:r w:rsidRPr="005B6929">
        <w:tab/>
        <w:t>National policies and human rights</w:t>
      </w:r>
    </w:p>
    <w:p w:rsidR="001B5021" w:rsidRPr="005B6929" w:rsidRDefault="001B5021" w:rsidP="001B5021">
      <w:pPr>
        <w:pStyle w:val="SingleTxtG"/>
      </w:pPr>
      <w:r w:rsidRPr="005B6929">
        <w:t>56.</w:t>
      </w:r>
      <w:r w:rsidRPr="005B6929">
        <w:tab/>
        <w:t>Pursuant to its resolution 35/32, the Human Rights Council will have before it a compilation of good practices, challenges, lessons learned and recommendations in mainstreaming human rights as enshrined in international human rights law, into national policies, in order to contribute to the achievement of the Sustainable Development Goals (A/HRC/41/21) (see para. 23 above).</w:t>
      </w:r>
    </w:p>
    <w:p w:rsidR="001B5021" w:rsidRPr="005B6929" w:rsidRDefault="001B5021" w:rsidP="00683CFE">
      <w:pPr>
        <w:pStyle w:val="H4G"/>
      </w:pPr>
      <w:r w:rsidRPr="005B6929">
        <w:tab/>
      </w:r>
      <w:r w:rsidRPr="005B6929">
        <w:tab/>
        <w:t>Enhancement of international cooperation in the field of human rights</w:t>
      </w:r>
    </w:p>
    <w:p w:rsidR="001B5021" w:rsidRPr="005B6929" w:rsidRDefault="001B5021" w:rsidP="001B5021">
      <w:pPr>
        <w:pStyle w:val="SingleTxtG"/>
      </w:pPr>
      <w:r w:rsidRPr="005B6929">
        <w:t>57.</w:t>
      </w:r>
      <w:r w:rsidRPr="005B6929">
        <w:tab/>
        <w:t>In its resolution 38/3, the Human Rights Council requested the High Commissioner to prepare a report on the work of OHCHR in the implementation and enhancement of international cooperation in the field of human rights, proposing also possible ways to face the challenges to the promotion and protection of human rights, including the right to development, and to submit the report to the Council at its forty-first session. Accordingly, the Council with consider the report of the High Commissioner (A/HRC/41/25) (see para. 20 above).</w:t>
      </w:r>
    </w:p>
    <w:p w:rsidR="001B5021" w:rsidRPr="005B6929" w:rsidRDefault="001B5021" w:rsidP="005F714F">
      <w:pPr>
        <w:pStyle w:val="H23G"/>
      </w:pPr>
      <w:r w:rsidRPr="005B6929">
        <w:lastRenderedPageBreak/>
        <w:tab/>
        <w:t>4.</w:t>
      </w:r>
      <w:r w:rsidRPr="005B6929">
        <w:tab/>
        <w:t>Human rights situations that require the Council</w:t>
      </w:r>
      <w:r w:rsidR="00331271">
        <w:t>’</w:t>
      </w:r>
      <w:r w:rsidRPr="005B6929">
        <w:t>s attention</w:t>
      </w:r>
      <w:bookmarkEnd w:id="13"/>
    </w:p>
    <w:p w:rsidR="001B5021" w:rsidRPr="005B6929" w:rsidRDefault="001B5021" w:rsidP="00683CFE">
      <w:pPr>
        <w:pStyle w:val="H4G"/>
      </w:pPr>
      <w:r w:rsidRPr="005B6929">
        <w:tab/>
      </w:r>
      <w:r w:rsidRPr="005B6929">
        <w:tab/>
        <w:t>Human rights situation in the Syrian Arab Republic</w:t>
      </w:r>
    </w:p>
    <w:p w:rsidR="001B5021" w:rsidRPr="005B6929" w:rsidRDefault="001B5021" w:rsidP="001B5021">
      <w:pPr>
        <w:pStyle w:val="SingleTxtG"/>
        <w:rPr>
          <w:i/>
        </w:rPr>
      </w:pPr>
      <w:r w:rsidRPr="005B6929">
        <w:t>58.</w:t>
      </w:r>
      <w:r w:rsidRPr="005B6929">
        <w:tab/>
        <w:t xml:space="preserve">In its resolution 40/17, the Human Rights Council decided to extend the mandate of the Independent International Commission of Inquiry on the Syrian Arab Republic for a period of one year. Pursuant to the same resolution, the Council requested the Commission of Inquiry to provide an oral update to the Council during the interactive dialogue at its forty-first session. Accordingly, the Council will hold an interactive dialogue with the Commission of Inquiry. </w:t>
      </w:r>
    </w:p>
    <w:p w:rsidR="001B5021" w:rsidRPr="005B6929" w:rsidRDefault="001B5021" w:rsidP="00683CFE">
      <w:pPr>
        <w:pStyle w:val="H4G"/>
      </w:pPr>
      <w:r w:rsidRPr="005B6929">
        <w:tab/>
      </w:r>
      <w:r w:rsidRPr="005B6929">
        <w:tab/>
        <w:t>Situation of human rights in Eritrea</w:t>
      </w:r>
    </w:p>
    <w:p w:rsidR="001B5021" w:rsidRPr="005B6929" w:rsidRDefault="001B5021" w:rsidP="001B5021">
      <w:pPr>
        <w:pStyle w:val="SingleTxtG"/>
      </w:pPr>
      <w:r w:rsidRPr="005B6929">
        <w:t>59.</w:t>
      </w:r>
      <w:r w:rsidRPr="005B6929">
        <w:tab/>
        <w:t>In its resolution 38/15, the Human Rights Council decided to extend the mandate of the Special Rapporteur on the situation of human rights in Eritrea for a period of one year, and requested the Special Rapporteur to submit and present a written report to the Council at its forty-first session. Accordingly, the Council will consider the report of the mandate holder, Daniela Kravetz (A/HRC/41/53).</w:t>
      </w:r>
    </w:p>
    <w:p w:rsidR="001B5021" w:rsidRPr="005B6929" w:rsidRDefault="001B5021" w:rsidP="00683CFE">
      <w:pPr>
        <w:pStyle w:val="H4G"/>
      </w:pPr>
      <w:r w:rsidRPr="005B6929">
        <w:tab/>
      </w:r>
      <w:r w:rsidRPr="005B6929">
        <w:tab/>
        <w:t>Situation of human rights in Belarus</w:t>
      </w:r>
    </w:p>
    <w:p w:rsidR="001B5021" w:rsidRPr="005B6929" w:rsidRDefault="001B5021" w:rsidP="001B5021">
      <w:pPr>
        <w:pStyle w:val="SingleTxtG"/>
      </w:pPr>
      <w:r w:rsidRPr="005B6929">
        <w:t>60.</w:t>
      </w:r>
      <w:r w:rsidRPr="005B6929">
        <w:tab/>
        <w:t>In its resolution 38/14, the Human Rights Council decided to extend the mandate of the Special Rapporteur on the situation of human rights in Belarus for a period of one year, and requested the Special Rapporteur to submit a report to the Council at its forty-first session. Accordingly, the Council will consider the report of the new mandate holder, Anaïs Marin</w:t>
      </w:r>
      <w:r w:rsidRPr="005B6929" w:rsidDel="005D506F">
        <w:t xml:space="preserve"> </w:t>
      </w:r>
      <w:r w:rsidRPr="005B6929">
        <w:t>(A/HRC/41/52).</w:t>
      </w:r>
    </w:p>
    <w:p w:rsidR="001B5021" w:rsidRPr="005B6929" w:rsidRDefault="001B5021" w:rsidP="00683CFE">
      <w:pPr>
        <w:pStyle w:val="H4G"/>
      </w:pPr>
      <w:r w:rsidRPr="005B6929">
        <w:tab/>
      </w:r>
      <w:r w:rsidRPr="005B6929">
        <w:tab/>
        <w:t>Situation of human rights in Burundi</w:t>
      </w:r>
    </w:p>
    <w:p w:rsidR="001B5021" w:rsidRPr="005B6929" w:rsidRDefault="001B5021" w:rsidP="001B5021">
      <w:pPr>
        <w:pStyle w:val="SingleTxtG"/>
      </w:pPr>
      <w:r w:rsidRPr="005B6929">
        <w:t>61.</w:t>
      </w:r>
      <w:r w:rsidRPr="005B6929">
        <w:tab/>
        <w:t>In its resolution 39/14, the Human Rights Council decided to extend the mandate of the Commission of Inquiry on Burundi, and requested the Commission to present an oral briefing to the Council during an interactive dialogue. Accordingly, the Council will hold an interactive dialogue with the Commission.</w:t>
      </w:r>
    </w:p>
    <w:p w:rsidR="001B5021" w:rsidRPr="005B6929" w:rsidRDefault="001B5021" w:rsidP="00683CFE">
      <w:pPr>
        <w:pStyle w:val="H4G"/>
      </w:pPr>
      <w:r w:rsidRPr="005B6929">
        <w:tab/>
      </w:r>
      <w:r w:rsidRPr="005B6929">
        <w:tab/>
        <w:t>Situation of human rights in Myanmar</w:t>
      </w:r>
    </w:p>
    <w:p w:rsidR="001B5021" w:rsidRPr="005B6929" w:rsidRDefault="001B5021" w:rsidP="001B5021">
      <w:pPr>
        <w:pStyle w:val="SingleTxtG"/>
      </w:pPr>
      <w:r w:rsidRPr="005B6929">
        <w:t>62.</w:t>
      </w:r>
      <w:r w:rsidRPr="005B6929">
        <w:tab/>
        <w:t xml:space="preserve"> In its resolution 40/29, the Human Rights Council decided to extend the mandate of the Special Rapporteur on the situation of human rights in Myanmar for a further period of one year and requested the Special Rapporteur to present an oral progress report to the Council at its forty-first session, and invited her to continue to monitor the situation of human rights and to measure progress in the implementation of her recommendations. Accordingly, the Council will hear the oral update by the Special Rapporteur, Yanghee Lee.</w:t>
      </w:r>
    </w:p>
    <w:p w:rsidR="001B5021" w:rsidRPr="005B6929" w:rsidRDefault="001B5021" w:rsidP="005F714F">
      <w:pPr>
        <w:pStyle w:val="H23G"/>
      </w:pPr>
      <w:bookmarkStart w:id="14" w:name="_Toc220321003"/>
      <w:r w:rsidRPr="005B6929">
        <w:tab/>
        <w:t>5.</w:t>
      </w:r>
      <w:r w:rsidRPr="005B6929">
        <w:tab/>
        <w:t>Human rights bodies and mechanisms</w:t>
      </w:r>
      <w:bookmarkEnd w:id="14"/>
    </w:p>
    <w:p w:rsidR="001B5021" w:rsidRPr="005B6929" w:rsidRDefault="001B5021" w:rsidP="00683CFE">
      <w:pPr>
        <w:pStyle w:val="H4G"/>
      </w:pPr>
      <w:r w:rsidRPr="005B6929">
        <w:tab/>
      </w:r>
      <w:r w:rsidRPr="005B6929">
        <w:tab/>
        <w:t>Forum on Business and Human Rights</w:t>
      </w:r>
    </w:p>
    <w:p w:rsidR="001B5021" w:rsidRPr="005B6929" w:rsidRDefault="001B5021" w:rsidP="001B5021">
      <w:pPr>
        <w:pStyle w:val="SingleTxtG"/>
      </w:pPr>
      <w:r w:rsidRPr="005B6929">
        <w:t>63.</w:t>
      </w:r>
      <w:r w:rsidRPr="005B6929">
        <w:tab/>
        <w:t>In its resolution 17/4, the Human Rights Council decided to establish a Forum on Business and Human Rights under the guidance of the Working Group on the issue of human rights and transnational corporations and other business enterprises to discuss trends and challenges in the implementation of the Guiding Principles on Business and Human Rights and to promote dialogue and cooperation on issues linked to business and human rights, including challenges faced in particular sectors, operational environments or in relation to specific rights or groups, as well as identifying good practices. In its resolution 35/7, the Council decided that the Working Group should guide the work of the Forum and prepare its annual meetings, and invited the Working Group to chair the Forum and to submit a report on the proceedings and thematic recommendations of the Forum to the Council for its consideration. Accordingly, the Council will have before it the report of the Working Group on the seventh session of the Forum, held from 25 to 27 November 2018 (A/HRC/41/49) (see para. 51 above).</w:t>
      </w:r>
    </w:p>
    <w:p w:rsidR="001B5021" w:rsidRPr="005B6929" w:rsidRDefault="001B5021" w:rsidP="00683CFE">
      <w:pPr>
        <w:pStyle w:val="H4G"/>
      </w:pPr>
      <w:r w:rsidRPr="005B6929">
        <w:lastRenderedPageBreak/>
        <w:tab/>
      </w:r>
      <w:r w:rsidRPr="005B6929">
        <w:tab/>
        <w:t xml:space="preserve">Human Rights Council Advisory Committee </w:t>
      </w:r>
    </w:p>
    <w:p w:rsidR="001B5021" w:rsidRPr="005B6929" w:rsidRDefault="001B5021" w:rsidP="001B5021">
      <w:pPr>
        <w:pStyle w:val="SingleTxtG"/>
      </w:pPr>
      <w:r w:rsidRPr="005B6929">
        <w:t xml:space="preserve">64. </w:t>
      </w:r>
      <w:r w:rsidRPr="005B6929">
        <w:tab/>
        <w:t>In its resolution 35/21 on t</w:t>
      </w:r>
      <w:r w:rsidRPr="005B6929">
        <w:rPr>
          <w:bCs/>
        </w:rPr>
        <w:t>he contribution of development to the enjoyment of all human rights</w:t>
      </w:r>
      <w:r w:rsidRPr="005B6929">
        <w:t>, the Human Rights Council requested the Advisory Committee to conduct a study on the ways in which development contributes to the enjoyment of all human rights by all, in particular on best experiences and practices, and to submit the report to the Council before its forty-first session. Accordingly, the Council will consider the study of the Committee (A/HRC/41/50).</w:t>
      </w:r>
    </w:p>
    <w:p w:rsidR="001B5021" w:rsidRPr="005B6929" w:rsidRDefault="001B5021" w:rsidP="001B5021">
      <w:pPr>
        <w:pStyle w:val="SingleTxtG"/>
      </w:pPr>
      <w:r w:rsidRPr="005B6929">
        <w:t xml:space="preserve">65. </w:t>
      </w:r>
      <w:r w:rsidRPr="005B6929">
        <w:tab/>
        <w:t xml:space="preserve">In its resolution 34/3, the Human Rights Council requested the Advisory Committee to submit a final report on the activities of vulture funds and their impact on human rights to the Council at its thirty-ninth session. Subsequently, in its resolution 37/11 on </w:t>
      </w:r>
      <w:r w:rsidRPr="005B6929">
        <w:rPr>
          <w:bCs/>
        </w:rPr>
        <w:t>the effects of foreign debt and other related international financial obligations of States on the full enjoyment of all human rights, particularly economic, social and cultural rights</w:t>
      </w:r>
      <w:r w:rsidRPr="005B6929">
        <w:t>, the Council requested the Committee to submit the final report at its forty-first session. Accordingly, the Council will consider the final report of the Committee (A/HRC/41/51) (see para. 32 above).</w:t>
      </w:r>
    </w:p>
    <w:p w:rsidR="001B5021" w:rsidRPr="005B6929" w:rsidRDefault="001B5021" w:rsidP="00683CFE">
      <w:pPr>
        <w:pStyle w:val="H4G"/>
      </w:pPr>
      <w:r w:rsidRPr="005B6929">
        <w:tab/>
      </w:r>
      <w:r w:rsidRPr="005B6929">
        <w:tab/>
      </w:r>
      <w:bookmarkStart w:id="15" w:name="_Toc220321009"/>
      <w:r w:rsidRPr="005B6929">
        <w:t>Special procedures</w:t>
      </w:r>
    </w:p>
    <w:p w:rsidR="001B5021" w:rsidRPr="005B6929" w:rsidRDefault="001B5021" w:rsidP="001B5021">
      <w:pPr>
        <w:pStyle w:val="SingleTxtG"/>
      </w:pPr>
      <w:r w:rsidRPr="005B6929">
        <w:t>66.</w:t>
      </w:r>
      <w:r w:rsidRPr="005B6929">
        <w:tab/>
        <w:t>The Human Rights Council will have before it the communications report of special procedures (A/HRC/41/56).</w:t>
      </w:r>
    </w:p>
    <w:p w:rsidR="001B5021" w:rsidRPr="005B6929" w:rsidRDefault="001B5021" w:rsidP="005F714F">
      <w:pPr>
        <w:pStyle w:val="H23G"/>
      </w:pPr>
      <w:r w:rsidRPr="005B6929">
        <w:tab/>
        <w:t>6.</w:t>
      </w:r>
      <w:r w:rsidRPr="005B6929">
        <w:tab/>
        <w:t>Universal periodic review</w:t>
      </w:r>
      <w:bookmarkEnd w:id="15"/>
    </w:p>
    <w:p w:rsidR="001B5021" w:rsidRPr="005B6929" w:rsidRDefault="001B5021" w:rsidP="001B5021">
      <w:pPr>
        <w:pStyle w:val="SingleTxtG"/>
        <w:rPr>
          <w:highlight w:val="magenta"/>
        </w:rPr>
      </w:pPr>
      <w:r w:rsidRPr="005B6929">
        <w:t>67.</w:t>
      </w:r>
      <w:r w:rsidRPr="005B6929">
        <w:tab/>
        <w:t>In its resolution 5/1, the Human Rights Council established the universal periodic review mechanism as contained in section I of the annex to that resolution. The Working Group on the Universal Periodic Review held its thirty-second session from 21 January to 1 February 2019. At its forty-first session, the Council will consider and adopt the final outcomes of the review of New Zealand (A/HRC/41/4), Afghanistan (A/HRC/41/5), Chile (A/HRC/41/6), Viet Nam (A/HRC/41/7), Uruguay (A/HRC/41/8), Yemen (A/HRC/41/9), Vanuatu (A/HRC/41/10), North Macedonia (A/HRC/41/11), the Comoros (A/HRC/41/12), Slovakia (A/HRC/41/13), Eritrea (A/HRC/41/14), Cyprus (A/HRC/41/15), the Dominican Republic (A/HRC/41/16) and Cambodia (A/HRC/41/17).</w:t>
      </w:r>
    </w:p>
    <w:p w:rsidR="001B5021" w:rsidRPr="005B6929" w:rsidRDefault="001B5021" w:rsidP="001B5021">
      <w:pPr>
        <w:pStyle w:val="SingleTxtG"/>
      </w:pPr>
      <w:r w:rsidRPr="005B6929">
        <w:t>68.</w:t>
      </w:r>
      <w:r w:rsidRPr="005B6929">
        <w:tab/>
        <w:t>Pursuant to President</w:t>
      </w:r>
      <w:r w:rsidR="00331271">
        <w:t>’</w:t>
      </w:r>
      <w:r w:rsidRPr="005B6929">
        <w:t>s statement 9/2 on modalities and practices for the universal periodic review process, the outcomes of the review are adopted by the Council at its plenary session by a standardized decision. The outcomes comprise the report of the Working Group, the views of the State under review concerning the recommendations and/or conclusions, and the voluntary commitments made and replies presented by the State under review, before the adoption of the outcome by the plenary, to questions or issues that were not sufficiently addressed during the interactive dialogue in the Working Group.</w:t>
      </w:r>
    </w:p>
    <w:p w:rsidR="001B5021" w:rsidRPr="005B6929" w:rsidRDefault="001B5021" w:rsidP="00683CFE">
      <w:pPr>
        <w:pStyle w:val="H4G"/>
      </w:pPr>
      <w:r w:rsidRPr="005B6929">
        <w:tab/>
      </w:r>
      <w:r w:rsidRPr="005B6929">
        <w:tab/>
        <w:t>Operations of the Voluntary Fund for participation in the universal periodic review and the Voluntary Fund for Financial and Technical Assistance in the implementation of the universal periodic review</w:t>
      </w:r>
    </w:p>
    <w:p w:rsidR="001B5021" w:rsidRPr="005B6929" w:rsidRDefault="001B5021" w:rsidP="001B5021">
      <w:pPr>
        <w:pStyle w:val="SingleTxtG"/>
      </w:pPr>
      <w:r w:rsidRPr="005B6929">
        <w:t>69.</w:t>
      </w:r>
      <w:r w:rsidRPr="005B6929">
        <w:tab/>
        <w:t>In its decision 17/119, the Human Rights Council requested OHCHR to provide an annual written update to the Council on the operations of the Voluntary Fund for participation in the universal periodic review and the Voluntary Fund for Financial and Technical Assistance in the implementation of the universal periodic review and the resources available thereto. Accordingly, the Council will have before it the reports of OHCHR (A/HRC/41/28 and 29) (see para. 21 above).</w:t>
      </w:r>
    </w:p>
    <w:p w:rsidR="001B5021" w:rsidRPr="005B6929" w:rsidRDefault="001B5021" w:rsidP="005F714F">
      <w:pPr>
        <w:pStyle w:val="H23G"/>
      </w:pPr>
      <w:r w:rsidRPr="005B6929">
        <w:tab/>
        <w:t>7.</w:t>
      </w:r>
      <w:r w:rsidRPr="005B6929">
        <w:tab/>
        <w:t>Human rights situation in Palestine and other occupied Arab territories</w:t>
      </w:r>
    </w:p>
    <w:p w:rsidR="001B5021" w:rsidRPr="005B6929" w:rsidRDefault="001B5021" w:rsidP="001B5021">
      <w:pPr>
        <w:pStyle w:val="SingleTxtG"/>
      </w:pPr>
      <w:r w:rsidRPr="005B6929">
        <w:t>70.</w:t>
      </w:r>
      <w:r w:rsidRPr="005B6929">
        <w:tab/>
        <w:t>No reports are to be submitted under agenda item 7 at the forty-first session.</w:t>
      </w:r>
    </w:p>
    <w:p w:rsidR="001B5021" w:rsidRPr="005B6929" w:rsidRDefault="001B5021" w:rsidP="005F714F">
      <w:pPr>
        <w:pStyle w:val="H23G"/>
      </w:pPr>
      <w:bookmarkStart w:id="16" w:name="_Toc220321013"/>
      <w:r w:rsidRPr="005B6929">
        <w:tab/>
        <w:t>8.</w:t>
      </w:r>
      <w:r w:rsidRPr="005B6929">
        <w:tab/>
        <w:t>Follow-up to and implementation of the Vienna Declaration and Programme of Action</w:t>
      </w:r>
      <w:bookmarkEnd w:id="16"/>
    </w:p>
    <w:p w:rsidR="001B5021" w:rsidRPr="005B6929" w:rsidRDefault="001B5021" w:rsidP="001B5021">
      <w:pPr>
        <w:pStyle w:val="SingleTxtG"/>
      </w:pPr>
      <w:r w:rsidRPr="005B6929">
        <w:t>71.</w:t>
      </w:r>
      <w:r w:rsidRPr="005B6929">
        <w:tab/>
        <w:t xml:space="preserve">Pursuant to its resolution 39/17, the Human Rights Council will have before it the summary report of OHCHR of the half-day consultation on the experiences and practices of </w:t>
      </w:r>
      <w:r w:rsidRPr="005B6929">
        <w:lastRenderedPageBreak/>
        <w:t xml:space="preserve">national human rights institutions in working to support the establishment and maintenance of inclusive societies and the implementation of the 2030 Agenda for Sustainable Development, held on 7 March 2019 (A/HRC/41/30) (see para. 22 above). </w:t>
      </w:r>
    </w:p>
    <w:p w:rsidR="001B5021" w:rsidRPr="005B6929" w:rsidRDefault="001B5021" w:rsidP="005F714F">
      <w:pPr>
        <w:pStyle w:val="H23G"/>
      </w:pPr>
      <w:bookmarkStart w:id="17" w:name="_Toc220321014"/>
      <w:r w:rsidRPr="005B6929">
        <w:tab/>
        <w:t>9.</w:t>
      </w:r>
      <w:r w:rsidRPr="005B6929">
        <w:tab/>
        <w:t>Racism, racial discrimination, xenophobia and related forms of intolerance, follow-up to and implementation of the Durban Declaration and Programme of Action</w:t>
      </w:r>
      <w:bookmarkEnd w:id="17"/>
    </w:p>
    <w:p w:rsidR="001B5021" w:rsidRPr="005B6929" w:rsidRDefault="001B5021" w:rsidP="00683CFE">
      <w:pPr>
        <w:pStyle w:val="H4G"/>
      </w:pPr>
      <w:r w:rsidRPr="005B6929">
        <w:tab/>
      </w:r>
      <w:r w:rsidRPr="005B6929">
        <w:tab/>
        <w:t>Racism, racial discrimination, xenophobia and related intolerance</w:t>
      </w:r>
    </w:p>
    <w:p w:rsidR="001B5021" w:rsidRPr="005B6929" w:rsidRDefault="001B5021" w:rsidP="001B5021">
      <w:pPr>
        <w:pStyle w:val="SingleTxtG"/>
      </w:pPr>
      <w:r w:rsidRPr="005B6929">
        <w:t>72.</w:t>
      </w:r>
      <w:r w:rsidRPr="005B6929">
        <w:tab/>
        <w:t>In its resolution 34/35, the Human Rights Council decided to renew the mandate of the Special Rapporteur on contemporary forms of racism, racial discrimination, xenophobia and related intolerance for a further period of three years, and requested the Special Rapporteur to submit an annual report to the Council on all activities relating to the mandate. Accordingly, the Council will consider the reports of the mandate holder, E. Tendayi Achiume (A/HRC/41/54 and Add.1–2).</w:t>
      </w:r>
    </w:p>
    <w:p w:rsidR="001B5021" w:rsidRPr="005B6929" w:rsidRDefault="001B5021" w:rsidP="00683CFE">
      <w:pPr>
        <w:pStyle w:val="H4G"/>
      </w:pPr>
      <w:r w:rsidRPr="005B6929">
        <w:tab/>
      </w:r>
      <w:r w:rsidRPr="005B6929">
        <w:tab/>
        <w:t>Combating glorification of Nazism, neo-Nazism and other practices that contribute to fuelling contemporary forms of racism, racial discrimination, xenophobia and related intolerance</w:t>
      </w:r>
    </w:p>
    <w:p w:rsidR="001B5021" w:rsidRPr="005B6929" w:rsidRDefault="001B5021" w:rsidP="001B5021">
      <w:pPr>
        <w:pStyle w:val="SingleTxtG"/>
      </w:pPr>
      <w:r w:rsidRPr="005B6929">
        <w:t>73.</w:t>
      </w:r>
      <w:r w:rsidRPr="005B6929">
        <w:tab/>
        <w:t>In its resolution 73/157, the General Assembly requested the Special Rapporteur on contemporary forms of racism, racial discrimination, xenophobia and related intolerance to prepare, for submission to the Human Rights Council at its forty-first session, a report on the implementation of that resolution. Accordingly, the Council will consider the report of the Special Rapporteur (A/HRC/41/55).</w:t>
      </w:r>
    </w:p>
    <w:p w:rsidR="001B5021" w:rsidRPr="005B6929" w:rsidRDefault="001B5021" w:rsidP="005F714F">
      <w:pPr>
        <w:pStyle w:val="H23G"/>
      </w:pPr>
      <w:bookmarkStart w:id="18" w:name="_Toc220321015"/>
      <w:r w:rsidRPr="005B6929">
        <w:tab/>
        <w:t>10.</w:t>
      </w:r>
      <w:r w:rsidRPr="005B6929">
        <w:tab/>
        <w:t>Technical assistance and capacity-building</w:t>
      </w:r>
      <w:bookmarkEnd w:id="18"/>
    </w:p>
    <w:p w:rsidR="001B5021" w:rsidRPr="005B6929" w:rsidRDefault="001B5021" w:rsidP="00683CFE">
      <w:pPr>
        <w:pStyle w:val="H4G"/>
      </w:pPr>
      <w:r w:rsidRPr="005B6929">
        <w:tab/>
      </w:r>
      <w:r w:rsidRPr="005B6929">
        <w:tab/>
        <w:t>Technical assistance to the Democratic Republic of the Congo and accountability concerning the events in the Kasai region</w:t>
      </w:r>
    </w:p>
    <w:p w:rsidR="001B5021" w:rsidRPr="005B6929" w:rsidRDefault="001B5021" w:rsidP="001B5021">
      <w:pPr>
        <w:pStyle w:val="SingleTxtG"/>
      </w:pPr>
      <w:r w:rsidRPr="005B6929">
        <w:t xml:space="preserve">74. </w:t>
      </w:r>
      <w:r w:rsidRPr="005B6929">
        <w:tab/>
        <w:t>In its resolution 38/20, the Human Rights Council requested the High Commissioner to dispatch a team of two international human rights experts to be charged with monitoring, evaluating, providing support and reporting on the implementation by the Democratic Republic of the Congo of the recommendations made by the previous team of international experts in its report, in particular with regard to the fight against impunity and the measures to promote reconciliation, and to make recommendations in this regard, as appropriate. Pursuant to the same resolution, at the fortieth session of the Council, the High Commissioner presented an oral update on the developments of the human rights situation in the Kasai region and the team of two international experts participated in an enhanced interactive dialogue. The Council further requested the High Commissioner to transmit and submit a comprehensive report on the human rights situation in the Kasai region, including the conclusions of the team of two international experts (A/HRC/41/31) and to invite the team to participate in an interactive dialogue at its forty-first session. In its resolution 39/20, the Council also requested the High Commissioner to present, in an enhanced interactive dialogue, an oral update on the situation of human rights in the Democratic Republic of the Congo at its forty-first session. Accordingly, the Council will hold an enhanced interactive dialogue on the above-mentioned report and the oral update by the High Commissioner (see para. 24 above).</w:t>
      </w:r>
    </w:p>
    <w:p w:rsidR="001B5021" w:rsidRPr="005B6929" w:rsidRDefault="001B5021" w:rsidP="00683CFE">
      <w:pPr>
        <w:pStyle w:val="H4G"/>
      </w:pPr>
      <w:r w:rsidRPr="005B6929">
        <w:tab/>
      </w:r>
      <w:r w:rsidRPr="005B6929">
        <w:tab/>
        <w:t>Cooperation with and assistance to Ukraine in the field of human rights</w:t>
      </w:r>
    </w:p>
    <w:p w:rsidR="001B5021" w:rsidRPr="005B6929" w:rsidRDefault="001B5021" w:rsidP="001B5021">
      <w:pPr>
        <w:pStyle w:val="SingleTxtG"/>
      </w:pPr>
      <w:r w:rsidRPr="005B6929">
        <w:t>75.</w:t>
      </w:r>
      <w:r w:rsidRPr="005B6929">
        <w:tab/>
        <w:t xml:space="preserve">In its resolution 35/31, the Human Rights Council invited the High Commissioner to continue to present orally to the States members of the Council and observers the findings of each of the reports of OHCHR on the situation of human rights in Ukraine, as part of the interactive dialogues, until the forty-first session of the Council. Accordingly, the Council will hear the oral presentation by the High Commissioner (see para. 25 above). </w:t>
      </w:r>
    </w:p>
    <w:p w:rsidR="001B5021" w:rsidRPr="005B6929" w:rsidRDefault="001B5021" w:rsidP="00683CFE">
      <w:pPr>
        <w:pStyle w:val="H4G"/>
      </w:pPr>
      <w:r w:rsidRPr="005B6929">
        <w:lastRenderedPageBreak/>
        <w:tab/>
      </w:r>
      <w:r w:rsidRPr="005B6929">
        <w:tab/>
        <w:t>Technical assistance and capacity-building in the field of human rights in the Central African Republic</w:t>
      </w:r>
    </w:p>
    <w:p w:rsidR="001B5021" w:rsidRPr="005B6929" w:rsidRDefault="001B5021" w:rsidP="001B5021">
      <w:pPr>
        <w:pStyle w:val="SingleTxtG"/>
      </w:pPr>
      <w:r w:rsidRPr="005B6929">
        <w:t>76.</w:t>
      </w:r>
      <w:r w:rsidRPr="005B6929">
        <w:tab/>
        <w:t>In its resolution 39/19, the Human Rights Council requested the Independent Expert on the situation of human rights in the Central African Republic to provide an oral update on her report on technical assistance and capacity-building in the field of human rights in the Central African Republic at its forty-first session. Accordingly, the Council will hear the oral update by the Independent Expert, Marie-Thérèse Keita Bocoum.</w:t>
      </w:r>
    </w:p>
    <w:p w:rsidR="001B5021" w:rsidRPr="005B6929" w:rsidRDefault="001B5021" w:rsidP="00683CFE">
      <w:pPr>
        <w:pStyle w:val="H4G"/>
      </w:pPr>
      <w:r w:rsidRPr="005B6929">
        <w:tab/>
      </w:r>
      <w:r w:rsidRPr="005B6929">
        <w:tab/>
        <w:t xml:space="preserve">Technical assistance and capacity-building to improve human rights in the Sudan </w:t>
      </w:r>
    </w:p>
    <w:p w:rsidR="001B5021" w:rsidRPr="005B6929" w:rsidRDefault="001B5021" w:rsidP="005F714F">
      <w:pPr>
        <w:pStyle w:val="SingleTxtG"/>
      </w:pPr>
      <w:r w:rsidRPr="005B6929">
        <w:t xml:space="preserve">77. </w:t>
      </w:r>
      <w:r w:rsidRPr="005B6929">
        <w:tab/>
        <w:t xml:space="preserve">In its resolution 39/22, the Human Rights Council requested the Government of the Sudan and OHCHR to present their oral reports on progress towards the opening of a country office during an enhanced interactive dialogue at the forty-first session of the Council. Accordingly, the Council will hold an enhanced interactive dialogue on the oral reports of the Government of the Sudan and OHCHR. </w:t>
      </w:r>
    </w:p>
    <w:p w:rsidR="001B5021" w:rsidRPr="005B6929" w:rsidRDefault="001B5021" w:rsidP="00683CFE">
      <w:pPr>
        <w:pStyle w:val="H4G"/>
      </w:pPr>
      <w:r w:rsidRPr="005B6929">
        <w:tab/>
      </w:r>
      <w:r w:rsidRPr="005B6929">
        <w:tab/>
        <w:t>Cooperation with Georgia</w:t>
      </w:r>
    </w:p>
    <w:p w:rsidR="001B5021" w:rsidRPr="005B6929" w:rsidRDefault="001B5021" w:rsidP="001B5021">
      <w:pPr>
        <w:pStyle w:val="SingleTxtG"/>
      </w:pPr>
      <w:r w:rsidRPr="005B6929">
        <w:t>78.</w:t>
      </w:r>
      <w:r w:rsidRPr="005B6929">
        <w:tab/>
        <w:t>In its resolution 40/28, the Human Rights Council requested the High Commissioner to present to the Council, in accordance with its resolution 5/1, an oral update on the follow-up to resolution 40/28 at its forty-first session. Accordingly, the Council will hear the oral update by the High Commissioner (see para. 26 above).</w:t>
      </w:r>
    </w:p>
    <w:p w:rsidR="001B5021" w:rsidRPr="005B6929" w:rsidRDefault="001B5021" w:rsidP="00683CFE">
      <w:pPr>
        <w:pStyle w:val="H4G"/>
      </w:pPr>
      <w:r w:rsidRPr="005B6929">
        <w:tab/>
      </w:r>
      <w:r w:rsidRPr="005B6929">
        <w:tab/>
        <w:t>Enhancement of technical cooperation and capacity-building in the field of human rights</w:t>
      </w:r>
    </w:p>
    <w:p w:rsidR="001B5021" w:rsidRPr="005B6929" w:rsidRDefault="001B5021" w:rsidP="001B5021">
      <w:pPr>
        <w:pStyle w:val="SingleTxtG"/>
      </w:pPr>
      <w:r w:rsidRPr="005B6929">
        <w:t>79.</w:t>
      </w:r>
      <w:r w:rsidRPr="005B6929">
        <w:tab/>
        <w:t xml:space="preserve">In its resolution 39/18, the Human Rights Council decided, in accordance with its resolution 18/18, that the theme for the annual thematic panel discussion under agenda item 10, to be held during its forty-first session, would be </w:t>
      </w:r>
      <w:r w:rsidR="00331271">
        <w:t>“</w:t>
      </w:r>
      <w:r w:rsidRPr="005B6929">
        <w:t>Technical cooperation and capacity-building in the field of the human rights of older persons</w:t>
      </w:r>
      <w:r w:rsidR="00331271">
        <w:t>”</w:t>
      </w:r>
      <w:r w:rsidRPr="005B6929">
        <w:t xml:space="preserve"> (see annex).</w:t>
      </w:r>
    </w:p>
    <w:p w:rsidR="001B5021" w:rsidRPr="005B6929" w:rsidRDefault="001B5021" w:rsidP="001B5021">
      <w:pPr>
        <w:pStyle w:val="SingleTxtG"/>
      </w:pPr>
      <w:r w:rsidRPr="005B6929">
        <w:t>80.</w:t>
      </w:r>
      <w:r w:rsidRPr="005B6929">
        <w:tab/>
        <w:t>In the same resolution, the Human Rights Council requested OHCHR to prepare a report on the activities undertaken by the Office and relevant United Nations country teams and agencies, and regional organizations to support States</w:t>
      </w:r>
      <w:r w:rsidR="00331271">
        <w:t>’</w:t>
      </w:r>
      <w:r w:rsidRPr="005B6929">
        <w:t xml:space="preserve"> efforts to promote and protect the human rights of older persons and their autonomy and independence, and address implementation gaps in national legislation, policies and programmes, including where applicable those relating to the Sustainable Development Goals, income security, the promotion of active and healthy ageing, the use of assistive technology, access to information and lifelong learning, combating all forms of discrimination against older persons, paying particular attention to older women and supporting the full integration of older persons in society and access to care, health and support services for older persons in their communities. Accordingly, the Council will consider the report of OHCHR as a basis for the panel discussion (A/HRC/41/32) (see para. 27 above).</w:t>
      </w:r>
    </w:p>
    <w:p w:rsidR="001B5021" w:rsidRPr="005B6929" w:rsidRDefault="001B5021" w:rsidP="005F714F">
      <w:pPr>
        <w:pStyle w:val="HChG"/>
      </w:pPr>
      <w:r w:rsidRPr="005B6929">
        <w:rPr>
          <w:highlight w:val="yellow"/>
        </w:rPr>
        <w:br w:type="page"/>
      </w:r>
      <w:r w:rsidR="003752DA" w:rsidRPr="005B6929">
        <w:lastRenderedPageBreak/>
        <w:tab/>
      </w:r>
      <w:r w:rsidRPr="005B6929">
        <w:t>Annex</w:t>
      </w:r>
    </w:p>
    <w:p w:rsidR="001B5021" w:rsidRPr="005B6929" w:rsidRDefault="001B5021" w:rsidP="005F714F">
      <w:pPr>
        <w:pStyle w:val="HChG"/>
      </w:pPr>
      <w:r w:rsidRPr="005B6929">
        <w:tab/>
      </w:r>
      <w:r w:rsidRPr="005B6929">
        <w:tab/>
        <w:t>Panels and discussions to be held at the forty-first session of the Human Rights Council</w:t>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253"/>
        <w:gridCol w:w="4252"/>
      </w:tblGrid>
      <w:tr w:rsidR="004C22ED" w:rsidRPr="005B6929" w:rsidTr="004C22ED">
        <w:trPr>
          <w:tblHeader/>
        </w:trPr>
        <w:tc>
          <w:tcPr>
            <w:tcW w:w="4253" w:type="dxa"/>
            <w:tcBorders>
              <w:top w:val="single" w:sz="4" w:space="0" w:color="auto"/>
              <w:bottom w:val="single" w:sz="12" w:space="0" w:color="auto"/>
            </w:tcBorders>
            <w:shd w:val="clear" w:color="auto" w:fill="auto"/>
            <w:vAlign w:val="bottom"/>
          </w:tcPr>
          <w:p w:rsidR="001B5021" w:rsidRPr="005B6929" w:rsidRDefault="001B5021" w:rsidP="00A5375C">
            <w:pPr>
              <w:suppressAutoHyphens w:val="0"/>
              <w:spacing w:before="80" w:after="80" w:line="200" w:lineRule="exact"/>
              <w:ind w:right="113"/>
              <w:rPr>
                <w:i/>
                <w:sz w:val="16"/>
              </w:rPr>
            </w:pPr>
            <w:r w:rsidRPr="005B6929">
              <w:rPr>
                <w:i/>
                <w:sz w:val="16"/>
              </w:rPr>
              <w:t>Resolution/decision</w:t>
            </w:r>
          </w:p>
        </w:tc>
        <w:tc>
          <w:tcPr>
            <w:tcW w:w="4252" w:type="dxa"/>
            <w:tcBorders>
              <w:top w:val="single" w:sz="4" w:space="0" w:color="auto"/>
              <w:bottom w:val="single" w:sz="12" w:space="0" w:color="auto"/>
            </w:tcBorders>
            <w:shd w:val="clear" w:color="auto" w:fill="auto"/>
            <w:vAlign w:val="bottom"/>
          </w:tcPr>
          <w:p w:rsidR="001B5021" w:rsidRPr="005B6929" w:rsidRDefault="001B5021" w:rsidP="00A5375C">
            <w:pPr>
              <w:suppressAutoHyphens w:val="0"/>
              <w:spacing w:before="80" w:after="80" w:line="200" w:lineRule="exact"/>
              <w:ind w:right="113"/>
              <w:rPr>
                <w:i/>
                <w:sz w:val="16"/>
              </w:rPr>
            </w:pPr>
            <w:r w:rsidRPr="005B6929">
              <w:rPr>
                <w:i/>
                <w:sz w:val="16"/>
              </w:rPr>
              <w:t>Panel/discussion</w:t>
            </w:r>
          </w:p>
        </w:tc>
      </w:tr>
      <w:tr w:rsidR="001B5021" w:rsidRPr="005B6929" w:rsidTr="004C22ED">
        <w:trPr>
          <w:trHeight w:val="1007"/>
        </w:trPr>
        <w:tc>
          <w:tcPr>
            <w:tcW w:w="4253" w:type="dxa"/>
            <w:tcBorders>
              <w:top w:val="single" w:sz="12" w:space="0" w:color="auto"/>
            </w:tcBorders>
            <w:shd w:val="clear" w:color="auto" w:fill="auto"/>
          </w:tcPr>
          <w:p w:rsidR="001B5021" w:rsidRPr="005B6929" w:rsidRDefault="001B5021" w:rsidP="00A5375C">
            <w:pPr>
              <w:suppressAutoHyphens w:val="0"/>
              <w:spacing w:before="40" w:after="120" w:line="220" w:lineRule="exact"/>
              <w:ind w:right="113"/>
            </w:pPr>
            <w:r w:rsidRPr="005B6929">
              <w:t>Human Rights Council resolution 6/30</w:t>
            </w:r>
            <w:r w:rsidRPr="005B6929">
              <w:br/>
              <w:t>Integrating the human rights of women throughout the United Nations system</w:t>
            </w:r>
          </w:p>
        </w:tc>
        <w:tc>
          <w:tcPr>
            <w:tcW w:w="4252" w:type="dxa"/>
            <w:tcBorders>
              <w:top w:val="single" w:sz="12" w:space="0" w:color="auto"/>
            </w:tcBorders>
            <w:shd w:val="clear" w:color="auto" w:fill="auto"/>
          </w:tcPr>
          <w:p w:rsidR="001B5021" w:rsidRPr="005B6929" w:rsidRDefault="001B5021" w:rsidP="00A5375C">
            <w:pPr>
              <w:suppressAutoHyphens w:val="0"/>
              <w:spacing w:before="40" w:after="120" w:line="220" w:lineRule="exact"/>
              <w:ind w:right="113"/>
            </w:pPr>
            <w:r w:rsidRPr="005B6929">
              <w:t xml:space="preserve">Annual full-day discussion on the human rights of women (panel 1: </w:t>
            </w:r>
            <w:r w:rsidR="00331271">
              <w:t>“</w:t>
            </w:r>
            <w:r w:rsidRPr="005B6929">
              <w:t>Violence against women in the world of work</w:t>
            </w:r>
            <w:r w:rsidR="00331271">
              <w:t>”</w:t>
            </w:r>
            <w:r w:rsidRPr="005B6929">
              <w:t xml:space="preserve">; panel 2: </w:t>
            </w:r>
            <w:r w:rsidR="00331271">
              <w:t>“</w:t>
            </w:r>
            <w:r w:rsidRPr="005B6929">
              <w:t>The rights of older women and their economic empowerment</w:t>
            </w:r>
            <w:r w:rsidR="00331271">
              <w:t>”</w:t>
            </w:r>
            <w:r w:rsidRPr="005B6929">
              <w:t>)</w:t>
            </w:r>
          </w:p>
        </w:tc>
      </w:tr>
      <w:tr w:rsidR="001B5021" w:rsidRPr="005B6929" w:rsidTr="004C22ED">
        <w:trPr>
          <w:trHeight w:val="965"/>
        </w:trPr>
        <w:tc>
          <w:tcPr>
            <w:tcW w:w="4253" w:type="dxa"/>
            <w:shd w:val="clear" w:color="auto" w:fill="auto"/>
          </w:tcPr>
          <w:p w:rsidR="001B5021" w:rsidRPr="005B6929" w:rsidRDefault="001B5021" w:rsidP="00A5375C">
            <w:pPr>
              <w:suppressAutoHyphens w:val="0"/>
              <w:spacing w:before="40" w:after="120" w:line="220" w:lineRule="exact"/>
              <w:ind w:right="113"/>
            </w:pPr>
            <w:r w:rsidRPr="005B6929">
              <w:t>Human Rights Council resolution 38/4</w:t>
            </w:r>
            <w:r w:rsidR="00A5375C" w:rsidRPr="005B6929">
              <w:br/>
            </w:r>
            <w:r w:rsidRPr="005B6929">
              <w:t>Human rights and climate change</w:t>
            </w:r>
          </w:p>
          <w:p w:rsidR="001B5021" w:rsidRPr="005B6929" w:rsidRDefault="001B5021" w:rsidP="00A5375C">
            <w:pPr>
              <w:suppressAutoHyphens w:val="0"/>
              <w:spacing w:before="40" w:after="120" w:line="220" w:lineRule="exact"/>
              <w:ind w:right="113"/>
            </w:pPr>
          </w:p>
        </w:tc>
        <w:tc>
          <w:tcPr>
            <w:tcW w:w="4252" w:type="dxa"/>
            <w:shd w:val="clear" w:color="auto" w:fill="auto"/>
          </w:tcPr>
          <w:p w:rsidR="001B5021" w:rsidRPr="005B6929" w:rsidRDefault="001B5021" w:rsidP="00A5375C">
            <w:pPr>
              <w:suppressAutoHyphens w:val="0"/>
              <w:spacing w:before="40" w:after="120" w:line="220" w:lineRule="exact"/>
              <w:ind w:right="113"/>
            </w:pPr>
            <w:r w:rsidRPr="005B6929">
              <w:t>Panel discussion on women</w:t>
            </w:r>
            <w:r w:rsidR="00331271">
              <w:t>’</w:t>
            </w:r>
            <w:r w:rsidRPr="005B6929">
              <w:t>s rights and climate change: climate action, best practices and lessons</w:t>
            </w:r>
            <w:r w:rsidRPr="005B6929">
              <w:rPr>
                <w:bCs/>
              </w:rPr>
              <w:t xml:space="preserve"> learned</w:t>
            </w:r>
          </w:p>
        </w:tc>
      </w:tr>
      <w:tr w:rsidR="001B5021" w:rsidRPr="005B6929" w:rsidTr="004C22ED">
        <w:tc>
          <w:tcPr>
            <w:tcW w:w="4253" w:type="dxa"/>
            <w:shd w:val="clear" w:color="auto" w:fill="auto"/>
          </w:tcPr>
          <w:p w:rsidR="001B5021" w:rsidRPr="005B6929" w:rsidRDefault="001B5021" w:rsidP="00A5375C">
            <w:pPr>
              <w:suppressAutoHyphens w:val="0"/>
              <w:spacing w:before="40" w:after="120" w:line="220" w:lineRule="exact"/>
              <w:ind w:right="113"/>
            </w:pPr>
            <w:r w:rsidRPr="005B6929">
              <w:t>Human Rights Council resolutions 18/18 and 39/18</w:t>
            </w:r>
            <w:r w:rsidRPr="005B6929">
              <w:br/>
              <w:t>Enhancement of technical cooperation and capacity-building in the field of human rights</w:t>
            </w:r>
          </w:p>
        </w:tc>
        <w:tc>
          <w:tcPr>
            <w:tcW w:w="4252" w:type="dxa"/>
            <w:shd w:val="clear" w:color="auto" w:fill="auto"/>
          </w:tcPr>
          <w:p w:rsidR="001B5021" w:rsidRPr="005B6929" w:rsidRDefault="001B5021" w:rsidP="00A5375C">
            <w:pPr>
              <w:suppressAutoHyphens w:val="0"/>
              <w:spacing w:before="40" w:after="120" w:line="220" w:lineRule="exact"/>
              <w:ind w:right="113"/>
            </w:pPr>
            <w:r w:rsidRPr="005B6929">
              <w:t xml:space="preserve">Annual thematic panel discussion on technical cooperation in the promotion and protection of human rights on the theme </w:t>
            </w:r>
            <w:r w:rsidR="00331271">
              <w:t>“</w:t>
            </w:r>
            <w:r w:rsidRPr="005B6929">
              <w:t>Technical cooperation and capacity-building in the field of the human rights of older persons</w:t>
            </w:r>
            <w:r w:rsidR="00331271">
              <w:t>”</w:t>
            </w:r>
          </w:p>
        </w:tc>
      </w:tr>
    </w:tbl>
    <w:p w:rsidR="007268F9" w:rsidRPr="005B6929" w:rsidRDefault="00A5375C" w:rsidP="00A5375C">
      <w:pPr>
        <w:pStyle w:val="SingleTxtG"/>
        <w:jc w:val="center"/>
      </w:pPr>
      <w:r w:rsidRPr="005B6929">
        <w:rPr>
          <w:u w:val="single"/>
        </w:rPr>
        <w:tab/>
      </w:r>
      <w:r w:rsidRPr="005B6929">
        <w:rPr>
          <w:u w:val="single"/>
        </w:rPr>
        <w:tab/>
      </w:r>
      <w:r w:rsidRPr="005B6929">
        <w:rPr>
          <w:u w:val="single"/>
        </w:rPr>
        <w:tab/>
      </w:r>
    </w:p>
    <w:sectPr w:rsidR="007268F9" w:rsidRPr="005B692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F4" w:rsidRPr="00C47B2E" w:rsidRDefault="00F175F4" w:rsidP="00C47B2E">
      <w:pPr>
        <w:pStyle w:val="Footer"/>
      </w:pPr>
    </w:p>
  </w:endnote>
  <w:endnote w:type="continuationSeparator" w:id="0">
    <w:p w:rsidR="00F175F4" w:rsidRPr="00C47B2E" w:rsidRDefault="00F175F4" w:rsidP="00C47B2E">
      <w:pPr>
        <w:pStyle w:val="Footer"/>
      </w:pPr>
    </w:p>
  </w:endnote>
  <w:endnote w:type="continuationNotice" w:id="1">
    <w:p w:rsidR="00F175F4" w:rsidRPr="00C47B2E" w:rsidRDefault="00F175F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B0" w:rsidRDefault="00020AB0" w:rsidP="001B5021">
    <w:pPr>
      <w:pStyle w:val="Footer"/>
      <w:tabs>
        <w:tab w:val="right" w:pos="9638"/>
      </w:tabs>
    </w:pPr>
    <w:r w:rsidRPr="00020AB0">
      <w:rPr>
        <w:b/>
        <w:bCs/>
        <w:sz w:val="18"/>
      </w:rPr>
      <w:fldChar w:fldCharType="begin"/>
    </w:r>
    <w:r w:rsidRPr="00020AB0">
      <w:rPr>
        <w:b/>
        <w:bCs/>
        <w:sz w:val="18"/>
      </w:rPr>
      <w:instrText xml:space="preserve"> PAGE  \* MERGEFORMAT </w:instrText>
    </w:r>
    <w:r w:rsidRPr="00020AB0">
      <w:rPr>
        <w:b/>
        <w:bCs/>
        <w:sz w:val="18"/>
      </w:rPr>
      <w:fldChar w:fldCharType="separate"/>
    </w:r>
    <w:r w:rsidR="001555F1">
      <w:rPr>
        <w:b/>
        <w:bCs/>
        <w:noProof/>
        <w:sz w:val="18"/>
      </w:rPr>
      <w:t>2</w:t>
    </w:r>
    <w:r w:rsidRPr="00020AB0">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B0" w:rsidRDefault="00020AB0" w:rsidP="00020AB0">
    <w:pPr>
      <w:pStyle w:val="Footer"/>
      <w:tabs>
        <w:tab w:val="right" w:pos="9638"/>
      </w:tabs>
    </w:pPr>
    <w:r>
      <w:tab/>
    </w:r>
    <w:r w:rsidRPr="00020AB0">
      <w:rPr>
        <w:b/>
        <w:bCs/>
        <w:sz w:val="18"/>
      </w:rPr>
      <w:fldChar w:fldCharType="begin"/>
    </w:r>
    <w:r w:rsidRPr="00020AB0">
      <w:rPr>
        <w:b/>
        <w:bCs/>
        <w:sz w:val="18"/>
      </w:rPr>
      <w:instrText xml:space="preserve"> PAGE  \* MERGEFORMAT </w:instrText>
    </w:r>
    <w:r w:rsidRPr="00020AB0">
      <w:rPr>
        <w:b/>
        <w:bCs/>
        <w:sz w:val="18"/>
      </w:rPr>
      <w:fldChar w:fldCharType="separate"/>
    </w:r>
    <w:r w:rsidR="001555F1">
      <w:rPr>
        <w:b/>
        <w:bCs/>
        <w:noProof/>
        <w:sz w:val="18"/>
      </w:rPr>
      <w:t>13</w:t>
    </w:r>
    <w:r w:rsidRPr="00020AB0">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F4" w:rsidRPr="00C47B2E" w:rsidRDefault="00F175F4" w:rsidP="00C47B2E">
      <w:pPr>
        <w:tabs>
          <w:tab w:val="right" w:pos="2155"/>
        </w:tabs>
        <w:spacing w:after="80" w:line="240" w:lineRule="auto"/>
        <w:ind w:left="680"/>
      </w:pPr>
      <w:r>
        <w:rPr>
          <w:u w:val="single"/>
        </w:rPr>
        <w:tab/>
      </w:r>
    </w:p>
  </w:footnote>
  <w:footnote w:type="continuationSeparator" w:id="0">
    <w:p w:rsidR="00F175F4" w:rsidRPr="00C47B2E" w:rsidRDefault="00F175F4" w:rsidP="005E716E">
      <w:pPr>
        <w:tabs>
          <w:tab w:val="right" w:pos="2155"/>
        </w:tabs>
        <w:spacing w:after="80" w:line="240" w:lineRule="auto"/>
        <w:ind w:left="680"/>
      </w:pPr>
      <w:r>
        <w:rPr>
          <w:u w:val="single"/>
        </w:rPr>
        <w:tab/>
      </w:r>
    </w:p>
  </w:footnote>
  <w:footnote w:type="continuationNotice" w:id="1">
    <w:p w:rsidR="00F175F4" w:rsidRPr="00C47B2E" w:rsidRDefault="00F175F4" w:rsidP="00C47B2E">
      <w:pPr>
        <w:pStyle w:val="Footer"/>
      </w:pPr>
    </w:p>
  </w:footnote>
  <w:footnote w:id="2">
    <w:p w:rsidR="001B5021" w:rsidRPr="000166FE" w:rsidRDefault="001B5021" w:rsidP="00683CFE">
      <w:pPr>
        <w:pStyle w:val="FootnoteText"/>
      </w:pPr>
      <w:r>
        <w:tab/>
      </w:r>
      <w:r>
        <w:rPr>
          <w:rStyle w:val="FootnoteReference"/>
        </w:rPr>
        <w:footnoteRef/>
      </w:r>
      <w:r>
        <w:tab/>
        <w:t xml:space="preserve"> </w:t>
      </w:r>
      <w:r w:rsidRPr="00352606">
        <w:t>The term of membership of each State expires in the year indicated in parenthes</w:t>
      </w:r>
      <w:r>
        <w:t>e</w:t>
      </w:r>
      <w:r w:rsidRPr="00352606">
        <w: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B0" w:rsidRDefault="00020AB0" w:rsidP="00020AB0">
    <w:pPr>
      <w:pStyle w:val="Header"/>
    </w:pPr>
    <w:r>
      <w:t>A/HRC/41/1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AB0" w:rsidRDefault="00020AB0" w:rsidP="00020AB0">
    <w:pPr>
      <w:pStyle w:val="Header"/>
      <w:jc w:val="right"/>
    </w:pPr>
    <w:r>
      <w:t>A/HRC/41/1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ctiveWritingStyle w:appName="MSWord" w:lang="es-A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175F4"/>
    <w:rsid w:val="00020AB0"/>
    <w:rsid w:val="00046E92"/>
    <w:rsid w:val="00063C90"/>
    <w:rsid w:val="00072607"/>
    <w:rsid w:val="00082107"/>
    <w:rsid w:val="00100380"/>
    <w:rsid w:val="00101B98"/>
    <w:rsid w:val="001067F9"/>
    <w:rsid w:val="001555F1"/>
    <w:rsid w:val="001B5021"/>
    <w:rsid w:val="00247E2C"/>
    <w:rsid w:val="002A32CB"/>
    <w:rsid w:val="002D6C53"/>
    <w:rsid w:val="002F3781"/>
    <w:rsid w:val="002F5595"/>
    <w:rsid w:val="00331271"/>
    <w:rsid w:val="00334F6A"/>
    <w:rsid w:val="00342AC8"/>
    <w:rsid w:val="003752DA"/>
    <w:rsid w:val="003B4550"/>
    <w:rsid w:val="0040017C"/>
    <w:rsid w:val="00461253"/>
    <w:rsid w:val="004A2814"/>
    <w:rsid w:val="004C0622"/>
    <w:rsid w:val="004C22ED"/>
    <w:rsid w:val="004D10F9"/>
    <w:rsid w:val="005042C2"/>
    <w:rsid w:val="005B6929"/>
    <w:rsid w:val="005E716E"/>
    <w:rsid w:val="005F714F"/>
    <w:rsid w:val="00671529"/>
    <w:rsid w:val="00683CFE"/>
    <w:rsid w:val="0070489D"/>
    <w:rsid w:val="007268F9"/>
    <w:rsid w:val="007C52B0"/>
    <w:rsid w:val="00861B4E"/>
    <w:rsid w:val="009411B4"/>
    <w:rsid w:val="009D0139"/>
    <w:rsid w:val="009D717D"/>
    <w:rsid w:val="009F5CDC"/>
    <w:rsid w:val="00A5375C"/>
    <w:rsid w:val="00A775CF"/>
    <w:rsid w:val="00B06045"/>
    <w:rsid w:val="00B52EF4"/>
    <w:rsid w:val="00C03015"/>
    <w:rsid w:val="00C0358D"/>
    <w:rsid w:val="00C35A27"/>
    <w:rsid w:val="00C47B2E"/>
    <w:rsid w:val="00C57A27"/>
    <w:rsid w:val="00CA1B04"/>
    <w:rsid w:val="00DD07B1"/>
    <w:rsid w:val="00DF046E"/>
    <w:rsid w:val="00E02C2B"/>
    <w:rsid w:val="00E52109"/>
    <w:rsid w:val="00E75317"/>
    <w:rsid w:val="00ED6C48"/>
    <w:rsid w:val="00F175F4"/>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0015D"/>
  <w15:docId w15:val="{D60353BF-061C-4240-B26D-864762EB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07"/>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 Char1,vFootnote Text,single space Char,single space,Footnote reference,FA Fu,Char,Char Char,Car,Footnote Text Char1 Char,F1,f2"/>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Footnote Text Char1 Char Char Char,Footnote Text Char Char Char Char Char,Footnote Text Char Char1 Char,vFootnote Text Char,single space Char Char,single space Char1,Footnote reference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erence,Ref,de nota al pie,de nota al pie + (Asian) MS Mincho,11 pt,註腳內容,Footnote Reference1,Ref1,de nota al pie1,ftref,Fago Fußnotenzeichen,fr,oc-footreference,oc-footnoteref,oc-footreference1,(Dipl..."/>
    <w:link w:val="FootnotesymbolCarZchnZchn"/>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4GChar">
    <w:name w:val="_ H_4_G Char"/>
    <w:link w:val="H4G"/>
    <w:locked/>
    <w:rsid w:val="001B5021"/>
    <w:rPr>
      <w:rFonts w:ascii="Times New Roman" w:eastAsiaTheme="minorHAnsi" w:hAnsi="Times New Roman" w:cs="Times New Roman"/>
      <w:i/>
      <w:sz w:val="20"/>
      <w:szCs w:val="20"/>
      <w:lang w:eastAsia="en-US"/>
    </w:rPr>
  </w:style>
  <w:style w:type="character" w:customStyle="1" w:styleId="SingleTxtGChar">
    <w:name w:val="_ Single Txt_G Char"/>
    <w:link w:val="SingleTxtG"/>
    <w:locked/>
    <w:rsid w:val="001B5021"/>
    <w:rPr>
      <w:rFonts w:ascii="Times New Roman" w:eastAsiaTheme="minorHAnsi" w:hAnsi="Times New Roman" w:cs="Times New Roman"/>
      <w:sz w:val="20"/>
      <w:szCs w:val="20"/>
      <w:lang w:eastAsia="en-U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
    <w:basedOn w:val="Normal"/>
    <w:link w:val="FootnoteReference"/>
    <w:rsid w:val="001B5021"/>
    <w:pPr>
      <w:kinsoku/>
      <w:overflowPunct/>
      <w:autoSpaceDE/>
      <w:autoSpaceDN/>
      <w:adjustRightInd/>
      <w:snapToGrid/>
      <w:spacing w:after="160" w:line="240" w:lineRule="exact"/>
      <w:jc w:val="both"/>
    </w:pPr>
    <w:rPr>
      <w:rFonts w:eastAsia="SimSun" w:cstheme="minorBidi"/>
      <w:sz w:val="18"/>
      <w:szCs w:val="22"/>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7AE569-757B-4148-B6A5-FB9D3CB686F2}">
  <ds:schemaRefs>
    <ds:schemaRef ds:uri="http://schemas.openxmlformats.org/officeDocument/2006/bibliography"/>
  </ds:schemaRefs>
</ds:datastoreItem>
</file>

<file path=customXml/itemProps2.xml><?xml version="1.0" encoding="utf-8"?>
<ds:datastoreItem xmlns:ds="http://schemas.openxmlformats.org/officeDocument/2006/customXml" ds:itemID="{0022E9D6-CBB5-4B49-8B21-47740A14F969}"/>
</file>

<file path=customXml/itemProps3.xml><?xml version="1.0" encoding="utf-8"?>
<ds:datastoreItem xmlns:ds="http://schemas.openxmlformats.org/officeDocument/2006/customXml" ds:itemID="{6DC558CB-E553-464A-BD93-7F80A0BEF12A}"/>
</file>

<file path=customXml/itemProps4.xml><?xml version="1.0" encoding="utf-8"?>
<ds:datastoreItem xmlns:ds="http://schemas.openxmlformats.org/officeDocument/2006/customXml" ds:itemID="{8C7E51FA-79D8-46C7-BDB3-7128977C7521}"/>
</file>

<file path=docProps/app.xml><?xml version="1.0" encoding="utf-8"?>
<Properties xmlns="http://schemas.openxmlformats.org/officeDocument/2006/extended-properties" xmlns:vt="http://schemas.openxmlformats.org/officeDocument/2006/docPropsVTypes">
  <Template>A.dotm</Template>
  <TotalTime>1</TotalTime>
  <Pages>13</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A/HRC/41/1</vt:lpstr>
    </vt:vector>
  </TitlesOfParts>
  <Company>DCM</Company>
  <LinksUpToDate>false</LinksUpToDate>
  <CharactersWithSpaces>39417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Annotations for the 41st session of the HRC</dc:title>
  <dc:subject>1906920</dc:subject>
  <dc:creator>CPM</dc:creator>
  <cp:keywords/>
  <dc:description/>
  <cp:lastModifiedBy>LANZ Veronique</cp:lastModifiedBy>
  <cp:revision>2</cp:revision>
  <dcterms:created xsi:type="dcterms:W3CDTF">2019-05-10T13:35:00Z</dcterms:created>
  <dcterms:modified xsi:type="dcterms:W3CDTF">2019-05-10T13:35:00Z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