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0328F5" w:rsidTr="00FC2EE0">
        <w:trPr>
          <w:trHeight w:val="851"/>
        </w:trPr>
        <w:tc>
          <w:tcPr>
            <w:tcW w:w="1259" w:type="dxa"/>
            <w:tcBorders>
              <w:top w:val="nil"/>
              <w:left w:val="nil"/>
              <w:bottom w:val="single" w:sz="4" w:space="0" w:color="auto"/>
              <w:right w:val="nil"/>
            </w:tcBorders>
          </w:tcPr>
          <w:p w:rsidR="00446DE4" w:rsidRPr="000328F5" w:rsidRDefault="00446DE4" w:rsidP="0043536E">
            <w:pPr>
              <w:spacing w:after="80" w:line="340" w:lineRule="exact"/>
            </w:pPr>
          </w:p>
        </w:tc>
        <w:tc>
          <w:tcPr>
            <w:tcW w:w="2236" w:type="dxa"/>
            <w:tcBorders>
              <w:top w:val="nil"/>
              <w:left w:val="nil"/>
              <w:bottom w:val="single" w:sz="4" w:space="0" w:color="auto"/>
              <w:right w:val="nil"/>
            </w:tcBorders>
            <w:vAlign w:val="bottom"/>
          </w:tcPr>
          <w:p w:rsidR="00446DE4" w:rsidRPr="000328F5" w:rsidRDefault="00446DE4" w:rsidP="0043536E">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rsidR="00446DE4" w:rsidRPr="000328F5" w:rsidRDefault="00FC2EE0" w:rsidP="00FC2EE0">
            <w:pPr>
              <w:jc w:val="right"/>
            </w:pPr>
            <w:r w:rsidRPr="00FC2EE0">
              <w:rPr>
                <w:sz w:val="40"/>
              </w:rPr>
              <w:t>A</w:t>
            </w:r>
            <w:r>
              <w:t>/HRC/43/11/Add.1</w:t>
            </w:r>
          </w:p>
        </w:tc>
      </w:tr>
      <w:tr w:rsidR="003107FA" w:rsidRPr="000328F5" w:rsidTr="00FC2EE0">
        <w:trPr>
          <w:trHeight w:val="2835"/>
        </w:trPr>
        <w:tc>
          <w:tcPr>
            <w:tcW w:w="1259" w:type="dxa"/>
            <w:tcBorders>
              <w:top w:val="single" w:sz="4" w:space="0" w:color="auto"/>
              <w:left w:val="nil"/>
              <w:bottom w:val="single" w:sz="12" w:space="0" w:color="auto"/>
              <w:right w:val="nil"/>
            </w:tcBorders>
          </w:tcPr>
          <w:p w:rsidR="003107FA" w:rsidRPr="000328F5" w:rsidRDefault="003107FA" w:rsidP="0043536E">
            <w:pPr>
              <w:spacing w:before="120"/>
              <w:jc w:val="center"/>
            </w:pPr>
          </w:p>
        </w:tc>
        <w:tc>
          <w:tcPr>
            <w:tcW w:w="5450" w:type="dxa"/>
            <w:gridSpan w:val="2"/>
            <w:tcBorders>
              <w:top w:val="single" w:sz="4" w:space="0" w:color="auto"/>
              <w:left w:val="nil"/>
              <w:bottom w:val="single" w:sz="12" w:space="0" w:color="auto"/>
              <w:right w:val="nil"/>
            </w:tcBorders>
          </w:tcPr>
          <w:p w:rsidR="003107FA" w:rsidRPr="000328F5" w:rsidRDefault="003B0DE1" w:rsidP="0043536E">
            <w:pPr>
              <w:spacing w:before="120" w:line="420" w:lineRule="exact"/>
              <w:rPr>
                <w:b/>
                <w:sz w:val="40"/>
                <w:szCs w:val="40"/>
              </w:rPr>
            </w:pPr>
            <w:r>
              <w:rPr>
                <w:b/>
                <w:sz w:val="40"/>
                <w:szCs w:val="40"/>
              </w:rPr>
              <w:t>Advance Version</w:t>
            </w:r>
          </w:p>
        </w:tc>
        <w:tc>
          <w:tcPr>
            <w:tcW w:w="2930" w:type="dxa"/>
            <w:tcBorders>
              <w:top w:val="single" w:sz="4" w:space="0" w:color="auto"/>
              <w:left w:val="nil"/>
              <w:bottom w:val="single" w:sz="12" w:space="0" w:color="auto"/>
              <w:right w:val="nil"/>
            </w:tcBorders>
          </w:tcPr>
          <w:p w:rsidR="003107FA" w:rsidRDefault="00FC2EE0" w:rsidP="00FC2EE0">
            <w:pPr>
              <w:spacing w:before="240" w:line="240" w:lineRule="exact"/>
            </w:pPr>
            <w:r>
              <w:t>Distr. general</w:t>
            </w:r>
          </w:p>
          <w:p w:rsidR="00FC2EE0" w:rsidRDefault="00FC2EE0" w:rsidP="00FC2EE0">
            <w:pPr>
              <w:spacing w:line="240" w:lineRule="exact"/>
            </w:pPr>
            <w:r>
              <w:t>1</w:t>
            </w:r>
            <w:r w:rsidR="00D83A41">
              <w:t>9</w:t>
            </w:r>
            <w:r>
              <w:t xml:space="preserve"> de febrero de 2020</w:t>
            </w:r>
          </w:p>
          <w:p w:rsidR="00FC2EE0" w:rsidRDefault="00FC2EE0" w:rsidP="00FC2EE0">
            <w:pPr>
              <w:spacing w:line="240" w:lineRule="exact"/>
            </w:pPr>
          </w:p>
          <w:p w:rsidR="00FC2EE0" w:rsidRPr="000328F5" w:rsidRDefault="00FC2EE0" w:rsidP="00FC2EE0">
            <w:pPr>
              <w:spacing w:line="240" w:lineRule="exact"/>
            </w:pPr>
            <w:r>
              <w:t>Original: español</w:t>
            </w:r>
          </w:p>
        </w:tc>
      </w:tr>
    </w:tbl>
    <w:p w:rsidR="00FC2EE0" w:rsidRPr="00226B6E" w:rsidRDefault="00FC2EE0" w:rsidP="00FC2EE0">
      <w:pPr>
        <w:suppressAutoHyphens w:val="0"/>
        <w:spacing w:before="120"/>
        <w:rPr>
          <w:b/>
          <w:bCs/>
          <w:sz w:val="24"/>
          <w:szCs w:val="24"/>
          <w:lang w:eastAsia="es-ES"/>
        </w:rPr>
      </w:pPr>
      <w:r w:rsidRPr="00226B6E">
        <w:rPr>
          <w:b/>
          <w:bCs/>
          <w:sz w:val="24"/>
          <w:szCs w:val="24"/>
          <w:lang w:eastAsia="es-ES"/>
        </w:rPr>
        <w:t>Consejo de Derechos Humanos</w:t>
      </w:r>
    </w:p>
    <w:p w:rsidR="00FC2EE0" w:rsidRDefault="00FC2EE0" w:rsidP="00FC2EE0">
      <w:pPr>
        <w:suppressAutoHyphens w:val="0"/>
        <w:rPr>
          <w:b/>
          <w:bCs/>
          <w:lang w:eastAsia="es-ES"/>
        </w:rPr>
      </w:pPr>
      <w:r>
        <w:rPr>
          <w:b/>
          <w:bCs/>
          <w:lang w:eastAsia="es-ES"/>
        </w:rPr>
        <w:t>43</w:t>
      </w:r>
      <w:r w:rsidRPr="00226B6E">
        <w:rPr>
          <w:b/>
          <w:bCs/>
          <w:lang w:eastAsia="es-ES"/>
        </w:rPr>
        <w:t>º período de sesiones</w:t>
      </w:r>
    </w:p>
    <w:p w:rsidR="00FC2EE0" w:rsidRPr="0041388D" w:rsidRDefault="00FC2EE0" w:rsidP="00FC2EE0">
      <w:pPr>
        <w:suppressAutoHyphens w:val="0"/>
        <w:rPr>
          <w:bCs/>
          <w:lang w:val="fr-FR" w:eastAsia="es-ES"/>
        </w:rPr>
      </w:pPr>
      <w:r>
        <w:rPr>
          <w:bCs/>
          <w:lang w:val="fr-FR" w:eastAsia="es-ES"/>
        </w:rPr>
        <w:t>24 de febrero–20 de marzo de</w:t>
      </w:r>
      <w:r w:rsidRPr="0041388D">
        <w:rPr>
          <w:bCs/>
          <w:lang w:val="fr-FR" w:eastAsia="es-ES"/>
        </w:rPr>
        <w:t xml:space="preserve"> 20</w:t>
      </w:r>
      <w:r>
        <w:rPr>
          <w:bCs/>
          <w:lang w:val="fr-FR" w:eastAsia="es-ES"/>
        </w:rPr>
        <w:t>20</w:t>
      </w:r>
    </w:p>
    <w:p w:rsidR="00FC2EE0" w:rsidRPr="00226B6E" w:rsidRDefault="00FC2EE0" w:rsidP="00FC2EE0">
      <w:pPr>
        <w:suppressAutoHyphens w:val="0"/>
        <w:rPr>
          <w:lang w:eastAsia="es-ES"/>
        </w:rPr>
      </w:pPr>
      <w:r w:rsidRPr="00226B6E">
        <w:rPr>
          <w:lang w:eastAsia="es-ES"/>
        </w:rPr>
        <w:t>Tema 6 de la agenda</w:t>
      </w:r>
    </w:p>
    <w:p w:rsidR="00FC2EE0" w:rsidRPr="00226B6E" w:rsidRDefault="00FC2EE0" w:rsidP="00FC2EE0">
      <w:pPr>
        <w:suppressAutoHyphens w:val="0"/>
        <w:rPr>
          <w:b/>
          <w:lang w:eastAsia="es-ES"/>
        </w:rPr>
      </w:pPr>
      <w:r>
        <w:rPr>
          <w:b/>
          <w:lang w:eastAsia="es-ES"/>
        </w:rPr>
        <w:t>Examen periódico u</w:t>
      </w:r>
      <w:r w:rsidRPr="00226B6E">
        <w:rPr>
          <w:b/>
          <w:lang w:eastAsia="es-ES"/>
        </w:rPr>
        <w:t>niversal</w:t>
      </w:r>
    </w:p>
    <w:p w:rsidR="00FC2EE0" w:rsidRPr="00226B6E" w:rsidRDefault="00FC2EE0" w:rsidP="00FC2EE0">
      <w:pPr>
        <w:pStyle w:val="HChG"/>
        <w:rPr>
          <w:lang w:eastAsia="es-ES"/>
        </w:rPr>
      </w:pPr>
      <w:r>
        <w:rPr>
          <w:lang w:eastAsia="es-ES"/>
        </w:rPr>
        <w:tab/>
      </w:r>
      <w:r>
        <w:rPr>
          <w:lang w:eastAsia="es-ES"/>
        </w:rPr>
        <w:tab/>
      </w:r>
      <w:r w:rsidRPr="00226B6E">
        <w:rPr>
          <w:lang w:eastAsia="es-ES"/>
        </w:rPr>
        <w:t xml:space="preserve">Informe del Grupo de Trabajo sobre el Examen </w:t>
      </w:r>
      <w:r w:rsidRPr="00226B6E">
        <w:rPr>
          <w:lang w:eastAsia="es-ES"/>
        </w:rPr>
        <w:br/>
        <w:t>Periódico Universal</w:t>
      </w:r>
      <w:r w:rsidRPr="003B5FDD">
        <w:rPr>
          <w:b w:val="0"/>
          <w:sz w:val="20"/>
          <w:lang w:eastAsia="es-ES"/>
        </w:rPr>
        <w:footnoteReference w:customMarkFollows="1" w:id="2"/>
        <w:t>*</w:t>
      </w:r>
    </w:p>
    <w:p w:rsidR="00FC2EE0" w:rsidRPr="00226B6E" w:rsidRDefault="00FC2EE0" w:rsidP="00FC2EE0">
      <w:pPr>
        <w:pStyle w:val="HChG"/>
        <w:rPr>
          <w:lang w:eastAsia="es-ES"/>
        </w:rPr>
      </w:pPr>
      <w:r w:rsidRPr="00226B6E">
        <w:rPr>
          <w:lang w:eastAsia="es-ES"/>
        </w:rPr>
        <w:tab/>
      </w:r>
      <w:r w:rsidRPr="00226B6E">
        <w:rPr>
          <w:lang w:eastAsia="es-ES"/>
        </w:rPr>
        <w:tab/>
      </w:r>
      <w:r w:rsidR="00A655E3">
        <w:rPr>
          <w:lang w:eastAsia="es-ES"/>
        </w:rPr>
        <w:t>Angola</w:t>
      </w:r>
    </w:p>
    <w:p w:rsidR="00FC2EE0" w:rsidRPr="00226B6E" w:rsidRDefault="00FC2EE0" w:rsidP="00FC2EE0">
      <w:pPr>
        <w:pStyle w:val="H1G"/>
        <w:rPr>
          <w:lang w:eastAsia="es-ES"/>
        </w:rPr>
      </w:pPr>
      <w:r w:rsidRPr="00226B6E">
        <w:rPr>
          <w:lang w:eastAsia="es-ES"/>
        </w:rPr>
        <w:tab/>
      </w:r>
      <w:r w:rsidRPr="00226B6E">
        <w:rPr>
          <w:lang w:eastAsia="es-ES"/>
        </w:rPr>
        <w:tab/>
        <w:t>Adición</w:t>
      </w:r>
    </w:p>
    <w:p w:rsidR="00FC2EE0" w:rsidRPr="00226B6E" w:rsidRDefault="00FC2EE0" w:rsidP="00FC2EE0">
      <w:pPr>
        <w:keepNext/>
        <w:keepLines/>
        <w:tabs>
          <w:tab w:val="right" w:pos="851"/>
        </w:tabs>
        <w:spacing w:before="360" w:after="240" w:line="270" w:lineRule="exact"/>
        <w:ind w:left="1134" w:right="1134" w:hanging="1134"/>
        <w:rPr>
          <w:b/>
          <w:sz w:val="24"/>
          <w:lang w:eastAsia="es-ES"/>
        </w:rPr>
      </w:pPr>
      <w:r w:rsidRPr="00226B6E">
        <w:rPr>
          <w:b/>
          <w:sz w:val="24"/>
          <w:lang w:eastAsia="es-ES"/>
        </w:rPr>
        <w:tab/>
      </w:r>
      <w:r w:rsidRPr="00226B6E">
        <w:rPr>
          <w:b/>
          <w:sz w:val="24"/>
          <w:lang w:eastAsia="es-ES"/>
        </w:rPr>
        <w:tab/>
        <w:t>Observaciones sobre las conclusiones y/o recomendaciones, compromisos voluntarios y respuestas del Estado examinado</w:t>
      </w:r>
    </w:p>
    <w:p w:rsidR="00FC2EE0" w:rsidRPr="00FC2EE0" w:rsidRDefault="00FC2EE0" w:rsidP="00FC2EE0">
      <w:pPr>
        <w:pStyle w:val="SingleTxtG"/>
      </w:pPr>
      <w:r>
        <w:br w:type="page"/>
      </w:r>
      <w:r>
        <w:lastRenderedPageBreak/>
        <w:t>1.</w:t>
      </w:r>
      <w:r>
        <w:tab/>
      </w:r>
      <w:r w:rsidRPr="00FC2EE0">
        <w:t xml:space="preserve">Durante la 34ª Sesión del Grupo de Trabajo sobre el Examen Periódico Universal en la cual Angola presentó su informe, entre otros Estados, y después de las 110 intervenciones de los Estados, resultó en un total de 270 recomendaciones, de las cuales el Gobierno </w:t>
      </w:r>
      <w:r w:rsidRPr="00FC2EE0">
        <w:rPr>
          <w:b/>
          <w:bCs/>
        </w:rPr>
        <w:t>aceptó 259</w:t>
      </w:r>
      <w:r w:rsidRPr="00FC2EE0">
        <w:t xml:space="preserve"> e </w:t>
      </w:r>
      <w:r w:rsidRPr="00FC2EE0">
        <w:rPr>
          <w:b/>
          <w:bCs/>
        </w:rPr>
        <w:t xml:space="preserve">tomó nota de 11, </w:t>
      </w:r>
      <w:r w:rsidRPr="00FC2EE0">
        <w:t>cuya presentación final va a realizarse en la 43ª Sesión del Consejo de Derechos Humanos, en Marzo de 2020.</w:t>
      </w:r>
    </w:p>
    <w:p w:rsidR="00FC2EE0" w:rsidRPr="00FC2EE0" w:rsidRDefault="00FC2EE0" w:rsidP="00FC2EE0">
      <w:pPr>
        <w:pStyle w:val="SingleTxtG"/>
      </w:pPr>
      <w:r>
        <w:t>2.</w:t>
      </w:r>
      <w:r>
        <w:tab/>
      </w:r>
      <w:r w:rsidRPr="00FC2EE0">
        <w:t xml:space="preserve">Las Recomendaciones de las cuales Angola </w:t>
      </w:r>
      <w:r w:rsidRPr="00FC2EE0">
        <w:rPr>
          <w:b/>
          <w:bCs/>
        </w:rPr>
        <w:t>decidió tomar nota</w:t>
      </w:r>
      <w:r w:rsidRPr="00FC2EE0">
        <w:t xml:space="preserve"> fueron agrupadas temáticamente y tienen que ver con las siguientes cuestiones:</w:t>
      </w:r>
    </w:p>
    <w:p w:rsidR="00FC2EE0" w:rsidRPr="00FC2EE0" w:rsidRDefault="00FC2EE0" w:rsidP="00FC2EE0">
      <w:pPr>
        <w:pStyle w:val="SingleTxtG"/>
        <w:ind w:firstLine="567"/>
        <w:rPr>
          <w:b/>
        </w:rPr>
      </w:pPr>
      <w:r>
        <w:t>(a)</w:t>
      </w:r>
      <w:r>
        <w:tab/>
      </w:r>
      <w:r w:rsidRPr="00FC2EE0">
        <w:t xml:space="preserve">Establecimiento de una Institución Nacional de Derechos Humanos en conformidad con los Principio de Paris </w:t>
      </w:r>
      <w:r w:rsidRPr="00FC2EE0">
        <w:rPr>
          <w:b/>
        </w:rPr>
        <w:t>(Rec. 49</w:t>
      </w:r>
      <w:r>
        <w:rPr>
          <w:b/>
        </w:rPr>
        <w:t xml:space="preserve">, 52, </w:t>
      </w:r>
      <w:r w:rsidRPr="00FC2EE0">
        <w:rPr>
          <w:b/>
        </w:rPr>
        <w:t>55</w:t>
      </w:r>
      <w:r>
        <w:rPr>
          <w:b/>
        </w:rPr>
        <w:t xml:space="preserve">, </w:t>
      </w:r>
      <w:r w:rsidRPr="00FC2EE0">
        <w:rPr>
          <w:b/>
        </w:rPr>
        <w:t>61)</w:t>
      </w:r>
      <w:r w:rsidRPr="00FC2EE0">
        <w:t>;</w:t>
      </w:r>
    </w:p>
    <w:p w:rsidR="00FC2EE0" w:rsidRPr="00FC2EE0" w:rsidRDefault="00FC2EE0" w:rsidP="00FC2EE0">
      <w:pPr>
        <w:pStyle w:val="SingleTxtG"/>
        <w:ind w:firstLine="567"/>
      </w:pPr>
      <w:r>
        <w:t>(b)</w:t>
      </w:r>
      <w:r>
        <w:tab/>
      </w:r>
      <w:r w:rsidRPr="00FC2EE0">
        <w:t xml:space="preserve">Invitación abierta a todos los Relatores Especiales para visitar Angola </w:t>
      </w:r>
      <w:r w:rsidRPr="00FC2EE0">
        <w:rPr>
          <w:b/>
        </w:rPr>
        <w:t>(Rec.</w:t>
      </w:r>
      <w:r>
        <w:rPr>
          <w:b/>
        </w:rPr>
        <w:t xml:space="preserve"> 26, </w:t>
      </w:r>
      <w:r w:rsidRPr="00FC2EE0">
        <w:rPr>
          <w:b/>
        </w:rPr>
        <w:t>28)</w:t>
      </w:r>
      <w:r w:rsidRPr="00FC2EE0">
        <w:t>;</w:t>
      </w:r>
    </w:p>
    <w:p w:rsidR="00FC2EE0" w:rsidRPr="00FC2EE0" w:rsidRDefault="00FC2EE0" w:rsidP="00FC2EE0">
      <w:pPr>
        <w:pStyle w:val="SingleTxtG"/>
        <w:ind w:firstLine="567"/>
      </w:pPr>
      <w:r>
        <w:t>(c)</w:t>
      </w:r>
      <w:r>
        <w:tab/>
      </w:r>
      <w:r w:rsidRPr="00FC2EE0">
        <w:t>Adhesión a la Iniciativa de Transparencia en las Industrias Extractivas</w:t>
      </w:r>
      <w:r>
        <w:t xml:space="preserve"> (</w:t>
      </w:r>
      <w:r w:rsidRPr="00FC2EE0">
        <w:t>EITI)</w:t>
      </w:r>
      <w:r w:rsidRPr="00FC2EE0">
        <w:rPr>
          <w:b/>
        </w:rPr>
        <w:t xml:space="preserve"> (Rec. 78)</w:t>
      </w:r>
      <w:r>
        <w:t>;</w:t>
      </w:r>
    </w:p>
    <w:p w:rsidR="00FC2EE0" w:rsidRPr="00FC2EE0" w:rsidRDefault="00FC2EE0" w:rsidP="00FC2EE0">
      <w:pPr>
        <w:pStyle w:val="SingleTxtG"/>
        <w:ind w:firstLine="567"/>
      </w:pPr>
      <w:r>
        <w:t>(d)</w:t>
      </w:r>
      <w:r>
        <w:tab/>
      </w:r>
      <w:r w:rsidRPr="00FC2EE0">
        <w:t xml:space="preserve">Ratificación del Estatuto de Roma relativo al Tribunal Penal Internacional </w:t>
      </w:r>
      <w:r w:rsidRPr="00FC2EE0">
        <w:rPr>
          <w:b/>
        </w:rPr>
        <w:t>(Rec. 18</w:t>
      </w:r>
      <w:r>
        <w:rPr>
          <w:b/>
        </w:rPr>
        <w:t xml:space="preserve">, 19, </w:t>
      </w:r>
      <w:r w:rsidRPr="00FC2EE0">
        <w:rPr>
          <w:b/>
        </w:rPr>
        <w:t>20</w:t>
      </w:r>
      <w:r>
        <w:rPr>
          <w:b/>
        </w:rPr>
        <w:t xml:space="preserve">, </w:t>
      </w:r>
      <w:r w:rsidRPr="00FC2EE0">
        <w:rPr>
          <w:b/>
        </w:rPr>
        <w:t>21)</w:t>
      </w:r>
      <w:r>
        <w:t>.</w:t>
      </w:r>
    </w:p>
    <w:p w:rsidR="00FC2EE0" w:rsidRPr="00FC2EE0" w:rsidRDefault="00FC2EE0" w:rsidP="00FC2EE0">
      <w:pPr>
        <w:pStyle w:val="HChG"/>
      </w:pPr>
      <w:r>
        <w:tab/>
      </w:r>
      <w:r>
        <w:tab/>
      </w:r>
      <w:r w:rsidRPr="00FC2EE0">
        <w:t>Consideraciones sobre las recomendaciones</w:t>
      </w:r>
    </w:p>
    <w:p w:rsidR="00FC2EE0" w:rsidRDefault="00FC2EE0" w:rsidP="00FC2EE0">
      <w:pPr>
        <w:pStyle w:val="H1G"/>
      </w:pPr>
      <w:r>
        <w:tab/>
        <w:t>A.</w:t>
      </w:r>
      <w:r>
        <w:tab/>
      </w:r>
      <w:r w:rsidRPr="00FC2EE0">
        <w:t>Establecimiento de una Institución Nacional de Derechos Humanos en conformi</w:t>
      </w:r>
      <w:r>
        <w:t>dad con los Principios de Paris</w:t>
      </w:r>
    </w:p>
    <w:p w:rsidR="00FC2EE0" w:rsidRPr="00FC2EE0" w:rsidRDefault="00FC2EE0" w:rsidP="00FC2EE0">
      <w:pPr>
        <w:pStyle w:val="SingleTxtG"/>
      </w:pPr>
      <w:r>
        <w:t>3.</w:t>
      </w:r>
      <w:r>
        <w:tab/>
      </w:r>
      <w:r w:rsidRPr="00FC2EE0">
        <w:t>El establecimiento de una Institución Nacional de Derechos Humanos (NHRI) que funcione de acuerdo con los Principios de Paris constituye una cuestión que merece la atención y consideración del Gobierno angoleño.</w:t>
      </w:r>
    </w:p>
    <w:p w:rsidR="00FC2EE0" w:rsidRPr="00FC2EE0" w:rsidRDefault="00FC2EE0" w:rsidP="00FC2EE0">
      <w:pPr>
        <w:pStyle w:val="SingleTxtG"/>
      </w:pPr>
      <w:r>
        <w:t>4.</w:t>
      </w:r>
      <w:r>
        <w:tab/>
      </w:r>
      <w:r w:rsidRPr="00FC2EE0">
        <w:t>El Defensor del Pueblo (Provedor de Justiça) en Angola es una entidad pública, independiente que tiene como objetivo la defensa de los Derechos, Libertades y Garantías de los ciudadanos, asegurando, a través de los medios informales, la Justicia y la legalidad de la Administración Pública.</w:t>
      </w:r>
    </w:p>
    <w:p w:rsidR="00FC2EE0" w:rsidRPr="00FC2EE0" w:rsidRDefault="00FC2EE0" w:rsidP="00FC2EE0">
      <w:pPr>
        <w:pStyle w:val="SingleTxtG"/>
      </w:pPr>
      <w:r>
        <w:t>5.</w:t>
      </w:r>
      <w:r>
        <w:tab/>
      </w:r>
      <w:r w:rsidRPr="00FC2EE0">
        <w:t>En términos generales, el Estatuto del Defensor del Pueblo está en conformidad con los Principios de Paris en lo que se refiere a las competencias, responsabilidades y la previsión Constitucional, por eso, tal y como en otros países, el Defensor del Pueblo de Angola desempeña el papel de Institución Nacional de Derechos Humanos.</w:t>
      </w:r>
    </w:p>
    <w:p w:rsidR="00FC2EE0" w:rsidRPr="00FC2EE0" w:rsidRDefault="00FC2EE0" w:rsidP="00FC2EE0">
      <w:pPr>
        <w:pStyle w:val="H1G"/>
      </w:pPr>
      <w:r>
        <w:tab/>
        <w:t>B.</w:t>
      </w:r>
      <w:r>
        <w:tab/>
      </w:r>
      <w:r w:rsidRPr="00FC2EE0">
        <w:t>Invitación abierta a todos los Relatores</w:t>
      </w:r>
      <w:r>
        <w:t xml:space="preserve"> Especiales para visitar Angola</w:t>
      </w:r>
    </w:p>
    <w:p w:rsidR="00FC2EE0" w:rsidRPr="00FC2EE0" w:rsidRDefault="00FC2EE0" w:rsidP="00FC2EE0">
      <w:pPr>
        <w:pStyle w:val="SingleTxtG"/>
      </w:pPr>
      <w:r>
        <w:t>6.</w:t>
      </w:r>
      <w:r>
        <w:tab/>
      </w:r>
      <w:r w:rsidRPr="00FC2EE0">
        <w:t>La República de Angola está comprometida con el respeto por los Derechos y Libertades Fundamentales de los Ciudadanos y ya recibió las visitas de varios Relatores Especiales y Altos Comisionados de las Naciones Unidas para los Derechos Humanos.</w:t>
      </w:r>
    </w:p>
    <w:p w:rsidR="00FC2EE0" w:rsidRPr="00FC2EE0" w:rsidRDefault="00FC2EE0" w:rsidP="00FC2EE0">
      <w:pPr>
        <w:pStyle w:val="SingleTxtG"/>
      </w:pPr>
      <w:r>
        <w:t>7.</w:t>
      </w:r>
      <w:r>
        <w:tab/>
      </w:r>
      <w:r w:rsidRPr="00FC2EE0">
        <w:t>En este momento están invitados para visitar Angola algunos de los Relatores Especiales para los Derechos Humanos, invitaciones que serán reiteradas oportunamente en función de la asistencia que precisan estos mecanismos especiales.</w:t>
      </w:r>
    </w:p>
    <w:p w:rsidR="00FC2EE0" w:rsidRPr="00FC2EE0" w:rsidRDefault="00FC2EE0" w:rsidP="00FC2EE0">
      <w:pPr>
        <w:pStyle w:val="SingleTxtG"/>
      </w:pPr>
      <w:r>
        <w:t>8.</w:t>
      </w:r>
      <w:r>
        <w:tab/>
      </w:r>
      <w:r w:rsidRPr="00FC2EE0">
        <w:t>El Gobierno angoleño considerará la posibilidad de invitar puntualmente otros relatores especiales.</w:t>
      </w:r>
    </w:p>
    <w:p w:rsidR="00FC2EE0" w:rsidRPr="00FC2EE0" w:rsidRDefault="00FC2EE0" w:rsidP="00FC2EE0">
      <w:pPr>
        <w:pStyle w:val="H1G"/>
      </w:pPr>
      <w:r>
        <w:tab/>
        <w:t>C.</w:t>
      </w:r>
      <w:r>
        <w:tab/>
      </w:r>
      <w:r w:rsidRPr="00FC2EE0">
        <w:t xml:space="preserve">Adhesión a la Iniciativa de Transparencia en las Industrias Extractivas </w:t>
      </w:r>
      <w:r>
        <w:t>(EITI)</w:t>
      </w:r>
    </w:p>
    <w:p w:rsidR="00FC2EE0" w:rsidRPr="00FC2EE0" w:rsidRDefault="00FC2EE0" w:rsidP="00FC2EE0">
      <w:pPr>
        <w:pStyle w:val="SingleTxtG"/>
      </w:pPr>
      <w:r>
        <w:t>9.</w:t>
      </w:r>
      <w:r>
        <w:tab/>
      </w:r>
      <w:r w:rsidRPr="00FC2EE0">
        <w:t xml:space="preserve">La República de Angola es miembro de la Convención de las Naciones Unidas y de la Unión Africana contra la Corrupción, y también miembro fundador del Proceso Kimberley, sobre la compra y venta de diamantes en el mercado formal, proceso que pretende evitar que los recursos naturales sean fuente de financiación de negocios ilícitos o </w:t>
      </w:r>
      <w:r w:rsidRPr="00FC2EE0">
        <w:lastRenderedPageBreak/>
        <w:t>de conflictos, respetando el mercado internacional y garantizando los Derechos Humanos de los ciudadanos, incluso ya ocupó la Presidencia de este Proceso.</w:t>
      </w:r>
    </w:p>
    <w:p w:rsidR="00FC2EE0" w:rsidRPr="00FC2EE0" w:rsidRDefault="00FC2EE0" w:rsidP="00FC2EE0">
      <w:pPr>
        <w:pStyle w:val="SingleTxtG"/>
      </w:pPr>
      <w:r>
        <w:t>10.</w:t>
      </w:r>
      <w:r>
        <w:tab/>
      </w:r>
      <w:r w:rsidRPr="00FC2EE0">
        <w:t>La posibilidad de la adhesión de Angola a la Iniciativa de Transparencia en las Industrias Extractivas (EITI) fue analizada en función de sus ventajas, por eso fue creado por Despacho Presidencial nº239/14 de 22 de Diciembre, un Grupo de Trabajo que evaluó su compatibilidad con el ordenamiento jurídico interno.</w:t>
      </w:r>
    </w:p>
    <w:p w:rsidR="00FC2EE0" w:rsidRPr="00FC2EE0" w:rsidRDefault="00FC2EE0" w:rsidP="00FC2EE0">
      <w:pPr>
        <w:pStyle w:val="H1G"/>
      </w:pPr>
      <w:r>
        <w:tab/>
        <w:t>D.</w:t>
      </w:r>
      <w:r>
        <w:tab/>
      </w:r>
      <w:r w:rsidRPr="00FC2EE0">
        <w:t>Ratificación del Estatuto de Roma sobre el Tribunal Penal Internacional</w:t>
      </w:r>
    </w:p>
    <w:p w:rsidR="00FC2EE0" w:rsidRPr="00FC2EE0" w:rsidRDefault="00FC2EE0" w:rsidP="00FC2EE0">
      <w:pPr>
        <w:pStyle w:val="SingleTxtG"/>
      </w:pPr>
      <w:r>
        <w:t>11.</w:t>
      </w:r>
      <w:r>
        <w:tab/>
      </w:r>
      <w:r w:rsidRPr="00FC2EE0">
        <w:t>En lo que se refiere a la ratificación del Estatuto de Roma, relativo a la adhesión al Tribunal Penal Internacional (TPI), Angola lo firmó y está analizando la compatibilidad de sus normas con la Constitución.</w:t>
      </w:r>
    </w:p>
    <w:p w:rsidR="00FC2EE0" w:rsidRPr="00FC2EE0" w:rsidRDefault="00FC2EE0" w:rsidP="00FC2EE0">
      <w:pPr>
        <w:pStyle w:val="SingleTxtG"/>
      </w:pPr>
      <w:r>
        <w:t>12.</w:t>
      </w:r>
      <w:r>
        <w:tab/>
      </w:r>
      <w:r w:rsidRPr="00FC2EE0">
        <w:t>En un primer análisis, se verificaron algunas contradicciones entre la Constitución de la República de Angola y el Estatuto del Tribunal Penal Internacional, lo que condiciona su Ratificación.</w:t>
      </w:r>
    </w:p>
    <w:p w:rsidR="00FC2EE0" w:rsidRPr="00FC2EE0" w:rsidRDefault="00FC2EE0" w:rsidP="00FC2EE0">
      <w:pPr>
        <w:pStyle w:val="SingleTxtG"/>
      </w:pPr>
      <w:r>
        <w:t>13.</w:t>
      </w:r>
      <w:r>
        <w:tab/>
      </w:r>
      <w:r w:rsidRPr="00FC2EE0">
        <w:t>Angola, como Estado Parte de la Unión Africana, apoya la posición de la Unión Africana sobre el Tribunal Penal Internacional</w:t>
      </w:r>
      <w:r>
        <w:t>.</w:t>
      </w:r>
    </w:p>
    <w:p w:rsidR="00FC2EE0" w:rsidRPr="00FC2EE0" w:rsidRDefault="00FC2EE0" w:rsidP="00FC2EE0">
      <w:pPr>
        <w:pStyle w:val="HChG"/>
      </w:pPr>
      <w:r>
        <w:tab/>
      </w:r>
      <w:r>
        <w:tab/>
      </w:r>
      <w:r w:rsidRPr="00FC2EE0">
        <w:t>C</w:t>
      </w:r>
      <w:r>
        <w:t>onsideraciones f</w:t>
      </w:r>
      <w:r w:rsidRPr="00FC2EE0">
        <w:t>inales</w:t>
      </w:r>
    </w:p>
    <w:p w:rsidR="00FC2EE0" w:rsidRPr="00FC2EE0" w:rsidRDefault="00FC2EE0" w:rsidP="00FC2EE0">
      <w:pPr>
        <w:pStyle w:val="SingleTxtG"/>
      </w:pPr>
      <w:r>
        <w:t>14.</w:t>
      </w:r>
      <w:r>
        <w:tab/>
      </w:r>
      <w:r w:rsidRPr="00FC2EE0">
        <w:t>Estas recomendaciones no fueron aceptadas por las razones que han sido aquí enunciadas, pero continuarán a merecer, durante los próximos cuatro años, la debida atención y consideración de las Instituciones Estatales y No Estatales angoleñas.</w:t>
      </w:r>
    </w:p>
    <w:p w:rsidR="00FC2EE0" w:rsidRDefault="00FC2EE0" w:rsidP="00FC2EE0">
      <w:pPr>
        <w:pStyle w:val="SingleTxtG"/>
      </w:pPr>
      <w:r>
        <w:t>15.</w:t>
      </w:r>
      <w:r>
        <w:tab/>
      </w:r>
      <w:r w:rsidRPr="00FC2EE0">
        <w:t>La República de Angola agradece, una vez más, a los Estados que intervinieron durante su Examen, a los miembros de la Troika, al Secretariado y a la Presidencia del Consejo de Derechos Humanos y reitera su total disposición para el diálogo abierto y constructivo con los mecanismos de Derechos Humanos.</w:t>
      </w:r>
    </w:p>
    <w:p w:rsidR="00FD7C12" w:rsidRPr="00FC2EE0" w:rsidRDefault="00FC2EE0" w:rsidP="00FC2EE0">
      <w:pPr>
        <w:pStyle w:val="SingleTxtG"/>
        <w:spacing w:before="240" w:after="0"/>
        <w:jc w:val="center"/>
        <w:rPr>
          <w:u w:val="single"/>
        </w:rPr>
      </w:pPr>
      <w:r>
        <w:rPr>
          <w:u w:val="single"/>
        </w:rPr>
        <w:tab/>
      </w:r>
      <w:r>
        <w:rPr>
          <w:u w:val="single"/>
        </w:rPr>
        <w:tab/>
      </w:r>
      <w:r>
        <w:rPr>
          <w:u w:val="single"/>
        </w:rPr>
        <w:tab/>
      </w:r>
    </w:p>
    <w:sectPr w:rsidR="00FD7C12" w:rsidRPr="00FC2EE0" w:rsidSect="00FC2EE0">
      <w:headerReference w:type="even" r:id="rId7"/>
      <w:headerReference w:type="default" r:id="rId8"/>
      <w:footerReference w:type="even" r:id="rId9"/>
      <w:footerReference w:type="default" r:id="rId10"/>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EE0" w:rsidRDefault="00FC2EE0"/>
  </w:endnote>
  <w:endnote w:type="continuationSeparator" w:id="0">
    <w:p w:rsidR="00FC2EE0" w:rsidRDefault="00FC2EE0"/>
  </w:endnote>
  <w:endnote w:type="continuationNotice" w:id="1">
    <w:p w:rsidR="00FC2EE0" w:rsidRDefault="00FC2E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EE0" w:rsidRPr="00FC2EE0" w:rsidRDefault="00FC2EE0" w:rsidP="00FC2EE0">
    <w:pPr>
      <w:pStyle w:val="Footer"/>
      <w:tabs>
        <w:tab w:val="right" w:pos="9638"/>
      </w:tabs>
    </w:pPr>
    <w:r w:rsidRPr="00FC2EE0">
      <w:rPr>
        <w:b/>
        <w:sz w:val="18"/>
      </w:rPr>
      <w:fldChar w:fldCharType="begin"/>
    </w:r>
    <w:r w:rsidRPr="00FC2EE0">
      <w:rPr>
        <w:b/>
        <w:sz w:val="18"/>
      </w:rPr>
      <w:instrText xml:space="preserve"> PAGE  \* MERGEFORMAT </w:instrText>
    </w:r>
    <w:r w:rsidRPr="00FC2EE0">
      <w:rPr>
        <w:b/>
        <w:sz w:val="18"/>
      </w:rPr>
      <w:fldChar w:fldCharType="separate"/>
    </w:r>
    <w:r w:rsidR="003B0DE1">
      <w:rPr>
        <w:b/>
        <w:noProof/>
        <w:sz w:val="18"/>
      </w:rPr>
      <w:t>2</w:t>
    </w:r>
    <w:r w:rsidRPr="00FC2EE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EE0" w:rsidRPr="00FC2EE0" w:rsidRDefault="00FC2EE0" w:rsidP="00FC2EE0">
    <w:pPr>
      <w:pStyle w:val="Footer"/>
      <w:tabs>
        <w:tab w:val="right" w:pos="9638"/>
      </w:tabs>
      <w:rPr>
        <w:b/>
        <w:sz w:val="18"/>
      </w:rPr>
    </w:pPr>
    <w:r>
      <w:tab/>
    </w:r>
    <w:r w:rsidRPr="00FC2EE0">
      <w:rPr>
        <w:b/>
        <w:sz w:val="18"/>
      </w:rPr>
      <w:fldChar w:fldCharType="begin"/>
    </w:r>
    <w:r w:rsidRPr="00FC2EE0">
      <w:rPr>
        <w:b/>
        <w:sz w:val="18"/>
      </w:rPr>
      <w:instrText xml:space="preserve"> PAGE  \* MERGEFORMAT </w:instrText>
    </w:r>
    <w:r w:rsidRPr="00FC2EE0">
      <w:rPr>
        <w:b/>
        <w:sz w:val="18"/>
      </w:rPr>
      <w:fldChar w:fldCharType="separate"/>
    </w:r>
    <w:r w:rsidR="003B0DE1">
      <w:rPr>
        <w:b/>
        <w:noProof/>
        <w:sz w:val="18"/>
      </w:rPr>
      <w:t>3</w:t>
    </w:r>
    <w:r w:rsidRPr="00FC2EE0">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EE0" w:rsidRPr="000B175B" w:rsidRDefault="00FC2EE0" w:rsidP="000B175B">
      <w:pPr>
        <w:tabs>
          <w:tab w:val="right" w:pos="2155"/>
        </w:tabs>
        <w:spacing w:after="80"/>
        <w:ind w:left="680"/>
        <w:rPr>
          <w:u w:val="single"/>
        </w:rPr>
      </w:pPr>
      <w:r>
        <w:rPr>
          <w:u w:val="single"/>
        </w:rPr>
        <w:tab/>
      </w:r>
    </w:p>
  </w:footnote>
  <w:footnote w:type="continuationSeparator" w:id="0">
    <w:p w:rsidR="00FC2EE0" w:rsidRPr="00FC68B7" w:rsidRDefault="00FC2EE0" w:rsidP="00FC68B7">
      <w:pPr>
        <w:tabs>
          <w:tab w:val="left" w:pos="2155"/>
        </w:tabs>
        <w:spacing w:after="80"/>
        <w:ind w:left="680"/>
        <w:rPr>
          <w:u w:val="single"/>
        </w:rPr>
      </w:pPr>
      <w:r>
        <w:rPr>
          <w:u w:val="single"/>
        </w:rPr>
        <w:tab/>
      </w:r>
    </w:p>
  </w:footnote>
  <w:footnote w:type="continuationNotice" w:id="1">
    <w:p w:rsidR="00FC2EE0" w:rsidRDefault="00FC2EE0"/>
  </w:footnote>
  <w:footnote w:id="2">
    <w:p w:rsidR="00FC2EE0" w:rsidRDefault="00FC2EE0" w:rsidP="00FC2EE0">
      <w:pPr>
        <w:pStyle w:val="FootnoteText"/>
        <w:rPr>
          <w:sz w:val="20"/>
          <w:lang w:val="fr-CH"/>
        </w:rPr>
      </w:pPr>
      <w:r>
        <w:tab/>
      </w:r>
      <w:r w:rsidRPr="003B5FDD">
        <w:rPr>
          <w:rStyle w:val="FootnoteReference"/>
          <w:sz w:val="20"/>
          <w:vertAlign w:val="baseline"/>
          <w:lang w:val="fr-CH"/>
        </w:rPr>
        <w:t>*</w:t>
      </w:r>
      <w:r>
        <w:rPr>
          <w:lang w:val="fr-CH"/>
        </w:rPr>
        <w:tab/>
        <w:t>El presente documento no fue objeto de revisión editorial antes de ser enviado a los servicios de traducción de las Naciones Unidas.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EE0" w:rsidRPr="00FC2EE0" w:rsidRDefault="003B0DE1">
    <w:pPr>
      <w:pStyle w:val="Header"/>
    </w:pPr>
    <w:r>
      <w:fldChar w:fldCharType="begin"/>
    </w:r>
    <w:r>
      <w:instrText xml:space="preserve"> TITLE  \* MERGEFORMAT </w:instrText>
    </w:r>
    <w:r>
      <w:fldChar w:fldCharType="separate"/>
    </w:r>
    <w:r w:rsidR="00A655E3">
      <w:t>A/HRC/43/11/Add.1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EE0" w:rsidRPr="00FC2EE0" w:rsidRDefault="003B0DE1" w:rsidP="00FC2EE0">
    <w:pPr>
      <w:pStyle w:val="Header"/>
      <w:jc w:val="right"/>
    </w:pPr>
    <w:r>
      <w:fldChar w:fldCharType="begin"/>
    </w:r>
    <w:r>
      <w:instrText xml:space="preserve"> TITLE  \* MERGEFORMAT </w:instrText>
    </w:r>
    <w:r>
      <w:fldChar w:fldCharType="separate"/>
    </w:r>
    <w:r w:rsidR="00A655E3">
      <w:t>A/HRC/43/11/Add.1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2937B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1F089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BE718DB"/>
    <w:multiLevelType w:val="hybridMultilevel"/>
    <w:tmpl w:val="A0F462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5E4EA8"/>
    <w:multiLevelType w:val="hybridMultilevel"/>
    <w:tmpl w:val="759C3ED4"/>
    <w:lvl w:ilvl="0" w:tplc="04090019">
      <w:start w:val="1"/>
      <w:numFmt w:val="lowerLetter"/>
      <w:lvlText w:val="%1."/>
      <w:lvlJc w:val="left"/>
      <w:pPr>
        <w:ind w:left="144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5"/>
  </w:num>
  <w:num w:numId="5">
    <w:abstractNumId w:val="0"/>
  </w:num>
  <w:num w:numId="6">
    <w:abstractNumId w:val="1"/>
  </w:num>
  <w:num w:numId="7">
    <w:abstractNumId w:val="6"/>
  </w:num>
  <w:num w:numId="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0"/>
  <w:activeWritingStyle w:appName="MSWord" w:lang="fr-FR" w:vendorID="64" w:dllVersion="131078" w:nlCheck="1" w:checkStyle="0"/>
  <w:activeWritingStyle w:appName="MSWord" w:lang="fr-CH"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EE0"/>
    <w:rsid w:val="00015E16"/>
    <w:rsid w:val="000328F5"/>
    <w:rsid w:val="000403D1"/>
    <w:rsid w:val="000449AA"/>
    <w:rsid w:val="00050F6B"/>
    <w:rsid w:val="000720D1"/>
    <w:rsid w:val="00072C8C"/>
    <w:rsid w:val="00073E70"/>
    <w:rsid w:val="00091419"/>
    <w:rsid w:val="000931C0"/>
    <w:rsid w:val="000B175B"/>
    <w:rsid w:val="000B3A0F"/>
    <w:rsid w:val="000E0415"/>
    <w:rsid w:val="00146D32"/>
    <w:rsid w:val="001509BA"/>
    <w:rsid w:val="00184F17"/>
    <w:rsid w:val="001B4B04"/>
    <w:rsid w:val="001C6663"/>
    <w:rsid w:val="001C7895"/>
    <w:rsid w:val="001D26DF"/>
    <w:rsid w:val="002043CF"/>
    <w:rsid w:val="00211E0B"/>
    <w:rsid w:val="00211E72"/>
    <w:rsid w:val="00214047"/>
    <w:rsid w:val="0022130F"/>
    <w:rsid w:val="00237785"/>
    <w:rsid w:val="00241466"/>
    <w:rsid w:val="00253D58"/>
    <w:rsid w:val="002C0119"/>
    <w:rsid w:val="002C21F0"/>
    <w:rsid w:val="003107FA"/>
    <w:rsid w:val="003229D8"/>
    <w:rsid w:val="00335A2F"/>
    <w:rsid w:val="0039277A"/>
    <w:rsid w:val="003972E0"/>
    <w:rsid w:val="003B0DE1"/>
    <w:rsid w:val="003B5FDD"/>
    <w:rsid w:val="003C2CC4"/>
    <w:rsid w:val="003D4B23"/>
    <w:rsid w:val="00424C80"/>
    <w:rsid w:val="004325CB"/>
    <w:rsid w:val="0043536E"/>
    <w:rsid w:val="0044503A"/>
    <w:rsid w:val="00446DE4"/>
    <w:rsid w:val="00451EC3"/>
    <w:rsid w:val="004859EC"/>
    <w:rsid w:val="00496A15"/>
    <w:rsid w:val="004F55ED"/>
    <w:rsid w:val="005120EB"/>
    <w:rsid w:val="0052176C"/>
    <w:rsid w:val="005261E5"/>
    <w:rsid w:val="005420F2"/>
    <w:rsid w:val="00542574"/>
    <w:rsid w:val="005436AB"/>
    <w:rsid w:val="00546DBF"/>
    <w:rsid w:val="005552B5"/>
    <w:rsid w:val="00571365"/>
    <w:rsid w:val="005B048C"/>
    <w:rsid w:val="005B3DB3"/>
    <w:rsid w:val="005B6E48"/>
    <w:rsid w:val="005E2A01"/>
    <w:rsid w:val="005F2A1E"/>
    <w:rsid w:val="00611FC4"/>
    <w:rsid w:val="006176FB"/>
    <w:rsid w:val="006301B4"/>
    <w:rsid w:val="00640B26"/>
    <w:rsid w:val="00670741"/>
    <w:rsid w:val="006A7392"/>
    <w:rsid w:val="006B3189"/>
    <w:rsid w:val="006B7D65"/>
    <w:rsid w:val="006E564B"/>
    <w:rsid w:val="0072632A"/>
    <w:rsid w:val="0074200B"/>
    <w:rsid w:val="007A6296"/>
    <w:rsid w:val="007B6BA5"/>
    <w:rsid w:val="007C1B62"/>
    <w:rsid w:val="007C3390"/>
    <w:rsid w:val="007C4F4B"/>
    <w:rsid w:val="007D2CDC"/>
    <w:rsid w:val="007D5327"/>
    <w:rsid w:val="007F6611"/>
    <w:rsid w:val="008155C3"/>
    <w:rsid w:val="008175E9"/>
    <w:rsid w:val="0082243E"/>
    <w:rsid w:val="008242D7"/>
    <w:rsid w:val="00856CD2"/>
    <w:rsid w:val="00870DBD"/>
    <w:rsid w:val="00871FD5"/>
    <w:rsid w:val="0088487D"/>
    <w:rsid w:val="008979B1"/>
    <w:rsid w:val="008A6B25"/>
    <w:rsid w:val="008A6C4F"/>
    <w:rsid w:val="008C1E4D"/>
    <w:rsid w:val="008E0E46"/>
    <w:rsid w:val="008F1729"/>
    <w:rsid w:val="00907C3F"/>
    <w:rsid w:val="0093707B"/>
    <w:rsid w:val="009400EB"/>
    <w:rsid w:val="009427E3"/>
    <w:rsid w:val="00956D9B"/>
    <w:rsid w:val="00963CBA"/>
    <w:rsid w:val="009654B7"/>
    <w:rsid w:val="00987836"/>
    <w:rsid w:val="00991261"/>
    <w:rsid w:val="009A0B83"/>
    <w:rsid w:val="009B3800"/>
    <w:rsid w:val="009D50DB"/>
    <w:rsid w:val="00A05E0B"/>
    <w:rsid w:val="00A1427D"/>
    <w:rsid w:val="00A4634F"/>
    <w:rsid w:val="00A655E3"/>
    <w:rsid w:val="00A72F22"/>
    <w:rsid w:val="00A748A6"/>
    <w:rsid w:val="00A879A4"/>
    <w:rsid w:val="00A87E95"/>
    <w:rsid w:val="00A92E29"/>
    <w:rsid w:val="00AD09E9"/>
    <w:rsid w:val="00AF0576"/>
    <w:rsid w:val="00AF3829"/>
    <w:rsid w:val="00B037F0"/>
    <w:rsid w:val="00B30179"/>
    <w:rsid w:val="00B3317B"/>
    <w:rsid w:val="00B334DC"/>
    <w:rsid w:val="00B3631A"/>
    <w:rsid w:val="00B53013"/>
    <w:rsid w:val="00B572AC"/>
    <w:rsid w:val="00B67F5E"/>
    <w:rsid w:val="00B73E65"/>
    <w:rsid w:val="00B81E12"/>
    <w:rsid w:val="00B87E6C"/>
    <w:rsid w:val="00B97FA8"/>
    <w:rsid w:val="00BC1385"/>
    <w:rsid w:val="00BC74E9"/>
    <w:rsid w:val="00BE618E"/>
    <w:rsid w:val="00C24693"/>
    <w:rsid w:val="00C35F0B"/>
    <w:rsid w:val="00C429FD"/>
    <w:rsid w:val="00C463DD"/>
    <w:rsid w:val="00C64458"/>
    <w:rsid w:val="00C745C3"/>
    <w:rsid w:val="00C81733"/>
    <w:rsid w:val="00CB0AB8"/>
    <w:rsid w:val="00CB7072"/>
    <w:rsid w:val="00CC0B55"/>
    <w:rsid w:val="00CC4E8A"/>
    <w:rsid w:val="00CE4A8F"/>
    <w:rsid w:val="00CF7D43"/>
    <w:rsid w:val="00D11129"/>
    <w:rsid w:val="00D2031B"/>
    <w:rsid w:val="00D22332"/>
    <w:rsid w:val="00D25FE2"/>
    <w:rsid w:val="00D43252"/>
    <w:rsid w:val="00D43867"/>
    <w:rsid w:val="00D550F9"/>
    <w:rsid w:val="00D56F27"/>
    <w:rsid w:val="00D83A41"/>
    <w:rsid w:val="00D978C6"/>
    <w:rsid w:val="00DA67AD"/>
    <w:rsid w:val="00DB18CE"/>
    <w:rsid w:val="00DE3EC0"/>
    <w:rsid w:val="00E12B6B"/>
    <w:rsid w:val="00E130AB"/>
    <w:rsid w:val="00E438D9"/>
    <w:rsid w:val="00E5644E"/>
    <w:rsid w:val="00E7260F"/>
    <w:rsid w:val="00E96630"/>
    <w:rsid w:val="00EB0FB9"/>
    <w:rsid w:val="00ED7A2A"/>
    <w:rsid w:val="00EF1D7F"/>
    <w:rsid w:val="00EF5BDB"/>
    <w:rsid w:val="00F07FD9"/>
    <w:rsid w:val="00F23933"/>
    <w:rsid w:val="00F40E75"/>
    <w:rsid w:val="00F52936"/>
    <w:rsid w:val="00FA7DF3"/>
    <w:rsid w:val="00FC2EE0"/>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68A83D"/>
  <w15:docId w15:val="{43BFF278-BCC0-43D8-A0E7-5FD7040F5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3CF"/>
    <w:pPr>
      <w:suppressAutoHyphens/>
      <w:spacing w:line="240" w:lineRule="atLeast"/>
    </w:pPr>
    <w:rPr>
      <w:lang w:val="es-ES" w:eastAsia="en-US"/>
    </w:rPr>
  </w:style>
  <w:style w:type="paragraph" w:styleId="Heading1">
    <w:name w:val="heading 1"/>
    <w:aliases w:val="Table_G"/>
    <w:basedOn w:val="SingleTxtG"/>
    <w:next w:val="SingleTxtG"/>
    <w:qFormat/>
    <w:rsid w:val="002C0119"/>
    <w:pPr>
      <w:spacing w:after="0" w:line="240" w:lineRule="auto"/>
      <w:ind w:right="0"/>
      <w:jc w:val="left"/>
      <w:outlineLvl w:val="0"/>
    </w:pPr>
    <w:rPr>
      <w:lang w:val="en-GB"/>
    </w:rPr>
  </w:style>
  <w:style w:type="paragraph" w:styleId="Heading2">
    <w:name w:val="heading 2"/>
    <w:basedOn w:val="Normal"/>
    <w:next w:val="Normal"/>
    <w:semiHidden/>
    <w:qFormat/>
    <w:rsid w:val="002C0119"/>
    <w:pPr>
      <w:spacing w:line="240" w:lineRule="auto"/>
      <w:outlineLvl w:val="1"/>
    </w:pPr>
    <w:rPr>
      <w:lang w:val="en-GB"/>
    </w:rPr>
  </w:style>
  <w:style w:type="paragraph" w:styleId="Heading3">
    <w:name w:val="heading 3"/>
    <w:basedOn w:val="Normal"/>
    <w:next w:val="Normal"/>
    <w:semiHidden/>
    <w:qFormat/>
    <w:rsid w:val="002C0119"/>
    <w:pPr>
      <w:spacing w:line="240" w:lineRule="auto"/>
      <w:outlineLvl w:val="2"/>
    </w:pPr>
    <w:rPr>
      <w:lang w:val="en-GB"/>
    </w:rPr>
  </w:style>
  <w:style w:type="paragraph" w:styleId="Heading4">
    <w:name w:val="heading 4"/>
    <w:basedOn w:val="Normal"/>
    <w:next w:val="Normal"/>
    <w:semiHidden/>
    <w:qFormat/>
    <w:rsid w:val="002C0119"/>
    <w:pPr>
      <w:spacing w:line="240" w:lineRule="auto"/>
      <w:outlineLvl w:val="3"/>
    </w:pPr>
    <w:rPr>
      <w:lang w:val="en-GB"/>
    </w:rPr>
  </w:style>
  <w:style w:type="paragraph" w:styleId="Heading5">
    <w:name w:val="heading 5"/>
    <w:basedOn w:val="Normal"/>
    <w:next w:val="Normal"/>
    <w:semiHidden/>
    <w:qFormat/>
    <w:rsid w:val="002C0119"/>
    <w:pPr>
      <w:spacing w:line="240" w:lineRule="auto"/>
      <w:outlineLvl w:val="4"/>
    </w:pPr>
    <w:rPr>
      <w:lang w:val="en-GB"/>
    </w:rPr>
  </w:style>
  <w:style w:type="paragraph" w:styleId="Heading6">
    <w:name w:val="heading 6"/>
    <w:basedOn w:val="Normal"/>
    <w:next w:val="Normal"/>
    <w:semiHidden/>
    <w:qFormat/>
    <w:rsid w:val="002C0119"/>
    <w:pPr>
      <w:spacing w:line="240" w:lineRule="auto"/>
      <w:outlineLvl w:val="5"/>
    </w:pPr>
    <w:rPr>
      <w:lang w:val="en-GB"/>
    </w:rPr>
  </w:style>
  <w:style w:type="paragraph" w:styleId="Heading7">
    <w:name w:val="heading 7"/>
    <w:basedOn w:val="Normal"/>
    <w:next w:val="Normal"/>
    <w:semiHidden/>
    <w:qFormat/>
    <w:rsid w:val="002C0119"/>
    <w:pPr>
      <w:spacing w:line="240" w:lineRule="auto"/>
      <w:outlineLvl w:val="6"/>
    </w:pPr>
    <w:rPr>
      <w:lang w:val="en-GB"/>
    </w:rPr>
  </w:style>
  <w:style w:type="paragraph" w:styleId="Heading8">
    <w:name w:val="heading 8"/>
    <w:basedOn w:val="Normal"/>
    <w:next w:val="Normal"/>
    <w:semiHidden/>
    <w:qFormat/>
    <w:rsid w:val="002C0119"/>
    <w:pPr>
      <w:spacing w:line="240" w:lineRule="auto"/>
      <w:outlineLvl w:val="7"/>
    </w:pPr>
    <w:rPr>
      <w:lang w:val="en-GB"/>
    </w:rPr>
  </w:style>
  <w:style w:type="paragraph" w:styleId="Heading9">
    <w:name w:val="heading 9"/>
    <w:basedOn w:val="Normal"/>
    <w:next w:val="Normal"/>
    <w:semiHidden/>
    <w:qFormat/>
    <w:rsid w:val="002C0119"/>
    <w:pPr>
      <w:spacing w:line="240" w:lineRule="auto"/>
      <w:outlineLvl w:val="8"/>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pPr>
      <w:spacing w:after="120"/>
      <w:ind w:left="1134" w:right="1134"/>
      <w:jc w:val="both"/>
    </w:pPr>
  </w:style>
  <w:style w:type="paragraph" w:customStyle="1" w:styleId="HMG">
    <w:name w:val="_ H __M_G"/>
    <w:basedOn w:val="Normal"/>
    <w:next w:val="Normal"/>
    <w:qFormat/>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2C0119"/>
    <w:rPr>
      <w:rFonts w:ascii="Times New Roman" w:hAnsi="Times New Roman"/>
      <w:sz w:val="18"/>
      <w:vertAlign w:val="superscript"/>
    </w:rPr>
  </w:style>
  <w:style w:type="character" w:styleId="EndnoteReference">
    <w:name w:val="endnote reference"/>
    <w:aliases w:val="1_G"/>
    <w:basedOn w:val="FootnoteReference"/>
    <w:qFormat/>
    <w:rsid w:val="002C0119"/>
    <w:rPr>
      <w:rFonts w:ascii="Times New Roman" w:hAnsi="Times New Roman"/>
      <w:sz w:val="18"/>
      <w:vertAlign w:val="superscript"/>
    </w:rPr>
  </w:style>
  <w:style w:type="paragraph" w:styleId="Header">
    <w:name w:val="header"/>
    <w:aliases w:val="6_G"/>
    <w:basedOn w:val="Normal"/>
    <w:qFormat/>
    <w:rsid w:val="002C0119"/>
    <w:pPr>
      <w:pBdr>
        <w:bottom w:val="single" w:sz="4" w:space="4" w:color="auto"/>
      </w:pBdr>
      <w:spacing w:line="240" w:lineRule="auto"/>
    </w:pPr>
    <w:rPr>
      <w:b/>
      <w:sz w:val="18"/>
      <w:lang w:val="en-GB"/>
    </w:rPr>
  </w:style>
  <w:style w:type="table" w:styleId="TableGrid">
    <w:name w:val="Table Grid"/>
    <w:basedOn w:val="TableNormal"/>
    <w:semiHidden/>
    <w:rsid w:val="002C011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6301B4"/>
    <w:rPr>
      <w:color w:val="auto"/>
      <w:u w:val="none"/>
    </w:rPr>
  </w:style>
  <w:style w:type="character" w:styleId="FollowedHyperlink">
    <w:name w:val="FollowedHyperlink"/>
    <w:basedOn w:val="DefaultParagraphFont"/>
    <w:semiHidden/>
    <w:rsid w:val="006301B4"/>
    <w:rPr>
      <w:color w:val="auto"/>
      <w:u w:val="none"/>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2C0119"/>
    <w:pPr>
      <w:tabs>
        <w:tab w:val="right" w:pos="1021"/>
      </w:tabs>
      <w:spacing w:line="220" w:lineRule="exact"/>
      <w:ind w:left="1134" w:right="1134" w:hanging="1134"/>
    </w:pPr>
    <w:rPr>
      <w:sz w:val="18"/>
      <w:lang w:val="en-GB"/>
    </w:rPr>
  </w:style>
  <w:style w:type="paragraph" w:styleId="EndnoteText">
    <w:name w:val="endnote text"/>
    <w:aliases w:val="2_G"/>
    <w:basedOn w:val="FootnoteText"/>
    <w:qFormat/>
    <w:rsid w:val="002C0119"/>
  </w:style>
  <w:style w:type="character" w:styleId="PageNumber">
    <w:name w:val="page number"/>
    <w:aliases w:val="7_G"/>
    <w:basedOn w:val="DefaultParagraphFont"/>
    <w:qFormat/>
    <w:rsid w:val="002C0119"/>
    <w:rPr>
      <w:rFonts w:ascii="Times New Roman" w:hAnsi="Times New Roman"/>
      <w:b/>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qFormat/>
    <w:rsid w:val="0072632A"/>
    <w:pPr>
      <w:numPr>
        <w:numId w:val="1"/>
      </w:numPr>
      <w:spacing w:after="120"/>
      <w:ind w:right="1134"/>
      <w:jc w:val="both"/>
    </w:pPr>
  </w:style>
  <w:style w:type="paragraph" w:styleId="Footer">
    <w:name w:val="footer"/>
    <w:aliases w:val="3_G"/>
    <w:basedOn w:val="Normal"/>
    <w:qFormat/>
    <w:rsid w:val="002C0119"/>
    <w:pPr>
      <w:spacing w:line="240" w:lineRule="auto"/>
    </w:pPr>
    <w:rPr>
      <w:sz w:val="16"/>
      <w:lang w:val="en-GB"/>
    </w:rPr>
  </w:style>
  <w:style w:type="paragraph" w:customStyle="1" w:styleId="Bullet2G">
    <w:name w:val="_Bullet 2_G"/>
    <w:basedOn w:val="Normal"/>
    <w:qFormat/>
    <w:rsid w:val="003C2CC4"/>
    <w:pPr>
      <w:numPr>
        <w:numId w:val="2"/>
      </w:numPr>
      <w:spacing w:after="120"/>
      <w:ind w:right="1134"/>
      <w:jc w:val="both"/>
    </w:pPr>
  </w:style>
  <w:style w:type="paragraph" w:customStyle="1" w:styleId="H1G">
    <w:name w:val="_ H_1_G"/>
    <w:basedOn w:val="Normal"/>
    <w:next w:val="Normal"/>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B3631A"/>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C81733"/>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C81733"/>
    <w:rPr>
      <w:rFonts w:ascii="Tahoma" w:hAnsi="Tahoma" w:cs="Tahoma"/>
      <w:sz w:val="16"/>
      <w:szCs w:val="16"/>
      <w:lang w:val="es-ES" w:eastAsia="en-US"/>
    </w:rPr>
  </w:style>
  <w:style w:type="paragraph" w:customStyle="1" w:styleId="ParNoG">
    <w:name w:val="_ParNo_G"/>
    <w:basedOn w:val="SingleTxtG"/>
    <w:qFormat/>
    <w:rsid w:val="005F2A1E"/>
    <w:pPr>
      <w:numPr>
        <w:numId w:val="6"/>
      </w:numPr>
      <w:kinsoku w:val="0"/>
      <w:overflowPunct w:val="0"/>
      <w:autoSpaceDE w:val="0"/>
      <w:autoSpaceDN w:val="0"/>
      <w:adjustRightInd w:val="0"/>
      <w:snapToGrid w:val="0"/>
    </w:pPr>
  </w:style>
  <w:style w:type="character" w:customStyle="1" w:styleId="FootnoteTextChar">
    <w:name w:val="Footnote Text Char"/>
    <w:aliases w:val="5_G Char"/>
    <w:basedOn w:val="DefaultParagraphFont"/>
    <w:link w:val="FootnoteText"/>
    <w:rsid w:val="00FC2EE0"/>
    <w:rPr>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S.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E6C6311E89394BAC013BACDEE170A4" ma:contentTypeVersion="1" ma:contentTypeDescription="Create a new document." ma:contentTypeScope="" ma:versionID="1e33fb97f2eb26883d8f9081fc864e4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8C84C7C-993C-4AA2-A757-43F1657BBCB1}"/>
</file>

<file path=customXml/itemProps2.xml><?xml version="1.0" encoding="utf-8"?>
<ds:datastoreItem xmlns:ds="http://schemas.openxmlformats.org/officeDocument/2006/customXml" ds:itemID="{CD1F93BC-4943-462A-9FB2-EE46930D65D3}"/>
</file>

<file path=customXml/itemProps3.xml><?xml version="1.0" encoding="utf-8"?>
<ds:datastoreItem xmlns:ds="http://schemas.openxmlformats.org/officeDocument/2006/customXml" ds:itemID="{F0E47DA9-847F-4223-B470-4D7F75565F18}"/>
</file>

<file path=docProps/app.xml><?xml version="1.0" encoding="utf-8"?>
<Properties xmlns="http://schemas.openxmlformats.org/officeDocument/2006/extended-properties" xmlns:vt="http://schemas.openxmlformats.org/officeDocument/2006/docPropsVTypes">
  <Template>A_S.dotm</Template>
  <TotalTime>1</TotalTime>
  <Pages>3</Pages>
  <Words>768</Words>
  <Characters>4384</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A/HRC/43/11/Add.1</vt:lpstr>
      <vt:lpstr/>
    </vt:vector>
  </TitlesOfParts>
  <Company>CSD</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A/HRC/43/11/Add.1</dc:title>
  <dc:creator>IHARA Sumiko</dc:creator>
  <cp:lastModifiedBy>LANZ Veronique</cp:lastModifiedBy>
  <cp:revision>2</cp:revision>
  <cp:lastPrinted>2020-02-12T14:46:00Z</cp:lastPrinted>
  <dcterms:created xsi:type="dcterms:W3CDTF">2020-02-26T10:53:00Z</dcterms:created>
  <dcterms:modified xsi:type="dcterms:W3CDTF">2020-02-26T10:53:00Z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0x010100CAE6C6311E89394BAC013BACDEE170A4</vt:lpwstr>
  </property>
</Properties>
</file>