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F9A2" w14:textId="6EC26BAC" w:rsidR="009965B5" w:rsidRPr="0008161E" w:rsidRDefault="000B234E" w:rsidP="00671925">
      <w:pPr>
        <w:bidi w:val="0"/>
        <w:spacing w:before="120" w:after="120" w:line="420" w:lineRule="exact"/>
        <w:ind w:right="49"/>
        <w:jc w:val="center"/>
        <w:rPr>
          <w:rFonts w:asciiTheme="minorBidi" w:hAnsiTheme="minorBidi" w:cstheme="minorBidi"/>
          <w:sz w:val="26"/>
          <w:szCs w:val="26"/>
        </w:rPr>
      </w:pPr>
      <w:bookmarkStart w:id="0" w:name="_GoBack"/>
      <w:bookmarkEnd w:id="0"/>
      <w:r w:rsidRPr="0008161E">
        <w:rPr>
          <w:rFonts w:asciiTheme="minorBidi" w:hAnsiTheme="minorBidi" w:cstheme="minorBidi"/>
          <w:sz w:val="26"/>
          <w:szCs w:val="26"/>
        </w:rPr>
        <w:t>[</w:t>
      </w:r>
      <w:r w:rsidR="009965B5" w:rsidRPr="0008161E">
        <w:rPr>
          <w:rFonts w:asciiTheme="minorBidi" w:hAnsiTheme="minorBidi" w:cstheme="minorBidi"/>
          <w:sz w:val="26"/>
          <w:szCs w:val="26"/>
        </w:rPr>
        <w:t>Unofficial Translation</w:t>
      </w:r>
      <w:r w:rsidRPr="0008161E">
        <w:rPr>
          <w:rFonts w:asciiTheme="minorBidi" w:hAnsiTheme="minorBidi" w:cstheme="minorBidi"/>
          <w:sz w:val="26"/>
          <w:szCs w:val="26"/>
        </w:rPr>
        <w:t>]</w:t>
      </w:r>
    </w:p>
    <w:p w14:paraId="4DE02A3B" w14:textId="77777777" w:rsidR="009965B5" w:rsidRPr="0008161E" w:rsidRDefault="009965B5" w:rsidP="00671925">
      <w:pPr>
        <w:bidi w:val="0"/>
        <w:spacing w:after="0" w:line="280" w:lineRule="exact"/>
        <w:ind w:right="49"/>
        <w:jc w:val="both"/>
        <w:rPr>
          <w:rFonts w:asciiTheme="majorBidi" w:hAnsiTheme="majorBidi" w:cstheme="majorBidi"/>
        </w:rPr>
      </w:pPr>
      <w:r w:rsidRPr="0008161E">
        <w:rPr>
          <w:rFonts w:asciiTheme="majorBidi" w:hAnsiTheme="majorBidi" w:cstheme="majorBidi"/>
        </w:rPr>
        <w:t>Human Rights Council</w:t>
      </w:r>
    </w:p>
    <w:p w14:paraId="26D9A345" w14:textId="3DA4E097" w:rsidR="009965B5" w:rsidRPr="0008161E" w:rsidRDefault="009965B5" w:rsidP="00671925">
      <w:pPr>
        <w:bidi w:val="0"/>
        <w:spacing w:after="0" w:line="280" w:lineRule="exact"/>
        <w:ind w:right="49"/>
        <w:jc w:val="both"/>
        <w:rPr>
          <w:rFonts w:asciiTheme="majorBidi" w:hAnsiTheme="majorBidi" w:cstheme="majorBidi"/>
        </w:rPr>
      </w:pPr>
      <w:r w:rsidRPr="0008161E">
        <w:rPr>
          <w:rFonts w:asciiTheme="majorBidi" w:hAnsiTheme="majorBidi" w:cstheme="majorBidi"/>
        </w:rPr>
        <w:t xml:space="preserve">Forty-Third session </w:t>
      </w:r>
    </w:p>
    <w:p w14:paraId="5956AB95" w14:textId="77777777" w:rsidR="009965B5" w:rsidRPr="0008161E" w:rsidRDefault="009965B5" w:rsidP="00671925">
      <w:pPr>
        <w:bidi w:val="0"/>
        <w:spacing w:after="0" w:line="280" w:lineRule="exact"/>
        <w:ind w:right="49"/>
        <w:jc w:val="both"/>
        <w:rPr>
          <w:rFonts w:asciiTheme="majorBidi" w:hAnsiTheme="majorBidi" w:cstheme="majorBidi"/>
        </w:rPr>
      </w:pPr>
      <w:r w:rsidRPr="0008161E">
        <w:rPr>
          <w:rFonts w:asciiTheme="majorBidi" w:hAnsiTheme="majorBidi" w:cstheme="majorBidi"/>
        </w:rPr>
        <w:t>24 February-20 March 2020</w:t>
      </w:r>
    </w:p>
    <w:p w14:paraId="2B8D0824" w14:textId="6D015FC6" w:rsidR="009965B5" w:rsidRPr="0008161E" w:rsidRDefault="009965B5" w:rsidP="00671925">
      <w:pPr>
        <w:bidi w:val="0"/>
        <w:spacing w:after="0" w:line="280" w:lineRule="exact"/>
        <w:ind w:right="49"/>
        <w:jc w:val="both"/>
        <w:rPr>
          <w:rFonts w:asciiTheme="majorBidi" w:hAnsiTheme="majorBidi" w:cstheme="majorBidi"/>
        </w:rPr>
      </w:pPr>
      <w:r w:rsidRPr="0008161E">
        <w:rPr>
          <w:rFonts w:asciiTheme="majorBidi" w:hAnsiTheme="majorBidi" w:cstheme="majorBidi"/>
        </w:rPr>
        <w:t xml:space="preserve">Agenda item 6 </w:t>
      </w:r>
    </w:p>
    <w:p w14:paraId="096DE4F0" w14:textId="5C7E1528" w:rsidR="009965B5" w:rsidRPr="0008161E" w:rsidRDefault="009965B5" w:rsidP="00671925">
      <w:pPr>
        <w:bidi w:val="0"/>
        <w:spacing w:after="0" w:line="280" w:lineRule="exact"/>
        <w:ind w:right="49"/>
        <w:jc w:val="both"/>
        <w:rPr>
          <w:rFonts w:asciiTheme="majorBidi" w:hAnsiTheme="majorBidi" w:cstheme="majorBidi"/>
        </w:rPr>
      </w:pPr>
      <w:r w:rsidRPr="0008161E">
        <w:rPr>
          <w:rFonts w:asciiTheme="majorBidi" w:hAnsiTheme="majorBidi" w:cstheme="majorBidi"/>
        </w:rPr>
        <w:t>Universal Periodic Review</w:t>
      </w:r>
    </w:p>
    <w:p w14:paraId="15DBAF08" w14:textId="77777777" w:rsidR="009965B5" w:rsidRPr="0008161E" w:rsidRDefault="009965B5" w:rsidP="00671925">
      <w:pPr>
        <w:bidi w:val="0"/>
        <w:spacing w:before="120" w:after="120" w:line="420" w:lineRule="exact"/>
        <w:ind w:right="49"/>
        <w:jc w:val="both"/>
        <w:rPr>
          <w:rFonts w:asciiTheme="minorHAnsi" w:hAnsiTheme="minorHAnsi" w:cstheme="minorHAnsi"/>
          <w:b/>
          <w:bCs/>
          <w:sz w:val="24"/>
          <w:szCs w:val="24"/>
        </w:rPr>
      </w:pPr>
    </w:p>
    <w:p w14:paraId="27D67689" w14:textId="77777777" w:rsidR="009965B5" w:rsidRPr="0008161E" w:rsidRDefault="009965B5" w:rsidP="00671925">
      <w:pPr>
        <w:bidi w:val="0"/>
        <w:spacing w:before="120" w:after="120" w:line="420" w:lineRule="exact"/>
        <w:ind w:right="49"/>
        <w:jc w:val="both"/>
        <w:rPr>
          <w:rFonts w:asciiTheme="minorHAnsi" w:hAnsiTheme="minorHAnsi" w:cstheme="minorHAnsi"/>
          <w:b/>
          <w:bCs/>
          <w:sz w:val="24"/>
          <w:szCs w:val="24"/>
        </w:rPr>
      </w:pPr>
    </w:p>
    <w:p w14:paraId="50FA81A4" w14:textId="77777777" w:rsidR="00502A8A" w:rsidRPr="0008161E" w:rsidRDefault="00502A8A" w:rsidP="00502A8A">
      <w:pPr>
        <w:bidi w:val="0"/>
        <w:spacing w:before="120" w:after="120" w:line="420" w:lineRule="exact"/>
        <w:ind w:right="49"/>
        <w:jc w:val="both"/>
        <w:rPr>
          <w:rFonts w:asciiTheme="minorHAnsi" w:hAnsiTheme="minorHAnsi" w:cstheme="minorHAnsi"/>
          <w:b/>
          <w:bCs/>
          <w:sz w:val="24"/>
          <w:szCs w:val="24"/>
        </w:rPr>
      </w:pPr>
    </w:p>
    <w:p w14:paraId="354C5103" w14:textId="77777777" w:rsidR="00502A8A" w:rsidRPr="0008161E" w:rsidRDefault="00502A8A" w:rsidP="00502A8A">
      <w:pPr>
        <w:bidi w:val="0"/>
        <w:spacing w:before="120" w:after="120" w:line="420" w:lineRule="exact"/>
        <w:ind w:right="49"/>
        <w:jc w:val="both"/>
        <w:rPr>
          <w:rFonts w:asciiTheme="minorHAnsi" w:hAnsiTheme="minorHAnsi" w:cstheme="minorHAnsi"/>
          <w:b/>
          <w:bCs/>
          <w:sz w:val="24"/>
          <w:szCs w:val="24"/>
        </w:rPr>
      </w:pPr>
    </w:p>
    <w:p w14:paraId="6B2A0FA4" w14:textId="57F48C73" w:rsidR="009965B5" w:rsidRPr="0008161E" w:rsidRDefault="009965B5" w:rsidP="00671925">
      <w:pPr>
        <w:bidi w:val="0"/>
        <w:spacing w:after="0" w:line="420" w:lineRule="exact"/>
        <w:ind w:right="49"/>
        <w:jc w:val="both"/>
        <w:rPr>
          <w:rFonts w:asciiTheme="majorBidi" w:hAnsiTheme="majorBidi" w:cstheme="majorBidi"/>
          <w:b/>
          <w:bCs/>
          <w:sz w:val="26"/>
          <w:szCs w:val="26"/>
          <w:rtl/>
        </w:rPr>
      </w:pPr>
      <w:r w:rsidRPr="0008161E">
        <w:rPr>
          <w:rFonts w:asciiTheme="majorBidi" w:hAnsiTheme="majorBidi" w:cstheme="majorBidi"/>
          <w:b/>
          <w:bCs/>
          <w:sz w:val="26"/>
          <w:szCs w:val="26"/>
        </w:rPr>
        <w:t xml:space="preserve">Report of the Working Group on the Universal Periodic Review </w:t>
      </w:r>
    </w:p>
    <w:p w14:paraId="7643595D" w14:textId="77777777" w:rsidR="009965B5" w:rsidRPr="0008161E" w:rsidRDefault="009965B5" w:rsidP="00671925">
      <w:pPr>
        <w:bidi w:val="0"/>
        <w:spacing w:after="0" w:line="420" w:lineRule="exact"/>
        <w:ind w:right="49"/>
        <w:jc w:val="both"/>
        <w:rPr>
          <w:rFonts w:asciiTheme="majorBidi" w:hAnsiTheme="majorBidi" w:cstheme="majorBidi"/>
          <w:b/>
          <w:bCs/>
          <w:sz w:val="26"/>
          <w:szCs w:val="26"/>
        </w:rPr>
      </w:pPr>
    </w:p>
    <w:p w14:paraId="133DF569" w14:textId="6C1F0D98" w:rsidR="0065798A" w:rsidRPr="0008161E" w:rsidRDefault="00175A9B" w:rsidP="00671925">
      <w:pPr>
        <w:bidi w:val="0"/>
        <w:spacing w:after="0" w:line="420" w:lineRule="exact"/>
        <w:ind w:right="49"/>
        <w:jc w:val="both"/>
        <w:rPr>
          <w:rFonts w:asciiTheme="majorBidi" w:hAnsiTheme="majorBidi" w:cstheme="majorBidi"/>
          <w:b/>
          <w:bCs/>
          <w:sz w:val="26"/>
          <w:szCs w:val="26"/>
        </w:rPr>
      </w:pPr>
      <w:r w:rsidRPr="0008161E">
        <w:rPr>
          <w:rFonts w:asciiTheme="majorBidi" w:hAnsiTheme="majorBidi" w:cstheme="majorBidi"/>
          <w:b/>
          <w:bCs/>
          <w:sz w:val="26"/>
          <w:szCs w:val="26"/>
        </w:rPr>
        <w:t>Egypt:</w:t>
      </w:r>
    </w:p>
    <w:p w14:paraId="33D4D416" w14:textId="77777777" w:rsidR="009965B5" w:rsidRPr="0008161E" w:rsidRDefault="009965B5" w:rsidP="00671925">
      <w:pPr>
        <w:bidi w:val="0"/>
        <w:spacing w:before="240" w:after="0" w:line="240" w:lineRule="exact"/>
        <w:ind w:right="49"/>
        <w:jc w:val="both"/>
        <w:rPr>
          <w:rFonts w:asciiTheme="majorBidi" w:hAnsiTheme="majorBidi" w:cstheme="majorBidi"/>
          <w:sz w:val="20"/>
          <w:szCs w:val="20"/>
        </w:rPr>
      </w:pPr>
      <w:r w:rsidRPr="0008161E">
        <w:rPr>
          <w:rFonts w:asciiTheme="majorBidi" w:hAnsiTheme="majorBidi" w:cstheme="majorBidi"/>
          <w:sz w:val="20"/>
          <w:szCs w:val="20"/>
        </w:rPr>
        <w:t xml:space="preserve">Addendum </w:t>
      </w:r>
    </w:p>
    <w:p w14:paraId="663802B2" w14:textId="77777777" w:rsidR="00671925" w:rsidRPr="0008161E" w:rsidRDefault="00671925" w:rsidP="00671925">
      <w:pPr>
        <w:bidi w:val="0"/>
        <w:spacing w:after="0" w:line="420" w:lineRule="exact"/>
        <w:ind w:right="49"/>
        <w:jc w:val="both"/>
        <w:rPr>
          <w:rFonts w:asciiTheme="majorBidi" w:hAnsiTheme="majorBidi" w:cstheme="majorBidi"/>
          <w:b/>
          <w:bCs/>
          <w:sz w:val="26"/>
          <w:szCs w:val="26"/>
        </w:rPr>
      </w:pPr>
    </w:p>
    <w:p w14:paraId="57C058C3" w14:textId="06D916BA" w:rsidR="00175A9B" w:rsidRPr="0008161E" w:rsidRDefault="009965B5" w:rsidP="00671925">
      <w:pPr>
        <w:bidi w:val="0"/>
        <w:spacing w:after="0" w:line="420" w:lineRule="exact"/>
        <w:ind w:right="49"/>
        <w:jc w:val="both"/>
        <w:rPr>
          <w:rFonts w:asciiTheme="majorBidi" w:hAnsiTheme="majorBidi" w:cstheme="majorBidi"/>
          <w:b/>
          <w:bCs/>
          <w:sz w:val="24"/>
          <w:szCs w:val="24"/>
        </w:rPr>
      </w:pPr>
      <w:r w:rsidRPr="0008161E">
        <w:rPr>
          <w:rFonts w:asciiTheme="majorBidi" w:hAnsiTheme="majorBidi" w:cstheme="majorBidi"/>
          <w:b/>
          <w:bCs/>
          <w:sz w:val="24"/>
          <w:szCs w:val="24"/>
        </w:rPr>
        <w:t>Views on conclusions and/or recommendations, voluntary commitments and replies presented by the State under review</w:t>
      </w:r>
    </w:p>
    <w:p w14:paraId="7598E40F"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2CA5C921"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6F21D120"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7F60A62B"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39D3AF0A"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08EEF05F"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518828E7"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6F960F31"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6AD1AC81"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05720AF7"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031B4E6C"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499C2A8C"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0719283D"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726157F6" w14:textId="77777777" w:rsidR="00671925" w:rsidRPr="0008161E" w:rsidRDefault="00671925" w:rsidP="00671925">
      <w:pPr>
        <w:pStyle w:val="ListParagraph"/>
        <w:bidi w:val="0"/>
        <w:spacing w:before="120" w:after="120" w:line="420" w:lineRule="exact"/>
        <w:ind w:left="0" w:right="49"/>
        <w:jc w:val="both"/>
        <w:rPr>
          <w:rFonts w:asciiTheme="majorBidi" w:hAnsiTheme="majorBidi" w:cstheme="majorBidi"/>
          <w:b/>
          <w:bCs/>
          <w:sz w:val="24"/>
          <w:szCs w:val="24"/>
          <w:u w:val="single"/>
        </w:rPr>
      </w:pPr>
    </w:p>
    <w:p w14:paraId="68391824" w14:textId="1BD45CA4" w:rsidR="00165D69" w:rsidRPr="00B70D50" w:rsidRDefault="00165D69" w:rsidP="00671925">
      <w:pPr>
        <w:pStyle w:val="ListParagraph"/>
        <w:numPr>
          <w:ilvl w:val="0"/>
          <w:numId w:val="38"/>
        </w:numPr>
        <w:bidi w:val="0"/>
        <w:spacing w:after="0" w:line="300" w:lineRule="exact"/>
        <w:ind w:left="0" w:right="49" w:hanging="256"/>
        <w:contextualSpacing w:val="0"/>
        <w:jc w:val="both"/>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Introduction</w:t>
      </w:r>
      <w:r w:rsidR="00502A8A" w:rsidRPr="00B70D50">
        <w:rPr>
          <w:rFonts w:asciiTheme="majorBidi" w:hAnsiTheme="majorBidi" w:cstheme="majorBidi"/>
          <w:b/>
          <w:bCs/>
          <w:sz w:val="24"/>
          <w:szCs w:val="24"/>
          <w:u w:val="single"/>
          <w:rtl/>
          <w:lang w:val="en-GB"/>
        </w:rPr>
        <w:t>:</w:t>
      </w:r>
    </w:p>
    <w:p w14:paraId="6AB20044" w14:textId="3F93B559" w:rsidR="00165D69" w:rsidRPr="00B70D50" w:rsidRDefault="00796010" w:rsidP="00B70D50">
      <w:pPr>
        <w:pStyle w:val="ListParagraph"/>
        <w:numPr>
          <w:ilvl w:val="0"/>
          <w:numId w:val="39"/>
        </w:numPr>
        <w:bidi w:val="0"/>
        <w:spacing w:after="0" w:line="300" w:lineRule="exact"/>
        <w:ind w:left="0" w:right="49"/>
        <w:contextualSpacing w:val="0"/>
        <w:jc w:val="both"/>
        <w:rPr>
          <w:rFonts w:asciiTheme="majorBidi" w:hAnsiTheme="majorBidi" w:cstheme="majorBidi"/>
          <w:sz w:val="24"/>
          <w:szCs w:val="24"/>
          <w:lang w:val="en-GB"/>
        </w:rPr>
      </w:pPr>
      <w:r w:rsidRPr="00B70D50">
        <w:rPr>
          <w:rFonts w:asciiTheme="majorBidi" w:hAnsiTheme="majorBidi" w:cstheme="majorBidi"/>
          <w:sz w:val="24"/>
          <w:szCs w:val="24"/>
          <w:lang w:val="en-GB"/>
        </w:rPr>
        <w:t xml:space="preserve">Egypt </w:t>
      </w:r>
      <w:r w:rsidR="00671925" w:rsidRPr="00B70D50">
        <w:rPr>
          <w:rFonts w:asciiTheme="majorBidi" w:hAnsiTheme="majorBidi" w:cstheme="majorBidi"/>
          <w:sz w:val="24"/>
          <w:szCs w:val="24"/>
          <w:lang w:val="en-GB"/>
        </w:rPr>
        <w:t xml:space="preserve">takes pride in its entrenched tradition to promote </w:t>
      </w:r>
      <w:r w:rsidRPr="00B70D50">
        <w:rPr>
          <w:rFonts w:asciiTheme="majorBidi" w:hAnsiTheme="majorBidi" w:cstheme="majorBidi"/>
          <w:sz w:val="24"/>
          <w:szCs w:val="24"/>
          <w:lang w:val="en-GB"/>
        </w:rPr>
        <w:t xml:space="preserve">and </w:t>
      </w:r>
      <w:r w:rsidR="00671925" w:rsidRPr="00B70D50">
        <w:rPr>
          <w:rFonts w:asciiTheme="majorBidi" w:hAnsiTheme="majorBidi" w:cstheme="majorBidi"/>
          <w:sz w:val="24"/>
          <w:szCs w:val="24"/>
          <w:lang w:val="en-GB"/>
        </w:rPr>
        <w:t xml:space="preserve">protect </w:t>
      </w:r>
      <w:r w:rsidR="00A31381" w:rsidRPr="00B70D50">
        <w:rPr>
          <w:rFonts w:asciiTheme="majorBidi" w:hAnsiTheme="majorBidi" w:cstheme="majorBidi"/>
          <w:sz w:val="24"/>
          <w:szCs w:val="24"/>
          <w:lang w:val="en-GB"/>
        </w:rPr>
        <w:t>in</w:t>
      </w:r>
      <w:r w:rsidR="00100730" w:rsidRPr="00B70D50">
        <w:rPr>
          <w:rFonts w:asciiTheme="majorBidi" w:hAnsiTheme="majorBidi" w:cstheme="majorBidi"/>
          <w:sz w:val="24"/>
          <w:szCs w:val="24"/>
          <w:lang w:val="en-GB"/>
        </w:rPr>
        <w:t>ternationally</w:t>
      </w:r>
      <w:r w:rsidR="00A82677" w:rsidRPr="00B70D50">
        <w:rPr>
          <w:rFonts w:asciiTheme="majorBidi" w:hAnsiTheme="majorBidi" w:cstheme="majorBidi"/>
          <w:sz w:val="24"/>
          <w:szCs w:val="24"/>
          <w:lang w:val="en-GB"/>
        </w:rPr>
        <w:t xml:space="preserve"> </w:t>
      </w:r>
      <w:r w:rsidR="006403B4" w:rsidRPr="00B70D50">
        <w:rPr>
          <w:rFonts w:asciiTheme="majorBidi" w:hAnsiTheme="majorBidi" w:cstheme="majorBidi"/>
          <w:sz w:val="24"/>
          <w:szCs w:val="24"/>
          <w:lang w:val="en-GB"/>
        </w:rPr>
        <w:t xml:space="preserve">recognised </w:t>
      </w:r>
      <w:r w:rsidR="00A31381" w:rsidRPr="00B70D50">
        <w:rPr>
          <w:rFonts w:asciiTheme="majorBidi" w:hAnsiTheme="majorBidi" w:cstheme="majorBidi"/>
          <w:sz w:val="24"/>
          <w:szCs w:val="24"/>
          <w:lang w:val="en-GB"/>
        </w:rPr>
        <w:t>human right</w:t>
      </w:r>
      <w:r w:rsidR="006C1179" w:rsidRPr="00B70D50">
        <w:rPr>
          <w:rFonts w:asciiTheme="majorBidi" w:hAnsiTheme="majorBidi" w:cstheme="majorBidi"/>
          <w:sz w:val="24"/>
          <w:szCs w:val="24"/>
          <w:lang w:val="en-GB"/>
        </w:rPr>
        <w:t>s</w:t>
      </w:r>
      <w:r w:rsidR="00671925" w:rsidRPr="00B70D50">
        <w:rPr>
          <w:rFonts w:asciiTheme="majorBidi" w:hAnsiTheme="majorBidi" w:cstheme="majorBidi"/>
          <w:sz w:val="24"/>
          <w:szCs w:val="24"/>
          <w:lang w:val="en-GB"/>
        </w:rPr>
        <w:t>.</w:t>
      </w:r>
      <w:r w:rsidR="00B70D50" w:rsidRPr="00B70D50">
        <w:rPr>
          <w:rFonts w:asciiTheme="majorBidi" w:hAnsiTheme="majorBidi" w:cstheme="majorBidi"/>
          <w:sz w:val="24"/>
          <w:szCs w:val="24"/>
          <w:lang w:val="en-GB"/>
        </w:rPr>
        <w:t xml:space="preserve"> </w:t>
      </w:r>
      <w:r w:rsidR="00671925" w:rsidRPr="00B70D50">
        <w:rPr>
          <w:rFonts w:asciiTheme="majorBidi" w:hAnsiTheme="majorBidi" w:cstheme="majorBidi"/>
          <w:sz w:val="24"/>
          <w:szCs w:val="24"/>
          <w:lang w:val="en-GB"/>
        </w:rPr>
        <w:t>T</w:t>
      </w:r>
      <w:r w:rsidR="00A31381" w:rsidRPr="00B70D50">
        <w:rPr>
          <w:rFonts w:asciiTheme="majorBidi" w:hAnsiTheme="majorBidi" w:cstheme="majorBidi"/>
          <w:sz w:val="24"/>
          <w:szCs w:val="24"/>
          <w:lang w:val="en-GB"/>
        </w:rPr>
        <w:t xml:space="preserve">he </w:t>
      </w:r>
      <w:r w:rsidR="00671925" w:rsidRPr="00B70D50">
        <w:rPr>
          <w:rFonts w:asciiTheme="majorBidi" w:hAnsiTheme="majorBidi" w:cstheme="majorBidi"/>
          <w:sz w:val="24"/>
          <w:szCs w:val="24"/>
          <w:lang w:val="en-GB"/>
        </w:rPr>
        <w:t>G</w:t>
      </w:r>
      <w:r w:rsidR="00A82677" w:rsidRPr="00B70D50">
        <w:rPr>
          <w:rFonts w:asciiTheme="majorBidi" w:hAnsiTheme="majorBidi" w:cstheme="majorBidi"/>
          <w:sz w:val="24"/>
          <w:szCs w:val="24"/>
          <w:lang w:val="en-GB"/>
        </w:rPr>
        <w:t xml:space="preserve">overnment avails itself of </w:t>
      </w:r>
      <w:r w:rsidR="006C1179" w:rsidRPr="00B70D50">
        <w:rPr>
          <w:rFonts w:asciiTheme="majorBidi" w:hAnsiTheme="majorBidi" w:cstheme="majorBidi"/>
          <w:sz w:val="24"/>
          <w:szCs w:val="24"/>
          <w:lang w:val="en-GB"/>
        </w:rPr>
        <w:t xml:space="preserve">this opportunity to reiterate its commitment to pursue </w:t>
      </w:r>
      <w:r w:rsidR="00671925" w:rsidRPr="00B70D50">
        <w:rPr>
          <w:rFonts w:asciiTheme="majorBidi" w:hAnsiTheme="majorBidi" w:cstheme="majorBidi"/>
          <w:sz w:val="24"/>
          <w:szCs w:val="24"/>
          <w:lang w:val="en-GB"/>
        </w:rPr>
        <w:t xml:space="preserve">its </w:t>
      </w:r>
      <w:r w:rsidR="003E279C" w:rsidRPr="00B70D50">
        <w:rPr>
          <w:rFonts w:asciiTheme="majorBidi" w:hAnsiTheme="majorBidi" w:cstheme="majorBidi"/>
          <w:sz w:val="24"/>
          <w:szCs w:val="24"/>
          <w:lang w:val="en-GB"/>
        </w:rPr>
        <w:t>efforts in this</w:t>
      </w:r>
      <w:r w:rsidR="00980BC5" w:rsidRPr="00B70D50">
        <w:rPr>
          <w:rFonts w:asciiTheme="majorBidi" w:hAnsiTheme="majorBidi" w:cstheme="majorBidi"/>
          <w:sz w:val="24"/>
          <w:szCs w:val="24"/>
          <w:lang w:val="en-GB"/>
        </w:rPr>
        <w:t xml:space="preserve"> </w:t>
      </w:r>
      <w:r w:rsidR="00671925" w:rsidRPr="00B70D50">
        <w:rPr>
          <w:rFonts w:asciiTheme="majorBidi" w:hAnsiTheme="majorBidi" w:cstheme="majorBidi"/>
          <w:sz w:val="24"/>
          <w:szCs w:val="24"/>
          <w:lang w:val="en-GB"/>
        </w:rPr>
        <w:t>regard</w:t>
      </w:r>
      <w:r w:rsidR="00A82677" w:rsidRPr="00B70D50">
        <w:rPr>
          <w:rFonts w:asciiTheme="majorBidi" w:hAnsiTheme="majorBidi" w:cstheme="majorBidi"/>
          <w:sz w:val="24"/>
          <w:szCs w:val="24"/>
          <w:lang w:val="en-GB"/>
        </w:rPr>
        <w:t>, and to</w:t>
      </w:r>
      <w:r w:rsidR="003E279C" w:rsidRPr="00B70D50">
        <w:rPr>
          <w:rFonts w:asciiTheme="majorBidi" w:hAnsiTheme="majorBidi" w:cstheme="majorBidi"/>
          <w:sz w:val="24"/>
          <w:szCs w:val="24"/>
          <w:lang w:val="en-GB"/>
        </w:rPr>
        <w:t xml:space="preserve"> </w:t>
      </w:r>
      <w:r w:rsidR="00A82677" w:rsidRPr="00B70D50">
        <w:rPr>
          <w:rFonts w:asciiTheme="majorBidi" w:hAnsiTheme="majorBidi" w:cstheme="majorBidi"/>
          <w:sz w:val="24"/>
          <w:szCs w:val="24"/>
          <w:lang w:val="en-GB"/>
        </w:rPr>
        <w:t xml:space="preserve">maintain </w:t>
      </w:r>
      <w:r w:rsidR="00B70D50" w:rsidRPr="00B70D50">
        <w:rPr>
          <w:rFonts w:asciiTheme="majorBidi" w:hAnsiTheme="majorBidi" w:cstheme="majorBidi"/>
          <w:sz w:val="24"/>
          <w:szCs w:val="24"/>
          <w:lang w:val="en-GB"/>
        </w:rPr>
        <w:t>rigorous</w:t>
      </w:r>
      <w:r w:rsidR="00671925" w:rsidRPr="00B70D50">
        <w:rPr>
          <w:rFonts w:asciiTheme="majorBidi" w:hAnsiTheme="majorBidi" w:cstheme="majorBidi"/>
          <w:sz w:val="24"/>
          <w:szCs w:val="24"/>
          <w:lang w:val="en-GB"/>
        </w:rPr>
        <w:t xml:space="preserve"> </w:t>
      </w:r>
      <w:r w:rsidR="003E279C" w:rsidRPr="00B70D50">
        <w:rPr>
          <w:rFonts w:asciiTheme="majorBidi" w:hAnsiTheme="majorBidi" w:cstheme="majorBidi"/>
          <w:sz w:val="24"/>
          <w:szCs w:val="24"/>
          <w:lang w:val="en-GB"/>
        </w:rPr>
        <w:t>a</w:t>
      </w:r>
      <w:r w:rsidR="00100730" w:rsidRPr="00B70D50">
        <w:rPr>
          <w:rFonts w:asciiTheme="majorBidi" w:hAnsiTheme="majorBidi" w:cstheme="majorBidi"/>
          <w:sz w:val="24"/>
          <w:szCs w:val="24"/>
          <w:lang w:val="en-GB"/>
        </w:rPr>
        <w:t>ction</w:t>
      </w:r>
      <w:r w:rsidR="003E279C" w:rsidRPr="00B70D50">
        <w:rPr>
          <w:rFonts w:asciiTheme="majorBidi" w:hAnsiTheme="majorBidi" w:cstheme="majorBidi"/>
          <w:sz w:val="24"/>
          <w:szCs w:val="24"/>
          <w:lang w:val="en-GB"/>
        </w:rPr>
        <w:t xml:space="preserve"> to promote such rights, both nationally and internationally, </w:t>
      </w:r>
      <w:r w:rsidR="00A82677" w:rsidRPr="00B70D50">
        <w:rPr>
          <w:rFonts w:asciiTheme="majorBidi" w:hAnsiTheme="majorBidi" w:cstheme="majorBidi"/>
          <w:sz w:val="24"/>
          <w:szCs w:val="24"/>
          <w:lang w:val="en-GB"/>
        </w:rPr>
        <w:t>as well as continued</w:t>
      </w:r>
      <w:r w:rsidR="003E279C" w:rsidRPr="00B70D50">
        <w:rPr>
          <w:rFonts w:asciiTheme="majorBidi" w:hAnsiTheme="majorBidi" w:cstheme="majorBidi"/>
          <w:sz w:val="24"/>
          <w:szCs w:val="24"/>
          <w:lang w:val="en-GB"/>
        </w:rPr>
        <w:t xml:space="preserve"> active and constructive participation in </w:t>
      </w:r>
      <w:r w:rsidR="00980BC5" w:rsidRPr="00B70D50">
        <w:rPr>
          <w:rFonts w:asciiTheme="majorBidi" w:hAnsiTheme="majorBidi" w:cstheme="majorBidi"/>
          <w:sz w:val="24"/>
          <w:szCs w:val="24"/>
          <w:lang w:val="en-GB"/>
        </w:rPr>
        <w:t xml:space="preserve">the </w:t>
      </w:r>
      <w:r w:rsidR="00F869E4" w:rsidRPr="00B70D50">
        <w:rPr>
          <w:rFonts w:asciiTheme="majorBidi" w:hAnsiTheme="majorBidi" w:cstheme="majorBidi"/>
          <w:sz w:val="24"/>
          <w:szCs w:val="24"/>
          <w:lang w:val="en-GB"/>
        </w:rPr>
        <w:t>U</w:t>
      </w:r>
      <w:r w:rsidR="00980BC5" w:rsidRPr="00B70D50">
        <w:rPr>
          <w:rFonts w:asciiTheme="majorBidi" w:hAnsiTheme="majorBidi" w:cstheme="majorBidi"/>
          <w:sz w:val="24"/>
          <w:szCs w:val="24"/>
          <w:lang w:val="en-GB"/>
        </w:rPr>
        <w:t xml:space="preserve">nited </w:t>
      </w:r>
      <w:r w:rsidR="00F869E4" w:rsidRPr="00B70D50">
        <w:rPr>
          <w:rFonts w:asciiTheme="majorBidi" w:hAnsiTheme="majorBidi" w:cstheme="majorBidi"/>
          <w:sz w:val="24"/>
          <w:szCs w:val="24"/>
          <w:lang w:val="en-GB"/>
        </w:rPr>
        <w:t>N</w:t>
      </w:r>
      <w:r w:rsidR="00980BC5" w:rsidRPr="00B70D50">
        <w:rPr>
          <w:rFonts w:asciiTheme="majorBidi" w:hAnsiTheme="majorBidi" w:cstheme="majorBidi"/>
          <w:sz w:val="24"/>
          <w:szCs w:val="24"/>
          <w:lang w:val="en-GB"/>
        </w:rPr>
        <w:t>ations</w:t>
      </w:r>
      <w:r w:rsidR="00F869E4" w:rsidRPr="00B70D50">
        <w:rPr>
          <w:rFonts w:asciiTheme="majorBidi" w:hAnsiTheme="majorBidi" w:cstheme="majorBidi"/>
          <w:sz w:val="24"/>
          <w:szCs w:val="24"/>
          <w:lang w:val="en-GB"/>
        </w:rPr>
        <w:t xml:space="preserve"> Human Rights Council (UNHR</w:t>
      </w:r>
      <w:r w:rsidR="000F70B7" w:rsidRPr="00B70D50">
        <w:rPr>
          <w:rFonts w:asciiTheme="majorBidi" w:hAnsiTheme="majorBidi" w:cstheme="majorBidi"/>
          <w:sz w:val="24"/>
          <w:szCs w:val="24"/>
          <w:lang w:val="en-GB"/>
        </w:rPr>
        <w:t>C</w:t>
      </w:r>
      <w:r w:rsidR="00F869E4" w:rsidRPr="00B70D50">
        <w:rPr>
          <w:rFonts w:asciiTheme="majorBidi" w:hAnsiTheme="majorBidi" w:cstheme="majorBidi"/>
          <w:sz w:val="24"/>
          <w:szCs w:val="24"/>
          <w:lang w:val="en-GB"/>
        </w:rPr>
        <w:t xml:space="preserve">) and </w:t>
      </w:r>
      <w:r w:rsidR="00980BC5" w:rsidRPr="00B70D50">
        <w:rPr>
          <w:rFonts w:asciiTheme="majorBidi" w:hAnsiTheme="majorBidi" w:cstheme="majorBidi"/>
          <w:sz w:val="24"/>
          <w:szCs w:val="24"/>
          <w:lang w:val="en-GB"/>
        </w:rPr>
        <w:t xml:space="preserve">all </w:t>
      </w:r>
      <w:r w:rsidR="00F869E4" w:rsidRPr="00B70D50">
        <w:rPr>
          <w:rFonts w:asciiTheme="majorBidi" w:hAnsiTheme="majorBidi" w:cstheme="majorBidi"/>
          <w:sz w:val="24"/>
          <w:szCs w:val="24"/>
          <w:lang w:val="en-GB"/>
        </w:rPr>
        <w:t xml:space="preserve">other relevant </w:t>
      </w:r>
      <w:r w:rsidR="00B70D50">
        <w:rPr>
          <w:rFonts w:asciiTheme="majorBidi" w:hAnsiTheme="majorBidi" w:cstheme="majorBidi"/>
          <w:sz w:val="24"/>
          <w:szCs w:val="24"/>
          <w:lang w:val="en-GB"/>
        </w:rPr>
        <w:t>fora</w:t>
      </w:r>
      <w:r w:rsidR="00F869E4" w:rsidRPr="00B70D50">
        <w:rPr>
          <w:rFonts w:asciiTheme="majorBidi" w:hAnsiTheme="majorBidi" w:cstheme="majorBidi"/>
          <w:sz w:val="24"/>
          <w:szCs w:val="24"/>
          <w:lang w:val="en-GB"/>
        </w:rPr>
        <w:t>.</w:t>
      </w:r>
    </w:p>
    <w:p w14:paraId="3FEF1BDB" w14:textId="645E08E2" w:rsidR="00F869E4" w:rsidRPr="00B70D50" w:rsidRDefault="00900E7C" w:rsidP="00B70D50">
      <w:pPr>
        <w:pStyle w:val="ListParagraph"/>
        <w:numPr>
          <w:ilvl w:val="0"/>
          <w:numId w:val="39"/>
        </w:numPr>
        <w:bidi w:val="0"/>
        <w:spacing w:before="80" w:after="0" w:line="300" w:lineRule="exact"/>
        <w:ind w:left="0" w:right="51" w:hanging="357"/>
        <w:contextualSpacing w:val="0"/>
        <w:jc w:val="both"/>
        <w:rPr>
          <w:rFonts w:asciiTheme="majorBidi" w:hAnsiTheme="majorBidi" w:cstheme="majorBidi"/>
          <w:sz w:val="24"/>
          <w:szCs w:val="24"/>
          <w:lang w:val="en-GB"/>
        </w:rPr>
      </w:pPr>
      <w:r w:rsidRPr="00B70D50">
        <w:rPr>
          <w:rFonts w:asciiTheme="majorBidi" w:hAnsiTheme="majorBidi" w:cstheme="majorBidi"/>
          <w:sz w:val="24"/>
          <w:szCs w:val="24"/>
          <w:lang w:val="en-GB"/>
        </w:rPr>
        <w:t>T</w:t>
      </w:r>
      <w:r w:rsidR="00A447FB" w:rsidRPr="00B70D50">
        <w:rPr>
          <w:rFonts w:asciiTheme="majorBidi" w:hAnsiTheme="majorBidi" w:cstheme="majorBidi"/>
          <w:sz w:val="24"/>
          <w:szCs w:val="24"/>
          <w:lang w:val="en-GB"/>
        </w:rPr>
        <w:t>he government</w:t>
      </w:r>
      <w:r w:rsidR="00980BC5" w:rsidRPr="00B70D50">
        <w:rPr>
          <w:rFonts w:asciiTheme="majorBidi" w:hAnsiTheme="majorBidi" w:cstheme="majorBidi"/>
          <w:sz w:val="24"/>
          <w:szCs w:val="24"/>
          <w:lang w:val="en-GB"/>
        </w:rPr>
        <w:t xml:space="preserve"> reaffirms</w:t>
      </w:r>
      <w:r w:rsidR="00A82677" w:rsidRPr="00B70D50">
        <w:rPr>
          <w:rFonts w:asciiTheme="majorBidi" w:hAnsiTheme="majorBidi" w:cstheme="majorBidi"/>
          <w:sz w:val="24"/>
          <w:szCs w:val="24"/>
          <w:lang w:val="en-GB"/>
        </w:rPr>
        <w:t xml:space="preserve"> </w:t>
      </w:r>
      <w:r w:rsidRPr="00B70D50">
        <w:rPr>
          <w:rFonts w:asciiTheme="majorBidi" w:hAnsiTheme="majorBidi" w:cstheme="majorBidi"/>
          <w:sz w:val="24"/>
          <w:szCs w:val="24"/>
          <w:lang w:val="en-GB"/>
        </w:rPr>
        <w:t>its</w:t>
      </w:r>
      <w:r w:rsidR="006E29F2" w:rsidRPr="00B70D50">
        <w:rPr>
          <w:rFonts w:asciiTheme="majorBidi" w:hAnsiTheme="majorBidi" w:cstheme="majorBidi"/>
          <w:sz w:val="24"/>
          <w:szCs w:val="24"/>
          <w:lang w:val="en-GB"/>
        </w:rPr>
        <w:t xml:space="preserve"> </w:t>
      </w:r>
      <w:r w:rsidR="00B50CA0" w:rsidRPr="00B70D50">
        <w:rPr>
          <w:rFonts w:asciiTheme="majorBidi" w:hAnsiTheme="majorBidi" w:cstheme="majorBidi"/>
          <w:sz w:val="24"/>
          <w:szCs w:val="24"/>
          <w:lang w:val="en-GB"/>
        </w:rPr>
        <w:t xml:space="preserve">cooperation and </w:t>
      </w:r>
      <w:r w:rsidR="006E29F2" w:rsidRPr="00B70D50">
        <w:rPr>
          <w:rFonts w:asciiTheme="majorBidi" w:hAnsiTheme="majorBidi" w:cstheme="majorBidi"/>
          <w:sz w:val="24"/>
          <w:szCs w:val="24"/>
          <w:lang w:val="en-GB"/>
        </w:rPr>
        <w:t>support to</w:t>
      </w:r>
      <w:r w:rsidR="00984A26" w:rsidRPr="00B70D50">
        <w:rPr>
          <w:rFonts w:asciiTheme="majorBidi" w:hAnsiTheme="majorBidi" w:cstheme="majorBidi"/>
          <w:sz w:val="24"/>
          <w:szCs w:val="24"/>
          <w:lang w:val="en-GB"/>
        </w:rPr>
        <w:t xml:space="preserve"> the </w:t>
      </w:r>
      <w:r w:rsidR="00980BC5" w:rsidRPr="00B70D50">
        <w:rPr>
          <w:rFonts w:asciiTheme="majorBidi" w:hAnsiTheme="majorBidi" w:cstheme="majorBidi"/>
          <w:sz w:val="24"/>
          <w:szCs w:val="24"/>
          <w:lang w:val="en-GB"/>
        </w:rPr>
        <w:t>U</w:t>
      </w:r>
      <w:r w:rsidR="00984A26" w:rsidRPr="00B70D50">
        <w:rPr>
          <w:rFonts w:asciiTheme="majorBidi" w:hAnsiTheme="majorBidi" w:cstheme="majorBidi"/>
          <w:sz w:val="24"/>
          <w:szCs w:val="24"/>
          <w:lang w:val="en-GB"/>
        </w:rPr>
        <w:t xml:space="preserve">niversal </w:t>
      </w:r>
      <w:r w:rsidR="00980BC5" w:rsidRPr="00B70D50">
        <w:rPr>
          <w:rFonts w:asciiTheme="majorBidi" w:hAnsiTheme="majorBidi" w:cstheme="majorBidi"/>
          <w:sz w:val="24"/>
          <w:szCs w:val="24"/>
          <w:lang w:val="en-GB"/>
        </w:rPr>
        <w:t>P</w:t>
      </w:r>
      <w:r w:rsidR="00984A26" w:rsidRPr="00B70D50">
        <w:rPr>
          <w:rFonts w:asciiTheme="majorBidi" w:hAnsiTheme="majorBidi" w:cstheme="majorBidi"/>
          <w:sz w:val="24"/>
          <w:szCs w:val="24"/>
          <w:lang w:val="en-GB"/>
        </w:rPr>
        <w:t xml:space="preserve">eriodic </w:t>
      </w:r>
      <w:r w:rsidR="00980BC5" w:rsidRPr="00B70D50">
        <w:rPr>
          <w:rFonts w:asciiTheme="majorBidi" w:hAnsiTheme="majorBidi" w:cstheme="majorBidi"/>
          <w:sz w:val="24"/>
          <w:szCs w:val="24"/>
          <w:lang w:val="en-GB"/>
        </w:rPr>
        <w:t>R</w:t>
      </w:r>
      <w:r w:rsidR="00984A26" w:rsidRPr="00B70D50">
        <w:rPr>
          <w:rFonts w:asciiTheme="majorBidi" w:hAnsiTheme="majorBidi" w:cstheme="majorBidi"/>
          <w:sz w:val="24"/>
          <w:szCs w:val="24"/>
          <w:lang w:val="en-GB"/>
        </w:rPr>
        <w:t xml:space="preserve">eview </w:t>
      </w:r>
      <w:r w:rsidR="00980BC5" w:rsidRPr="00B70D50">
        <w:rPr>
          <w:rFonts w:asciiTheme="majorBidi" w:hAnsiTheme="majorBidi" w:cstheme="majorBidi"/>
          <w:sz w:val="24"/>
          <w:szCs w:val="24"/>
          <w:lang w:val="en-GB"/>
        </w:rPr>
        <w:t>M</w:t>
      </w:r>
      <w:r w:rsidR="00984A26" w:rsidRPr="00B70D50">
        <w:rPr>
          <w:rFonts w:asciiTheme="majorBidi" w:hAnsiTheme="majorBidi" w:cstheme="majorBidi"/>
          <w:sz w:val="24"/>
          <w:szCs w:val="24"/>
          <w:lang w:val="en-GB"/>
        </w:rPr>
        <w:t>echanism</w:t>
      </w:r>
      <w:r w:rsidR="006E29F2" w:rsidRPr="00B70D50">
        <w:rPr>
          <w:rFonts w:asciiTheme="majorBidi" w:hAnsiTheme="majorBidi" w:cstheme="majorBidi"/>
          <w:sz w:val="24"/>
          <w:szCs w:val="24"/>
          <w:lang w:val="en-GB"/>
        </w:rPr>
        <w:t xml:space="preserve"> </w:t>
      </w:r>
      <w:r w:rsidR="00984A26" w:rsidRPr="00B70D50">
        <w:rPr>
          <w:rFonts w:asciiTheme="majorBidi" w:hAnsiTheme="majorBidi" w:cstheme="majorBidi"/>
          <w:sz w:val="24"/>
          <w:szCs w:val="24"/>
          <w:lang w:val="en-GB"/>
        </w:rPr>
        <w:t>(UPR)</w:t>
      </w:r>
      <w:r w:rsidR="0080257C" w:rsidRPr="00B70D50">
        <w:rPr>
          <w:rFonts w:asciiTheme="majorBidi" w:hAnsiTheme="majorBidi" w:cstheme="majorBidi"/>
          <w:sz w:val="24"/>
          <w:szCs w:val="24"/>
          <w:lang w:val="en-GB"/>
        </w:rPr>
        <w:t xml:space="preserve">, since </w:t>
      </w:r>
      <w:r w:rsidRPr="00B70D50">
        <w:rPr>
          <w:rFonts w:asciiTheme="majorBidi" w:hAnsiTheme="majorBidi" w:cstheme="majorBidi"/>
          <w:sz w:val="24"/>
          <w:szCs w:val="24"/>
          <w:lang w:val="en-GB"/>
        </w:rPr>
        <w:t>it</w:t>
      </w:r>
      <w:r w:rsidR="0080257C" w:rsidRPr="00B70D50">
        <w:rPr>
          <w:rFonts w:asciiTheme="majorBidi" w:hAnsiTheme="majorBidi" w:cstheme="majorBidi"/>
          <w:sz w:val="24"/>
          <w:szCs w:val="24"/>
          <w:lang w:val="en-GB"/>
        </w:rPr>
        <w:t xml:space="preserve"> </w:t>
      </w:r>
      <w:r w:rsidR="00321785" w:rsidRPr="00B70D50">
        <w:rPr>
          <w:rFonts w:asciiTheme="majorBidi" w:hAnsiTheme="majorBidi" w:cstheme="majorBidi"/>
          <w:sz w:val="24"/>
          <w:szCs w:val="24"/>
          <w:lang w:val="en-GB"/>
        </w:rPr>
        <w:t>hinges on</w:t>
      </w:r>
      <w:r w:rsidR="00B50CA0" w:rsidRPr="00B70D50">
        <w:rPr>
          <w:rFonts w:asciiTheme="majorBidi" w:hAnsiTheme="majorBidi" w:cstheme="majorBidi"/>
          <w:sz w:val="24"/>
          <w:szCs w:val="24"/>
          <w:lang w:val="en-GB"/>
        </w:rPr>
        <w:t xml:space="preserve"> </w:t>
      </w:r>
      <w:r w:rsidR="00321785" w:rsidRPr="00B70D50">
        <w:rPr>
          <w:rFonts w:asciiTheme="majorBidi" w:hAnsiTheme="majorBidi" w:cstheme="majorBidi"/>
          <w:sz w:val="24"/>
          <w:szCs w:val="24"/>
          <w:lang w:val="en-GB"/>
        </w:rPr>
        <w:t xml:space="preserve">the </w:t>
      </w:r>
      <w:r w:rsidR="001A3B56" w:rsidRPr="00B70D50">
        <w:rPr>
          <w:rFonts w:asciiTheme="majorBidi" w:hAnsiTheme="majorBidi" w:cstheme="majorBidi"/>
          <w:sz w:val="24"/>
          <w:szCs w:val="24"/>
          <w:lang w:val="en-GB"/>
        </w:rPr>
        <w:t xml:space="preserve">key </w:t>
      </w:r>
      <w:r w:rsidR="002F5D25" w:rsidRPr="00B70D50">
        <w:rPr>
          <w:rFonts w:asciiTheme="majorBidi" w:hAnsiTheme="majorBidi" w:cstheme="majorBidi"/>
          <w:sz w:val="24"/>
          <w:szCs w:val="24"/>
          <w:lang w:val="en-GB"/>
        </w:rPr>
        <w:t>principles of objectivity</w:t>
      </w:r>
      <w:r w:rsidR="00086B4D" w:rsidRPr="00B70D50">
        <w:rPr>
          <w:rFonts w:asciiTheme="majorBidi" w:hAnsiTheme="majorBidi" w:cstheme="majorBidi"/>
          <w:sz w:val="24"/>
          <w:szCs w:val="24"/>
          <w:lang w:val="en-GB"/>
        </w:rPr>
        <w:t xml:space="preserve"> and transparency</w:t>
      </w:r>
      <w:r w:rsidR="00B50CA0" w:rsidRPr="00B70D50">
        <w:rPr>
          <w:rFonts w:asciiTheme="majorBidi" w:hAnsiTheme="majorBidi" w:cstheme="majorBidi"/>
          <w:sz w:val="24"/>
          <w:szCs w:val="24"/>
          <w:lang w:val="en-GB"/>
        </w:rPr>
        <w:t xml:space="preserve">, and is </w:t>
      </w:r>
      <w:r w:rsidR="00321785" w:rsidRPr="00B70D50">
        <w:rPr>
          <w:rFonts w:asciiTheme="majorBidi" w:hAnsiTheme="majorBidi" w:cstheme="majorBidi"/>
          <w:sz w:val="24"/>
          <w:szCs w:val="24"/>
          <w:lang w:val="en-GB"/>
        </w:rPr>
        <w:t xml:space="preserve">based on </w:t>
      </w:r>
      <w:r w:rsidR="00EE1518" w:rsidRPr="00B70D50">
        <w:rPr>
          <w:rFonts w:asciiTheme="majorBidi" w:hAnsiTheme="majorBidi" w:cstheme="majorBidi"/>
          <w:sz w:val="24"/>
          <w:szCs w:val="24"/>
          <w:lang w:val="en-GB"/>
        </w:rPr>
        <w:t>a consultative and cooperative</w:t>
      </w:r>
      <w:r w:rsidR="00B50CA0" w:rsidRPr="00B70D50">
        <w:rPr>
          <w:rFonts w:asciiTheme="majorBidi" w:hAnsiTheme="majorBidi" w:cstheme="majorBidi"/>
          <w:sz w:val="24"/>
          <w:szCs w:val="24"/>
          <w:lang w:val="en-GB"/>
        </w:rPr>
        <w:t xml:space="preserve"> approach</w:t>
      </w:r>
      <w:r w:rsidR="00EE1518" w:rsidRPr="00B70D50">
        <w:rPr>
          <w:rFonts w:asciiTheme="majorBidi" w:hAnsiTheme="majorBidi" w:cstheme="majorBidi"/>
          <w:sz w:val="24"/>
          <w:szCs w:val="24"/>
          <w:lang w:val="en-GB"/>
        </w:rPr>
        <w:t xml:space="preserve">, thus </w:t>
      </w:r>
      <w:r w:rsidR="00B50CA0" w:rsidRPr="00B70D50">
        <w:rPr>
          <w:rFonts w:asciiTheme="majorBidi" w:hAnsiTheme="majorBidi" w:cstheme="majorBidi"/>
          <w:sz w:val="24"/>
          <w:szCs w:val="24"/>
          <w:lang w:val="en-GB"/>
        </w:rPr>
        <w:t xml:space="preserve">enhancing the prospects for realising </w:t>
      </w:r>
      <w:r w:rsidR="00AA65E3" w:rsidRPr="00B70D50">
        <w:rPr>
          <w:rFonts w:asciiTheme="majorBidi" w:hAnsiTheme="majorBidi" w:cstheme="majorBidi"/>
          <w:sz w:val="24"/>
          <w:szCs w:val="24"/>
          <w:lang w:val="en-GB"/>
        </w:rPr>
        <w:t xml:space="preserve">the aspired </w:t>
      </w:r>
      <w:r w:rsidR="005C7371" w:rsidRPr="00B70D50">
        <w:rPr>
          <w:rFonts w:asciiTheme="majorBidi" w:hAnsiTheme="majorBidi" w:cstheme="majorBidi"/>
          <w:sz w:val="24"/>
          <w:szCs w:val="24"/>
          <w:lang w:val="en-GB"/>
        </w:rPr>
        <w:t xml:space="preserve">protection and promotion of human rights worldwide. </w:t>
      </w:r>
      <w:r w:rsidR="00AA65E3" w:rsidRPr="00B70D50">
        <w:rPr>
          <w:rFonts w:asciiTheme="majorBidi" w:hAnsiTheme="majorBidi" w:cstheme="majorBidi"/>
          <w:sz w:val="24"/>
          <w:szCs w:val="24"/>
          <w:lang w:val="en-GB"/>
        </w:rPr>
        <w:t xml:space="preserve">Such </w:t>
      </w:r>
      <w:r w:rsidR="005C7371" w:rsidRPr="00B70D50">
        <w:rPr>
          <w:rFonts w:asciiTheme="majorBidi" w:hAnsiTheme="majorBidi" w:cstheme="majorBidi"/>
          <w:sz w:val="24"/>
          <w:szCs w:val="24"/>
          <w:lang w:val="en-GB"/>
        </w:rPr>
        <w:t>process take</w:t>
      </w:r>
      <w:r w:rsidR="00AA65E3" w:rsidRPr="00B70D50">
        <w:rPr>
          <w:rFonts w:asciiTheme="majorBidi" w:hAnsiTheme="majorBidi" w:cstheme="majorBidi"/>
          <w:sz w:val="24"/>
          <w:szCs w:val="24"/>
          <w:lang w:val="en-GB"/>
        </w:rPr>
        <w:t>s</w:t>
      </w:r>
      <w:r w:rsidR="005C7371" w:rsidRPr="00B70D50">
        <w:rPr>
          <w:rFonts w:asciiTheme="majorBidi" w:hAnsiTheme="majorBidi" w:cstheme="majorBidi"/>
          <w:sz w:val="24"/>
          <w:szCs w:val="24"/>
          <w:lang w:val="en-GB"/>
        </w:rPr>
        <w:t xml:space="preserve"> into account the </w:t>
      </w:r>
      <w:r w:rsidR="0019289A" w:rsidRPr="00B70D50">
        <w:rPr>
          <w:rFonts w:asciiTheme="majorBidi" w:hAnsiTheme="majorBidi" w:cstheme="majorBidi"/>
          <w:sz w:val="24"/>
          <w:szCs w:val="24"/>
          <w:lang w:val="en-GB"/>
        </w:rPr>
        <w:t xml:space="preserve">unique </w:t>
      </w:r>
      <w:r w:rsidR="00112AF5" w:rsidRPr="00B70D50">
        <w:rPr>
          <w:rFonts w:asciiTheme="majorBidi" w:hAnsiTheme="majorBidi" w:cstheme="majorBidi"/>
          <w:sz w:val="24"/>
          <w:szCs w:val="24"/>
          <w:lang w:val="en-GB"/>
        </w:rPr>
        <w:t>geographic</w:t>
      </w:r>
      <w:r w:rsidR="00321785" w:rsidRPr="00B70D50">
        <w:rPr>
          <w:rFonts w:asciiTheme="majorBidi" w:hAnsiTheme="majorBidi" w:cstheme="majorBidi"/>
          <w:sz w:val="24"/>
          <w:szCs w:val="24"/>
          <w:lang w:val="en-GB"/>
        </w:rPr>
        <w:t>al</w:t>
      </w:r>
      <w:r w:rsidR="00112AF5" w:rsidRPr="00B70D50">
        <w:rPr>
          <w:rFonts w:asciiTheme="majorBidi" w:hAnsiTheme="majorBidi" w:cstheme="majorBidi"/>
          <w:sz w:val="24"/>
          <w:szCs w:val="24"/>
          <w:lang w:val="en-GB"/>
        </w:rPr>
        <w:t xml:space="preserve"> and cultural </w:t>
      </w:r>
      <w:r w:rsidR="00321785" w:rsidRPr="00B70D50">
        <w:rPr>
          <w:rFonts w:asciiTheme="majorBidi" w:hAnsiTheme="majorBidi" w:cstheme="majorBidi"/>
          <w:sz w:val="24"/>
          <w:szCs w:val="24"/>
          <w:lang w:val="en-GB"/>
        </w:rPr>
        <w:t xml:space="preserve">particularities of different </w:t>
      </w:r>
      <w:r w:rsidR="00112AF5" w:rsidRPr="00B70D50">
        <w:rPr>
          <w:rFonts w:asciiTheme="majorBidi" w:hAnsiTheme="majorBidi" w:cstheme="majorBidi"/>
          <w:sz w:val="24"/>
          <w:szCs w:val="24"/>
          <w:lang w:val="en-GB"/>
        </w:rPr>
        <w:lastRenderedPageBreak/>
        <w:t>communit</w:t>
      </w:r>
      <w:r w:rsidR="00321785" w:rsidRPr="00B70D50">
        <w:rPr>
          <w:rFonts w:asciiTheme="majorBidi" w:hAnsiTheme="majorBidi" w:cstheme="majorBidi"/>
          <w:sz w:val="24"/>
          <w:szCs w:val="24"/>
          <w:lang w:val="en-GB"/>
        </w:rPr>
        <w:t>ies</w:t>
      </w:r>
      <w:r w:rsidR="00112AF5" w:rsidRPr="00B70D50">
        <w:rPr>
          <w:rFonts w:asciiTheme="majorBidi" w:hAnsiTheme="majorBidi" w:cstheme="majorBidi"/>
          <w:sz w:val="24"/>
          <w:szCs w:val="24"/>
          <w:lang w:val="en-GB"/>
        </w:rPr>
        <w:t>, in conformity with the provision</w:t>
      </w:r>
      <w:r w:rsidR="007B4640" w:rsidRPr="00B70D50">
        <w:rPr>
          <w:rFonts w:asciiTheme="majorBidi" w:hAnsiTheme="majorBidi" w:cstheme="majorBidi"/>
          <w:sz w:val="24"/>
          <w:szCs w:val="24"/>
          <w:lang w:val="en-GB"/>
        </w:rPr>
        <w:t>s</w:t>
      </w:r>
      <w:r w:rsidR="00112AF5" w:rsidRPr="00B70D50">
        <w:rPr>
          <w:rFonts w:asciiTheme="majorBidi" w:hAnsiTheme="majorBidi" w:cstheme="majorBidi"/>
          <w:sz w:val="24"/>
          <w:szCs w:val="24"/>
          <w:lang w:val="en-GB"/>
        </w:rPr>
        <w:t xml:space="preserve"> of </w:t>
      </w:r>
      <w:r w:rsidR="007B4640" w:rsidRPr="00B70D50">
        <w:rPr>
          <w:rFonts w:asciiTheme="majorBidi" w:hAnsiTheme="majorBidi" w:cstheme="majorBidi"/>
          <w:sz w:val="24"/>
          <w:szCs w:val="24"/>
          <w:lang w:val="en-GB"/>
        </w:rPr>
        <w:t>HRC Reso</w:t>
      </w:r>
      <w:r w:rsidR="008A1B6A" w:rsidRPr="00B70D50">
        <w:rPr>
          <w:rFonts w:asciiTheme="majorBidi" w:hAnsiTheme="majorBidi" w:cstheme="majorBidi"/>
          <w:sz w:val="24"/>
          <w:szCs w:val="24"/>
          <w:lang w:val="en-GB"/>
        </w:rPr>
        <w:t>lution 21</w:t>
      </w:r>
      <w:r w:rsidR="008A1B6A" w:rsidRPr="00B70D50">
        <w:rPr>
          <w:rFonts w:asciiTheme="majorBidi" w:hAnsiTheme="majorBidi" w:cstheme="majorBidi"/>
          <w:sz w:val="24"/>
          <w:szCs w:val="24"/>
          <w:rtl/>
          <w:lang w:val="en-GB" w:bidi="ar-EG"/>
        </w:rPr>
        <w:t>/</w:t>
      </w:r>
      <w:r w:rsidR="008A1B6A" w:rsidRPr="00B70D50">
        <w:rPr>
          <w:rFonts w:asciiTheme="majorBidi" w:hAnsiTheme="majorBidi" w:cstheme="majorBidi"/>
          <w:sz w:val="24"/>
          <w:szCs w:val="24"/>
          <w:lang w:val="en-GB" w:bidi="ar-EG"/>
        </w:rPr>
        <w:t>3 of 20 September 2012.</w:t>
      </w:r>
    </w:p>
    <w:p w14:paraId="0AE4ACCA" w14:textId="2B6FE6D2" w:rsidR="00456E15" w:rsidRPr="00B70D50" w:rsidRDefault="00456E15" w:rsidP="00B70D50">
      <w:pPr>
        <w:pStyle w:val="ListParagraph"/>
        <w:numPr>
          <w:ilvl w:val="0"/>
          <w:numId w:val="39"/>
        </w:numPr>
        <w:bidi w:val="0"/>
        <w:spacing w:before="80" w:after="0" w:line="300" w:lineRule="exact"/>
        <w:ind w:left="0" w:right="51" w:hanging="357"/>
        <w:contextualSpacing w:val="0"/>
        <w:jc w:val="both"/>
        <w:rPr>
          <w:rFonts w:asciiTheme="majorBidi" w:hAnsiTheme="majorBidi" w:cstheme="majorBidi"/>
          <w:sz w:val="24"/>
          <w:szCs w:val="24"/>
          <w:lang w:val="en-GB" w:bidi="ar-EG"/>
        </w:rPr>
      </w:pPr>
      <w:r w:rsidRPr="00B70D50">
        <w:rPr>
          <w:rFonts w:asciiTheme="majorBidi" w:hAnsiTheme="majorBidi" w:cstheme="majorBidi"/>
          <w:sz w:val="24"/>
          <w:szCs w:val="24"/>
          <w:lang w:val="en-GB" w:bidi="ar-EG"/>
        </w:rPr>
        <w:t>During the</w:t>
      </w:r>
      <w:r w:rsidR="00862211" w:rsidRPr="00B70D50">
        <w:rPr>
          <w:rFonts w:asciiTheme="majorBidi" w:hAnsiTheme="majorBidi" w:cstheme="majorBidi"/>
          <w:sz w:val="24"/>
          <w:szCs w:val="24"/>
          <w:lang w:val="en-GB"/>
        </w:rPr>
        <w:t xml:space="preserve"> </w:t>
      </w:r>
      <w:r w:rsidR="00862211" w:rsidRPr="00B70D50">
        <w:rPr>
          <w:rFonts w:asciiTheme="majorBidi" w:hAnsiTheme="majorBidi" w:cstheme="majorBidi"/>
          <w:sz w:val="24"/>
          <w:szCs w:val="24"/>
          <w:lang w:val="en-GB" w:bidi="ar-EG"/>
        </w:rPr>
        <w:t xml:space="preserve">thirty-fourth session of </w:t>
      </w:r>
      <w:r w:rsidR="00321785" w:rsidRPr="00B70D50">
        <w:rPr>
          <w:rFonts w:asciiTheme="majorBidi" w:hAnsiTheme="majorBidi" w:cstheme="majorBidi"/>
          <w:sz w:val="24"/>
          <w:szCs w:val="24"/>
          <w:lang w:val="en-GB" w:bidi="ar-EG"/>
        </w:rPr>
        <w:t xml:space="preserve">the </w:t>
      </w:r>
      <w:r w:rsidR="00862211" w:rsidRPr="00B70D50">
        <w:rPr>
          <w:rFonts w:asciiTheme="majorBidi" w:hAnsiTheme="majorBidi" w:cstheme="majorBidi"/>
          <w:sz w:val="24"/>
          <w:szCs w:val="24"/>
          <w:lang w:val="en-GB" w:bidi="ar-EG"/>
        </w:rPr>
        <w:t>Working Group</w:t>
      </w:r>
      <w:r w:rsidR="00321785" w:rsidRPr="00B70D50">
        <w:rPr>
          <w:rFonts w:asciiTheme="majorBidi" w:hAnsiTheme="majorBidi" w:cstheme="majorBidi"/>
          <w:sz w:val="24"/>
          <w:szCs w:val="24"/>
          <w:lang w:val="en-GB" w:bidi="ar-EG"/>
        </w:rPr>
        <w:t xml:space="preserve"> on UPR</w:t>
      </w:r>
      <w:r w:rsidR="0038019E" w:rsidRPr="00B70D50">
        <w:rPr>
          <w:rFonts w:asciiTheme="majorBidi" w:hAnsiTheme="majorBidi" w:cstheme="majorBidi"/>
          <w:sz w:val="24"/>
          <w:szCs w:val="24"/>
          <w:lang w:val="en-GB" w:bidi="ar-EG"/>
        </w:rPr>
        <w:t>,</w:t>
      </w:r>
      <w:r w:rsidR="00862211" w:rsidRPr="00B70D50">
        <w:rPr>
          <w:rFonts w:asciiTheme="majorBidi" w:hAnsiTheme="majorBidi" w:cstheme="majorBidi"/>
          <w:sz w:val="24"/>
          <w:szCs w:val="24"/>
          <w:lang w:val="en-GB" w:bidi="ar-EG"/>
        </w:rPr>
        <w:t xml:space="preserve"> on 13 November 2019, Egypt received </w:t>
      </w:r>
      <w:r w:rsidR="008B2B4F" w:rsidRPr="00B70D50">
        <w:rPr>
          <w:rFonts w:asciiTheme="majorBidi" w:hAnsiTheme="majorBidi" w:cstheme="majorBidi"/>
          <w:sz w:val="24"/>
          <w:szCs w:val="24"/>
          <w:lang w:val="en-GB" w:bidi="ar-EG"/>
        </w:rPr>
        <w:t>372 recommendations</w:t>
      </w:r>
      <w:r w:rsidR="003D774B" w:rsidRPr="00B70D50">
        <w:rPr>
          <w:rFonts w:asciiTheme="majorBidi" w:hAnsiTheme="majorBidi" w:cstheme="majorBidi"/>
          <w:sz w:val="24"/>
          <w:szCs w:val="24"/>
          <w:lang w:val="en-GB" w:bidi="ar-EG"/>
        </w:rPr>
        <w:t>.</w:t>
      </w:r>
      <w:r w:rsidR="006C181B" w:rsidRPr="00B70D50">
        <w:rPr>
          <w:rFonts w:asciiTheme="majorBidi" w:hAnsiTheme="majorBidi" w:cstheme="majorBidi"/>
          <w:sz w:val="24"/>
          <w:szCs w:val="24"/>
          <w:lang w:val="en-GB" w:bidi="ar-EG"/>
        </w:rPr>
        <w:t xml:space="preserve"> These have been </w:t>
      </w:r>
      <w:r w:rsidR="0038019E" w:rsidRPr="00B70D50">
        <w:rPr>
          <w:rFonts w:asciiTheme="majorBidi" w:hAnsiTheme="majorBidi" w:cstheme="majorBidi"/>
          <w:sz w:val="24"/>
          <w:szCs w:val="24"/>
          <w:lang w:val="en-GB" w:bidi="ar-EG"/>
        </w:rPr>
        <w:t xml:space="preserve">carefully considered through </w:t>
      </w:r>
      <w:r w:rsidR="00176597" w:rsidRPr="00B70D50">
        <w:rPr>
          <w:rFonts w:asciiTheme="majorBidi" w:hAnsiTheme="majorBidi" w:cstheme="majorBidi"/>
          <w:sz w:val="24"/>
          <w:szCs w:val="24"/>
          <w:lang w:val="en-GB" w:bidi="ar-EG"/>
        </w:rPr>
        <w:t xml:space="preserve">an inclusive </w:t>
      </w:r>
      <w:r w:rsidR="00C90407" w:rsidRPr="00B70D50">
        <w:rPr>
          <w:rFonts w:asciiTheme="majorBidi" w:hAnsiTheme="majorBidi" w:cstheme="majorBidi"/>
          <w:sz w:val="24"/>
          <w:szCs w:val="24"/>
          <w:lang w:val="en-GB" w:bidi="ar-EG"/>
        </w:rPr>
        <w:t>coordinati</w:t>
      </w:r>
      <w:r w:rsidR="005A00F9" w:rsidRPr="00B70D50">
        <w:rPr>
          <w:rFonts w:asciiTheme="majorBidi" w:hAnsiTheme="majorBidi" w:cstheme="majorBidi"/>
          <w:sz w:val="24"/>
          <w:szCs w:val="24"/>
          <w:lang w:val="en-GB" w:bidi="ar-EG"/>
        </w:rPr>
        <w:t>on</w:t>
      </w:r>
      <w:r w:rsidR="00C90407" w:rsidRPr="00B70D50">
        <w:rPr>
          <w:rFonts w:asciiTheme="majorBidi" w:hAnsiTheme="majorBidi" w:cstheme="majorBidi"/>
          <w:sz w:val="24"/>
          <w:szCs w:val="24"/>
          <w:lang w:val="en-GB" w:bidi="ar-EG"/>
        </w:rPr>
        <w:t xml:space="preserve"> </w:t>
      </w:r>
      <w:r w:rsidR="003D774B" w:rsidRPr="00B70D50">
        <w:rPr>
          <w:rFonts w:asciiTheme="majorBidi" w:hAnsiTheme="majorBidi" w:cstheme="majorBidi"/>
          <w:sz w:val="24"/>
          <w:szCs w:val="24"/>
          <w:lang w:val="en-GB" w:bidi="ar-EG"/>
        </w:rPr>
        <w:t>framework that</w:t>
      </w:r>
      <w:r w:rsidR="00176597" w:rsidRPr="00B70D50">
        <w:rPr>
          <w:rFonts w:asciiTheme="majorBidi" w:hAnsiTheme="majorBidi" w:cstheme="majorBidi"/>
          <w:sz w:val="24"/>
          <w:szCs w:val="24"/>
          <w:lang w:val="en-GB" w:bidi="ar-EG"/>
        </w:rPr>
        <w:t xml:space="preserve"> engag</w:t>
      </w:r>
      <w:r w:rsidR="006C181B" w:rsidRPr="00B70D50">
        <w:rPr>
          <w:rFonts w:asciiTheme="majorBidi" w:hAnsiTheme="majorBidi" w:cstheme="majorBidi"/>
          <w:sz w:val="24"/>
          <w:szCs w:val="24"/>
          <w:lang w:val="en-GB" w:bidi="ar-EG"/>
        </w:rPr>
        <w:t>ed</w:t>
      </w:r>
      <w:r w:rsidR="00176597" w:rsidRPr="00B70D50">
        <w:rPr>
          <w:rFonts w:asciiTheme="majorBidi" w:hAnsiTheme="majorBidi" w:cstheme="majorBidi"/>
          <w:sz w:val="24"/>
          <w:szCs w:val="24"/>
          <w:lang w:val="en-GB" w:bidi="ar-EG"/>
        </w:rPr>
        <w:t xml:space="preserve"> </w:t>
      </w:r>
      <w:r w:rsidR="00321785" w:rsidRPr="00B70D50">
        <w:rPr>
          <w:rFonts w:asciiTheme="majorBidi" w:hAnsiTheme="majorBidi" w:cstheme="majorBidi"/>
          <w:sz w:val="24"/>
          <w:szCs w:val="24"/>
          <w:lang w:val="en-GB" w:bidi="ar-EG"/>
        </w:rPr>
        <w:t xml:space="preserve">all </w:t>
      </w:r>
      <w:r w:rsidR="00176597" w:rsidRPr="00B70D50">
        <w:rPr>
          <w:rFonts w:asciiTheme="majorBidi" w:hAnsiTheme="majorBidi" w:cstheme="majorBidi"/>
          <w:sz w:val="24"/>
          <w:szCs w:val="24"/>
          <w:lang w:val="en-GB" w:bidi="ar-EG"/>
        </w:rPr>
        <w:t>relevant national</w:t>
      </w:r>
      <w:r w:rsidR="004A3658" w:rsidRPr="00B70D50">
        <w:rPr>
          <w:rFonts w:asciiTheme="majorBidi" w:hAnsiTheme="majorBidi" w:cstheme="majorBidi"/>
          <w:sz w:val="24"/>
          <w:szCs w:val="24"/>
          <w:lang w:val="en-GB" w:bidi="ar-EG"/>
        </w:rPr>
        <w:t xml:space="preserve"> and government</w:t>
      </w:r>
      <w:r w:rsidR="0038019E" w:rsidRPr="00B70D50">
        <w:rPr>
          <w:rFonts w:asciiTheme="majorBidi" w:hAnsiTheme="majorBidi" w:cstheme="majorBidi"/>
          <w:sz w:val="24"/>
          <w:szCs w:val="24"/>
          <w:lang w:val="en-GB" w:bidi="ar-EG"/>
        </w:rPr>
        <w:t>al</w:t>
      </w:r>
      <w:r w:rsidR="004A3658" w:rsidRPr="00B70D50">
        <w:rPr>
          <w:rFonts w:asciiTheme="majorBidi" w:hAnsiTheme="majorBidi" w:cstheme="majorBidi"/>
          <w:sz w:val="24"/>
          <w:szCs w:val="24"/>
          <w:lang w:val="en-GB" w:bidi="ar-EG"/>
        </w:rPr>
        <w:t xml:space="preserve"> actors, along with</w:t>
      </w:r>
      <w:r w:rsidR="00317B63" w:rsidRPr="00B70D50">
        <w:rPr>
          <w:rFonts w:asciiTheme="majorBidi" w:hAnsiTheme="majorBidi" w:cstheme="majorBidi"/>
          <w:sz w:val="24"/>
          <w:szCs w:val="24"/>
          <w:lang w:val="en-GB" w:bidi="ar-EG"/>
        </w:rPr>
        <w:t xml:space="preserve"> the National Council for Women (NCW)</w:t>
      </w:r>
      <w:r w:rsidR="00D012E2" w:rsidRPr="00B70D50">
        <w:rPr>
          <w:rFonts w:asciiTheme="majorBidi" w:hAnsiTheme="majorBidi" w:cstheme="majorBidi"/>
          <w:sz w:val="24"/>
          <w:szCs w:val="24"/>
          <w:lang w:val="en-GB" w:bidi="ar-EG"/>
        </w:rPr>
        <w:t xml:space="preserve">, the National Council for </w:t>
      </w:r>
      <w:r w:rsidR="00321785" w:rsidRPr="00B70D50">
        <w:rPr>
          <w:rFonts w:asciiTheme="majorBidi" w:hAnsiTheme="majorBidi" w:cstheme="majorBidi"/>
          <w:sz w:val="24"/>
          <w:szCs w:val="24"/>
          <w:lang w:val="en-GB" w:bidi="ar-EG"/>
        </w:rPr>
        <w:t xml:space="preserve">Persons with </w:t>
      </w:r>
      <w:r w:rsidR="00D012E2" w:rsidRPr="00B70D50">
        <w:rPr>
          <w:rFonts w:asciiTheme="majorBidi" w:hAnsiTheme="majorBidi" w:cstheme="majorBidi"/>
          <w:sz w:val="24"/>
          <w:szCs w:val="24"/>
          <w:lang w:val="en-GB" w:bidi="ar-EG"/>
        </w:rPr>
        <w:t xml:space="preserve">Disability </w:t>
      </w:r>
      <w:r w:rsidR="0038019E" w:rsidRPr="00B70D50">
        <w:rPr>
          <w:rFonts w:asciiTheme="majorBidi" w:hAnsiTheme="majorBidi" w:cstheme="majorBidi"/>
          <w:sz w:val="24"/>
          <w:szCs w:val="24"/>
          <w:lang w:val="en-GB" w:bidi="ar-EG"/>
        </w:rPr>
        <w:t xml:space="preserve">(NCPD) </w:t>
      </w:r>
      <w:r w:rsidR="00317B63" w:rsidRPr="00B70D50">
        <w:rPr>
          <w:rFonts w:asciiTheme="majorBidi" w:hAnsiTheme="majorBidi" w:cstheme="majorBidi"/>
          <w:sz w:val="24"/>
          <w:szCs w:val="24"/>
          <w:lang w:val="en-GB" w:bidi="ar-EG"/>
        </w:rPr>
        <w:t>and the</w:t>
      </w:r>
      <w:r w:rsidR="004A3658" w:rsidRPr="00B70D50">
        <w:rPr>
          <w:rFonts w:asciiTheme="majorBidi" w:hAnsiTheme="majorBidi" w:cstheme="majorBidi"/>
          <w:sz w:val="24"/>
          <w:szCs w:val="24"/>
          <w:lang w:val="en-GB" w:bidi="ar-EG"/>
        </w:rPr>
        <w:t xml:space="preserve"> </w:t>
      </w:r>
      <w:r w:rsidR="00317B63" w:rsidRPr="00B70D50">
        <w:rPr>
          <w:rFonts w:asciiTheme="majorBidi" w:hAnsiTheme="majorBidi" w:cstheme="majorBidi"/>
          <w:sz w:val="24"/>
          <w:szCs w:val="24"/>
          <w:lang w:val="en-GB" w:bidi="ar-EG"/>
        </w:rPr>
        <w:t>National Council for Childhood and Motherhood</w:t>
      </w:r>
      <w:r w:rsidR="0038019E" w:rsidRPr="00B70D50">
        <w:rPr>
          <w:rFonts w:asciiTheme="majorBidi" w:hAnsiTheme="majorBidi" w:cstheme="majorBidi"/>
          <w:sz w:val="24"/>
          <w:szCs w:val="24"/>
          <w:lang w:val="en-GB" w:bidi="ar-EG"/>
        </w:rPr>
        <w:t xml:space="preserve"> (NCCM)</w:t>
      </w:r>
      <w:r w:rsidR="007B4B36" w:rsidRPr="00B70D50">
        <w:rPr>
          <w:rFonts w:asciiTheme="majorBidi" w:hAnsiTheme="majorBidi" w:cstheme="majorBidi"/>
          <w:sz w:val="24"/>
          <w:szCs w:val="24"/>
          <w:lang w:val="en-GB" w:bidi="ar-EG"/>
        </w:rPr>
        <w:t>, in consultation with</w:t>
      </w:r>
      <w:r w:rsidR="001C01B9" w:rsidRPr="00B70D50">
        <w:rPr>
          <w:rFonts w:asciiTheme="majorBidi" w:hAnsiTheme="majorBidi" w:cstheme="majorBidi"/>
          <w:sz w:val="24"/>
          <w:szCs w:val="24"/>
          <w:lang w:val="en-GB" w:bidi="ar-EG"/>
        </w:rPr>
        <w:t xml:space="preserve"> the National Council for Human Rights </w:t>
      </w:r>
      <w:r w:rsidR="0038019E" w:rsidRPr="00B70D50">
        <w:rPr>
          <w:rFonts w:asciiTheme="majorBidi" w:hAnsiTheme="majorBidi" w:cstheme="majorBidi"/>
          <w:sz w:val="24"/>
          <w:szCs w:val="24"/>
          <w:lang w:val="en-GB" w:bidi="ar-EG"/>
        </w:rPr>
        <w:t xml:space="preserve">(NCHR) </w:t>
      </w:r>
      <w:r w:rsidR="001C01B9" w:rsidRPr="00B70D50">
        <w:rPr>
          <w:rFonts w:asciiTheme="majorBidi" w:hAnsiTheme="majorBidi" w:cstheme="majorBidi"/>
          <w:sz w:val="24"/>
          <w:szCs w:val="24"/>
          <w:lang w:val="en-GB" w:bidi="ar-EG"/>
        </w:rPr>
        <w:t xml:space="preserve">and </w:t>
      </w:r>
      <w:r w:rsidR="00280AD9" w:rsidRPr="00B70D50">
        <w:rPr>
          <w:rFonts w:asciiTheme="majorBidi" w:hAnsiTheme="majorBidi" w:cstheme="majorBidi"/>
          <w:sz w:val="24"/>
          <w:szCs w:val="24"/>
          <w:lang w:val="en-GB" w:bidi="ar-EG"/>
        </w:rPr>
        <w:t xml:space="preserve">national </w:t>
      </w:r>
      <w:r w:rsidR="00C45AD0" w:rsidRPr="00B70D50">
        <w:rPr>
          <w:rFonts w:asciiTheme="majorBidi" w:hAnsiTheme="majorBidi" w:cstheme="majorBidi"/>
          <w:sz w:val="24"/>
          <w:szCs w:val="24"/>
          <w:lang w:val="en-GB" w:bidi="ar-EG"/>
        </w:rPr>
        <w:t>NGOs.</w:t>
      </w:r>
      <w:r w:rsidR="00317B63" w:rsidRPr="00B70D50">
        <w:rPr>
          <w:rFonts w:asciiTheme="majorBidi" w:hAnsiTheme="majorBidi" w:cstheme="majorBidi"/>
          <w:sz w:val="24"/>
          <w:szCs w:val="24"/>
          <w:lang w:val="en-GB" w:bidi="ar-EG"/>
        </w:rPr>
        <w:t xml:space="preserve"> </w:t>
      </w:r>
      <w:r w:rsidR="006C181B" w:rsidRPr="00B70D50">
        <w:rPr>
          <w:rFonts w:asciiTheme="majorBidi" w:hAnsiTheme="majorBidi" w:cstheme="majorBidi"/>
          <w:sz w:val="24"/>
          <w:szCs w:val="24"/>
          <w:lang w:val="en-GB" w:bidi="ar-EG"/>
        </w:rPr>
        <w:t xml:space="preserve">Necessary policies and measures have been </w:t>
      </w:r>
      <w:r w:rsidR="0038019E" w:rsidRPr="00B70D50">
        <w:rPr>
          <w:rFonts w:asciiTheme="majorBidi" w:hAnsiTheme="majorBidi" w:cstheme="majorBidi"/>
          <w:sz w:val="24"/>
          <w:szCs w:val="24"/>
          <w:lang w:val="en-GB" w:bidi="ar-EG"/>
        </w:rPr>
        <w:t xml:space="preserve">thoroughly </w:t>
      </w:r>
      <w:r w:rsidR="006C181B" w:rsidRPr="00B70D50">
        <w:rPr>
          <w:rFonts w:asciiTheme="majorBidi" w:hAnsiTheme="majorBidi" w:cstheme="majorBidi"/>
          <w:sz w:val="24"/>
          <w:szCs w:val="24"/>
          <w:lang w:val="en-GB" w:bidi="ar-EG"/>
        </w:rPr>
        <w:t>discussed to implement the recommendations approved</w:t>
      </w:r>
      <w:r w:rsidR="0038019E" w:rsidRPr="00B70D50">
        <w:rPr>
          <w:rFonts w:asciiTheme="majorBidi" w:hAnsiTheme="majorBidi" w:cstheme="majorBidi"/>
          <w:sz w:val="24"/>
          <w:szCs w:val="24"/>
          <w:lang w:val="en-GB" w:bidi="ar-EG"/>
        </w:rPr>
        <w:t>,</w:t>
      </w:r>
      <w:r w:rsidR="006C181B" w:rsidRPr="00B70D50">
        <w:rPr>
          <w:rFonts w:asciiTheme="majorBidi" w:hAnsiTheme="majorBidi" w:cstheme="majorBidi"/>
          <w:sz w:val="24"/>
          <w:szCs w:val="24"/>
          <w:lang w:val="en-GB" w:bidi="ar-EG"/>
        </w:rPr>
        <w:t xml:space="preserve"> i</w:t>
      </w:r>
      <w:r w:rsidR="00807670" w:rsidRPr="00B70D50">
        <w:rPr>
          <w:rFonts w:asciiTheme="majorBidi" w:hAnsiTheme="majorBidi" w:cstheme="majorBidi"/>
          <w:sz w:val="24"/>
          <w:szCs w:val="24"/>
          <w:lang w:val="en-GB" w:bidi="ar-EG"/>
        </w:rPr>
        <w:t xml:space="preserve">n compliance </w:t>
      </w:r>
      <w:r w:rsidR="006C181B" w:rsidRPr="00B70D50">
        <w:rPr>
          <w:rFonts w:asciiTheme="majorBidi" w:hAnsiTheme="majorBidi" w:cstheme="majorBidi"/>
          <w:sz w:val="24"/>
          <w:szCs w:val="24"/>
          <w:lang w:val="en-GB" w:bidi="ar-EG"/>
        </w:rPr>
        <w:t xml:space="preserve">with </w:t>
      </w:r>
      <w:r w:rsidR="00807670" w:rsidRPr="00B70D50">
        <w:rPr>
          <w:rFonts w:asciiTheme="majorBidi" w:hAnsiTheme="majorBidi" w:cstheme="majorBidi"/>
          <w:sz w:val="24"/>
          <w:szCs w:val="24"/>
          <w:lang w:val="en-GB" w:bidi="ar-EG"/>
        </w:rPr>
        <w:t>the 2014 Constitution, its respective amendments and</w:t>
      </w:r>
      <w:r w:rsidR="00B521F3" w:rsidRPr="00B70D50">
        <w:rPr>
          <w:rFonts w:asciiTheme="majorBidi" w:hAnsiTheme="majorBidi" w:cstheme="majorBidi"/>
          <w:sz w:val="24"/>
          <w:szCs w:val="24"/>
          <w:lang w:val="en-GB" w:bidi="ar-EG"/>
        </w:rPr>
        <w:t xml:space="preserve"> Egypt’s commitments under international agreements</w:t>
      </w:r>
      <w:r w:rsidR="0071658C" w:rsidRPr="00B70D50">
        <w:rPr>
          <w:rFonts w:asciiTheme="majorBidi" w:hAnsiTheme="majorBidi" w:cstheme="majorBidi"/>
          <w:sz w:val="24"/>
          <w:szCs w:val="24"/>
          <w:lang w:val="en-GB" w:bidi="ar-EG"/>
        </w:rPr>
        <w:t>.</w:t>
      </w:r>
    </w:p>
    <w:p w14:paraId="30B64889" w14:textId="0B1D5BB5" w:rsidR="001E0277" w:rsidRPr="00B70D50" w:rsidRDefault="00374D68" w:rsidP="00B70D50">
      <w:pPr>
        <w:pStyle w:val="ListParagraph"/>
        <w:numPr>
          <w:ilvl w:val="0"/>
          <w:numId w:val="39"/>
        </w:numPr>
        <w:bidi w:val="0"/>
        <w:spacing w:before="80" w:after="0" w:line="300" w:lineRule="exact"/>
        <w:ind w:left="0" w:right="51" w:hanging="357"/>
        <w:contextualSpacing w:val="0"/>
        <w:jc w:val="both"/>
        <w:rPr>
          <w:rFonts w:asciiTheme="majorBidi" w:hAnsiTheme="majorBidi" w:cstheme="majorBidi"/>
          <w:sz w:val="24"/>
          <w:szCs w:val="24"/>
          <w:lang w:val="en-GB" w:bidi="ar-EG"/>
        </w:rPr>
      </w:pPr>
      <w:r w:rsidRPr="00B70D50">
        <w:rPr>
          <w:rFonts w:asciiTheme="majorBidi" w:hAnsiTheme="majorBidi" w:cstheme="majorBidi"/>
          <w:sz w:val="24"/>
          <w:szCs w:val="24"/>
          <w:lang w:val="en-GB" w:bidi="ar-EG"/>
        </w:rPr>
        <w:t xml:space="preserve">The </w:t>
      </w:r>
      <w:r w:rsidR="0038019E" w:rsidRPr="00B70D50">
        <w:rPr>
          <w:rFonts w:asciiTheme="majorBidi" w:hAnsiTheme="majorBidi" w:cstheme="majorBidi"/>
          <w:sz w:val="24"/>
          <w:szCs w:val="24"/>
          <w:lang w:val="en-GB" w:bidi="ar-EG"/>
        </w:rPr>
        <w:t>G</w:t>
      </w:r>
      <w:r w:rsidRPr="00B70D50">
        <w:rPr>
          <w:rFonts w:asciiTheme="majorBidi" w:hAnsiTheme="majorBidi" w:cstheme="majorBidi"/>
          <w:sz w:val="24"/>
          <w:szCs w:val="24"/>
          <w:lang w:val="en-GB" w:bidi="ar-EG"/>
        </w:rPr>
        <w:t>overnment’</w:t>
      </w:r>
      <w:r w:rsidR="007D0BC3" w:rsidRPr="00B70D50">
        <w:rPr>
          <w:rFonts w:asciiTheme="majorBidi" w:hAnsiTheme="majorBidi" w:cstheme="majorBidi"/>
          <w:sz w:val="24"/>
          <w:szCs w:val="24"/>
          <w:lang w:val="en-GB" w:bidi="ar-EG"/>
        </w:rPr>
        <w:t xml:space="preserve">s </w:t>
      </w:r>
      <w:r w:rsidR="00EB4665" w:rsidRPr="00B70D50">
        <w:rPr>
          <w:rFonts w:asciiTheme="majorBidi" w:hAnsiTheme="majorBidi" w:cstheme="majorBidi"/>
          <w:sz w:val="24"/>
          <w:szCs w:val="24"/>
          <w:lang w:val="en-GB" w:bidi="ar-EG"/>
        </w:rPr>
        <w:t>position</w:t>
      </w:r>
      <w:r w:rsidR="007D0BC3" w:rsidRPr="00B70D50">
        <w:rPr>
          <w:rFonts w:asciiTheme="majorBidi" w:hAnsiTheme="majorBidi" w:cstheme="majorBidi"/>
          <w:sz w:val="24"/>
          <w:szCs w:val="24"/>
          <w:lang w:val="en-GB" w:bidi="ar-EG"/>
        </w:rPr>
        <w:t xml:space="preserve"> on </w:t>
      </w:r>
      <w:r w:rsidR="0038019E" w:rsidRPr="00B70D50">
        <w:rPr>
          <w:rFonts w:asciiTheme="majorBidi" w:hAnsiTheme="majorBidi" w:cstheme="majorBidi"/>
          <w:sz w:val="24"/>
          <w:szCs w:val="24"/>
          <w:lang w:val="en-GB" w:bidi="ar-EG"/>
        </w:rPr>
        <w:t xml:space="preserve">the </w:t>
      </w:r>
      <w:r w:rsidR="007D0BC3" w:rsidRPr="00B70D50">
        <w:rPr>
          <w:rFonts w:asciiTheme="majorBidi" w:hAnsiTheme="majorBidi" w:cstheme="majorBidi"/>
          <w:sz w:val="24"/>
          <w:szCs w:val="24"/>
          <w:lang w:val="en-GB" w:bidi="ar-EG"/>
        </w:rPr>
        <w:t xml:space="preserve">recommendations </w:t>
      </w:r>
      <w:r w:rsidR="00E16196" w:rsidRPr="00B70D50">
        <w:rPr>
          <w:rFonts w:asciiTheme="majorBidi" w:hAnsiTheme="majorBidi" w:cstheme="majorBidi"/>
          <w:sz w:val="24"/>
          <w:szCs w:val="24"/>
          <w:lang w:val="en-GB" w:bidi="ar-EG"/>
        </w:rPr>
        <w:t xml:space="preserve">rests </w:t>
      </w:r>
      <w:r w:rsidR="00D84D98" w:rsidRPr="00B70D50">
        <w:rPr>
          <w:rFonts w:asciiTheme="majorBidi" w:hAnsiTheme="majorBidi" w:cstheme="majorBidi"/>
          <w:sz w:val="24"/>
          <w:szCs w:val="24"/>
          <w:lang w:val="en-GB" w:bidi="ar-EG"/>
        </w:rPr>
        <w:t>upon solid</w:t>
      </w:r>
      <w:r w:rsidR="00E16196" w:rsidRPr="00B70D50">
        <w:rPr>
          <w:rFonts w:asciiTheme="majorBidi" w:hAnsiTheme="majorBidi" w:cstheme="majorBidi"/>
          <w:sz w:val="24"/>
          <w:szCs w:val="24"/>
          <w:lang w:val="en-GB" w:bidi="ar-EG"/>
        </w:rPr>
        <w:t xml:space="preserve"> grounds established by the Constitution</w:t>
      </w:r>
      <w:r w:rsidR="00381302" w:rsidRPr="00B70D50">
        <w:rPr>
          <w:rFonts w:asciiTheme="majorBidi" w:hAnsiTheme="majorBidi" w:cstheme="majorBidi"/>
          <w:sz w:val="24"/>
          <w:szCs w:val="24"/>
          <w:lang w:val="en-GB" w:bidi="ar-EG"/>
        </w:rPr>
        <w:t xml:space="preserve">, </w:t>
      </w:r>
      <w:r w:rsidR="006C181B" w:rsidRPr="00B70D50">
        <w:rPr>
          <w:rFonts w:asciiTheme="majorBidi" w:hAnsiTheme="majorBidi" w:cstheme="majorBidi"/>
          <w:sz w:val="24"/>
          <w:szCs w:val="24"/>
          <w:lang w:val="en-GB" w:bidi="ar-EG"/>
        </w:rPr>
        <w:t>which hold</w:t>
      </w:r>
      <w:r w:rsidR="00E16196" w:rsidRPr="00B70D50">
        <w:rPr>
          <w:rFonts w:asciiTheme="majorBidi" w:hAnsiTheme="majorBidi" w:cstheme="majorBidi"/>
          <w:sz w:val="24"/>
          <w:szCs w:val="24"/>
          <w:lang w:val="en-GB" w:bidi="ar-EG"/>
        </w:rPr>
        <w:t>s</w:t>
      </w:r>
      <w:r w:rsidR="006C181B" w:rsidRPr="00B70D50">
        <w:rPr>
          <w:rFonts w:asciiTheme="majorBidi" w:hAnsiTheme="majorBidi" w:cstheme="majorBidi"/>
          <w:sz w:val="24"/>
          <w:szCs w:val="24"/>
          <w:lang w:val="en-GB" w:bidi="ar-EG"/>
        </w:rPr>
        <w:t xml:space="preserve"> the </w:t>
      </w:r>
      <w:r w:rsidR="00E16196" w:rsidRPr="00B70D50">
        <w:rPr>
          <w:rFonts w:asciiTheme="majorBidi" w:hAnsiTheme="majorBidi" w:cstheme="majorBidi"/>
          <w:sz w:val="24"/>
          <w:szCs w:val="24"/>
          <w:lang w:val="en-GB" w:bidi="ar-EG"/>
        </w:rPr>
        <w:t xml:space="preserve">respect and </w:t>
      </w:r>
      <w:r w:rsidR="00172FED" w:rsidRPr="00B70D50">
        <w:rPr>
          <w:rFonts w:asciiTheme="majorBidi" w:hAnsiTheme="majorBidi" w:cstheme="majorBidi"/>
          <w:sz w:val="24"/>
          <w:szCs w:val="24"/>
          <w:lang w:val="en-GB" w:bidi="ar-EG"/>
        </w:rPr>
        <w:t xml:space="preserve">protection </w:t>
      </w:r>
      <w:r w:rsidR="00B7788D" w:rsidRPr="00B70D50">
        <w:rPr>
          <w:rFonts w:asciiTheme="majorBidi" w:hAnsiTheme="majorBidi" w:cstheme="majorBidi"/>
          <w:sz w:val="24"/>
          <w:szCs w:val="24"/>
          <w:lang w:val="en-GB" w:bidi="ar-EG"/>
        </w:rPr>
        <w:t>of human rig</w:t>
      </w:r>
      <w:r w:rsidR="00AF63CF" w:rsidRPr="00B70D50">
        <w:rPr>
          <w:rFonts w:asciiTheme="majorBidi" w:hAnsiTheme="majorBidi" w:cstheme="majorBidi"/>
          <w:sz w:val="24"/>
          <w:szCs w:val="24"/>
          <w:lang w:val="en-GB" w:bidi="ar-EG"/>
        </w:rPr>
        <w:t>hts and fundamental freedom</w:t>
      </w:r>
      <w:r w:rsidR="003D6EBF" w:rsidRPr="00B70D50">
        <w:rPr>
          <w:rFonts w:asciiTheme="majorBidi" w:hAnsiTheme="majorBidi" w:cstheme="majorBidi"/>
          <w:sz w:val="24"/>
          <w:szCs w:val="24"/>
          <w:lang w:val="en-GB" w:bidi="ar-EG"/>
        </w:rPr>
        <w:t xml:space="preserve">s </w:t>
      </w:r>
      <w:r w:rsidR="00E16196" w:rsidRPr="00B70D50">
        <w:rPr>
          <w:rFonts w:asciiTheme="majorBidi" w:hAnsiTheme="majorBidi" w:cstheme="majorBidi"/>
          <w:sz w:val="24"/>
          <w:szCs w:val="24"/>
          <w:lang w:val="en-GB" w:bidi="ar-EG"/>
        </w:rPr>
        <w:t xml:space="preserve">at </w:t>
      </w:r>
      <w:r w:rsidR="006C181B" w:rsidRPr="00B70D50">
        <w:rPr>
          <w:rFonts w:asciiTheme="majorBidi" w:hAnsiTheme="majorBidi" w:cstheme="majorBidi"/>
          <w:sz w:val="24"/>
          <w:szCs w:val="24"/>
          <w:lang w:val="en-GB" w:bidi="ar-EG"/>
        </w:rPr>
        <w:t>the</w:t>
      </w:r>
      <w:r w:rsidR="003D6EBF" w:rsidRPr="00B70D50">
        <w:rPr>
          <w:rFonts w:asciiTheme="majorBidi" w:hAnsiTheme="majorBidi" w:cstheme="majorBidi"/>
          <w:sz w:val="24"/>
          <w:szCs w:val="24"/>
          <w:lang w:val="en-GB" w:bidi="ar-EG"/>
        </w:rPr>
        <w:t xml:space="preserve"> core of the </w:t>
      </w:r>
      <w:r w:rsidR="006C181B" w:rsidRPr="00B70D50">
        <w:rPr>
          <w:rFonts w:asciiTheme="majorBidi" w:hAnsiTheme="majorBidi" w:cstheme="majorBidi"/>
          <w:sz w:val="24"/>
          <w:szCs w:val="24"/>
          <w:lang w:val="en-GB" w:bidi="ar-EG"/>
        </w:rPr>
        <w:t>S</w:t>
      </w:r>
      <w:r w:rsidR="00AF63CF" w:rsidRPr="00B70D50">
        <w:rPr>
          <w:rFonts w:asciiTheme="majorBidi" w:hAnsiTheme="majorBidi" w:cstheme="majorBidi"/>
          <w:sz w:val="24"/>
          <w:szCs w:val="24"/>
          <w:lang w:val="en-GB" w:bidi="ar-EG"/>
        </w:rPr>
        <w:t>tate’s political system.</w:t>
      </w:r>
      <w:r w:rsidR="00597771" w:rsidRPr="00B70D50">
        <w:rPr>
          <w:rFonts w:asciiTheme="majorBidi" w:hAnsiTheme="majorBidi" w:cstheme="majorBidi"/>
          <w:sz w:val="24"/>
          <w:szCs w:val="24"/>
          <w:lang w:val="en-GB" w:bidi="ar-EG"/>
        </w:rPr>
        <w:t xml:space="preserve"> </w:t>
      </w:r>
      <w:r w:rsidR="003539BD" w:rsidRPr="00B70D50">
        <w:rPr>
          <w:rFonts w:asciiTheme="majorBidi" w:hAnsiTheme="majorBidi" w:cstheme="majorBidi"/>
          <w:sz w:val="24"/>
          <w:szCs w:val="24"/>
          <w:lang w:val="en-GB" w:bidi="ar-EG"/>
        </w:rPr>
        <w:t>A</w:t>
      </w:r>
      <w:r w:rsidR="00597771" w:rsidRPr="00B70D50">
        <w:rPr>
          <w:rFonts w:asciiTheme="majorBidi" w:hAnsiTheme="majorBidi" w:cstheme="majorBidi"/>
          <w:sz w:val="24"/>
          <w:szCs w:val="24"/>
          <w:lang w:val="en-GB" w:bidi="ar-EG"/>
        </w:rPr>
        <w:t xml:space="preserve">n entire </w:t>
      </w:r>
      <w:r w:rsidR="003539BD" w:rsidRPr="00B70D50">
        <w:rPr>
          <w:rFonts w:asciiTheme="majorBidi" w:hAnsiTheme="majorBidi" w:cstheme="majorBidi"/>
          <w:sz w:val="24"/>
          <w:szCs w:val="24"/>
          <w:lang w:val="en-GB" w:bidi="ar-EG"/>
        </w:rPr>
        <w:t xml:space="preserve">chapter </w:t>
      </w:r>
      <w:r w:rsidR="00597771" w:rsidRPr="00B70D50">
        <w:rPr>
          <w:rFonts w:asciiTheme="majorBidi" w:hAnsiTheme="majorBidi" w:cstheme="majorBidi"/>
          <w:sz w:val="24"/>
          <w:szCs w:val="24"/>
          <w:lang w:val="en-GB" w:bidi="ar-EG"/>
        </w:rPr>
        <w:t xml:space="preserve">of </w:t>
      </w:r>
      <w:r w:rsidR="00407677" w:rsidRPr="00B70D50">
        <w:rPr>
          <w:rFonts w:asciiTheme="majorBidi" w:hAnsiTheme="majorBidi" w:cstheme="majorBidi"/>
          <w:sz w:val="24"/>
          <w:szCs w:val="24"/>
          <w:lang w:val="en-GB" w:bidi="ar-EG"/>
        </w:rPr>
        <w:t xml:space="preserve">the Constitution </w:t>
      </w:r>
      <w:r w:rsidR="003539BD" w:rsidRPr="00B70D50">
        <w:rPr>
          <w:rFonts w:asciiTheme="majorBidi" w:hAnsiTheme="majorBidi" w:cstheme="majorBidi"/>
          <w:sz w:val="24"/>
          <w:szCs w:val="24"/>
          <w:lang w:val="en-GB" w:bidi="ar-EG"/>
        </w:rPr>
        <w:t>is dedicated to human rights, where specific rights have</w:t>
      </w:r>
      <w:r w:rsidR="00407677" w:rsidRPr="00B70D50">
        <w:rPr>
          <w:rFonts w:asciiTheme="majorBidi" w:hAnsiTheme="majorBidi" w:cstheme="majorBidi"/>
          <w:sz w:val="24"/>
          <w:szCs w:val="24"/>
          <w:lang w:val="en-GB" w:bidi="ar-EG"/>
        </w:rPr>
        <w:t xml:space="preserve"> </w:t>
      </w:r>
      <w:r w:rsidR="003539BD" w:rsidRPr="00B70D50">
        <w:rPr>
          <w:rFonts w:asciiTheme="majorBidi" w:hAnsiTheme="majorBidi" w:cstheme="majorBidi"/>
          <w:sz w:val="24"/>
          <w:szCs w:val="24"/>
          <w:lang w:val="en-GB" w:bidi="ar-EG"/>
        </w:rPr>
        <w:t xml:space="preserve">been </w:t>
      </w:r>
      <w:r w:rsidR="00407677" w:rsidRPr="00B70D50">
        <w:rPr>
          <w:rFonts w:asciiTheme="majorBidi" w:hAnsiTheme="majorBidi" w:cstheme="majorBidi"/>
          <w:sz w:val="24"/>
          <w:szCs w:val="24"/>
          <w:lang w:val="en-GB" w:bidi="ar-EG"/>
        </w:rPr>
        <w:t xml:space="preserve">introduced </w:t>
      </w:r>
      <w:r w:rsidR="003539BD" w:rsidRPr="00B70D50">
        <w:rPr>
          <w:rFonts w:asciiTheme="majorBidi" w:hAnsiTheme="majorBidi" w:cstheme="majorBidi"/>
          <w:sz w:val="24"/>
          <w:szCs w:val="24"/>
          <w:lang w:val="en-GB" w:bidi="ar-EG"/>
        </w:rPr>
        <w:t xml:space="preserve">for the first time </w:t>
      </w:r>
      <w:r w:rsidR="00407677" w:rsidRPr="00B70D50">
        <w:rPr>
          <w:rFonts w:asciiTheme="majorBidi" w:hAnsiTheme="majorBidi" w:cstheme="majorBidi"/>
          <w:sz w:val="24"/>
          <w:szCs w:val="24"/>
          <w:lang w:val="en-GB" w:bidi="ar-EG"/>
        </w:rPr>
        <w:t>into</w:t>
      </w:r>
      <w:r w:rsidR="00475525" w:rsidRPr="00B70D50">
        <w:rPr>
          <w:rFonts w:asciiTheme="majorBidi" w:hAnsiTheme="majorBidi" w:cstheme="majorBidi"/>
          <w:sz w:val="24"/>
          <w:szCs w:val="24"/>
          <w:lang w:val="en-GB" w:bidi="ar-EG"/>
        </w:rPr>
        <w:t xml:space="preserve"> Egypt’s </w:t>
      </w:r>
      <w:r w:rsidR="00B70D50" w:rsidRPr="00B70D50">
        <w:rPr>
          <w:rFonts w:asciiTheme="majorBidi" w:hAnsiTheme="majorBidi" w:cstheme="majorBidi"/>
          <w:sz w:val="24"/>
          <w:szCs w:val="24"/>
          <w:lang w:val="en-GB" w:bidi="ar-EG"/>
        </w:rPr>
        <w:t>constitutional structure</w:t>
      </w:r>
      <w:r w:rsidR="003539BD" w:rsidRPr="00B70D50">
        <w:rPr>
          <w:rFonts w:asciiTheme="majorBidi" w:hAnsiTheme="majorBidi" w:cstheme="majorBidi"/>
          <w:sz w:val="24"/>
          <w:szCs w:val="24"/>
          <w:lang w:val="en-GB" w:bidi="ar-EG"/>
        </w:rPr>
        <w:t>, such as</w:t>
      </w:r>
      <w:r w:rsidR="00475525" w:rsidRPr="00B70D50">
        <w:rPr>
          <w:rFonts w:asciiTheme="majorBidi" w:hAnsiTheme="majorBidi" w:cstheme="majorBidi"/>
          <w:sz w:val="24"/>
          <w:szCs w:val="24"/>
          <w:lang w:val="en-GB" w:bidi="ar-EG"/>
        </w:rPr>
        <w:t xml:space="preserve"> </w:t>
      </w:r>
      <w:r w:rsidR="00237D89" w:rsidRPr="00B70D50">
        <w:rPr>
          <w:rFonts w:asciiTheme="majorBidi" w:hAnsiTheme="majorBidi" w:cstheme="majorBidi"/>
          <w:sz w:val="24"/>
          <w:szCs w:val="24"/>
          <w:lang w:val="en-GB" w:bidi="ar-EG"/>
        </w:rPr>
        <w:t xml:space="preserve">the right to peaceful strike, </w:t>
      </w:r>
      <w:r w:rsidR="00E16196" w:rsidRPr="00B70D50">
        <w:rPr>
          <w:rFonts w:asciiTheme="majorBidi" w:hAnsiTheme="majorBidi" w:cstheme="majorBidi"/>
          <w:sz w:val="24"/>
          <w:szCs w:val="24"/>
          <w:lang w:val="en-GB" w:bidi="ar-EG"/>
        </w:rPr>
        <w:t xml:space="preserve">in addition to reinforcing the </w:t>
      </w:r>
      <w:r w:rsidR="003539BD" w:rsidRPr="00B70D50">
        <w:rPr>
          <w:rFonts w:asciiTheme="majorBidi" w:hAnsiTheme="majorBidi" w:cstheme="majorBidi"/>
          <w:sz w:val="24"/>
          <w:szCs w:val="24"/>
          <w:lang w:val="en-GB" w:bidi="ar-EG"/>
        </w:rPr>
        <w:t>freedom</w:t>
      </w:r>
      <w:r w:rsidR="00E16196" w:rsidRPr="00B70D50">
        <w:rPr>
          <w:rFonts w:asciiTheme="majorBidi" w:hAnsiTheme="majorBidi" w:cstheme="majorBidi"/>
          <w:sz w:val="24"/>
          <w:szCs w:val="24"/>
          <w:lang w:val="en-GB" w:bidi="ar-EG"/>
        </w:rPr>
        <w:t>s</w:t>
      </w:r>
      <w:r w:rsidR="003539BD" w:rsidRPr="00B70D50">
        <w:rPr>
          <w:rFonts w:asciiTheme="majorBidi" w:hAnsiTheme="majorBidi" w:cstheme="majorBidi"/>
          <w:sz w:val="24"/>
          <w:szCs w:val="24"/>
          <w:lang w:val="en-GB" w:bidi="ar-EG"/>
        </w:rPr>
        <w:t xml:space="preserve"> </w:t>
      </w:r>
      <w:r w:rsidR="00497E6C" w:rsidRPr="00B70D50">
        <w:rPr>
          <w:rFonts w:asciiTheme="majorBidi" w:hAnsiTheme="majorBidi" w:cstheme="majorBidi"/>
          <w:sz w:val="24"/>
          <w:szCs w:val="24"/>
          <w:lang w:val="en-GB" w:bidi="ar-EG"/>
        </w:rPr>
        <w:t>of belief</w:t>
      </w:r>
      <w:r w:rsidR="00E16196" w:rsidRPr="00B70D50">
        <w:rPr>
          <w:rFonts w:asciiTheme="majorBidi" w:hAnsiTheme="majorBidi" w:cstheme="majorBidi"/>
          <w:sz w:val="24"/>
          <w:szCs w:val="24"/>
          <w:lang w:val="en-GB" w:bidi="ar-EG"/>
        </w:rPr>
        <w:t>,</w:t>
      </w:r>
      <w:r w:rsidR="00497E6C" w:rsidRPr="00B70D50">
        <w:rPr>
          <w:rFonts w:asciiTheme="majorBidi" w:hAnsiTheme="majorBidi" w:cstheme="majorBidi"/>
          <w:sz w:val="24"/>
          <w:szCs w:val="24"/>
          <w:lang w:val="en-GB" w:bidi="ar-EG"/>
        </w:rPr>
        <w:t xml:space="preserve"> thought, </w:t>
      </w:r>
      <w:r w:rsidR="00570112" w:rsidRPr="00B70D50">
        <w:rPr>
          <w:rFonts w:asciiTheme="majorBidi" w:hAnsiTheme="majorBidi" w:cstheme="majorBidi"/>
          <w:sz w:val="24"/>
          <w:szCs w:val="24"/>
          <w:lang w:val="en-GB" w:bidi="ar-EG"/>
        </w:rPr>
        <w:t>opinion and expression, sc</w:t>
      </w:r>
      <w:r w:rsidR="00EC52C9" w:rsidRPr="00B70D50">
        <w:rPr>
          <w:rFonts w:asciiTheme="majorBidi" w:hAnsiTheme="majorBidi" w:cstheme="majorBidi"/>
          <w:sz w:val="24"/>
          <w:szCs w:val="24"/>
          <w:lang w:val="en-GB" w:bidi="ar-EG"/>
        </w:rPr>
        <w:t>ientific research,</w:t>
      </w:r>
      <w:r w:rsidR="00E16196" w:rsidRPr="00B70D50">
        <w:rPr>
          <w:rFonts w:asciiTheme="majorBidi" w:hAnsiTheme="majorBidi" w:cstheme="majorBidi"/>
          <w:sz w:val="24"/>
          <w:szCs w:val="24"/>
          <w:lang w:val="en-GB" w:bidi="ar-EG"/>
        </w:rPr>
        <w:t xml:space="preserve"> and artistic and literary innovation</w:t>
      </w:r>
      <w:r w:rsidR="00DE7023" w:rsidRPr="00B70D50">
        <w:rPr>
          <w:rFonts w:asciiTheme="majorBidi" w:hAnsiTheme="majorBidi" w:cstheme="majorBidi"/>
          <w:sz w:val="24"/>
          <w:szCs w:val="24"/>
          <w:lang w:val="en-GB" w:bidi="ar-EG"/>
        </w:rPr>
        <w:t xml:space="preserve">. </w:t>
      </w:r>
      <w:r w:rsidR="00E16196" w:rsidRPr="00B70D50">
        <w:rPr>
          <w:rFonts w:asciiTheme="majorBidi" w:hAnsiTheme="majorBidi" w:cstheme="majorBidi"/>
          <w:sz w:val="24"/>
          <w:szCs w:val="24"/>
          <w:lang w:val="en-GB" w:bidi="ar-EG"/>
        </w:rPr>
        <w:t>T</w:t>
      </w:r>
      <w:r w:rsidR="00622F11" w:rsidRPr="00B70D50">
        <w:rPr>
          <w:rFonts w:asciiTheme="majorBidi" w:hAnsiTheme="majorBidi" w:cstheme="majorBidi"/>
          <w:sz w:val="24"/>
          <w:szCs w:val="24"/>
          <w:lang w:val="en-GB" w:bidi="ar-EG"/>
        </w:rPr>
        <w:t xml:space="preserve">he </w:t>
      </w:r>
      <w:r w:rsidR="00210A35" w:rsidRPr="00B70D50">
        <w:rPr>
          <w:rFonts w:asciiTheme="majorBidi" w:hAnsiTheme="majorBidi" w:cstheme="majorBidi"/>
          <w:sz w:val="24"/>
          <w:szCs w:val="24"/>
          <w:lang w:val="en-GB" w:bidi="ar-EG"/>
        </w:rPr>
        <w:t>Constitution</w:t>
      </w:r>
      <w:r w:rsidR="00F83438" w:rsidRPr="00B70D50">
        <w:rPr>
          <w:rFonts w:asciiTheme="majorBidi" w:hAnsiTheme="majorBidi" w:cstheme="majorBidi"/>
          <w:sz w:val="24"/>
          <w:szCs w:val="24"/>
          <w:lang w:val="en-GB" w:bidi="ar-EG"/>
        </w:rPr>
        <w:t xml:space="preserve"> </w:t>
      </w:r>
      <w:r w:rsidR="00E16196" w:rsidRPr="00B70D50">
        <w:rPr>
          <w:rFonts w:asciiTheme="majorBidi" w:hAnsiTheme="majorBidi" w:cstheme="majorBidi"/>
          <w:sz w:val="24"/>
          <w:szCs w:val="24"/>
          <w:lang w:val="en-GB" w:bidi="ar-EG"/>
        </w:rPr>
        <w:t xml:space="preserve">safeguards the right to establish </w:t>
      </w:r>
      <w:r w:rsidR="00F83438" w:rsidRPr="00B70D50">
        <w:rPr>
          <w:rFonts w:asciiTheme="majorBidi" w:hAnsiTheme="majorBidi" w:cstheme="majorBidi"/>
          <w:sz w:val="24"/>
          <w:szCs w:val="24"/>
          <w:lang w:val="en-GB" w:bidi="ar-EG"/>
        </w:rPr>
        <w:t>civil society organi</w:t>
      </w:r>
      <w:r w:rsidR="00BF1CDB" w:rsidRPr="00B70D50">
        <w:rPr>
          <w:rFonts w:asciiTheme="majorBidi" w:hAnsiTheme="majorBidi" w:cstheme="majorBidi"/>
          <w:sz w:val="24"/>
          <w:szCs w:val="24"/>
          <w:lang w:val="en-GB" w:bidi="ar-EG"/>
        </w:rPr>
        <w:t>s</w:t>
      </w:r>
      <w:r w:rsidR="00F83438" w:rsidRPr="00B70D50">
        <w:rPr>
          <w:rFonts w:asciiTheme="majorBidi" w:hAnsiTheme="majorBidi" w:cstheme="majorBidi"/>
          <w:sz w:val="24"/>
          <w:szCs w:val="24"/>
          <w:lang w:val="en-GB" w:bidi="ar-EG"/>
        </w:rPr>
        <w:t xml:space="preserve">ations and </w:t>
      </w:r>
      <w:r w:rsidR="00E16196" w:rsidRPr="00B70D50">
        <w:rPr>
          <w:rFonts w:asciiTheme="majorBidi" w:hAnsiTheme="majorBidi" w:cstheme="majorBidi"/>
          <w:sz w:val="24"/>
          <w:szCs w:val="24"/>
          <w:lang w:val="en-GB" w:bidi="ar-EG"/>
        </w:rPr>
        <w:t xml:space="preserve">the right to </w:t>
      </w:r>
      <w:r w:rsidR="00F83438" w:rsidRPr="00B70D50">
        <w:rPr>
          <w:rFonts w:asciiTheme="majorBidi" w:hAnsiTheme="majorBidi" w:cstheme="majorBidi"/>
          <w:sz w:val="24"/>
          <w:szCs w:val="24"/>
          <w:lang w:val="en-GB" w:bidi="ar-EG"/>
        </w:rPr>
        <w:t xml:space="preserve">peaceful </w:t>
      </w:r>
      <w:r w:rsidR="00636348" w:rsidRPr="00B70D50">
        <w:rPr>
          <w:rFonts w:asciiTheme="majorBidi" w:hAnsiTheme="majorBidi" w:cstheme="majorBidi"/>
          <w:sz w:val="24"/>
          <w:szCs w:val="24"/>
          <w:lang w:val="en-GB" w:bidi="ar-EG"/>
        </w:rPr>
        <w:t xml:space="preserve">assembly </w:t>
      </w:r>
      <w:r w:rsidR="00F83438" w:rsidRPr="00B70D50">
        <w:rPr>
          <w:rFonts w:asciiTheme="majorBidi" w:hAnsiTheme="majorBidi" w:cstheme="majorBidi"/>
          <w:sz w:val="24"/>
          <w:szCs w:val="24"/>
          <w:lang w:val="en-GB" w:bidi="ar-EG"/>
        </w:rPr>
        <w:t>by notification</w:t>
      </w:r>
      <w:r w:rsidR="00636348" w:rsidRPr="00B70D50">
        <w:rPr>
          <w:rFonts w:asciiTheme="majorBidi" w:hAnsiTheme="majorBidi" w:cstheme="majorBidi"/>
          <w:sz w:val="24"/>
          <w:szCs w:val="24"/>
          <w:lang w:val="en-GB" w:bidi="ar-EG"/>
        </w:rPr>
        <w:t xml:space="preserve"> only</w:t>
      </w:r>
      <w:r w:rsidR="00F83438" w:rsidRPr="00B70D50">
        <w:rPr>
          <w:rFonts w:asciiTheme="majorBidi" w:hAnsiTheme="majorBidi" w:cstheme="majorBidi"/>
          <w:sz w:val="24"/>
          <w:szCs w:val="24"/>
          <w:lang w:val="en-GB" w:bidi="ar-EG"/>
        </w:rPr>
        <w:t>.</w:t>
      </w:r>
      <w:r w:rsidR="007345FF" w:rsidRPr="00B70D50">
        <w:rPr>
          <w:rFonts w:asciiTheme="majorBidi" w:hAnsiTheme="majorBidi" w:cstheme="majorBidi"/>
          <w:sz w:val="24"/>
          <w:szCs w:val="24"/>
          <w:lang w:val="en-GB" w:bidi="ar-EG"/>
        </w:rPr>
        <w:t xml:space="preserve"> </w:t>
      </w:r>
      <w:r w:rsidR="00636348" w:rsidRPr="00B70D50">
        <w:rPr>
          <w:rFonts w:asciiTheme="majorBidi" w:hAnsiTheme="majorBidi" w:cstheme="majorBidi"/>
          <w:sz w:val="24"/>
          <w:szCs w:val="24"/>
          <w:lang w:val="en-GB" w:bidi="ar-EG"/>
        </w:rPr>
        <w:t xml:space="preserve">Citizens’ quality before the law is enshrined in </w:t>
      </w:r>
      <w:r w:rsidR="007345FF" w:rsidRPr="00B70D50">
        <w:rPr>
          <w:rFonts w:asciiTheme="majorBidi" w:hAnsiTheme="majorBidi" w:cstheme="majorBidi"/>
          <w:sz w:val="24"/>
          <w:szCs w:val="24"/>
          <w:lang w:val="en-GB" w:bidi="ar-EG"/>
        </w:rPr>
        <w:t xml:space="preserve">the Constitution </w:t>
      </w:r>
      <w:r w:rsidR="001D59EB" w:rsidRPr="00B70D50">
        <w:rPr>
          <w:rFonts w:asciiTheme="majorBidi" w:hAnsiTheme="majorBidi" w:cstheme="majorBidi"/>
          <w:sz w:val="24"/>
          <w:szCs w:val="24"/>
          <w:lang w:val="en-GB" w:bidi="ar-EG"/>
        </w:rPr>
        <w:t>and</w:t>
      </w:r>
      <w:r w:rsidR="00DA46AB" w:rsidRPr="00B70D50">
        <w:rPr>
          <w:rFonts w:asciiTheme="majorBidi" w:hAnsiTheme="majorBidi" w:cstheme="majorBidi"/>
          <w:sz w:val="24"/>
          <w:szCs w:val="24"/>
          <w:lang w:val="en-GB" w:bidi="ar-EG"/>
        </w:rPr>
        <w:t xml:space="preserve"> </w:t>
      </w:r>
      <w:r w:rsidR="00636348" w:rsidRPr="00B70D50">
        <w:rPr>
          <w:rFonts w:asciiTheme="majorBidi" w:hAnsiTheme="majorBidi" w:cstheme="majorBidi"/>
          <w:sz w:val="24"/>
          <w:szCs w:val="24"/>
          <w:lang w:val="en-GB" w:bidi="ar-EG"/>
        </w:rPr>
        <w:t xml:space="preserve">they </w:t>
      </w:r>
      <w:r w:rsidR="00DA46AB" w:rsidRPr="00B70D50">
        <w:rPr>
          <w:rFonts w:asciiTheme="majorBidi" w:hAnsiTheme="majorBidi" w:cstheme="majorBidi"/>
          <w:sz w:val="24"/>
          <w:szCs w:val="24"/>
          <w:lang w:val="en-GB" w:bidi="ar-EG"/>
        </w:rPr>
        <w:t xml:space="preserve">are entitled to </w:t>
      </w:r>
      <w:r w:rsidR="00636348" w:rsidRPr="00B70D50">
        <w:rPr>
          <w:rFonts w:asciiTheme="majorBidi" w:hAnsiTheme="majorBidi" w:cstheme="majorBidi"/>
          <w:sz w:val="24"/>
          <w:szCs w:val="24"/>
          <w:lang w:val="en-GB" w:bidi="ar-EG"/>
        </w:rPr>
        <w:t xml:space="preserve">enjoy </w:t>
      </w:r>
      <w:r w:rsidR="00DA46AB" w:rsidRPr="00B70D50">
        <w:rPr>
          <w:rFonts w:asciiTheme="majorBidi" w:hAnsiTheme="majorBidi" w:cstheme="majorBidi"/>
          <w:sz w:val="24"/>
          <w:szCs w:val="24"/>
          <w:lang w:val="en-GB" w:bidi="ar-EG"/>
        </w:rPr>
        <w:t>right</w:t>
      </w:r>
      <w:r w:rsidR="001D59EB" w:rsidRPr="00B70D50">
        <w:rPr>
          <w:rFonts w:asciiTheme="majorBidi" w:hAnsiTheme="majorBidi" w:cstheme="majorBidi"/>
          <w:sz w:val="24"/>
          <w:szCs w:val="24"/>
          <w:lang w:val="en-GB" w:bidi="ar-EG"/>
        </w:rPr>
        <w:t>s</w:t>
      </w:r>
      <w:r w:rsidR="00636348" w:rsidRPr="00B70D50">
        <w:rPr>
          <w:rFonts w:asciiTheme="majorBidi" w:hAnsiTheme="majorBidi" w:cstheme="majorBidi"/>
          <w:sz w:val="24"/>
          <w:szCs w:val="24"/>
          <w:lang w:val="en-GB" w:bidi="ar-EG"/>
        </w:rPr>
        <w:t xml:space="preserve"> and freedoms</w:t>
      </w:r>
      <w:r w:rsidR="00DA46AB" w:rsidRPr="00B70D50">
        <w:rPr>
          <w:rFonts w:asciiTheme="majorBidi" w:hAnsiTheme="majorBidi" w:cstheme="majorBidi"/>
          <w:sz w:val="24"/>
          <w:szCs w:val="24"/>
          <w:lang w:val="en-GB" w:bidi="ar-EG"/>
        </w:rPr>
        <w:t xml:space="preserve"> without discrimination for any reason whatsoever.</w:t>
      </w:r>
      <w:r w:rsidR="00FE6DDB" w:rsidRPr="00B70D50">
        <w:rPr>
          <w:rFonts w:asciiTheme="majorBidi" w:hAnsiTheme="majorBidi" w:cstheme="majorBidi"/>
          <w:sz w:val="24"/>
          <w:szCs w:val="24"/>
          <w:lang w:val="en-GB" w:bidi="ar-EG"/>
        </w:rPr>
        <w:t xml:space="preserve"> </w:t>
      </w:r>
      <w:r w:rsidR="001D59EB" w:rsidRPr="00B70D50">
        <w:rPr>
          <w:rFonts w:asciiTheme="majorBidi" w:hAnsiTheme="majorBidi" w:cstheme="majorBidi"/>
          <w:sz w:val="24"/>
          <w:szCs w:val="24"/>
          <w:lang w:val="en-GB" w:bidi="ar-EG"/>
        </w:rPr>
        <w:t xml:space="preserve">The </w:t>
      </w:r>
      <w:r w:rsidR="006B7460" w:rsidRPr="00B70D50">
        <w:rPr>
          <w:rFonts w:asciiTheme="majorBidi" w:hAnsiTheme="majorBidi" w:cstheme="majorBidi"/>
          <w:sz w:val="24"/>
          <w:szCs w:val="24"/>
          <w:lang w:val="en-GB" w:bidi="ar-EG"/>
        </w:rPr>
        <w:t>C</w:t>
      </w:r>
      <w:r w:rsidR="001D59EB" w:rsidRPr="00B70D50">
        <w:rPr>
          <w:rFonts w:asciiTheme="majorBidi" w:hAnsiTheme="majorBidi" w:cstheme="majorBidi"/>
          <w:sz w:val="24"/>
          <w:szCs w:val="24"/>
          <w:lang w:val="en-GB" w:bidi="ar-EG"/>
        </w:rPr>
        <w:t xml:space="preserve">onstitution further emphasizes </w:t>
      </w:r>
      <w:r w:rsidR="00636348" w:rsidRPr="00B70D50">
        <w:rPr>
          <w:rFonts w:asciiTheme="majorBidi" w:hAnsiTheme="majorBidi" w:cstheme="majorBidi"/>
          <w:sz w:val="24"/>
          <w:szCs w:val="24"/>
          <w:lang w:val="en-GB" w:bidi="ar-EG"/>
        </w:rPr>
        <w:t xml:space="preserve">the importance of partnership </w:t>
      </w:r>
      <w:r w:rsidR="001D59EB" w:rsidRPr="00B70D50">
        <w:rPr>
          <w:rFonts w:asciiTheme="majorBidi" w:hAnsiTheme="majorBidi" w:cstheme="majorBidi"/>
          <w:sz w:val="24"/>
          <w:szCs w:val="24"/>
          <w:lang w:val="en-GB" w:bidi="ar-EG"/>
        </w:rPr>
        <w:t>between the State institutions and NGOs. It has put in place</w:t>
      </w:r>
      <w:r w:rsidR="004E2640" w:rsidRPr="00B70D50">
        <w:rPr>
          <w:rFonts w:asciiTheme="majorBidi" w:hAnsiTheme="majorBidi" w:cstheme="majorBidi"/>
          <w:sz w:val="24"/>
          <w:szCs w:val="24"/>
          <w:lang w:val="en-GB" w:bidi="ar-EG"/>
        </w:rPr>
        <w:t xml:space="preserve"> </w:t>
      </w:r>
      <w:r w:rsidR="00636348" w:rsidRPr="00B70D50">
        <w:rPr>
          <w:rFonts w:asciiTheme="majorBidi" w:hAnsiTheme="majorBidi" w:cstheme="majorBidi"/>
          <w:sz w:val="24"/>
          <w:szCs w:val="24"/>
          <w:lang w:val="en-GB" w:bidi="ar-EG"/>
        </w:rPr>
        <w:t xml:space="preserve">the </w:t>
      </w:r>
      <w:r w:rsidR="001E0277" w:rsidRPr="00B70D50">
        <w:rPr>
          <w:rFonts w:asciiTheme="majorBidi" w:hAnsiTheme="majorBidi" w:cstheme="majorBidi"/>
          <w:sz w:val="24"/>
          <w:szCs w:val="24"/>
          <w:lang w:val="en-GB" w:bidi="ar-EG"/>
        </w:rPr>
        <w:t xml:space="preserve">guarantees </w:t>
      </w:r>
      <w:r w:rsidR="009B2B3E" w:rsidRPr="00B70D50">
        <w:rPr>
          <w:rFonts w:asciiTheme="majorBidi" w:hAnsiTheme="majorBidi" w:cstheme="majorBidi"/>
          <w:sz w:val="24"/>
          <w:szCs w:val="24"/>
          <w:lang w:val="en-GB" w:bidi="ar-EG"/>
        </w:rPr>
        <w:t xml:space="preserve">necessary </w:t>
      </w:r>
      <w:r w:rsidR="001D59EB" w:rsidRPr="00B70D50">
        <w:rPr>
          <w:rFonts w:asciiTheme="majorBidi" w:hAnsiTheme="majorBidi" w:cstheme="majorBidi"/>
          <w:sz w:val="24"/>
          <w:szCs w:val="24"/>
          <w:lang w:val="en-GB" w:bidi="ar-EG"/>
        </w:rPr>
        <w:t xml:space="preserve">to </w:t>
      </w:r>
      <w:r w:rsidR="001E0277" w:rsidRPr="00B70D50">
        <w:rPr>
          <w:rFonts w:asciiTheme="majorBidi" w:hAnsiTheme="majorBidi" w:cstheme="majorBidi"/>
          <w:sz w:val="24"/>
          <w:szCs w:val="24"/>
          <w:lang w:val="en-GB" w:bidi="ar-EG"/>
        </w:rPr>
        <w:t xml:space="preserve">safeguard and maintain </w:t>
      </w:r>
      <w:r w:rsidR="00636348" w:rsidRPr="00B70D50">
        <w:rPr>
          <w:rFonts w:asciiTheme="majorBidi" w:hAnsiTheme="majorBidi" w:cstheme="majorBidi"/>
          <w:sz w:val="24"/>
          <w:szCs w:val="24"/>
          <w:lang w:val="en-GB" w:bidi="ar-EG"/>
        </w:rPr>
        <w:t xml:space="preserve">the </w:t>
      </w:r>
      <w:r w:rsidR="001E0277" w:rsidRPr="00B70D50">
        <w:rPr>
          <w:rFonts w:asciiTheme="majorBidi" w:hAnsiTheme="majorBidi" w:cstheme="majorBidi"/>
          <w:sz w:val="24"/>
          <w:szCs w:val="24"/>
          <w:lang w:val="en-GB" w:bidi="ar-EG"/>
        </w:rPr>
        <w:t xml:space="preserve">rights and freedoms </w:t>
      </w:r>
      <w:r w:rsidR="004B234F" w:rsidRPr="00B70D50">
        <w:rPr>
          <w:rFonts w:asciiTheme="majorBidi" w:hAnsiTheme="majorBidi" w:cstheme="majorBidi"/>
          <w:sz w:val="24"/>
          <w:szCs w:val="24"/>
          <w:lang w:val="en-GB" w:bidi="ar-EG"/>
        </w:rPr>
        <w:t>therein</w:t>
      </w:r>
      <w:r w:rsidR="001E0277" w:rsidRPr="00B70D50">
        <w:rPr>
          <w:rFonts w:asciiTheme="majorBidi" w:hAnsiTheme="majorBidi" w:cstheme="majorBidi"/>
          <w:sz w:val="24"/>
          <w:szCs w:val="24"/>
          <w:lang w:val="en-GB" w:bidi="ar-EG"/>
        </w:rPr>
        <w:t>.</w:t>
      </w:r>
    </w:p>
    <w:p w14:paraId="0E36F56F" w14:textId="77777777" w:rsidR="001E0277" w:rsidRPr="00B70D50" w:rsidRDefault="001E0277" w:rsidP="00671925">
      <w:pPr>
        <w:pStyle w:val="ListParagraph"/>
        <w:bidi w:val="0"/>
        <w:spacing w:after="0" w:line="300" w:lineRule="exact"/>
        <w:ind w:left="0" w:right="49"/>
        <w:contextualSpacing w:val="0"/>
        <w:jc w:val="both"/>
        <w:rPr>
          <w:rFonts w:asciiTheme="majorBidi" w:hAnsiTheme="majorBidi" w:cstheme="majorBidi"/>
          <w:sz w:val="24"/>
          <w:szCs w:val="24"/>
          <w:lang w:val="en-GB"/>
        </w:rPr>
      </w:pPr>
    </w:p>
    <w:p w14:paraId="2F05070D" w14:textId="77777777" w:rsidR="00706286" w:rsidRPr="00B70D50" w:rsidRDefault="00706286" w:rsidP="00706286">
      <w:pPr>
        <w:pStyle w:val="ListParagraph"/>
        <w:bidi w:val="0"/>
        <w:spacing w:after="0" w:line="300" w:lineRule="exact"/>
        <w:ind w:left="0" w:right="49"/>
        <w:contextualSpacing w:val="0"/>
        <w:jc w:val="both"/>
        <w:rPr>
          <w:rFonts w:asciiTheme="majorBidi" w:hAnsiTheme="majorBidi" w:cstheme="majorBidi"/>
          <w:sz w:val="24"/>
          <w:szCs w:val="24"/>
          <w:lang w:val="en-GB"/>
        </w:rPr>
      </w:pPr>
    </w:p>
    <w:p w14:paraId="54AE0481" w14:textId="615DDF28" w:rsidR="00E71215" w:rsidRPr="00B70D50" w:rsidRDefault="00E71215" w:rsidP="00671925">
      <w:pPr>
        <w:pStyle w:val="ListParagraph"/>
        <w:numPr>
          <w:ilvl w:val="0"/>
          <w:numId w:val="38"/>
        </w:numPr>
        <w:bidi w:val="0"/>
        <w:spacing w:after="0" w:line="300" w:lineRule="exact"/>
        <w:ind w:left="0" w:right="49" w:hanging="398"/>
        <w:contextualSpacing w:val="0"/>
        <w:jc w:val="both"/>
        <w:rPr>
          <w:rFonts w:asciiTheme="majorBidi" w:hAnsiTheme="majorBidi" w:cstheme="majorBidi"/>
          <w:b/>
          <w:bCs/>
          <w:sz w:val="24"/>
          <w:szCs w:val="24"/>
          <w:u w:val="single"/>
          <w:lang w:val="en-GB" w:bidi="ar-EG"/>
        </w:rPr>
      </w:pPr>
      <w:r w:rsidRPr="00B70D50">
        <w:rPr>
          <w:rFonts w:asciiTheme="majorBidi" w:hAnsiTheme="majorBidi" w:cstheme="majorBidi"/>
          <w:b/>
          <w:bCs/>
          <w:sz w:val="24"/>
          <w:szCs w:val="24"/>
          <w:u w:val="single"/>
          <w:lang w:val="en-GB" w:bidi="ar-EG"/>
        </w:rPr>
        <w:t>Egypt’s Position on the Recommendations</w:t>
      </w:r>
      <w:r w:rsidR="0057321E" w:rsidRPr="00B70D50">
        <w:rPr>
          <w:rFonts w:asciiTheme="majorBidi" w:hAnsiTheme="majorBidi" w:cstheme="majorBidi"/>
          <w:b/>
          <w:bCs/>
          <w:sz w:val="24"/>
          <w:szCs w:val="24"/>
          <w:u w:val="single"/>
          <w:lang w:val="en-GB" w:bidi="ar-EG"/>
        </w:rPr>
        <w:t>:</w:t>
      </w:r>
    </w:p>
    <w:p w14:paraId="6946F3F2" w14:textId="634DD2AA" w:rsidR="0057321E" w:rsidRPr="00B70D50" w:rsidRDefault="00D74938" w:rsidP="00B82F59">
      <w:pPr>
        <w:pStyle w:val="ListParagraph"/>
        <w:numPr>
          <w:ilvl w:val="0"/>
          <w:numId w:val="39"/>
        </w:numPr>
        <w:bidi w:val="0"/>
        <w:spacing w:after="0" w:line="300" w:lineRule="exact"/>
        <w:ind w:left="0" w:right="49"/>
        <w:contextualSpacing w:val="0"/>
        <w:jc w:val="both"/>
        <w:rPr>
          <w:rFonts w:asciiTheme="majorBidi" w:hAnsiTheme="majorBidi" w:cstheme="majorBidi"/>
          <w:sz w:val="24"/>
          <w:szCs w:val="24"/>
          <w:lang w:val="en-GB" w:bidi="ar-EG"/>
        </w:rPr>
      </w:pPr>
      <w:r w:rsidRPr="00B70D50">
        <w:rPr>
          <w:rFonts w:asciiTheme="majorBidi" w:hAnsiTheme="majorBidi" w:cstheme="majorBidi"/>
          <w:sz w:val="24"/>
          <w:szCs w:val="24"/>
          <w:lang w:val="en-GB" w:bidi="ar-EG"/>
        </w:rPr>
        <w:lastRenderedPageBreak/>
        <w:t xml:space="preserve">Prior to </w:t>
      </w:r>
      <w:r w:rsidR="00B82F59" w:rsidRPr="00B70D50">
        <w:rPr>
          <w:rFonts w:asciiTheme="majorBidi" w:hAnsiTheme="majorBidi" w:cstheme="majorBidi"/>
          <w:sz w:val="24"/>
          <w:szCs w:val="24"/>
          <w:lang w:val="en-GB" w:bidi="ar-EG"/>
        </w:rPr>
        <w:t xml:space="preserve">demonstrating </w:t>
      </w:r>
      <w:r w:rsidRPr="00B70D50">
        <w:rPr>
          <w:rFonts w:asciiTheme="majorBidi" w:hAnsiTheme="majorBidi" w:cstheme="majorBidi"/>
          <w:sz w:val="24"/>
          <w:szCs w:val="24"/>
          <w:lang w:val="en-GB" w:bidi="ar-EG"/>
        </w:rPr>
        <w:t xml:space="preserve">its position on the received recommendations, the </w:t>
      </w:r>
      <w:r w:rsidR="00B82F59" w:rsidRPr="00B70D50">
        <w:rPr>
          <w:rFonts w:asciiTheme="majorBidi" w:hAnsiTheme="majorBidi" w:cstheme="majorBidi"/>
          <w:sz w:val="24"/>
          <w:szCs w:val="24"/>
          <w:lang w:val="en-GB" w:bidi="ar-EG"/>
        </w:rPr>
        <w:t>G</w:t>
      </w:r>
      <w:r w:rsidRPr="00B70D50">
        <w:rPr>
          <w:rFonts w:asciiTheme="majorBidi" w:hAnsiTheme="majorBidi" w:cstheme="majorBidi"/>
          <w:sz w:val="24"/>
          <w:szCs w:val="24"/>
          <w:lang w:val="en-GB" w:bidi="ar-EG"/>
        </w:rPr>
        <w:t xml:space="preserve">overnment wishes to </w:t>
      </w:r>
      <w:r w:rsidR="005940E7" w:rsidRPr="00B70D50">
        <w:rPr>
          <w:rFonts w:asciiTheme="majorBidi" w:hAnsiTheme="majorBidi" w:cstheme="majorBidi"/>
          <w:sz w:val="24"/>
          <w:szCs w:val="24"/>
          <w:lang w:val="en-GB" w:bidi="ar-EG"/>
        </w:rPr>
        <w:t>highlight</w:t>
      </w:r>
      <w:r w:rsidR="00B82F59" w:rsidRPr="00B70D50">
        <w:rPr>
          <w:rFonts w:asciiTheme="majorBidi" w:hAnsiTheme="majorBidi" w:cstheme="majorBidi"/>
          <w:sz w:val="24"/>
          <w:szCs w:val="24"/>
          <w:lang w:val="en-GB" w:bidi="ar-EG"/>
        </w:rPr>
        <w:t xml:space="preserve"> the following</w:t>
      </w:r>
      <w:r w:rsidR="007D729D" w:rsidRPr="00B70D50">
        <w:rPr>
          <w:rFonts w:asciiTheme="majorBidi" w:hAnsiTheme="majorBidi" w:cstheme="majorBidi"/>
          <w:sz w:val="24"/>
          <w:szCs w:val="24"/>
          <w:lang w:val="en-GB" w:bidi="ar-EG"/>
        </w:rPr>
        <w:t>:</w:t>
      </w:r>
    </w:p>
    <w:p w14:paraId="3E869CD0" w14:textId="637FE675" w:rsidR="00456E15" w:rsidRPr="00B70D50" w:rsidRDefault="007D729D" w:rsidP="00B70D50">
      <w:pPr>
        <w:pStyle w:val="ListParagraph"/>
        <w:numPr>
          <w:ilvl w:val="0"/>
          <w:numId w:val="40"/>
        </w:numPr>
        <w:bidi w:val="0"/>
        <w:spacing w:before="80" w:after="0" w:line="300" w:lineRule="exact"/>
        <w:ind w:left="0" w:right="51" w:hanging="181"/>
        <w:contextualSpacing w:val="0"/>
        <w:jc w:val="both"/>
        <w:rPr>
          <w:rFonts w:asciiTheme="majorBidi" w:hAnsiTheme="majorBidi" w:cstheme="majorBidi"/>
          <w:sz w:val="24"/>
          <w:szCs w:val="24"/>
          <w:lang w:val="en-GB" w:bidi="ar-EG"/>
        </w:rPr>
      </w:pPr>
      <w:r w:rsidRPr="00B70D50">
        <w:rPr>
          <w:rFonts w:asciiTheme="majorBidi" w:hAnsiTheme="majorBidi" w:cstheme="majorBidi"/>
          <w:sz w:val="24"/>
          <w:szCs w:val="24"/>
          <w:lang w:val="en-GB" w:bidi="ar-EG"/>
        </w:rPr>
        <w:t xml:space="preserve">The report </w:t>
      </w:r>
      <w:r w:rsidR="000403D0" w:rsidRPr="00B70D50">
        <w:rPr>
          <w:rFonts w:asciiTheme="majorBidi" w:hAnsiTheme="majorBidi" w:cstheme="majorBidi"/>
          <w:sz w:val="24"/>
          <w:szCs w:val="24"/>
          <w:lang w:val="en-GB" w:bidi="ar-EG"/>
        </w:rPr>
        <w:t xml:space="preserve">presents </w:t>
      </w:r>
      <w:r w:rsidR="00B82F59" w:rsidRPr="00B70D50">
        <w:rPr>
          <w:rFonts w:asciiTheme="majorBidi" w:hAnsiTheme="majorBidi" w:cstheme="majorBidi"/>
          <w:sz w:val="24"/>
          <w:szCs w:val="24"/>
          <w:lang w:val="en-GB" w:bidi="ar-EG"/>
        </w:rPr>
        <w:t xml:space="preserve">the </w:t>
      </w:r>
      <w:r w:rsidRPr="00B70D50">
        <w:rPr>
          <w:rFonts w:asciiTheme="majorBidi" w:hAnsiTheme="majorBidi" w:cstheme="majorBidi"/>
          <w:sz w:val="24"/>
          <w:szCs w:val="24"/>
          <w:lang w:val="en-GB" w:bidi="ar-EG"/>
        </w:rPr>
        <w:t>positi</w:t>
      </w:r>
      <w:r w:rsidR="000403D0" w:rsidRPr="00B70D50">
        <w:rPr>
          <w:rFonts w:asciiTheme="majorBidi" w:hAnsiTheme="majorBidi" w:cstheme="majorBidi"/>
          <w:sz w:val="24"/>
          <w:szCs w:val="24"/>
          <w:lang w:val="en-GB" w:bidi="ar-EG"/>
        </w:rPr>
        <w:t xml:space="preserve">on </w:t>
      </w:r>
      <w:r w:rsidR="000B134A" w:rsidRPr="00B70D50">
        <w:rPr>
          <w:rFonts w:asciiTheme="majorBidi" w:hAnsiTheme="majorBidi" w:cstheme="majorBidi"/>
          <w:sz w:val="24"/>
          <w:szCs w:val="24"/>
          <w:lang w:val="en-GB" w:bidi="ar-EG"/>
        </w:rPr>
        <w:t xml:space="preserve">vis-à-vis </w:t>
      </w:r>
      <w:r w:rsidR="000403D0" w:rsidRPr="00B70D50">
        <w:rPr>
          <w:rFonts w:asciiTheme="majorBidi" w:hAnsiTheme="majorBidi" w:cstheme="majorBidi"/>
          <w:sz w:val="24"/>
          <w:szCs w:val="24"/>
          <w:lang w:val="en-GB" w:bidi="ar-EG"/>
        </w:rPr>
        <w:t xml:space="preserve">all </w:t>
      </w:r>
      <w:r w:rsidR="00EF3BE0" w:rsidRPr="00B70D50">
        <w:rPr>
          <w:rFonts w:asciiTheme="majorBidi" w:hAnsiTheme="majorBidi" w:cstheme="majorBidi"/>
          <w:sz w:val="24"/>
          <w:szCs w:val="24"/>
          <w:lang w:val="en-GB" w:bidi="ar-EG"/>
        </w:rPr>
        <w:t xml:space="preserve">recommendations, </w:t>
      </w:r>
      <w:r w:rsidR="00AF5981" w:rsidRPr="00B70D50">
        <w:rPr>
          <w:rFonts w:asciiTheme="majorBidi" w:hAnsiTheme="majorBidi" w:cstheme="majorBidi"/>
          <w:sz w:val="24"/>
          <w:szCs w:val="24"/>
          <w:lang w:val="en-GB" w:bidi="ar-EG"/>
        </w:rPr>
        <w:t xml:space="preserve">being </w:t>
      </w:r>
      <w:r w:rsidR="00EF3BE0" w:rsidRPr="00B70D50">
        <w:rPr>
          <w:rFonts w:asciiTheme="majorBidi" w:hAnsiTheme="majorBidi" w:cstheme="majorBidi"/>
          <w:sz w:val="24"/>
          <w:szCs w:val="24"/>
          <w:lang w:val="en-GB" w:bidi="ar-EG"/>
        </w:rPr>
        <w:t xml:space="preserve">classified into: </w:t>
      </w:r>
      <w:r w:rsidR="00561FAB" w:rsidRPr="00B70D50">
        <w:rPr>
          <w:rFonts w:asciiTheme="majorBidi" w:hAnsiTheme="majorBidi" w:cstheme="majorBidi"/>
          <w:sz w:val="24"/>
          <w:szCs w:val="24"/>
          <w:lang w:val="en-GB" w:bidi="ar-EG"/>
        </w:rPr>
        <w:t>fully</w:t>
      </w:r>
      <w:r w:rsidR="000B134A" w:rsidRPr="00B70D50">
        <w:rPr>
          <w:rFonts w:asciiTheme="majorBidi" w:hAnsiTheme="majorBidi" w:cstheme="majorBidi"/>
          <w:sz w:val="24"/>
          <w:szCs w:val="24"/>
          <w:lang w:val="en-GB" w:bidi="ar-EG"/>
        </w:rPr>
        <w:t xml:space="preserve"> </w:t>
      </w:r>
      <w:r w:rsidR="00561FAB" w:rsidRPr="00B70D50">
        <w:rPr>
          <w:rFonts w:asciiTheme="majorBidi" w:hAnsiTheme="majorBidi" w:cstheme="majorBidi"/>
          <w:sz w:val="24"/>
          <w:szCs w:val="24"/>
          <w:lang w:val="en-GB" w:bidi="ar-EG"/>
        </w:rPr>
        <w:t xml:space="preserve">accepted </w:t>
      </w:r>
      <w:r w:rsidR="00AC5E60" w:rsidRPr="00B70D50">
        <w:rPr>
          <w:rFonts w:asciiTheme="majorBidi" w:hAnsiTheme="majorBidi" w:cstheme="majorBidi"/>
          <w:sz w:val="24"/>
          <w:szCs w:val="24"/>
          <w:lang w:val="en-GB" w:bidi="ar-EG"/>
        </w:rPr>
        <w:t>recommendations, partially</w:t>
      </w:r>
      <w:r w:rsidR="000B134A" w:rsidRPr="00B70D50">
        <w:rPr>
          <w:rFonts w:asciiTheme="majorBidi" w:hAnsiTheme="majorBidi" w:cstheme="majorBidi"/>
          <w:sz w:val="24"/>
          <w:szCs w:val="24"/>
          <w:lang w:val="en-GB" w:bidi="ar-EG"/>
        </w:rPr>
        <w:t xml:space="preserve"> </w:t>
      </w:r>
      <w:r w:rsidR="00AC5E60" w:rsidRPr="00B70D50">
        <w:rPr>
          <w:rFonts w:asciiTheme="majorBidi" w:hAnsiTheme="majorBidi" w:cstheme="majorBidi"/>
          <w:sz w:val="24"/>
          <w:szCs w:val="24"/>
          <w:lang w:val="en-GB" w:bidi="ar-EG"/>
        </w:rPr>
        <w:t>accepted recommendations</w:t>
      </w:r>
      <w:r w:rsidR="00AF5981" w:rsidRPr="00B70D50">
        <w:rPr>
          <w:rFonts w:asciiTheme="majorBidi" w:hAnsiTheme="majorBidi" w:cstheme="majorBidi"/>
          <w:sz w:val="24"/>
          <w:szCs w:val="24"/>
          <w:lang w:val="en-GB" w:bidi="ar-EG"/>
        </w:rPr>
        <w:t xml:space="preserve">, </w:t>
      </w:r>
      <w:r w:rsidR="005940E7" w:rsidRPr="00B70D50">
        <w:rPr>
          <w:rFonts w:asciiTheme="majorBidi" w:hAnsiTheme="majorBidi" w:cstheme="majorBidi"/>
          <w:sz w:val="24"/>
          <w:szCs w:val="24"/>
          <w:lang w:val="en-GB" w:bidi="ar-EG"/>
        </w:rPr>
        <w:t>implemented recommendations</w:t>
      </w:r>
      <w:r w:rsidR="006E5B05" w:rsidRPr="00B70D50">
        <w:rPr>
          <w:rFonts w:asciiTheme="majorBidi" w:hAnsiTheme="majorBidi" w:cstheme="majorBidi"/>
          <w:sz w:val="24"/>
          <w:szCs w:val="24"/>
          <w:lang w:val="en-GB" w:bidi="ar-EG"/>
        </w:rPr>
        <w:t xml:space="preserve">, </w:t>
      </w:r>
      <w:r w:rsidR="000602CB" w:rsidRPr="00B70D50">
        <w:rPr>
          <w:rFonts w:asciiTheme="majorBidi" w:hAnsiTheme="majorBidi" w:cstheme="majorBidi"/>
          <w:sz w:val="24"/>
          <w:szCs w:val="24"/>
          <w:lang w:val="en-GB" w:bidi="ar-EG"/>
        </w:rPr>
        <w:t>un</w:t>
      </w:r>
      <w:r w:rsidR="00AF5981" w:rsidRPr="00B70D50">
        <w:rPr>
          <w:rFonts w:asciiTheme="majorBidi" w:hAnsiTheme="majorBidi" w:cstheme="majorBidi"/>
          <w:sz w:val="24"/>
          <w:szCs w:val="24"/>
          <w:lang w:val="en-GB" w:bidi="ar-EG"/>
        </w:rPr>
        <w:t>accepted recommendations a</w:t>
      </w:r>
      <w:r w:rsidR="00BC1CF0" w:rsidRPr="00B70D50">
        <w:rPr>
          <w:rFonts w:asciiTheme="majorBidi" w:hAnsiTheme="majorBidi" w:cstheme="majorBidi"/>
          <w:sz w:val="24"/>
          <w:szCs w:val="24"/>
          <w:lang w:val="en-GB" w:bidi="ar-EG"/>
        </w:rPr>
        <w:t>nd factually in</w:t>
      </w:r>
      <w:r w:rsidR="006659A7" w:rsidRPr="00B70D50">
        <w:rPr>
          <w:rFonts w:asciiTheme="majorBidi" w:hAnsiTheme="majorBidi" w:cstheme="majorBidi"/>
          <w:sz w:val="24"/>
          <w:szCs w:val="24"/>
          <w:lang w:val="en-GB" w:bidi="ar-EG"/>
        </w:rPr>
        <w:t>correct recommendations, while two recommendations are deemed hostile;</w:t>
      </w:r>
    </w:p>
    <w:p w14:paraId="3CC7167D" w14:textId="27518852" w:rsidR="006659A7" w:rsidRPr="00B70D50" w:rsidRDefault="000B134A" w:rsidP="00B70D50">
      <w:pPr>
        <w:pStyle w:val="ListParagraph"/>
        <w:numPr>
          <w:ilvl w:val="0"/>
          <w:numId w:val="40"/>
        </w:numPr>
        <w:bidi w:val="0"/>
        <w:spacing w:before="80" w:after="0" w:line="300" w:lineRule="exact"/>
        <w:ind w:left="0" w:right="51" w:hanging="181"/>
        <w:contextualSpacing w:val="0"/>
        <w:jc w:val="both"/>
        <w:rPr>
          <w:rFonts w:asciiTheme="majorBidi" w:hAnsiTheme="majorBidi" w:cstheme="majorBidi"/>
          <w:sz w:val="24"/>
          <w:szCs w:val="24"/>
          <w:lang w:val="en-GB" w:bidi="ar-EG"/>
        </w:rPr>
      </w:pPr>
      <w:r w:rsidRPr="00B70D50">
        <w:rPr>
          <w:rFonts w:asciiTheme="majorBidi" w:hAnsiTheme="majorBidi" w:cstheme="majorBidi"/>
          <w:sz w:val="24"/>
          <w:szCs w:val="24"/>
          <w:lang w:val="en-GB" w:bidi="ar-EG"/>
        </w:rPr>
        <w:t>Accepting r</w:t>
      </w:r>
      <w:r w:rsidR="006659A7" w:rsidRPr="00B70D50">
        <w:rPr>
          <w:rFonts w:asciiTheme="majorBidi" w:hAnsiTheme="majorBidi" w:cstheme="majorBidi"/>
          <w:sz w:val="24"/>
          <w:szCs w:val="24"/>
          <w:lang w:val="en-GB" w:bidi="ar-EG"/>
        </w:rPr>
        <w:t>ecommendations</w:t>
      </w:r>
      <w:r w:rsidRPr="00B70D50">
        <w:rPr>
          <w:rFonts w:asciiTheme="majorBidi" w:hAnsiTheme="majorBidi" w:cstheme="majorBidi"/>
          <w:sz w:val="24"/>
          <w:szCs w:val="24"/>
          <w:lang w:val="en-GB" w:bidi="ar-EG"/>
        </w:rPr>
        <w:t>, whether</w:t>
      </w:r>
      <w:r w:rsidR="006659A7" w:rsidRPr="00B70D50">
        <w:rPr>
          <w:rFonts w:asciiTheme="majorBidi" w:hAnsiTheme="majorBidi" w:cstheme="majorBidi"/>
          <w:sz w:val="24"/>
          <w:szCs w:val="24"/>
          <w:lang w:val="en-GB" w:bidi="ar-EG"/>
        </w:rPr>
        <w:t xml:space="preserve"> fully or partially</w:t>
      </w:r>
      <w:r w:rsidRPr="00B70D50">
        <w:rPr>
          <w:rFonts w:asciiTheme="majorBidi" w:hAnsiTheme="majorBidi" w:cstheme="majorBidi"/>
          <w:sz w:val="24"/>
          <w:szCs w:val="24"/>
          <w:lang w:val="en-GB" w:bidi="ar-EG"/>
        </w:rPr>
        <w:t>,</w:t>
      </w:r>
      <w:r w:rsidR="006659A7" w:rsidRPr="00B70D50">
        <w:rPr>
          <w:rFonts w:asciiTheme="majorBidi" w:hAnsiTheme="majorBidi" w:cstheme="majorBidi"/>
          <w:sz w:val="24"/>
          <w:szCs w:val="24"/>
          <w:lang w:val="en-GB" w:bidi="ar-EG"/>
        </w:rPr>
        <w:t xml:space="preserve"> </w:t>
      </w:r>
      <w:r w:rsidRPr="00B70D50">
        <w:rPr>
          <w:rFonts w:asciiTheme="majorBidi" w:hAnsiTheme="majorBidi" w:cstheme="majorBidi"/>
          <w:sz w:val="24"/>
          <w:szCs w:val="24"/>
          <w:lang w:val="en-GB" w:bidi="ar-EG"/>
        </w:rPr>
        <w:t xml:space="preserve">is in line with </w:t>
      </w:r>
      <w:r w:rsidR="00005B10" w:rsidRPr="00B70D50">
        <w:rPr>
          <w:rFonts w:asciiTheme="majorBidi" w:hAnsiTheme="majorBidi" w:cstheme="majorBidi"/>
          <w:sz w:val="24"/>
          <w:szCs w:val="24"/>
          <w:lang w:val="en-GB" w:bidi="ar-EG"/>
        </w:rPr>
        <w:t xml:space="preserve">the </w:t>
      </w:r>
      <w:r w:rsidRPr="00B70D50">
        <w:rPr>
          <w:rFonts w:asciiTheme="majorBidi" w:hAnsiTheme="majorBidi" w:cstheme="majorBidi"/>
          <w:sz w:val="24"/>
          <w:szCs w:val="24"/>
          <w:lang w:val="en-GB" w:bidi="ar-EG"/>
        </w:rPr>
        <w:t xml:space="preserve">provisions of the </w:t>
      </w:r>
      <w:r w:rsidR="00005B10" w:rsidRPr="00B70D50">
        <w:rPr>
          <w:rFonts w:asciiTheme="majorBidi" w:hAnsiTheme="majorBidi" w:cstheme="majorBidi"/>
          <w:sz w:val="24"/>
          <w:szCs w:val="24"/>
          <w:lang w:val="en-GB" w:bidi="ar-EG"/>
        </w:rPr>
        <w:t xml:space="preserve">Constitution </w:t>
      </w:r>
      <w:r w:rsidR="001805E1" w:rsidRPr="00B70D50">
        <w:rPr>
          <w:rFonts w:asciiTheme="majorBidi" w:hAnsiTheme="majorBidi" w:cstheme="majorBidi"/>
          <w:sz w:val="24"/>
          <w:szCs w:val="24"/>
          <w:lang w:val="en-GB" w:bidi="ar-EG"/>
        </w:rPr>
        <w:t>and</w:t>
      </w:r>
      <w:r w:rsidR="00005B10" w:rsidRPr="00B70D50">
        <w:rPr>
          <w:rFonts w:asciiTheme="majorBidi" w:hAnsiTheme="majorBidi" w:cstheme="majorBidi"/>
          <w:sz w:val="24"/>
          <w:szCs w:val="24"/>
          <w:lang w:val="en-GB" w:bidi="ar-EG"/>
        </w:rPr>
        <w:t xml:space="preserve"> Egypt’s </w:t>
      </w:r>
      <w:r w:rsidRPr="00B70D50">
        <w:rPr>
          <w:rFonts w:asciiTheme="majorBidi" w:hAnsiTheme="majorBidi" w:cstheme="majorBidi"/>
          <w:sz w:val="24"/>
          <w:szCs w:val="24"/>
          <w:lang w:val="en-GB" w:bidi="ar-EG"/>
        </w:rPr>
        <w:t xml:space="preserve">commitments </w:t>
      </w:r>
      <w:r w:rsidR="00BA5C57" w:rsidRPr="00B70D50">
        <w:rPr>
          <w:rFonts w:asciiTheme="majorBidi" w:hAnsiTheme="majorBidi" w:cstheme="majorBidi"/>
          <w:sz w:val="24"/>
          <w:szCs w:val="24"/>
          <w:lang w:val="en-GB" w:bidi="ar-EG"/>
        </w:rPr>
        <w:t>international</w:t>
      </w:r>
      <w:r w:rsidRPr="00B70D50">
        <w:rPr>
          <w:rFonts w:asciiTheme="majorBidi" w:hAnsiTheme="majorBidi" w:cstheme="majorBidi"/>
          <w:sz w:val="24"/>
          <w:szCs w:val="24"/>
          <w:lang w:val="en-GB" w:bidi="ar-EG"/>
        </w:rPr>
        <w:t xml:space="preserve"> under international treaties</w:t>
      </w:r>
      <w:r w:rsidR="0043613F" w:rsidRPr="00B70D50">
        <w:rPr>
          <w:rFonts w:asciiTheme="majorBidi" w:hAnsiTheme="majorBidi" w:cstheme="majorBidi"/>
          <w:sz w:val="24"/>
          <w:szCs w:val="24"/>
          <w:lang w:val="en-GB" w:bidi="ar-EG"/>
        </w:rPr>
        <w:t>;</w:t>
      </w:r>
    </w:p>
    <w:p w14:paraId="3DB3CF3B" w14:textId="074A501D" w:rsidR="00893F1D" w:rsidRPr="00B70D50" w:rsidRDefault="00DF0A5E" w:rsidP="00B70D50">
      <w:pPr>
        <w:pStyle w:val="ListParagraph"/>
        <w:numPr>
          <w:ilvl w:val="0"/>
          <w:numId w:val="40"/>
        </w:numPr>
        <w:bidi w:val="0"/>
        <w:spacing w:before="80" w:after="0" w:line="300" w:lineRule="exact"/>
        <w:ind w:left="0" w:right="51" w:hanging="181"/>
        <w:contextualSpacing w:val="0"/>
        <w:jc w:val="both"/>
        <w:rPr>
          <w:rFonts w:asciiTheme="majorBidi" w:hAnsiTheme="majorBidi" w:cstheme="majorBidi"/>
          <w:sz w:val="24"/>
          <w:szCs w:val="24"/>
          <w:lang w:val="en-GB" w:bidi="ar-EG"/>
        </w:rPr>
      </w:pPr>
      <w:r w:rsidRPr="00B70D50">
        <w:rPr>
          <w:rFonts w:asciiTheme="majorBidi" w:hAnsiTheme="majorBidi" w:cstheme="majorBidi"/>
          <w:sz w:val="24"/>
          <w:szCs w:val="24"/>
          <w:lang w:val="en-GB" w:bidi="ar-EG"/>
        </w:rPr>
        <w:t>The p</w:t>
      </w:r>
      <w:r w:rsidR="00893F1D" w:rsidRPr="00B70D50">
        <w:rPr>
          <w:rFonts w:asciiTheme="majorBidi" w:hAnsiTheme="majorBidi" w:cstheme="majorBidi"/>
          <w:sz w:val="24"/>
          <w:szCs w:val="24"/>
          <w:lang w:val="en-GB" w:bidi="ar-EG"/>
        </w:rPr>
        <w:t xml:space="preserve">artial acceptance of recommendations is </w:t>
      </w:r>
      <w:r w:rsidR="00372D98" w:rsidRPr="00B70D50">
        <w:rPr>
          <w:rFonts w:asciiTheme="majorBidi" w:hAnsiTheme="majorBidi" w:cstheme="majorBidi"/>
          <w:sz w:val="24"/>
          <w:szCs w:val="24"/>
          <w:lang w:val="en-GB" w:bidi="ar-EG"/>
        </w:rPr>
        <w:t xml:space="preserve">only </w:t>
      </w:r>
      <w:r w:rsidR="00893F1D" w:rsidRPr="00B70D50">
        <w:rPr>
          <w:rFonts w:asciiTheme="majorBidi" w:hAnsiTheme="majorBidi" w:cstheme="majorBidi"/>
          <w:sz w:val="24"/>
          <w:szCs w:val="24"/>
          <w:lang w:val="en-GB" w:bidi="ar-EG"/>
        </w:rPr>
        <w:t>limited to the accepted part;</w:t>
      </w:r>
    </w:p>
    <w:p w14:paraId="011D1885" w14:textId="5EFA7696" w:rsidR="00286DC6" w:rsidRPr="00B70D50" w:rsidRDefault="00286DC6" w:rsidP="00B70D50">
      <w:pPr>
        <w:pStyle w:val="ListParagraph"/>
        <w:numPr>
          <w:ilvl w:val="0"/>
          <w:numId w:val="40"/>
        </w:numPr>
        <w:bidi w:val="0"/>
        <w:spacing w:before="80" w:after="0" w:line="300" w:lineRule="exact"/>
        <w:ind w:left="0" w:right="51" w:hanging="181"/>
        <w:contextualSpacing w:val="0"/>
        <w:jc w:val="both"/>
        <w:rPr>
          <w:rFonts w:asciiTheme="majorBidi" w:hAnsiTheme="majorBidi" w:cstheme="majorBidi"/>
          <w:sz w:val="24"/>
          <w:szCs w:val="24"/>
          <w:lang w:val="en-GB" w:bidi="ar-EG"/>
        </w:rPr>
      </w:pPr>
      <w:r w:rsidRPr="00B70D50">
        <w:rPr>
          <w:rFonts w:asciiTheme="majorBidi" w:hAnsiTheme="majorBidi" w:cstheme="majorBidi"/>
          <w:sz w:val="24"/>
          <w:szCs w:val="24"/>
          <w:lang w:val="en-GB" w:bidi="ar-EG"/>
        </w:rPr>
        <w:t>Implemented recommendations</w:t>
      </w:r>
      <w:r w:rsidR="00C16011" w:rsidRPr="00B70D50">
        <w:rPr>
          <w:rFonts w:asciiTheme="majorBidi" w:hAnsiTheme="majorBidi" w:cstheme="majorBidi"/>
          <w:sz w:val="24"/>
          <w:szCs w:val="24"/>
          <w:lang w:val="en-GB" w:bidi="ar-EG"/>
        </w:rPr>
        <w:t xml:space="preserve"> are those that had </w:t>
      </w:r>
      <w:r w:rsidR="000B134A" w:rsidRPr="00B70D50">
        <w:rPr>
          <w:rFonts w:asciiTheme="majorBidi" w:hAnsiTheme="majorBidi" w:cstheme="majorBidi"/>
          <w:sz w:val="24"/>
          <w:szCs w:val="24"/>
          <w:lang w:val="en-GB" w:bidi="ar-EG"/>
        </w:rPr>
        <w:t xml:space="preserve">already </w:t>
      </w:r>
      <w:r w:rsidR="00C16011" w:rsidRPr="00B70D50">
        <w:rPr>
          <w:rFonts w:asciiTheme="majorBidi" w:hAnsiTheme="majorBidi" w:cstheme="majorBidi"/>
          <w:sz w:val="24"/>
          <w:szCs w:val="24"/>
          <w:lang w:val="en-GB" w:bidi="ar-EG"/>
        </w:rPr>
        <w:t xml:space="preserve">been </w:t>
      </w:r>
      <w:r w:rsidR="000B134A" w:rsidRPr="00B70D50">
        <w:rPr>
          <w:rFonts w:asciiTheme="majorBidi" w:hAnsiTheme="majorBidi" w:cstheme="majorBidi"/>
          <w:sz w:val="24"/>
          <w:szCs w:val="24"/>
          <w:lang w:val="en-GB" w:bidi="ar-EG"/>
        </w:rPr>
        <w:t xml:space="preserve">fulfilled </w:t>
      </w:r>
      <w:r w:rsidR="000F76F3" w:rsidRPr="00B70D50">
        <w:rPr>
          <w:rFonts w:asciiTheme="majorBidi" w:hAnsiTheme="majorBidi" w:cstheme="majorBidi"/>
          <w:sz w:val="24"/>
          <w:szCs w:val="24"/>
          <w:lang w:val="en-GB" w:bidi="ar-EG"/>
        </w:rPr>
        <w:t>prior to UPR</w:t>
      </w:r>
      <w:r w:rsidR="007215D0" w:rsidRPr="00B70D50">
        <w:rPr>
          <w:rFonts w:asciiTheme="majorBidi" w:hAnsiTheme="majorBidi" w:cstheme="majorBidi"/>
          <w:sz w:val="24"/>
          <w:szCs w:val="24"/>
          <w:lang w:val="en-GB" w:bidi="ar-EG"/>
        </w:rPr>
        <w:t>, and do not require any further measures</w:t>
      </w:r>
      <w:r w:rsidR="000B134A" w:rsidRPr="00B70D50">
        <w:rPr>
          <w:rFonts w:asciiTheme="majorBidi" w:hAnsiTheme="majorBidi" w:cstheme="majorBidi"/>
          <w:sz w:val="24"/>
          <w:szCs w:val="24"/>
          <w:lang w:val="en-GB" w:bidi="ar-EG"/>
        </w:rPr>
        <w:t xml:space="preserve"> to implement</w:t>
      </w:r>
      <w:r w:rsidR="007215D0" w:rsidRPr="00B70D50">
        <w:rPr>
          <w:rFonts w:asciiTheme="majorBidi" w:hAnsiTheme="majorBidi" w:cstheme="majorBidi"/>
          <w:sz w:val="24"/>
          <w:szCs w:val="24"/>
          <w:lang w:val="en-GB" w:bidi="ar-EG"/>
        </w:rPr>
        <w:t>;</w:t>
      </w:r>
    </w:p>
    <w:p w14:paraId="47847A11" w14:textId="134FDB9D" w:rsidR="008B05EA" w:rsidRPr="00B70D50" w:rsidRDefault="000B134A" w:rsidP="00B70D50">
      <w:pPr>
        <w:pStyle w:val="ListParagraph"/>
        <w:numPr>
          <w:ilvl w:val="0"/>
          <w:numId w:val="40"/>
        </w:numPr>
        <w:bidi w:val="0"/>
        <w:spacing w:before="80" w:after="0" w:line="300" w:lineRule="exact"/>
        <w:ind w:left="0" w:right="51" w:hanging="181"/>
        <w:contextualSpacing w:val="0"/>
        <w:jc w:val="both"/>
        <w:rPr>
          <w:rFonts w:asciiTheme="majorBidi" w:hAnsiTheme="majorBidi" w:cstheme="majorBidi"/>
          <w:sz w:val="24"/>
          <w:szCs w:val="24"/>
          <w:lang w:val="en-GB" w:bidi="ar-EG"/>
        </w:rPr>
      </w:pPr>
      <w:r w:rsidRPr="00B70D50">
        <w:rPr>
          <w:rFonts w:asciiTheme="majorBidi" w:hAnsiTheme="majorBidi" w:cstheme="majorBidi"/>
          <w:sz w:val="24"/>
          <w:szCs w:val="24"/>
          <w:lang w:val="en-GB" w:bidi="ar-EG"/>
        </w:rPr>
        <w:t>T</w:t>
      </w:r>
      <w:r w:rsidR="008B05EA" w:rsidRPr="00B70D50">
        <w:rPr>
          <w:rFonts w:asciiTheme="majorBidi" w:hAnsiTheme="majorBidi" w:cstheme="majorBidi"/>
          <w:sz w:val="24"/>
          <w:szCs w:val="24"/>
          <w:lang w:val="en-GB" w:bidi="ar-EG"/>
        </w:rPr>
        <w:t xml:space="preserve">he  </w:t>
      </w:r>
      <w:r w:rsidRPr="00B70D50">
        <w:rPr>
          <w:rFonts w:asciiTheme="majorBidi" w:hAnsiTheme="majorBidi" w:cstheme="majorBidi"/>
          <w:sz w:val="24"/>
          <w:szCs w:val="24"/>
          <w:lang w:val="en-GB" w:bidi="ar-EG"/>
        </w:rPr>
        <w:t xml:space="preserve">explanation of </w:t>
      </w:r>
      <w:r w:rsidR="008B05EA" w:rsidRPr="00B70D50">
        <w:rPr>
          <w:rFonts w:asciiTheme="majorBidi" w:hAnsiTheme="majorBidi" w:cstheme="majorBidi"/>
          <w:sz w:val="24"/>
          <w:szCs w:val="24"/>
          <w:lang w:val="en-GB" w:bidi="ar-EG"/>
        </w:rPr>
        <w:t xml:space="preserve">position on certain recommendations </w:t>
      </w:r>
      <w:r w:rsidR="000230D3" w:rsidRPr="00B70D50">
        <w:rPr>
          <w:rFonts w:asciiTheme="majorBidi" w:hAnsiTheme="majorBidi" w:cstheme="majorBidi"/>
          <w:sz w:val="24"/>
          <w:szCs w:val="24"/>
          <w:lang w:val="en-GB" w:bidi="ar-EG"/>
        </w:rPr>
        <w:t>is based on</w:t>
      </w:r>
      <w:r w:rsidR="008B05EA" w:rsidRPr="00B70D50">
        <w:rPr>
          <w:rFonts w:asciiTheme="majorBidi" w:hAnsiTheme="majorBidi" w:cstheme="majorBidi"/>
          <w:sz w:val="24"/>
          <w:szCs w:val="24"/>
          <w:lang w:val="en-GB" w:bidi="ar-EG"/>
        </w:rPr>
        <w:t xml:space="preserve"> </w:t>
      </w:r>
      <w:r w:rsidR="000230D3" w:rsidRPr="00B70D50">
        <w:rPr>
          <w:rFonts w:asciiTheme="majorBidi" w:hAnsiTheme="majorBidi" w:cstheme="majorBidi"/>
          <w:sz w:val="24"/>
          <w:szCs w:val="24"/>
          <w:lang w:val="en-GB" w:bidi="ar-EG"/>
        </w:rPr>
        <w:t xml:space="preserve">the </w:t>
      </w:r>
      <w:r w:rsidR="00DF0A5E" w:rsidRPr="00B70D50">
        <w:rPr>
          <w:rFonts w:asciiTheme="majorBidi" w:hAnsiTheme="majorBidi" w:cstheme="majorBidi"/>
          <w:sz w:val="24"/>
          <w:szCs w:val="24"/>
          <w:lang w:val="en-GB" w:bidi="ar-EG"/>
        </w:rPr>
        <w:t>G</w:t>
      </w:r>
      <w:r w:rsidR="000230D3" w:rsidRPr="00B70D50">
        <w:rPr>
          <w:rFonts w:asciiTheme="majorBidi" w:hAnsiTheme="majorBidi" w:cstheme="majorBidi"/>
          <w:sz w:val="24"/>
          <w:szCs w:val="24"/>
          <w:lang w:val="en-GB" w:bidi="ar-EG"/>
        </w:rPr>
        <w:t xml:space="preserve">overnment’s </w:t>
      </w:r>
      <w:r w:rsidR="008B05EA" w:rsidRPr="00B70D50">
        <w:rPr>
          <w:rFonts w:asciiTheme="majorBidi" w:hAnsiTheme="majorBidi" w:cstheme="majorBidi"/>
          <w:sz w:val="24"/>
          <w:szCs w:val="24"/>
          <w:lang w:val="en-GB" w:bidi="ar-EG"/>
        </w:rPr>
        <w:t>understanding of</w:t>
      </w:r>
      <w:r w:rsidR="008B05EA" w:rsidRPr="00B70D50">
        <w:rPr>
          <w:rFonts w:asciiTheme="majorBidi" w:hAnsiTheme="majorBidi" w:cstheme="majorBidi"/>
          <w:sz w:val="24"/>
          <w:szCs w:val="24"/>
          <w:rtl/>
          <w:lang w:val="en-GB" w:bidi="ar-EG"/>
        </w:rPr>
        <w:t xml:space="preserve"> </w:t>
      </w:r>
      <w:r w:rsidR="000230D3" w:rsidRPr="00B70D50">
        <w:rPr>
          <w:rFonts w:asciiTheme="majorBidi" w:hAnsiTheme="majorBidi" w:cstheme="majorBidi"/>
          <w:sz w:val="24"/>
          <w:szCs w:val="24"/>
          <w:lang w:val="en-GB" w:bidi="ar-EG"/>
        </w:rPr>
        <w:t>their content</w:t>
      </w:r>
      <w:r w:rsidR="00DF0A5E" w:rsidRPr="00B70D50">
        <w:rPr>
          <w:rFonts w:asciiTheme="majorBidi" w:hAnsiTheme="majorBidi" w:cstheme="majorBidi"/>
          <w:sz w:val="24"/>
          <w:szCs w:val="24"/>
          <w:lang w:val="en-GB" w:bidi="ar-EG"/>
        </w:rPr>
        <w:t>,</w:t>
      </w:r>
      <w:r w:rsidR="000230D3" w:rsidRPr="00B70D50">
        <w:rPr>
          <w:rFonts w:asciiTheme="majorBidi" w:hAnsiTheme="majorBidi" w:cstheme="majorBidi"/>
          <w:sz w:val="24"/>
          <w:szCs w:val="24"/>
          <w:lang w:val="en-GB" w:bidi="ar-EG"/>
        </w:rPr>
        <w:t xml:space="preserve"> </w:t>
      </w:r>
      <w:r w:rsidR="008B05EA" w:rsidRPr="00B70D50">
        <w:rPr>
          <w:rFonts w:asciiTheme="majorBidi" w:hAnsiTheme="majorBidi" w:cstheme="majorBidi"/>
          <w:sz w:val="24"/>
          <w:szCs w:val="24"/>
          <w:lang w:val="en-GB" w:bidi="ar-EG"/>
        </w:rPr>
        <w:t>purpose, some terms contained therein, method of implementation</w:t>
      </w:r>
      <w:r w:rsidR="000230D3" w:rsidRPr="00B70D50">
        <w:rPr>
          <w:rFonts w:asciiTheme="majorBidi" w:hAnsiTheme="majorBidi" w:cstheme="majorBidi"/>
          <w:sz w:val="24"/>
          <w:szCs w:val="24"/>
          <w:lang w:val="en-GB" w:bidi="ar-EG"/>
        </w:rPr>
        <w:t>,</w:t>
      </w:r>
      <w:r w:rsidR="008B05EA" w:rsidRPr="00B70D50">
        <w:rPr>
          <w:rFonts w:asciiTheme="majorBidi" w:hAnsiTheme="majorBidi" w:cstheme="majorBidi"/>
          <w:sz w:val="24"/>
          <w:szCs w:val="24"/>
          <w:lang w:val="en-GB" w:bidi="ar-EG"/>
        </w:rPr>
        <w:t xml:space="preserve"> or the proposed timeframe</w:t>
      </w:r>
      <w:r w:rsidR="00DF0A5E" w:rsidRPr="00B70D50">
        <w:rPr>
          <w:rFonts w:asciiTheme="majorBidi" w:hAnsiTheme="majorBidi" w:cstheme="majorBidi"/>
          <w:sz w:val="24"/>
          <w:szCs w:val="24"/>
          <w:lang w:val="en-GB" w:bidi="ar-EG"/>
        </w:rPr>
        <w:t xml:space="preserve"> for implementation</w:t>
      </w:r>
      <w:r w:rsidR="000230D3" w:rsidRPr="00B70D50">
        <w:rPr>
          <w:rFonts w:asciiTheme="majorBidi" w:hAnsiTheme="majorBidi" w:cstheme="majorBidi"/>
          <w:sz w:val="24"/>
          <w:szCs w:val="24"/>
          <w:lang w:val="en-GB" w:bidi="ar-EG"/>
        </w:rPr>
        <w:t>;</w:t>
      </w:r>
    </w:p>
    <w:p w14:paraId="01C6E68B" w14:textId="22C230DD" w:rsidR="00893F1D" w:rsidRPr="00B70D50" w:rsidRDefault="00B70D50" w:rsidP="00B70D50">
      <w:pPr>
        <w:pStyle w:val="ListParagraph"/>
        <w:numPr>
          <w:ilvl w:val="0"/>
          <w:numId w:val="40"/>
        </w:numPr>
        <w:bidi w:val="0"/>
        <w:spacing w:before="80" w:after="0" w:line="300" w:lineRule="exact"/>
        <w:ind w:left="0" w:right="51" w:hanging="181"/>
        <w:contextualSpacing w:val="0"/>
        <w:jc w:val="both"/>
        <w:rPr>
          <w:rFonts w:asciiTheme="majorBidi" w:hAnsiTheme="majorBidi" w:cstheme="majorBidi"/>
          <w:sz w:val="24"/>
          <w:szCs w:val="24"/>
          <w:lang w:val="en-GB" w:bidi="ar-EG"/>
        </w:rPr>
      </w:pPr>
      <w:r>
        <w:rPr>
          <w:rFonts w:asciiTheme="majorBidi" w:hAnsiTheme="majorBidi" w:cstheme="majorBidi"/>
          <w:sz w:val="24"/>
          <w:szCs w:val="24"/>
          <w:lang w:val="en-GB" w:bidi="ar-EG"/>
        </w:rPr>
        <w:t>U</w:t>
      </w:r>
      <w:r w:rsidR="000602CB" w:rsidRPr="00B70D50">
        <w:rPr>
          <w:rFonts w:asciiTheme="majorBidi" w:hAnsiTheme="majorBidi" w:cstheme="majorBidi"/>
          <w:sz w:val="24"/>
          <w:szCs w:val="24"/>
          <w:lang w:val="en-GB" w:bidi="ar-EG"/>
        </w:rPr>
        <w:t>n</w:t>
      </w:r>
      <w:r w:rsidR="006D0D8E" w:rsidRPr="00B70D50">
        <w:rPr>
          <w:rFonts w:asciiTheme="majorBidi" w:hAnsiTheme="majorBidi" w:cstheme="majorBidi"/>
          <w:sz w:val="24"/>
          <w:szCs w:val="24"/>
          <w:lang w:val="en-GB" w:bidi="ar-EG"/>
        </w:rPr>
        <w:t>a</w:t>
      </w:r>
      <w:r w:rsidR="00C70834" w:rsidRPr="00B70D50">
        <w:rPr>
          <w:rFonts w:asciiTheme="majorBidi" w:hAnsiTheme="majorBidi" w:cstheme="majorBidi"/>
          <w:sz w:val="24"/>
          <w:szCs w:val="24"/>
          <w:lang w:val="en-GB" w:bidi="ar-EG"/>
        </w:rPr>
        <w:t>ccept</w:t>
      </w:r>
      <w:r>
        <w:rPr>
          <w:rFonts w:asciiTheme="majorBidi" w:hAnsiTheme="majorBidi" w:cstheme="majorBidi"/>
          <w:sz w:val="24"/>
          <w:szCs w:val="24"/>
          <w:lang w:val="en-GB" w:bidi="ar-EG"/>
        </w:rPr>
        <w:t>ing</w:t>
      </w:r>
      <w:r w:rsidR="00C70834" w:rsidRPr="00B70D50">
        <w:rPr>
          <w:rFonts w:asciiTheme="majorBidi" w:hAnsiTheme="majorBidi" w:cstheme="majorBidi"/>
          <w:sz w:val="24"/>
          <w:szCs w:val="24"/>
          <w:lang w:val="en-GB" w:bidi="ar-EG"/>
        </w:rPr>
        <w:t xml:space="preserve"> </w:t>
      </w:r>
      <w:r w:rsidR="00372D98" w:rsidRPr="00B70D50">
        <w:rPr>
          <w:rFonts w:asciiTheme="majorBidi" w:hAnsiTheme="majorBidi" w:cstheme="majorBidi"/>
          <w:sz w:val="24"/>
          <w:szCs w:val="24"/>
          <w:lang w:val="en-GB" w:bidi="ar-EG"/>
        </w:rPr>
        <w:t xml:space="preserve">some </w:t>
      </w:r>
      <w:r w:rsidR="00C70834" w:rsidRPr="00B70D50">
        <w:rPr>
          <w:rFonts w:asciiTheme="majorBidi" w:hAnsiTheme="majorBidi" w:cstheme="majorBidi"/>
          <w:sz w:val="24"/>
          <w:szCs w:val="24"/>
          <w:lang w:val="en-GB" w:bidi="ar-EG"/>
        </w:rPr>
        <w:t xml:space="preserve">recommendations </w:t>
      </w:r>
      <w:r w:rsidR="00372D98" w:rsidRPr="00B70D50">
        <w:rPr>
          <w:rFonts w:asciiTheme="majorBidi" w:hAnsiTheme="majorBidi" w:cstheme="majorBidi"/>
          <w:sz w:val="24"/>
          <w:szCs w:val="24"/>
          <w:lang w:val="en-GB" w:bidi="ar-EG"/>
        </w:rPr>
        <w:t xml:space="preserve">is based on the fact that they contravene with </w:t>
      </w:r>
      <w:r w:rsidR="00C70834" w:rsidRPr="00B70D50">
        <w:rPr>
          <w:rFonts w:asciiTheme="majorBidi" w:hAnsiTheme="majorBidi" w:cstheme="majorBidi"/>
          <w:sz w:val="24"/>
          <w:szCs w:val="24"/>
          <w:lang w:val="en-GB" w:bidi="ar-EG"/>
        </w:rPr>
        <w:t>the Constitution,</w:t>
      </w:r>
      <w:r w:rsidR="00C105C5" w:rsidRPr="00B70D50">
        <w:rPr>
          <w:rFonts w:asciiTheme="majorBidi" w:hAnsiTheme="majorBidi" w:cstheme="majorBidi"/>
          <w:sz w:val="24"/>
          <w:szCs w:val="24"/>
          <w:lang w:val="en-GB" w:bidi="ar-EG"/>
        </w:rPr>
        <w:t xml:space="preserve"> </w:t>
      </w:r>
      <w:r w:rsidR="00372D98" w:rsidRPr="00B70D50">
        <w:rPr>
          <w:rFonts w:asciiTheme="majorBidi" w:hAnsiTheme="majorBidi" w:cstheme="majorBidi"/>
          <w:sz w:val="24"/>
          <w:szCs w:val="24"/>
          <w:lang w:val="en-GB" w:bidi="ar-EG"/>
        </w:rPr>
        <w:t xml:space="preserve">the </w:t>
      </w:r>
      <w:r w:rsidR="00C105C5" w:rsidRPr="00B70D50">
        <w:rPr>
          <w:rFonts w:asciiTheme="majorBidi" w:hAnsiTheme="majorBidi" w:cstheme="majorBidi"/>
          <w:sz w:val="24"/>
          <w:szCs w:val="24"/>
          <w:lang w:val="en-GB" w:bidi="ar-EG"/>
        </w:rPr>
        <w:t>existing criminal justice system in Egypt</w:t>
      </w:r>
      <w:r w:rsidR="00A81FFE" w:rsidRPr="00B70D50">
        <w:rPr>
          <w:rFonts w:asciiTheme="majorBidi" w:hAnsiTheme="majorBidi" w:cstheme="majorBidi"/>
          <w:sz w:val="24"/>
          <w:szCs w:val="24"/>
          <w:lang w:val="en-GB" w:bidi="ar-EG"/>
        </w:rPr>
        <w:t xml:space="preserve">, </w:t>
      </w:r>
      <w:r w:rsidR="00E23E04" w:rsidRPr="00B70D50">
        <w:rPr>
          <w:rFonts w:asciiTheme="majorBidi" w:hAnsiTheme="majorBidi" w:cstheme="majorBidi"/>
          <w:sz w:val="24"/>
          <w:szCs w:val="24"/>
          <w:lang w:val="en-GB" w:bidi="ar-EG"/>
        </w:rPr>
        <w:t xml:space="preserve">the principle of </w:t>
      </w:r>
      <w:r w:rsidR="00E92FFE" w:rsidRPr="00B70D50">
        <w:rPr>
          <w:rFonts w:asciiTheme="majorBidi" w:hAnsiTheme="majorBidi" w:cstheme="majorBidi"/>
          <w:sz w:val="24"/>
          <w:szCs w:val="24"/>
          <w:lang w:val="en-GB" w:bidi="ar-EG"/>
        </w:rPr>
        <w:t xml:space="preserve">separation of powers, </w:t>
      </w:r>
      <w:r w:rsidR="00E23E04" w:rsidRPr="00B70D50">
        <w:rPr>
          <w:rFonts w:asciiTheme="majorBidi" w:hAnsiTheme="majorBidi" w:cstheme="majorBidi"/>
          <w:sz w:val="24"/>
          <w:szCs w:val="24"/>
          <w:lang w:val="en-GB" w:bidi="ar-EG"/>
        </w:rPr>
        <w:t xml:space="preserve">the principle of </w:t>
      </w:r>
      <w:r w:rsidR="00A81FFE" w:rsidRPr="00B70D50">
        <w:rPr>
          <w:rFonts w:asciiTheme="majorBidi" w:hAnsiTheme="majorBidi" w:cstheme="majorBidi"/>
          <w:sz w:val="24"/>
          <w:szCs w:val="24"/>
          <w:lang w:val="en-GB" w:bidi="ar-EG"/>
        </w:rPr>
        <w:t>equal</w:t>
      </w:r>
      <w:r w:rsidR="00763299" w:rsidRPr="00B70D50">
        <w:rPr>
          <w:rFonts w:asciiTheme="majorBidi" w:hAnsiTheme="majorBidi" w:cstheme="majorBidi"/>
          <w:sz w:val="24"/>
          <w:szCs w:val="24"/>
          <w:lang w:val="en-GB" w:bidi="ar-EG"/>
        </w:rPr>
        <w:t>ity</w:t>
      </w:r>
      <w:r w:rsidR="00A81FFE" w:rsidRPr="00B70D50">
        <w:rPr>
          <w:rFonts w:asciiTheme="majorBidi" w:hAnsiTheme="majorBidi" w:cstheme="majorBidi"/>
          <w:sz w:val="24"/>
          <w:szCs w:val="24"/>
          <w:lang w:val="en-GB" w:bidi="ar-EG"/>
        </w:rPr>
        <w:t xml:space="preserve"> before </w:t>
      </w:r>
      <w:r w:rsidR="00311F5F" w:rsidRPr="00B70D50">
        <w:rPr>
          <w:rFonts w:asciiTheme="majorBidi" w:hAnsiTheme="majorBidi" w:cstheme="majorBidi"/>
          <w:sz w:val="24"/>
          <w:szCs w:val="24"/>
          <w:lang w:val="en-GB" w:bidi="ar-EG"/>
        </w:rPr>
        <w:t xml:space="preserve">the </w:t>
      </w:r>
      <w:r w:rsidR="00E23E04" w:rsidRPr="00B70D50">
        <w:rPr>
          <w:rFonts w:asciiTheme="majorBidi" w:hAnsiTheme="majorBidi" w:cstheme="majorBidi"/>
          <w:sz w:val="24"/>
          <w:szCs w:val="24"/>
          <w:lang w:val="en-GB" w:bidi="ar-EG"/>
        </w:rPr>
        <w:t>law</w:t>
      </w:r>
      <w:r w:rsidR="00A81FFE" w:rsidRPr="00B70D50">
        <w:rPr>
          <w:rFonts w:asciiTheme="majorBidi" w:hAnsiTheme="majorBidi" w:cstheme="majorBidi"/>
          <w:sz w:val="24"/>
          <w:szCs w:val="24"/>
          <w:lang w:val="en-GB" w:bidi="ar-EG"/>
        </w:rPr>
        <w:t xml:space="preserve">, or </w:t>
      </w:r>
      <w:r w:rsidR="00E23E04" w:rsidRPr="00B70D50">
        <w:rPr>
          <w:rFonts w:asciiTheme="majorBidi" w:hAnsiTheme="majorBidi" w:cstheme="majorBidi"/>
          <w:sz w:val="24"/>
          <w:szCs w:val="24"/>
          <w:lang w:val="en-GB" w:bidi="ar-EG"/>
        </w:rPr>
        <w:t xml:space="preserve">the </w:t>
      </w:r>
      <w:r w:rsidR="00A81FFE" w:rsidRPr="00B70D50">
        <w:rPr>
          <w:rFonts w:asciiTheme="majorBidi" w:hAnsiTheme="majorBidi" w:cstheme="majorBidi"/>
          <w:sz w:val="24"/>
          <w:szCs w:val="24"/>
          <w:lang w:val="en-GB" w:bidi="ar-EG"/>
        </w:rPr>
        <w:t>rights recogni</w:t>
      </w:r>
      <w:r w:rsidR="006403B4" w:rsidRPr="00B70D50">
        <w:rPr>
          <w:rFonts w:asciiTheme="majorBidi" w:hAnsiTheme="majorBidi" w:cstheme="majorBidi"/>
          <w:sz w:val="24"/>
          <w:szCs w:val="24"/>
          <w:lang w:val="en-GB" w:bidi="ar-EG"/>
        </w:rPr>
        <w:t>s</w:t>
      </w:r>
      <w:r w:rsidR="00A81FFE" w:rsidRPr="00B70D50">
        <w:rPr>
          <w:rFonts w:asciiTheme="majorBidi" w:hAnsiTheme="majorBidi" w:cstheme="majorBidi"/>
          <w:sz w:val="24"/>
          <w:szCs w:val="24"/>
          <w:lang w:val="en-GB" w:bidi="ar-EG"/>
        </w:rPr>
        <w:t xml:space="preserve">ed </w:t>
      </w:r>
      <w:r w:rsidR="00DF0A5E" w:rsidRPr="00B70D50">
        <w:rPr>
          <w:rFonts w:asciiTheme="majorBidi" w:hAnsiTheme="majorBidi" w:cstheme="majorBidi"/>
          <w:sz w:val="24"/>
          <w:szCs w:val="24"/>
          <w:lang w:val="en-GB" w:bidi="ar-EG"/>
        </w:rPr>
        <w:t xml:space="preserve">in </w:t>
      </w:r>
      <w:r w:rsidR="00A81FFE" w:rsidRPr="00B70D50">
        <w:rPr>
          <w:rFonts w:asciiTheme="majorBidi" w:hAnsiTheme="majorBidi" w:cstheme="majorBidi"/>
          <w:sz w:val="24"/>
          <w:szCs w:val="24"/>
          <w:lang w:val="en-GB" w:bidi="ar-EG"/>
        </w:rPr>
        <w:t>the International Human Rights Law</w:t>
      </w:r>
      <w:r w:rsidR="005D3EC2" w:rsidRPr="00B70D50">
        <w:rPr>
          <w:rFonts w:asciiTheme="majorBidi" w:hAnsiTheme="majorBidi" w:cstheme="majorBidi"/>
          <w:sz w:val="24"/>
          <w:szCs w:val="24"/>
          <w:lang w:val="en-GB" w:bidi="ar-EG"/>
        </w:rPr>
        <w:t>;</w:t>
      </w:r>
    </w:p>
    <w:p w14:paraId="34C8DA46" w14:textId="6D3B1CC5" w:rsidR="00FA335D" w:rsidRPr="00B70D50" w:rsidRDefault="00DF0A5E" w:rsidP="00B70D50">
      <w:pPr>
        <w:pStyle w:val="ListParagraph"/>
        <w:numPr>
          <w:ilvl w:val="0"/>
          <w:numId w:val="40"/>
        </w:numPr>
        <w:bidi w:val="0"/>
        <w:spacing w:before="80" w:after="0" w:line="300" w:lineRule="exact"/>
        <w:ind w:left="0" w:right="51" w:hanging="181"/>
        <w:contextualSpacing w:val="0"/>
        <w:jc w:val="both"/>
        <w:rPr>
          <w:rFonts w:asciiTheme="majorBidi" w:hAnsiTheme="majorBidi" w:cstheme="majorBidi"/>
          <w:sz w:val="24"/>
          <w:szCs w:val="24"/>
          <w:lang w:val="en-GB" w:bidi="ar-EG"/>
        </w:rPr>
      </w:pPr>
      <w:r w:rsidRPr="00B70D50">
        <w:rPr>
          <w:rFonts w:asciiTheme="majorBidi" w:hAnsiTheme="majorBidi" w:cstheme="majorBidi"/>
          <w:sz w:val="24"/>
          <w:szCs w:val="24"/>
          <w:lang w:val="en-GB" w:bidi="ar-EG"/>
        </w:rPr>
        <w:t xml:space="preserve">The Consideration of some recommendations </w:t>
      </w:r>
      <w:r w:rsidR="00FA335D" w:rsidRPr="00B70D50">
        <w:rPr>
          <w:rFonts w:asciiTheme="majorBidi" w:hAnsiTheme="majorBidi" w:cstheme="majorBidi"/>
          <w:sz w:val="24"/>
          <w:szCs w:val="24"/>
          <w:lang w:val="en-GB" w:bidi="ar-EG"/>
        </w:rPr>
        <w:t>being factually incorrect</w:t>
      </w:r>
      <w:r w:rsidRPr="00B70D50">
        <w:rPr>
          <w:rFonts w:asciiTheme="majorBidi" w:hAnsiTheme="majorBidi" w:cstheme="majorBidi"/>
          <w:sz w:val="24"/>
          <w:szCs w:val="24"/>
          <w:lang w:val="en-GB" w:bidi="ar-EG"/>
        </w:rPr>
        <w:t xml:space="preserve"> is </w:t>
      </w:r>
      <w:r w:rsidR="00FA335D" w:rsidRPr="00B70D50">
        <w:rPr>
          <w:rFonts w:asciiTheme="majorBidi" w:hAnsiTheme="majorBidi" w:cstheme="majorBidi"/>
          <w:sz w:val="24"/>
          <w:szCs w:val="24"/>
          <w:lang w:val="en-GB" w:bidi="ar-EG"/>
        </w:rPr>
        <w:t xml:space="preserve"> due to </w:t>
      </w:r>
      <w:r w:rsidRPr="00B70D50">
        <w:rPr>
          <w:rFonts w:asciiTheme="majorBidi" w:hAnsiTheme="majorBidi" w:cstheme="majorBidi"/>
          <w:sz w:val="24"/>
          <w:szCs w:val="24"/>
          <w:lang w:val="en-GB" w:bidi="ar-EG"/>
        </w:rPr>
        <w:t xml:space="preserve">inaccuracy </w:t>
      </w:r>
      <w:r w:rsidR="00FA335D" w:rsidRPr="00B70D50">
        <w:rPr>
          <w:rFonts w:asciiTheme="majorBidi" w:hAnsiTheme="majorBidi" w:cstheme="majorBidi"/>
          <w:sz w:val="24"/>
          <w:szCs w:val="24"/>
          <w:lang w:val="en-GB" w:bidi="ar-EG"/>
        </w:rPr>
        <w:t xml:space="preserve">in the </w:t>
      </w:r>
      <w:r w:rsidRPr="00B70D50">
        <w:rPr>
          <w:rFonts w:asciiTheme="majorBidi" w:hAnsiTheme="majorBidi" w:cstheme="majorBidi"/>
          <w:sz w:val="24"/>
          <w:szCs w:val="24"/>
          <w:lang w:val="en-GB" w:bidi="ar-EG"/>
        </w:rPr>
        <w:t xml:space="preserve">phrasing </w:t>
      </w:r>
      <w:r w:rsidR="00FA335D" w:rsidRPr="00B70D50">
        <w:rPr>
          <w:rFonts w:asciiTheme="majorBidi" w:hAnsiTheme="majorBidi" w:cstheme="majorBidi"/>
          <w:sz w:val="24"/>
          <w:szCs w:val="24"/>
          <w:lang w:val="en-GB" w:bidi="ar-EG"/>
        </w:rPr>
        <w:t>or content thereof;</w:t>
      </w:r>
      <w:r w:rsidR="001A229C" w:rsidRPr="00B70D50">
        <w:rPr>
          <w:rFonts w:asciiTheme="majorBidi" w:hAnsiTheme="majorBidi" w:cstheme="majorBidi"/>
          <w:sz w:val="24"/>
          <w:szCs w:val="24"/>
          <w:lang w:val="en-GB" w:bidi="ar-EG"/>
        </w:rPr>
        <w:t xml:space="preserve"> and</w:t>
      </w:r>
    </w:p>
    <w:p w14:paraId="375E4203" w14:textId="79CFA4C2" w:rsidR="005D3EC2" w:rsidRPr="00B70D50" w:rsidRDefault="00DF0A5E" w:rsidP="00B70D50">
      <w:pPr>
        <w:pStyle w:val="ListParagraph"/>
        <w:numPr>
          <w:ilvl w:val="0"/>
          <w:numId w:val="40"/>
        </w:numPr>
        <w:bidi w:val="0"/>
        <w:spacing w:before="80" w:after="0" w:line="300" w:lineRule="exact"/>
        <w:ind w:left="0" w:right="51" w:hanging="181"/>
        <w:contextualSpacing w:val="0"/>
        <w:jc w:val="both"/>
        <w:rPr>
          <w:rFonts w:asciiTheme="majorBidi" w:hAnsiTheme="majorBidi" w:cstheme="majorBidi"/>
          <w:sz w:val="24"/>
          <w:szCs w:val="24"/>
          <w:lang w:val="en-GB" w:bidi="ar-EG"/>
        </w:rPr>
      </w:pPr>
      <w:r w:rsidRPr="00B70D50">
        <w:rPr>
          <w:rFonts w:asciiTheme="majorBidi" w:hAnsiTheme="majorBidi" w:cstheme="majorBidi"/>
          <w:sz w:val="24"/>
          <w:szCs w:val="24"/>
          <w:lang w:val="en-GB" w:bidi="ar-EG"/>
        </w:rPr>
        <w:t>The deeming of t</w:t>
      </w:r>
      <w:r w:rsidR="005D3EC2" w:rsidRPr="00B70D50">
        <w:rPr>
          <w:rFonts w:asciiTheme="majorBidi" w:hAnsiTheme="majorBidi" w:cstheme="majorBidi"/>
          <w:sz w:val="24"/>
          <w:szCs w:val="24"/>
          <w:lang w:val="en-GB" w:bidi="ar-EG"/>
        </w:rPr>
        <w:t xml:space="preserve">wo recommendations </w:t>
      </w:r>
      <w:r w:rsidR="001B7D44" w:rsidRPr="00B70D50">
        <w:rPr>
          <w:rFonts w:asciiTheme="majorBidi" w:hAnsiTheme="majorBidi" w:cstheme="majorBidi"/>
          <w:sz w:val="24"/>
          <w:szCs w:val="24"/>
          <w:lang w:val="en-GB" w:bidi="ar-EG"/>
        </w:rPr>
        <w:t xml:space="preserve">to be hostile </w:t>
      </w:r>
      <w:r w:rsidR="00AB4F49" w:rsidRPr="00B70D50">
        <w:rPr>
          <w:rFonts w:asciiTheme="majorBidi" w:hAnsiTheme="majorBidi" w:cstheme="majorBidi"/>
          <w:sz w:val="24"/>
          <w:szCs w:val="24"/>
          <w:lang w:val="en-GB" w:bidi="ar-EG"/>
        </w:rPr>
        <w:t xml:space="preserve">is due to the fact that </w:t>
      </w:r>
      <w:r w:rsidR="001B7D44" w:rsidRPr="00B70D50">
        <w:rPr>
          <w:rFonts w:asciiTheme="majorBidi" w:hAnsiTheme="majorBidi" w:cstheme="majorBidi"/>
          <w:sz w:val="24"/>
          <w:szCs w:val="24"/>
          <w:lang w:val="en-GB" w:bidi="ar-EG"/>
        </w:rPr>
        <w:t xml:space="preserve">they </w:t>
      </w:r>
      <w:r w:rsidR="00AB4F49" w:rsidRPr="00B70D50">
        <w:rPr>
          <w:rFonts w:asciiTheme="majorBidi" w:hAnsiTheme="majorBidi" w:cstheme="majorBidi"/>
          <w:sz w:val="24"/>
          <w:szCs w:val="24"/>
          <w:lang w:val="en-GB" w:bidi="ar-EG"/>
        </w:rPr>
        <w:t xml:space="preserve">include </w:t>
      </w:r>
      <w:r w:rsidRPr="00B70D50">
        <w:rPr>
          <w:rFonts w:asciiTheme="majorBidi" w:hAnsiTheme="majorBidi" w:cstheme="majorBidi"/>
          <w:sz w:val="24"/>
          <w:szCs w:val="24"/>
          <w:lang w:val="en-GB" w:bidi="ar-EG"/>
        </w:rPr>
        <w:t xml:space="preserve">false </w:t>
      </w:r>
      <w:r w:rsidR="00572DCF" w:rsidRPr="00B70D50">
        <w:rPr>
          <w:rFonts w:asciiTheme="majorBidi" w:hAnsiTheme="majorBidi" w:cstheme="majorBidi"/>
          <w:sz w:val="24"/>
          <w:szCs w:val="24"/>
          <w:lang w:val="en-GB" w:bidi="ar-EG"/>
        </w:rPr>
        <w:t xml:space="preserve">and highly politicized allegations made by </w:t>
      </w:r>
      <w:r w:rsidRPr="00B70D50">
        <w:rPr>
          <w:rFonts w:asciiTheme="majorBidi" w:hAnsiTheme="majorBidi" w:cstheme="majorBidi"/>
          <w:sz w:val="24"/>
          <w:szCs w:val="24"/>
          <w:lang w:val="en-GB" w:bidi="ar-EG"/>
        </w:rPr>
        <w:t xml:space="preserve">a </w:t>
      </w:r>
      <w:r w:rsidR="0055283D" w:rsidRPr="00B70D50">
        <w:rPr>
          <w:rFonts w:asciiTheme="majorBidi" w:hAnsiTheme="majorBidi" w:cstheme="majorBidi"/>
          <w:sz w:val="24"/>
          <w:szCs w:val="24"/>
          <w:lang w:val="en-GB" w:bidi="ar-EG"/>
        </w:rPr>
        <w:t xml:space="preserve">party that </w:t>
      </w:r>
      <w:r w:rsidR="00AB4F49" w:rsidRPr="00B70D50">
        <w:rPr>
          <w:rFonts w:asciiTheme="majorBidi" w:hAnsiTheme="majorBidi" w:cstheme="majorBidi"/>
          <w:sz w:val="24"/>
          <w:szCs w:val="24"/>
          <w:lang w:val="en-GB" w:bidi="ar-EG"/>
        </w:rPr>
        <w:t xml:space="preserve">publically </w:t>
      </w:r>
      <w:r w:rsidR="007D702F" w:rsidRPr="00B70D50">
        <w:rPr>
          <w:rFonts w:asciiTheme="majorBidi" w:hAnsiTheme="majorBidi" w:cstheme="majorBidi"/>
          <w:sz w:val="24"/>
          <w:szCs w:val="24"/>
          <w:lang w:val="en-GB" w:bidi="ar-EG"/>
        </w:rPr>
        <w:t xml:space="preserve">maintains a hostile attitude against the </w:t>
      </w:r>
      <w:r w:rsidRPr="00B70D50">
        <w:rPr>
          <w:rFonts w:asciiTheme="majorBidi" w:hAnsiTheme="majorBidi" w:cstheme="majorBidi"/>
          <w:sz w:val="24"/>
          <w:szCs w:val="24"/>
          <w:lang w:val="en-GB" w:bidi="ar-EG"/>
        </w:rPr>
        <w:t>G</w:t>
      </w:r>
      <w:r w:rsidR="007D702F" w:rsidRPr="00B70D50">
        <w:rPr>
          <w:rFonts w:asciiTheme="majorBidi" w:hAnsiTheme="majorBidi" w:cstheme="majorBidi"/>
          <w:sz w:val="24"/>
          <w:szCs w:val="24"/>
          <w:lang w:val="en-GB" w:bidi="ar-EG"/>
        </w:rPr>
        <w:t>overnment of the Arab Republic of Egypt</w:t>
      </w:r>
      <w:r w:rsidRPr="00B70D50">
        <w:rPr>
          <w:rFonts w:asciiTheme="majorBidi" w:hAnsiTheme="majorBidi" w:cstheme="majorBidi"/>
          <w:sz w:val="24"/>
          <w:szCs w:val="24"/>
          <w:lang w:val="en-GB" w:bidi="ar-EG"/>
        </w:rPr>
        <w:t xml:space="preserve"> and its people</w:t>
      </w:r>
      <w:r w:rsidR="00E23E04" w:rsidRPr="00B70D50">
        <w:rPr>
          <w:rFonts w:asciiTheme="majorBidi" w:hAnsiTheme="majorBidi" w:cstheme="majorBidi"/>
          <w:sz w:val="24"/>
          <w:szCs w:val="24"/>
          <w:lang w:val="en-GB" w:bidi="ar-EG"/>
        </w:rPr>
        <w:t>, which</w:t>
      </w:r>
      <w:r w:rsidR="00C86134" w:rsidRPr="00B70D50">
        <w:rPr>
          <w:rFonts w:asciiTheme="majorBidi" w:hAnsiTheme="majorBidi" w:cstheme="majorBidi"/>
          <w:sz w:val="24"/>
          <w:szCs w:val="24"/>
          <w:lang w:val="en-GB" w:bidi="ar-EG"/>
        </w:rPr>
        <w:t xml:space="preserve"> </w:t>
      </w:r>
      <w:r w:rsidR="00AB4F49" w:rsidRPr="00B70D50">
        <w:rPr>
          <w:rFonts w:asciiTheme="majorBidi" w:hAnsiTheme="majorBidi" w:cstheme="majorBidi"/>
          <w:sz w:val="24"/>
          <w:szCs w:val="24"/>
          <w:lang w:val="en-GB" w:bidi="ar-EG"/>
        </w:rPr>
        <w:t xml:space="preserve">runs counter to </w:t>
      </w:r>
      <w:r w:rsidR="00C86134" w:rsidRPr="00B70D50">
        <w:rPr>
          <w:rFonts w:asciiTheme="majorBidi" w:hAnsiTheme="majorBidi" w:cstheme="majorBidi"/>
          <w:sz w:val="24"/>
          <w:szCs w:val="24"/>
          <w:lang w:val="en-GB" w:bidi="ar-EG"/>
        </w:rPr>
        <w:t xml:space="preserve">the solid foundation of the </w:t>
      </w:r>
      <w:r w:rsidR="00AB4F49" w:rsidRPr="00B70D50">
        <w:rPr>
          <w:rFonts w:asciiTheme="majorBidi" w:hAnsiTheme="majorBidi" w:cstheme="majorBidi"/>
          <w:sz w:val="24"/>
          <w:szCs w:val="24"/>
          <w:lang w:val="en-GB" w:bidi="ar-EG"/>
        </w:rPr>
        <w:t xml:space="preserve">UPR </w:t>
      </w:r>
      <w:r w:rsidR="00C86134" w:rsidRPr="00B70D50">
        <w:rPr>
          <w:rFonts w:asciiTheme="majorBidi" w:hAnsiTheme="majorBidi" w:cstheme="majorBidi"/>
          <w:sz w:val="24"/>
          <w:szCs w:val="24"/>
          <w:lang w:val="en-GB" w:bidi="ar-EG"/>
        </w:rPr>
        <w:t>process</w:t>
      </w:r>
      <w:r w:rsidR="001A229C" w:rsidRPr="00B70D50">
        <w:rPr>
          <w:rFonts w:asciiTheme="majorBidi" w:hAnsiTheme="majorBidi" w:cstheme="majorBidi"/>
          <w:sz w:val="24"/>
          <w:szCs w:val="24"/>
          <w:lang w:val="en-GB" w:bidi="ar-EG"/>
        </w:rPr>
        <w:t>.</w:t>
      </w:r>
    </w:p>
    <w:p w14:paraId="73ABA630" w14:textId="77777777" w:rsidR="00AB4F49" w:rsidRPr="00B70D50" w:rsidRDefault="00AB4F49" w:rsidP="00AB4F49">
      <w:pPr>
        <w:pStyle w:val="ListParagraph"/>
        <w:bidi w:val="0"/>
        <w:spacing w:after="0" w:line="300" w:lineRule="exact"/>
        <w:ind w:left="0" w:right="49"/>
        <w:contextualSpacing w:val="0"/>
        <w:jc w:val="both"/>
        <w:rPr>
          <w:rFonts w:asciiTheme="majorBidi" w:hAnsiTheme="majorBidi" w:cstheme="majorBidi"/>
          <w:sz w:val="24"/>
          <w:szCs w:val="24"/>
          <w:lang w:val="en-GB" w:bidi="ar-EG"/>
        </w:rPr>
      </w:pPr>
    </w:p>
    <w:p w14:paraId="14F80D33" w14:textId="77777777" w:rsidR="00AB4F49" w:rsidRPr="00B70D50" w:rsidRDefault="00AB4F49" w:rsidP="00AB4F49">
      <w:pPr>
        <w:pStyle w:val="ListParagraph"/>
        <w:bidi w:val="0"/>
        <w:spacing w:after="0" w:line="300" w:lineRule="exact"/>
        <w:ind w:left="0" w:right="49"/>
        <w:contextualSpacing w:val="0"/>
        <w:jc w:val="both"/>
        <w:rPr>
          <w:rFonts w:asciiTheme="majorBidi" w:hAnsiTheme="majorBidi" w:cstheme="majorBidi"/>
          <w:sz w:val="24"/>
          <w:szCs w:val="24"/>
          <w:lang w:val="en-GB" w:bidi="ar-EG"/>
        </w:rPr>
      </w:pPr>
    </w:p>
    <w:p w14:paraId="3E7B669C" w14:textId="2A2E7739" w:rsidR="00056266" w:rsidRPr="00B70D50" w:rsidRDefault="00B22BE6" w:rsidP="00AB4F49">
      <w:pPr>
        <w:pStyle w:val="ListParagraph"/>
        <w:numPr>
          <w:ilvl w:val="0"/>
          <w:numId w:val="38"/>
        </w:numPr>
        <w:bidi w:val="0"/>
        <w:spacing w:after="0" w:line="300" w:lineRule="exact"/>
        <w:ind w:left="0" w:right="49" w:hanging="398"/>
        <w:contextualSpacing w:val="0"/>
        <w:jc w:val="both"/>
        <w:rPr>
          <w:rFonts w:asciiTheme="majorBidi" w:hAnsiTheme="majorBidi" w:cstheme="majorBidi"/>
          <w:b/>
          <w:bCs/>
          <w:sz w:val="24"/>
          <w:szCs w:val="24"/>
          <w:u w:val="single"/>
          <w:lang w:val="en-GB" w:bidi="ar-EG"/>
        </w:rPr>
      </w:pPr>
      <w:r w:rsidRPr="00B70D50">
        <w:rPr>
          <w:rFonts w:asciiTheme="majorBidi" w:hAnsiTheme="majorBidi" w:cstheme="majorBidi"/>
          <w:b/>
          <w:bCs/>
          <w:sz w:val="24"/>
          <w:szCs w:val="24"/>
          <w:u w:val="single"/>
          <w:lang w:val="en-GB" w:bidi="ar-EG"/>
        </w:rPr>
        <w:lastRenderedPageBreak/>
        <w:t xml:space="preserve">Following is the </w:t>
      </w:r>
      <w:r w:rsidR="00AB4F49" w:rsidRPr="00B70D50">
        <w:rPr>
          <w:rFonts w:asciiTheme="majorBidi" w:hAnsiTheme="majorBidi" w:cstheme="majorBidi"/>
          <w:b/>
          <w:bCs/>
          <w:sz w:val="24"/>
          <w:szCs w:val="24"/>
          <w:u w:val="single"/>
          <w:lang w:val="en-GB" w:bidi="ar-EG"/>
        </w:rPr>
        <w:t>G</w:t>
      </w:r>
      <w:r w:rsidRPr="00B70D50">
        <w:rPr>
          <w:rFonts w:asciiTheme="majorBidi" w:hAnsiTheme="majorBidi" w:cstheme="majorBidi"/>
          <w:b/>
          <w:bCs/>
          <w:sz w:val="24"/>
          <w:szCs w:val="24"/>
          <w:u w:val="single"/>
          <w:lang w:val="en-GB" w:bidi="ar-EG"/>
        </w:rPr>
        <w:t xml:space="preserve">overnment’s position on </w:t>
      </w:r>
      <w:r w:rsidR="00AB4F49" w:rsidRPr="00B70D50">
        <w:rPr>
          <w:rFonts w:asciiTheme="majorBidi" w:hAnsiTheme="majorBidi" w:cstheme="majorBidi"/>
          <w:b/>
          <w:bCs/>
          <w:sz w:val="24"/>
          <w:szCs w:val="24"/>
          <w:u w:val="single"/>
          <w:lang w:val="en-GB" w:bidi="ar-EG"/>
        </w:rPr>
        <w:t xml:space="preserve">the </w:t>
      </w:r>
      <w:r w:rsidR="00056266" w:rsidRPr="00B70D50">
        <w:rPr>
          <w:rFonts w:asciiTheme="majorBidi" w:hAnsiTheme="majorBidi" w:cstheme="majorBidi"/>
          <w:b/>
          <w:bCs/>
          <w:sz w:val="24"/>
          <w:szCs w:val="24"/>
          <w:u w:val="single"/>
          <w:lang w:val="en-GB" w:bidi="ar-EG"/>
        </w:rPr>
        <w:t>recommendations</w:t>
      </w:r>
      <w:r w:rsidR="00AB4F49" w:rsidRPr="00B70D50">
        <w:rPr>
          <w:rFonts w:asciiTheme="majorBidi" w:hAnsiTheme="majorBidi" w:cstheme="majorBidi"/>
          <w:b/>
          <w:bCs/>
          <w:sz w:val="24"/>
          <w:szCs w:val="24"/>
          <w:u w:val="single"/>
          <w:lang w:val="en-GB" w:bidi="ar-EG"/>
        </w:rPr>
        <w:t xml:space="preserve"> received during the UPR cycle</w:t>
      </w:r>
      <w:r w:rsidR="00056266" w:rsidRPr="00B70D50">
        <w:rPr>
          <w:rFonts w:asciiTheme="majorBidi" w:hAnsiTheme="majorBidi" w:cstheme="majorBidi"/>
          <w:b/>
          <w:bCs/>
          <w:sz w:val="24"/>
          <w:szCs w:val="24"/>
          <w:u w:val="single"/>
          <w:lang w:val="en-GB" w:bidi="ar-EG"/>
        </w:rPr>
        <w:t>, classified in terms of the subject matter:</w:t>
      </w:r>
    </w:p>
    <w:p w14:paraId="0348A53F" w14:textId="77777777" w:rsidR="00AB4F49" w:rsidRPr="00B70D50" w:rsidRDefault="00AB4F49" w:rsidP="00AB4F49">
      <w:pPr>
        <w:pStyle w:val="ListParagraph"/>
        <w:bidi w:val="0"/>
        <w:spacing w:after="0" w:line="300" w:lineRule="exact"/>
        <w:ind w:left="0" w:right="49"/>
        <w:contextualSpacing w:val="0"/>
        <w:jc w:val="both"/>
        <w:rPr>
          <w:rFonts w:asciiTheme="majorBidi" w:hAnsiTheme="majorBidi" w:cstheme="majorBidi"/>
          <w:b/>
          <w:bCs/>
          <w:sz w:val="24"/>
          <w:szCs w:val="24"/>
          <w:u w:val="single"/>
          <w:lang w:val="en-GB" w:bidi="ar-EG"/>
        </w:rPr>
      </w:pPr>
    </w:p>
    <w:p w14:paraId="1CB6D7F1" w14:textId="64A67A46" w:rsidR="008A08E0" w:rsidRPr="00B70D50" w:rsidRDefault="008A08E0" w:rsidP="008A08E0">
      <w:pPr>
        <w:pStyle w:val="ListParagraph"/>
        <w:numPr>
          <w:ilvl w:val="0"/>
          <w:numId w:val="41"/>
        </w:numPr>
        <w:bidi w:val="0"/>
        <w:spacing w:after="0" w:line="300" w:lineRule="exact"/>
        <w:ind w:left="0" w:right="49"/>
        <w:contextualSpacing w:val="0"/>
        <w:jc w:val="both"/>
        <w:rPr>
          <w:rFonts w:asciiTheme="majorBidi" w:hAnsiTheme="majorBidi" w:cstheme="majorBidi"/>
          <w:b/>
          <w:bCs/>
          <w:sz w:val="24"/>
          <w:szCs w:val="24"/>
          <w:u w:val="single"/>
          <w:lang w:val="en-GB" w:bidi="ar-EG"/>
        </w:rPr>
      </w:pPr>
      <w:r w:rsidRPr="00B70D50">
        <w:rPr>
          <w:rFonts w:asciiTheme="majorBidi" w:hAnsiTheme="majorBidi" w:cstheme="majorBidi"/>
          <w:b/>
          <w:bCs/>
          <w:sz w:val="24"/>
          <w:szCs w:val="24"/>
          <w:u w:val="single"/>
          <w:lang w:val="en-GB" w:bidi="ar-EG"/>
        </w:rPr>
        <w:t xml:space="preserve">Acceding to International Human Rights Treaties, </w:t>
      </w:r>
      <w:r w:rsidR="00B70D50" w:rsidRPr="00B70D50">
        <w:rPr>
          <w:rFonts w:asciiTheme="majorBidi" w:hAnsiTheme="majorBidi" w:cstheme="majorBidi"/>
          <w:b/>
          <w:bCs/>
          <w:sz w:val="24"/>
          <w:szCs w:val="24"/>
          <w:u w:val="single"/>
          <w:lang w:val="en-GB" w:bidi="ar-EG"/>
        </w:rPr>
        <w:t>Honouring</w:t>
      </w:r>
      <w:r w:rsidRPr="00B70D50">
        <w:rPr>
          <w:rFonts w:asciiTheme="majorBidi" w:hAnsiTheme="majorBidi" w:cstheme="majorBidi"/>
          <w:b/>
          <w:bCs/>
          <w:sz w:val="24"/>
          <w:szCs w:val="24"/>
          <w:u w:val="single"/>
          <w:lang w:val="en-GB" w:bidi="ar-EG"/>
        </w:rPr>
        <w:t xml:space="preserve"> Commitments and Withdrawing Reservations Thereto:</w:t>
      </w:r>
    </w:p>
    <w:p w14:paraId="40F3E96F" w14:textId="0ED9631B" w:rsidR="007A6FEC" w:rsidRPr="00B70D50" w:rsidRDefault="007A6FEC" w:rsidP="00F66DA2">
      <w:pPr>
        <w:pStyle w:val="ListParagraph"/>
        <w:numPr>
          <w:ilvl w:val="0"/>
          <w:numId w:val="39"/>
        </w:numPr>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Article 151 of the Constitution</w:t>
      </w:r>
      <w:r w:rsidR="00B70D50">
        <w:rPr>
          <w:rFonts w:asciiTheme="majorBidi" w:hAnsiTheme="majorBidi" w:cstheme="majorBidi"/>
          <w:sz w:val="24"/>
          <w:szCs w:val="24"/>
          <w:lang w:val="en-GB"/>
        </w:rPr>
        <w:t xml:space="preserve"> </w:t>
      </w:r>
      <w:r w:rsidR="00984185" w:rsidRPr="00B70D50">
        <w:rPr>
          <w:rFonts w:asciiTheme="majorBidi" w:hAnsiTheme="majorBidi" w:cstheme="majorBidi"/>
          <w:sz w:val="24"/>
          <w:szCs w:val="24"/>
          <w:lang w:val="en-GB"/>
        </w:rPr>
        <w:t xml:space="preserve">mandates </w:t>
      </w:r>
      <w:r w:rsidRPr="00B70D50">
        <w:rPr>
          <w:rFonts w:asciiTheme="majorBidi" w:hAnsiTheme="majorBidi" w:cstheme="majorBidi"/>
          <w:sz w:val="24"/>
          <w:szCs w:val="24"/>
          <w:lang w:val="en-GB"/>
        </w:rPr>
        <w:t>that</w:t>
      </w:r>
      <w:r w:rsidR="00984185" w:rsidRPr="00B70D50">
        <w:rPr>
          <w:rFonts w:asciiTheme="majorBidi" w:hAnsiTheme="majorBidi" w:cstheme="majorBidi"/>
          <w:sz w:val="24"/>
          <w:szCs w:val="24"/>
          <w:lang w:val="en-GB"/>
        </w:rPr>
        <w:t xml:space="preserve"> </w:t>
      </w:r>
      <w:r w:rsidR="00510D8B" w:rsidRPr="00B70D50">
        <w:rPr>
          <w:rFonts w:asciiTheme="majorBidi" w:hAnsiTheme="majorBidi" w:cstheme="majorBidi"/>
          <w:sz w:val="24"/>
          <w:szCs w:val="24"/>
          <w:lang w:val="en-GB"/>
        </w:rPr>
        <w:t>the</w:t>
      </w:r>
      <w:r w:rsidRPr="00B70D50">
        <w:rPr>
          <w:rFonts w:asciiTheme="majorBidi" w:hAnsiTheme="majorBidi" w:cstheme="majorBidi"/>
          <w:sz w:val="24"/>
          <w:szCs w:val="24"/>
          <w:lang w:val="en-GB"/>
        </w:rPr>
        <w:t xml:space="preserve"> legislative, judicia</w:t>
      </w:r>
      <w:r w:rsidR="00510D8B" w:rsidRPr="00B70D50">
        <w:rPr>
          <w:rFonts w:asciiTheme="majorBidi" w:hAnsiTheme="majorBidi" w:cstheme="majorBidi"/>
          <w:sz w:val="24"/>
          <w:szCs w:val="24"/>
          <w:lang w:val="en-GB"/>
        </w:rPr>
        <w:t>l</w:t>
      </w:r>
      <w:r w:rsidRPr="00B70D50">
        <w:rPr>
          <w:rFonts w:asciiTheme="majorBidi" w:hAnsiTheme="majorBidi" w:cstheme="majorBidi"/>
          <w:sz w:val="24"/>
          <w:szCs w:val="24"/>
          <w:lang w:val="en-GB"/>
        </w:rPr>
        <w:t>, and executive authorities shall</w:t>
      </w:r>
      <w:r w:rsidR="00984185" w:rsidRPr="00B70D50">
        <w:rPr>
          <w:rFonts w:asciiTheme="majorBidi" w:hAnsiTheme="majorBidi" w:cstheme="majorBidi"/>
          <w:sz w:val="24"/>
          <w:szCs w:val="24"/>
          <w:lang w:val="en-GB"/>
        </w:rPr>
        <w:t xml:space="preserve"> respect</w:t>
      </w:r>
      <w:r w:rsidRPr="00B70D50">
        <w:rPr>
          <w:rFonts w:asciiTheme="majorBidi" w:hAnsiTheme="majorBidi" w:cstheme="majorBidi"/>
          <w:sz w:val="24"/>
          <w:szCs w:val="24"/>
          <w:lang w:val="en-GB"/>
        </w:rPr>
        <w:t xml:space="preserve"> the provisions of </w:t>
      </w:r>
      <w:r w:rsidR="00984185" w:rsidRPr="00B70D50">
        <w:rPr>
          <w:rFonts w:asciiTheme="majorBidi" w:hAnsiTheme="majorBidi" w:cstheme="majorBidi"/>
          <w:sz w:val="24"/>
          <w:szCs w:val="24"/>
          <w:lang w:val="en-GB"/>
        </w:rPr>
        <w:t xml:space="preserve">ratified </w:t>
      </w:r>
      <w:r w:rsidRPr="00B70D50">
        <w:rPr>
          <w:rFonts w:asciiTheme="majorBidi" w:hAnsiTheme="majorBidi" w:cstheme="majorBidi"/>
          <w:sz w:val="24"/>
          <w:szCs w:val="24"/>
          <w:lang w:val="en-GB"/>
        </w:rPr>
        <w:t xml:space="preserve">international </w:t>
      </w:r>
      <w:r w:rsidR="00984185" w:rsidRPr="00B70D50">
        <w:rPr>
          <w:rFonts w:asciiTheme="majorBidi" w:hAnsiTheme="majorBidi" w:cstheme="majorBidi"/>
          <w:sz w:val="24"/>
          <w:szCs w:val="24"/>
          <w:lang w:val="en-GB"/>
        </w:rPr>
        <w:t>treaties, as national laws</w:t>
      </w:r>
      <w:r w:rsidRPr="00B70D50">
        <w:rPr>
          <w:rFonts w:asciiTheme="majorBidi" w:hAnsiTheme="majorBidi" w:cstheme="majorBidi"/>
          <w:sz w:val="24"/>
          <w:szCs w:val="24"/>
          <w:lang w:val="en-GB"/>
        </w:rPr>
        <w:t xml:space="preserve">, thus </w:t>
      </w:r>
      <w:r w:rsidR="00984185" w:rsidRPr="00B70D50">
        <w:rPr>
          <w:rFonts w:asciiTheme="majorBidi" w:hAnsiTheme="majorBidi" w:cstheme="majorBidi"/>
          <w:sz w:val="24"/>
          <w:szCs w:val="24"/>
          <w:lang w:val="en-GB"/>
        </w:rPr>
        <w:t xml:space="preserve">entitling those </w:t>
      </w:r>
      <w:r w:rsidRPr="00B70D50">
        <w:rPr>
          <w:rFonts w:asciiTheme="majorBidi" w:hAnsiTheme="majorBidi" w:cstheme="majorBidi"/>
          <w:sz w:val="24"/>
          <w:szCs w:val="24"/>
          <w:lang w:val="en-GB"/>
        </w:rPr>
        <w:t xml:space="preserve">harmed by the </w:t>
      </w:r>
      <w:r w:rsidR="00F66DA2" w:rsidRPr="00B70D50">
        <w:rPr>
          <w:rFonts w:asciiTheme="majorBidi" w:hAnsiTheme="majorBidi" w:cstheme="majorBidi"/>
          <w:sz w:val="24"/>
          <w:szCs w:val="24"/>
          <w:lang w:val="en-GB"/>
        </w:rPr>
        <w:t xml:space="preserve">lack of </w:t>
      </w:r>
      <w:r w:rsidRPr="00B70D50">
        <w:rPr>
          <w:rFonts w:asciiTheme="majorBidi" w:hAnsiTheme="majorBidi" w:cstheme="majorBidi"/>
          <w:sz w:val="24"/>
          <w:szCs w:val="24"/>
          <w:lang w:val="en-GB"/>
        </w:rPr>
        <w:t>application</w:t>
      </w:r>
      <w:r w:rsidR="00984185" w:rsidRPr="00B70D50">
        <w:rPr>
          <w:rFonts w:asciiTheme="majorBidi" w:hAnsiTheme="majorBidi" w:cstheme="majorBidi"/>
          <w:sz w:val="24"/>
          <w:szCs w:val="24"/>
          <w:lang w:val="en-GB"/>
        </w:rPr>
        <w:t xml:space="preserve"> of these treaties</w:t>
      </w:r>
      <w:r w:rsidRPr="00B70D50">
        <w:rPr>
          <w:rFonts w:asciiTheme="majorBidi" w:hAnsiTheme="majorBidi" w:cstheme="majorBidi"/>
          <w:sz w:val="24"/>
          <w:szCs w:val="24"/>
          <w:lang w:val="en-GB"/>
        </w:rPr>
        <w:t xml:space="preserve"> the right to pursue legal recourse. </w:t>
      </w:r>
      <w:r w:rsidR="004C6C09" w:rsidRPr="00B70D50">
        <w:rPr>
          <w:rFonts w:asciiTheme="majorBidi" w:hAnsiTheme="majorBidi" w:cstheme="majorBidi"/>
          <w:sz w:val="24"/>
          <w:szCs w:val="24"/>
          <w:lang w:val="en-GB"/>
        </w:rPr>
        <w:t>Further</w:t>
      </w:r>
      <w:r w:rsidR="00984185" w:rsidRPr="00B70D50">
        <w:rPr>
          <w:rFonts w:asciiTheme="majorBidi" w:hAnsiTheme="majorBidi" w:cstheme="majorBidi"/>
          <w:sz w:val="24"/>
          <w:szCs w:val="24"/>
          <w:lang w:val="en-GB"/>
        </w:rPr>
        <w:t>more</w:t>
      </w:r>
      <w:r w:rsidR="004C6C09" w:rsidRPr="00B70D50">
        <w:rPr>
          <w:rFonts w:asciiTheme="majorBidi" w:hAnsiTheme="majorBidi" w:cstheme="majorBidi"/>
          <w:sz w:val="24"/>
          <w:szCs w:val="24"/>
          <w:lang w:val="en-GB"/>
        </w:rPr>
        <w:t xml:space="preserve">, article 93 of the </w:t>
      </w:r>
      <w:r w:rsidR="00EF7F25" w:rsidRPr="00B70D50">
        <w:rPr>
          <w:rFonts w:asciiTheme="majorBidi" w:hAnsiTheme="majorBidi" w:cstheme="majorBidi"/>
          <w:sz w:val="24"/>
          <w:szCs w:val="24"/>
          <w:lang w:val="en-GB"/>
        </w:rPr>
        <w:t xml:space="preserve">2014 </w:t>
      </w:r>
      <w:r w:rsidRPr="00B70D50">
        <w:rPr>
          <w:rFonts w:asciiTheme="majorBidi" w:hAnsiTheme="majorBidi" w:cstheme="majorBidi"/>
          <w:sz w:val="24"/>
          <w:szCs w:val="24"/>
          <w:lang w:val="en-GB"/>
        </w:rPr>
        <w:t xml:space="preserve">Constitution </w:t>
      </w:r>
      <w:r w:rsidR="00EF7F25" w:rsidRPr="00B70D50">
        <w:rPr>
          <w:rFonts w:asciiTheme="majorBidi" w:hAnsiTheme="majorBidi" w:cstheme="majorBidi"/>
          <w:sz w:val="24"/>
          <w:szCs w:val="24"/>
          <w:lang w:val="en-GB"/>
        </w:rPr>
        <w:t xml:space="preserve">gives </w:t>
      </w:r>
      <w:r w:rsidRPr="00B70D50">
        <w:rPr>
          <w:rFonts w:asciiTheme="majorBidi" w:hAnsiTheme="majorBidi" w:cstheme="majorBidi"/>
          <w:sz w:val="24"/>
          <w:szCs w:val="24"/>
          <w:lang w:val="en-GB"/>
        </w:rPr>
        <w:t>a special status to ratified international human rights</w:t>
      </w:r>
      <w:r w:rsidR="00984185" w:rsidRPr="00B70D50">
        <w:rPr>
          <w:rFonts w:asciiTheme="majorBidi" w:hAnsiTheme="majorBidi" w:cstheme="majorBidi"/>
          <w:sz w:val="24"/>
          <w:szCs w:val="24"/>
          <w:lang w:val="en-GB"/>
        </w:rPr>
        <w:t xml:space="preserve"> treaties, hence the </w:t>
      </w:r>
      <w:r w:rsidRPr="00B70D50">
        <w:rPr>
          <w:rFonts w:asciiTheme="majorBidi" w:hAnsiTheme="majorBidi" w:cstheme="majorBidi"/>
          <w:sz w:val="24"/>
          <w:szCs w:val="24"/>
          <w:lang w:val="en-GB"/>
        </w:rPr>
        <w:t xml:space="preserve">rights and freedoms by virtue of these </w:t>
      </w:r>
      <w:r w:rsidR="008A08E0" w:rsidRPr="00B70D50">
        <w:rPr>
          <w:rFonts w:asciiTheme="majorBidi" w:hAnsiTheme="majorBidi" w:cstheme="majorBidi"/>
          <w:sz w:val="24"/>
          <w:szCs w:val="24"/>
          <w:lang w:val="en-GB"/>
        </w:rPr>
        <w:t xml:space="preserve">treaties are </w:t>
      </w:r>
      <w:r w:rsidRPr="00B70D50">
        <w:rPr>
          <w:rFonts w:asciiTheme="majorBidi" w:hAnsiTheme="majorBidi" w:cstheme="majorBidi"/>
          <w:sz w:val="24"/>
          <w:szCs w:val="24"/>
          <w:lang w:val="en-GB"/>
        </w:rPr>
        <w:t xml:space="preserve">have the protection </w:t>
      </w:r>
      <w:r w:rsidR="00984185" w:rsidRPr="00B70D50">
        <w:rPr>
          <w:rFonts w:asciiTheme="majorBidi" w:hAnsiTheme="majorBidi" w:cstheme="majorBidi"/>
          <w:sz w:val="24"/>
          <w:szCs w:val="24"/>
          <w:lang w:val="en-GB"/>
        </w:rPr>
        <w:t xml:space="preserve">granted to </w:t>
      </w:r>
      <w:r w:rsidRPr="00B70D50">
        <w:rPr>
          <w:rFonts w:asciiTheme="majorBidi" w:hAnsiTheme="majorBidi" w:cstheme="majorBidi"/>
          <w:sz w:val="24"/>
          <w:szCs w:val="24"/>
          <w:lang w:val="en-GB"/>
        </w:rPr>
        <w:t xml:space="preserve">constitutional rules. </w:t>
      </w:r>
      <w:r w:rsidR="00984185" w:rsidRPr="00B70D50">
        <w:rPr>
          <w:rFonts w:asciiTheme="majorBidi" w:hAnsiTheme="majorBidi" w:cstheme="majorBidi"/>
          <w:sz w:val="24"/>
          <w:szCs w:val="24"/>
          <w:lang w:val="en-GB"/>
        </w:rPr>
        <w:t xml:space="preserve">Accordingly, </w:t>
      </w:r>
      <w:r w:rsidR="00A77A47" w:rsidRPr="00B70D50">
        <w:rPr>
          <w:rFonts w:asciiTheme="majorBidi" w:hAnsiTheme="majorBidi" w:cstheme="majorBidi"/>
          <w:sz w:val="24"/>
          <w:szCs w:val="24"/>
          <w:lang w:val="en-GB"/>
        </w:rPr>
        <w:t xml:space="preserve">it became viable for </w:t>
      </w:r>
      <w:r w:rsidR="00984185" w:rsidRPr="00B70D50">
        <w:rPr>
          <w:rFonts w:asciiTheme="majorBidi" w:hAnsiTheme="majorBidi" w:cstheme="majorBidi"/>
          <w:sz w:val="24"/>
          <w:szCs w:val="24"/>
          <w:lang w:val="en-GB"/>
        </w:rPr>
        <w:t xml:space="preserve">any </w:t>
      </w:r>
      <w:r w:rsidRPr="00B70D50">
        <w:rPr>
          <w:rFonts w:asciiTheme="majorBidi" w:hAnsiTheme="majorBidi" w:cstheme="majorBidi"/>
          <w:sz w:val="24"/>
          <w:szCs w:val="24"/>
          <w:lang w:val="en-GB"/>
        </w:rPr>
        <w:t xml:space="preserve">stakeholder </w:t>
      </w:r>
      <w:r w:rsidR="00A77A47" w:rsidRPr="00B70D50">
        <w:rPr>
          <w:rFonts w:asciiTheme="majorBidi" w:hAnsiTheme="majorBidi" w:cstheme="majorBidi"/>
          <w:sz w:val="24"/>
          <w:szCs w:val="24"/>
          <w:lang w:val="en-GB"/>
        </w:rPr>
        <w:t xml:space="preserve">to resort </w:t>
      </w:r>
      <w:r w:rsidRPr="00B70D50">
        <w:rPr>
          <w:rFonts w:asciiTheme="majorBidi" w:hAnsiTheme="majorBidi" w:cstheme="majorBidi"/>
          <w:sz w:val="24"/>
          <w:szCs w:val="24"/>
          <w:lang w:val="en-GB"/>
        </w:rPr>
        <w:t xml:space="preserve">to the Supreme </w:t>
      </w:r>
      <w:r w:rsidR="00A77A47" w:rsidRPr="00B70D50">
        <w:rPr>
          <w:rFonts w:asciiTheme="majorBidi" w:hAnsiTheme="majorBidi" w:cstheme="majorBidi"/>
          <w:sz w:val="24"/>
          <w:szCs w:val="24"/>
          <w:lang w:val="en-GB"/>
        </w:rPr>
        <w:t xml:space="preserve">Constitutional </w:t>
      </w:r>
      <w:r w:rsidRPr="00B70D50">
        <w:rPr>
          <w:rFonts w:asciiTheme="majorBidi" w:hAnsiTheme="majorBidi" w:cstheme="majorBidi"/>
          <w:sz w:val="24"/>
          <w:szCs w:val="24"/>
          <w:lang w:val="en-GB"/>
        </w:rPr>
        <w:t xml:space="preserve">Court to challenge the constitutionality of legislations that </w:t>
      </w:r>
      <w:r w:rsidR="00A77A47" w:rsidRPr="00B70D50">
        <w:rPr>
          <w:rFonts w:asciiTheme="majorBidi" w:hAnsiTheme="majorBidi" w:cstheme="majorBidi"/>
          <w:sz w:val="24"/>
          <w:szCs w:val="24"/>
          <w:lang w:val="en-GB"/>
        </w:rPr>
        <w:t xml:space="preserve">do not concur with </w:t>
      </w:r>
      <w:r w:rsidRPr="00B70D50">
        <w:rPr>
          <w:rFonts w:asciiTheme="majorBidi" w:hAnsiTheme="majorBidi" w:cstheme="majorBidi"/>
          <w:sz w:val="24"/>
          <w:szCs w:val="24"/>
          <w:lang w:val="en-GB"/>
        </w:rPr>
        <w:t>such</w:t>
      </w:r>
      <w:r w:rsidR="00A77A47" w:rsidRPr="00B70D50">
        <w:rPr>
          <w:rFonts w:asciiTheme="majorBidi" w:hAnsiTheme="majorBidi" w:cstheme="majorBidi"/>
          <w:sz w:val="24"/>
          <w:szCs w:val="24"/>
          <w:lang w:val="en-GB"/>
        </w:rPr>
        <w:t xml:space="preserve"> treaties</w:t>
      </w:r>
      <w:r w:rsidRPr="00B70D50">
        <w:rPr>
          <w:rFonts w:asciiTheme="majorBidi" w:hAnsiTheme="majorBidi" w:cstheme="majorBidi"/>
          <w:sz w:val="24"/>
          <w:szCs w:val="24"/>
          <w:lang w:val="en-GB"/>
        </w:rPr>
        <w:t xml:space="preserve">. </w:t>
      </w:r>
      <w:r w:rsidR="00FC74B2" w:rsidRPr="00B70D50">
        <w:rPr>
          <w:rFonts w:asciiTheme="majorBidi" w:hAnsiTheme="majorBidi" w:cstheme="majorBidi"/>
          <w:sz w:val="24"/>
          <w:szCs w:val="24"/>
          <w:lang w:val="en-GB"/>
        </w:rPr>
        <w:t xml:space="preserve">This principle has been upheld in the rulings by the Supreme </w:t>
      </w:r>
      <w:r w:rsidR="00A77A47" w:rsidRPr="00B70D50">
        <w:rPr>
          <w:rFonts w:asciiTheme="majorBidi" w:hAnsiTheme="majorBidi" w:cstheme="majorBidi"/>
          <w:sz w:val="24"/>
          <w:szCs w:val="24"/>
          <w:lang w:val="en-GB"/>
        </w:rPr>
        <w:t xml:space="preserve">Constitutional </w:t>
      </w:r>
      <w:r w:rsidR="00FC74B2" w:rsidRPr="00B70D50">
        <w:rPr>
          <w:rFonts w:asciiTheme="majorBidi" w:hAnsiTheme="majorBidi" w:cstheme="majorBidi"/>
          <w:sz w:val="24"/>
          <w:szCs w:val="24"/>
          <w:lang w:val="en-GB"/>
        </w:rPr>
        <w:t>Court</w:t>
      </w:r>
      <w:r w:rsidR="00333A50" w:rsidRPr="00B70D50">
        <w:rPr>
          <w:rFonts w:asciiTheme="majorBidi" w:hAnsiTheme="majorBidi" w:cstheme="majorBidi"/>
          <w:sz w:val="24"/>
          <w:szCs w:val="24"/>
          <w:lang w:val="en-GB"/>
        </w:rPr>
        <w:t xml:space="preserve">. </w:t>
      </w:r>
      <w:r w:rsidR="00333A50" w:rsidRPr="00B70D50">
        <w:rPr>
          <w:rFonts w:asciiTheme="majorBidi" w:hAnsiTheme="majorBidi" w:cstheme="majorBidi"/>
          <w:b/>
          <w:bCs/>
          <w:sz w:val="24"/>
          <w:szCs w:val="24"/>
          <w:lang w:val="en-GB"/>
        </w:rPr>
        <w:t>Therefore:</w:t>
      </w:r>
    </w:p>
    <w:p w14:paraId="02FD8049" w14:textId="77777777" w:rsidR="00A77A47" w:rsidRPr="00B70D50" w:rsidRDefault="00A77A47" w:rsidP="00A77A47">
      <w:pPr>
        <w:bidi w:val="0"/>
        <w:spacing w:after="0" w:line="300" w:lineRule="exact"/>
        <w:ind w:left="-540" w:right="49"/>
        <w:jc w:val="lowKashida"/>
        <w:rPr>
          <w:rFonts w:asciiTheme="majorBidi" w:hAnsiTheme="majorBidi" w:cstheme="majorBidi"/>
          <w:sz w:val="24"/>
          <w:szCs w:val="24"/>
          <w:lang w:val="en-GB"/>
        </w:rPr>
      </w:pPr>
    </w:p>
    <w:p w14:paraId="30EDF637" w14:textId="75AD521D" w:rsidR="00246149" w:rsidRPr="00B70D50" w:rsidRDefault="00E30E65" w:rsidP="00671925">
      <w:pPr>
        <w:pStyle w:val="ListParagraph"/>
        <w:numPr>
          <w:ilvl w:val="0"/>
          <w:numId w:val="40"/>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Fully A</w:t>
      </w:r>
      <w:r w:rsidR="00246149" w:rsidRPr="00B70D50">
        <w:rPr>
          <w:rFonts w:asciiTheme="majorBidi" w:hAnsiTheme="majorBidi" w:cstheme="majorBidi"/>
          <w:b/>
          <w:bCs/>
          <w:sz w:val="24"/>
          <w:szCs w:val="24"/>
          <w:u w:val="single"/>
          <w:lang w:val="en-GB"/>
        </w:rPr>
        <w:t xml:space="preserve">ccepted </w:t>
      </w:r>
      <w:r w:rsidRPr="00B70D50">
        <w:rPr>
          <w:rFonts w:asciiTheme="majorBidi" w:hAnsiTheme="majorBidi" w:cstheme="majorBidi"/>
          <w:b/>
          <w:bCs/>
          <w:sz w:val="24"/>
          <w:szCs w:val="24"/>
          <w:u w:val="single"/>
          <w:lang w:val="en-GB"/>
        </w:rPr>
        <w:t>R</w:t>
      </w:r>
      <w:r w:rsidR="00246149" w:rsidRPr="00B70D50">
        <w:rPr>
          <w:rFonts w:asciiTheme="majorBidi" w:hAnsiTheme="majorBidi" w:cstheme="majorBidi"/>
          <w:b/>
          <w:bCs/>
          <w:sz w:val="24"/>
          <w:szCs w:val="24"/>
          <w:u w:val="single"/>
          <w:lang w:val="en-GB"/>
        </w:rPr>
        <w:t>ecommendations</w:t>
      </w:r>
      <w:r w:rsidR="009465AD" w:rsidRPr="00B70D50">
        <w:rPr>
          <w:rFonts w:asciiTheme="majorBidi" w:hAnsiTheme="majorBidi" w:cstheme="majorBidi"/>
          <w:b/>
          <w:bCs/>
          <w:sz w:val="24"/>
          <w:szCs w:val="24"/>
          <w:u w:val="single"/>
          <w:lang w:val="en-GB"/>
        </w:rPr>
        <w:t>:</w:t>
      </w:r>
    </w:p>
    <w:p w14:paraId="6AD2D9AA" w14:textId="410CF7AF" w:rsidR="009465AD" w:rsidRPr="00B70D50" w:rsidRDefault="009465AD"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3-9-13-14-17-18</w:t>
      </w:r>
    </w:p>
    <w:p w14:paraId="0608FB70" w14:textId="77777777" w:rsidR="00A76D53" w:rsidRPr="00B70D50" w:rsidRDefault="00A76D53" w:rsidP="00A76D53">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2986C75F" w14:textId="73D00807" w:rsidR="009465AD" w:rsidRPr="00B70D50" w:rsidRDefault="009465AD" w:rsidP="00671925">
      <w:pPr>
        <w:pStyle w:val="ListParagraph"/>
        <w:numPr>
          <w:ilvl w:val="0"/>
          <w:numId w:val="40"/>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P</w:t>
      </w:r>
      <w:r w:rsidR="00E30E65" w:rsidRPr="00B70D50">
        <w:rPr>
          <w:rFonts w:asciiTheme="majorBidi" w:hAnsiTheme="majorBidi" w:cstheme="majorBidi"/>
          <w:b/>
          <w:bCs/>
          <w:sz w:val="24"/>
          <w:szCs w:val="24"/>
          <w:u w:val="single"/>
          <w:lang w:val="en-GB"/>
        </w:rPr>
        <w:t>artially Accepted Recommendations:</w:t>
      </w:r>
    </w:p>
    <w:p w14:paraId="71E9F970" w14:textId="15092DEE" w:rsidR="00E30E65" w:rsidRPr="00B70D50" w:rsidRDefault="00E30E65"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73</w:t>
      </w:r>
    </w:p>
    <w:p w14:paraId="21A29F07" w14:textId="77777777" w:rsidR="00A76D53" w:rsidRPr="00B70D50" w:rsidRDefault="00A76D53" w:rsidP="00A76D53">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1C33B7D7" w14:textId="7603745B" w:rsidR="00E30E65" w:rsidRPr="00B70D50" w:rsidRDefault="00E30E65" w:rsidP="00671925">
      <w:pPr>
        <w:pStyle w:val="ListParagraph"/>
        <w:numPr>
          <w:ilvl w:val="0"/>
          <w:numId w:val="40"/>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Factually In</w:t>
      </w:r>
      <w:r w:rsidR="0069039A" w:rsidRPr="00B70D50">
        <w:rPr>
          <w:rFonts w:asciiTheme="majorBidi" w:hAnsiTheme="majorBidi" w:cstheme="majorBidi"/>
          <w:b/>
          <w:bCs/>
          <w:sz w:val="24"/>
          <w:szCs w:val="24"/>
          <w:u w:val="single"/>
          <w:lang w:val="en-GB"/>
        </w:rPr>
        <w:t>correct Recommendations:</w:t>
      </w:r>
    </w:p>
    <w:p w14:paraId="7D93CB4E" w14:textId="0F89F522" w:rsidR="0069039A" w:rsidRPr="00B70D50" w:rsidRDefault="0069039A"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16</w:t>
      </w:r>
      <w:r w:rsidR="00E862F0" w:rsidRPr="00B70D50">
        <w:rPr>
          <w:rStyle w:val="FootnoteReference"/>
          <w:rFonts w:asciiTheme="majorBidi" w:hAnsiTheme="majorBidi" w:cstheme="majorBidi"/>
          <w:sz w:val="24"/>
          <w:szCs w:val="24"/>
          <w:lang w:val="en-GB"/>
        </w:rPr>
        <w:footnoteReference w:id="1"/>
      </w:r>
    </w:p>
    <w:p w14:paraId="76BB90E1" w14:textId="77777777" w:rsidR="00A76D53" w:rsidRPr="00B70D50" w:rsidRDefault="00A76D53" w:rsidP="00A76D53">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4486196B" w14:textId="068CE34A" w:rsidR="0069039A" w:rsidRPr="00B70D50" w:rsidRDefault="00F66DA2" w:rsidP="00671925">
      <w:pPr>
        <w:pStyle w:val="ListParagraph"/>
        <w:numPr>
          <w:ilvl w:val="0"/>
          <w:numId w:val="40"/>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Una</w:t>
      </w:r>
      <w:r w:rsidR="0069039A" w:rsidRPr="00B70D50">
        <w:rPr>
          <w:rFonts w:asciiTheme="majorBidi" w:hAnsiTheme="majorBidi" w:cstheme="majorBidi"/>
          <w:b/>
          <w:bCs/>
          <w:sz w:val="24"/>
          <w:szCs w:val="24"/>
          <w:u w:val="single"/>
          <w:lang w:val="en-GB"/>
        </w:rPr>
        <w:t>ccepted Recommendations:</w:t>
      </w:r>
    </w:p>
    <w:p w14:paraId="5F9734CD" w14:textId="5602A521" w:rsidR="0069039A" w:rsidRPr="00B70D50" w:rsidRDefault="0069039A" w:rsidP="008A08E0">
      <w:pPr>
        <w:pStyle w:val="ListParagraph"/>
        <w:bidi w:val="0"/>
        <w:spacing w:after="0" w:line="300" w:lineRule="exact"/>
        <w:ind w:left="0" w:right="49"/>
        <w:contextualSpacing w:val="0"/>
        <w:jc w:val="lowKashida"/>
        <w:rPr>
          <w:rFonts w:asciiTheme="majorBidi" w:hAnsiTheme="majorBidi" w:cstheme="majorBidi"/>
          <w:sz w:val="24"/>
          <w:szCs w:val="24"/>
          <w:vertAlign w:val="superscript"/>
          <w:lang w:val="en-GB"/>
        </w:rPr>
      </w:pPr>
      <w:r w:rsidRPr="00B70D50">
        <w:rPr>
          <w:rFonts w:asciiTheme="majorBidi" w:hAnsiTheme="majorBidi" w:cstheme="majorBidi"/>
          <w:sz w:val="24"/>
          <w:szCs w:val="24"/>
          <w:lang w:val="en-GB"/>
        </w:rPr>
        <w:t>6-7-8-10-12</w:t>
      </w:r>
      <w:r w:rsidR="00E862F0" w:rsidRPr="00B70D50">
        <w:rPr>
          <w:rStyle w:val="FootnoteReference"/>
          <w:rFonts w:asciiTheme="majorBidi" w:hAnsiTheme="majorBidi" w:cstheme="majorBidi"/>
          <w:sz w:val="24"/>
          <w:szCs w:val="24"/>
          <w:lang w:val="en-GB"/>
        </w:rPr>
        <w:footnoteReference w:id="2"/>
      </w:r>
      <w:r w:rsidRPr="00B70D50">
        <w:rPr>
          <w:rFonts w:asciiTheme="majorBidi" w:hAnsiTheme="majorBidi" w:cstheme="majorBidi"/>
          <w:sz w:val="24"/>
          <w:szCs w:val="24"/>
          <w:lang w:val="en-GB"/>
        </w:rPr>
        <w:t>-19-</w:t>
      </w:r>
      <w:r w:rsidR="00AB5893" w:rsidRPr="00B70D50">
        <w:rPr>
          <w:rFonts w:asciiTheme="majorBidi" w:hAnsiTheme="majorBidi" w:cstheme="majorBidi"/>
          <w:sz w:val="24"/>
          <w:szCs w:val="24"/>
          <w:lang w:val="en-GB"/>
        </w:rPr>
        <w:t>90</w:t>
      </w:r>
      <w:r w:rsidR="00E862F0" w:rsidRPr="00B70D50">
        <w:rPr>
          <w:rStyle w:val="FootnoteReference"/>
          <w:rFonts w:asciiTheme="majorBidi" w:hAnsiTheme="majorBidi" w:cstheme="majorBidi"/>
          <w:sz w:val="24"/>
          <w:szCs w:val="24"/>
          <w:lang w:val="en-GB"/>
        </w:rPr>
        <w:footnoteReference w:id="3"/>
      </w:r>
      <w:r w:rsidRPr="00B70D50">
        <w:rPr>
          <w:rFonts w:asciiTheme="majorBidi" w:hAnsiTheme="majorBidi" w:cstheme="majorBidi"/>
          <w:sz w:val="24"/>
          <w:szCs w:val="24"/>
          <w:lang w:val="en-GB"/>
        </w:rPr>
        <w:t>-</w:t>
      </w:r>
      <w:r w:rsidR="00AB5893" w:rsidRPr="00B70D50">
        <w:rPr>
          <w:rFonts w:asciiTheme="majorBidi" w:hAnsiTheme="majorBidi" w:cstheme="majorBidi"/>
          <w:sz w:val="24"/>
          <w:szCs w:val="24"/>
          <w:lang w:val="en-GB"/>
        </w:rPr>
        <w:t>97</w:t>
      </w:r>
      <w:r w:rsidR="00E862F0" w:rsidRPr="00B70D50">
        <w:rPr>
          <w:rStyle w:val="FootnoteReference"/>
          <w:rFonts w:asciiTheme="majorBidi" w:hAnsiTheme="majorBidi" w:cstheme="majorBidi"/>
          <w:sz w:val="24"/>
          <w:szCs w:val="24"/>
          <w:lang w:val="en-GB"/>
        </w:rPr>
        <w:footnoteReference w:id="4"/>
      </w:r>
      <w:r w:rsidRPr="00B70D50">
        <w:rPr>
          <w:rFonts w:asciiTheme="majorBidi" w:hAnsiTheme="majorBidi" w:cstheme="majorBidi"/>
          <w:sz w:val="24"/>
          <w:szCs w:val="24"/>
          <w:lang w:val="en-GB"/>
        </w:rPr>
        <w:t>-</w:t>
      </w:r>
      <w:r w:rsidR="00AB5893" w:rsidRPr="00B70D50">
        <w:rPr>
          <w:rFonts w:asciiTheme="majorBidi" w:hAnsiTheme="majorBidi" w:cstheme="majorBidi"/>
          <w:sz w:val="24"/>
          <w:szCs w:val="24"/>
          <w:lang w:val="en-GB"/>
        </w:rPr>
        <w:t>99</w:t>
      </w:r>
      <w:r w:rsidR="00195907" w:rsidRPr="00B70D50">
        <w:rPr>
          <w:rStyle w:val="FootnoteReference"/>
          <w:rFonts w:asciiTheme="majorBidi" w:hAnsiTheme="majorBidi" w:cstheme="majorBidi"/>
          <w:sz w:val="24"/>
          <w:szCs w:val="24"/>
          <w:lang w:val="en-GB"/>
        </w:rPr>
        <w:footnoteReference w:id="5"/>
      </w:r>
      <w:r w:rsidRPr="00B70D50">
        <w:rPr>
          <w:rFonts w:asciiTheme="majorBidi" w:hAnsiTheme="majorBidi" w:cstheme="majorBidi"/>
          <w:sz w:val="24"/>
          <w:szCs w:val="24"/>
          <w:lang w:val="en-GB"/>
        </w:rPr>
        <w:t>-</w:t>
      </w:r>
      <w:r w:rsidR="00AB5893" w:rsidRPr="00B70D50">
        <w:rPr>
          <w:rFonts w:asciiTheme="majorBidi" w:hAnsiTheme="majorBidi" w:cstheme="majorBidi"/>
          <w:sz w:val="24"/>
          <w:szCs w:val="24"/>
          <w:lang w:val="en-GB"/>
        </w:rPr>
        <w:t>115</w:t>
      </w:r>
      <w:r w:rsidR="00195907" w:rsidRPr="00B70D50">
        <w:rPr>
          <w:rStyle w:val="FootnoteReference"/>
          <w:rFonts w:asciiTheme="majorBidi" w:hAnsiTheme="majorBidi" w:cstheme="majorBidi"/>
          <w:sz w:val="24"/>
          <w:szCs w:val="24"/>
          <w:lang w:val="en-GB"/>
        </w:rPr>
        <w:footnoteReference w:id="6"/>
      </w:r>
    </w:p>
    <w:p w14:paraId="3868522A" w14:textId="77777777" w:rsidR="00865FC0" w:rsidRPr="00B70D50" w:rsidRDefault="00865FC0" w:rsidP="00671925">
      <w:pPr>
        <w:pStyle w:val="ListParagraph"/>
        <w:bidi w:val="0"/>
        <w:spacing w:after="0" w:line="300" w:lineRule="exact"/>
        <w:ind w:left="0" w:right="49"/>
        <w:contextualSpacing w:val="0"/>
        <w:jc w:val="lowKashida"/>
        <w:rPr>
          <w:rFonts w:asciiTheme="majorBidi" w:hAnsiTheme="majorBidi" w:cstheme="majorBidi"/>
          <w:sz w:val="24"/>
          <w:szCs w:val="24"/>
          <w:lang w:val="en-GB" w:bidi="ar-EG"/>
        </w:rPr>
      </w:pPr>
    </w:p>
    <w:p w14:paraId="6EEC473A" w14:textId="77777777" w:rsidR="00706286" w:rsidRPr="00B70D50" w:rsidRDefault="00706286" w:rsidP="00706286">
      <w:pPr>
        <w:pStyle w:val="ListParagraph"/>
        <w:bidi w:val="0"/>
        <w:spacing w:after="0" w:line="300" w:lineRule="exact"/>
        <w:ind w:left="0" w:right="49"/>
        <w:contextualSpacing w:val="0"/>
        <w:jc w:val="lowKashida"/>
        <w:rPr>
          <w:rFonts w:asciiTheme="majorBidi" w:hAnsiTheme="majorBidi" w:cstheme="majorBidi"/>
          <w:sz w:val="24"/>
          <w:szCs w:val="24"/>
          <w:lang w:val="en-GB" w:bidi="ar-EG"/>
        </w:rPr>
      </w:pPr>
    </w:p>
    <w:p w14:paraId="74BDA144" w14:textId="65F83EF5" w:rsidR="00700543" w:rsidRPr="00B70D50" w:rsidRDefault="00865FC0" w:rsidP="00F367B8">
      <w:pPr>
        <w:pStyle w:val="ListParagraph"/>
        <w:numPr>
          <w:ilvl w:val="0"/>
          <w:numId w:val="41"/>
        </w:numPr>
        <w:bidi w:val="0"/>
        <w:spacing w:after="0" w:line="300" w:lineRule="exact"/>
        <w:ind w:left="0" w:right="49"/>
        <w:contextualSpacing w:val="0"/>
        <w:jc w:val="both"/>
        <w:rPr>
          <w:rFonts w:asciiTheme="majorBidi" w:hAnsiTheme="majorBidi" w:cstheme="majorBidi"/>
          <w:b/>
          <w:bCs/>
          <w:sz w:val="24"/>
          <w:szCs w:val="24"/>
          <w:u w:val="single"/>
          <w:lang w:val="en-GB" w:bidi="ar-EG"/>
        </w:rPr>
      </w:pPr>
      <w:r w:rsidRPr="00B70D50">
        <w:rPr>
          <w:rFonts w:asciiTheme="majorBidi" w:hAnsiTheme="majorBidi" w:cstheme="majorBidi"/>
          <w:b/>
          <w:bCs/>
          <w:sz w:val="24"/>
          <w:szCs w:val="24"/>
          <w:u w:val="single"/>
          <w:lang w:val="en-GB" w:bidi="ar-EG"/>
        </w:rPr>
        <w:t xml:space="preserve">Cooperation with International </w:t>
      </w:r>
      <w:r w:rsidR="00F367B8" w:rsidRPr="00B70D50">
        <w:rPr>
          <w:rFonts w:asciiTheme="majorBidi" w:hAnsiTheme="majorBidi" w:cstheme="majorBidi"/>
          <w:b/>
          <w:bCs/>
          <w:sz w:val="24"/>
          <w:szCs w:val="24"/>
          <w:u w:val="single"/>
          <w:lang w:val="en-GB" w:bidi="ar-EG"/>
        </w:rPr>
        <w:t xml:space="preserve">and Regional </w:t>
      </w:r>
      <w:r w:rsidRPr="00B70D50">
        <w:rPr>
          <w:rFonts w:asciiTheme="majorBidi" w:hAnsiTheme="majorBidi" w:cstheme="majorBidi"/>
          <w:b/>
          <w:bCs/>
          <w:sz w:val="24"/>
          <w:szCs w:val="24"/>
          <w:u w:val="single"/>
          <w:lang w:val="en-GB" w:bidi="ar-EG"/>
        </w:rPr>
        <w:t>Human Rights Mechanisms:</w:t>
      </w:r>
    </w:p>
    <w:p w14:paraId="4E2215B0" w14:textId="44BBCDF6" w:rsidR="00AD2A8D" w:rsidRPr="00B70D50" w:rsidRDefault="007D41BC" w:rsidP="00A76D53">
      <w:pPr>
        <w:pStyle w:val="ListParagraph"/>
        <w:numPr>
          <w:ilvl w:val="0"/>
          <w:numId w:val="39"/>
        </w:numPr>
        <w:bidi w:val="0"/>
        <w:spacing w:after="0" w:line="300" w:lineRule="exact"/>
        <w:ind w:left="0" w:right="49"/>
        <w:contextualSpacing w:val="0"/>
        <w:jc w:val="both"/>
        <w:rPr>
          <w:rFonts w:asciiTheme="majorBidi" w:hAnsiTheme="majorBidi" w:cstheme="majorBidi"/>
          <w:b/>
          <w:bCs/>
          <w:sz w:val="24"/>
          <w:szCs w:val="24"/>
          <w:lang w:val="en-GB"/>
        </w:rPr>
      </w:pPr>
      <w:r w:rsidRPr="00B70D50">
        <w:rPr>
          <w:rFonts w:asciiTheme="majorBidi" w:hAnsiTheme="majorBidi" w:cstheme="majorBidi"/>
          <w:sz w:val="24"/>
          <w:szCs w:val="24"/>
          <w:lang w:val="en-GB"/>
        </w:rPr>
        <w:t xml:space="preserve">The </w:t>
      </w:r>
      <w:r w:rsidR="00F367B8" w:rsidRPr="00B70D50">
        <w:rPr>
          <w:rFonts w:asciiTheme="majorBidi" w:hAnsiTheme="majorBidi" w:cstheme="majorBidi"/>
          <w:sz w:val="24"/>
          <w:szCs w:val="24"/>
          <w:lang w:val="en-GB"/>
        </w:rPr>
        <w:t>G</w:t>
      </w:r>
      <w:r w:rsidRPr="00B70D50">
        <w:rPr>
          <w:rFonts w:asciiTheme="majorBidi" w:hAnsiTheme="majorBidi" w:cstheme="majorBidi"/>
          <w:sz w:val="24"/>
          <w:szCs w:val="24"/>
          <w:lang w:val="en-GB"/>
        </w:rPr>
        <w:t xml:space="preserve">overnment is keen on active participation in human rights </w:t>
      </w:r>
      <w:r w:rsidR="00F367B8" w:rsidRPr="00B70D50">
        <w:rPr>
          <w:rFonts w:asciiTheme="majorBidi" w:hAnsiTheme="majorBidi" w:cstheme="majorBidi"/>
          <w:sz w:val="24"/>
          <w:szCs w:val="24"/>
          <w:lang w:val="en-GB"/>
        </w:rPr>
        <w:t xml:space="preserve">related fora, </w:t>
      </w:r>
      <w:r w:rsidRPr="00B70D50">
        <w:rPr>
          <w:rFonts w:asciiTheme="majorBidi" w:hAnsiTheme="majorBidi" w:cstheme="majorBidi"/>
          <w:sz w:val="24"/>
          <w:szCs w:val="24"/>
          <w:lang w:val="en-GB"/>
        </w:rPr>
        <w:t xml:space="preserve">both at the international </w:t>
      </w:r>
      <w:r w:rsidR="00F367B8" w:rsidRPr="00B70D50">
        <w:rPr>
          <w:rFonts w:asciiTheme="majorBidi" w:hAnsiTheme="majorBidi" w:cstheme="majorBidi"/>
          <w:sz w:val="24"/>
          <w:szCs w:val="24"/>
          <w:lang w:val="en-GB"/>
        </w:rPr>
        <w:t xml:space="preserve">and regional </w:t>
      </w:r>
      <w:r w:rsidRPr="00B70D50">
        <w:rPr>
          <w:rFonts w:asciiTheme="majorBidi" w:hAnsiTheme="majorBidi" w:cstheme="majorBidi"/>
          <w:sz w:val="24"/>
          <w:szCs w:val="24"/>
          <w:lang w:val="en-GB"/>
        </w:rPr>
        <w:t xml:space="preserve">levels, and </w:t>
      </w:r>
      <w:r w:rsidR="00F367B8" w:rsidRPr="00B70D50">
        <w:rPr>
          <w:rFonts w:asciiTheme="majorBidi" w:hAnsiTheme="majorBidi" w:cstheme="majorBidi"/>
          <w:sz w:val="24"/>
          <w:szCs w:val="24"/>
          <w:lang w:val="en-GB"/>
        </w:rPr>
        <w:t xml:space="preserve">on </w:t>
      </w:r>
      <w:r w:rsidR="003F0FFA" w:rsidRPr="00B70D50">
        <w:rPr>
          <w:rFonts w:asciiTheme="majorBidi" w:hAnsiTheme="majorBidi" w:cstheme="majorBidi"/>
          <w:sz w:val="24"/>
          <w:szCs w:val="24"/>
          <w:lang w:val="en-GB"/>
        </w:rPr>
        <w:t>cooperation with</w:t>
      </w:r>
      <w:r w:rsidR="00AD2A8D" w:rsidRPr="00B70D50">
        <w:rPr>
          <w:rFonts w:asciiTheme="majorBidi" w:hAnsiTheme="majorBidi" w:cstheme="majorBidi"/>
          <w:sz w:val="24"/>
          <w:szCs w:val="24"/>
          <w:lang w:val="en-GB"/>
        </w:rPr>
        <w:t xml:space="preserve"> </w:t>
      </w:r>
      <w:r w:rsidR="009132D4" w:rsidRPr="00B70D50">
        <w:rPr>
          <w:rFonts w:asciiTheme="majorBidi" w:hAnsiTheme="majorBidi" w:cstheme="majorBidi"/>
          <w:sz w:val="24"/>
          <w:szCs w:val="24"/>
          <w:lang w:val="en-GB"/>
        </w:rPr>
        <w:t>treaty</w:t>
      </w:r>
      <w:r w:rsidR="00F367B8" w:rsidRPr="00B70D50">
        <w:rPr>
          <w:rFonts w:asciiTheme="majorBidi" w:hAnsiTheme="majorBidi" w:cstheme="majorBidi"/>
          <w:sz w:val="24"/>
          <w:szCs w:val="24"/>
          <w:lang w:val="en-GB"/>
        </w:rPr>
        <w:t>-</w:t>
      </w:r>
      <w:r w:rsidR="009132D4" w:rsidRPr="00B70D50">
        <w:rPr>
          <w:rFonts w:asciiTheme="majorBidi" w:hAnsiTheme="majorBidi" w:cstheme="majorBidi"/>
          <w:sz w:val="24"/>
          <w:szCs w:val="24"/>
          <w:lang w:val="en-GB"/>
        </w:rPr>
        <w:t>bodies</w:t>
      </w:r>
      <w:r w:rsidR="00F367B8" w:rsidRPr="00B70D50">
        <w:rPr>
          <w:rFonts w:asciiTheme="majorBidi" w:hAnsiTheme="majorBidi" w:cstheme="majorBidi"/>
          <w:sz w:val="24"/>
          <w:szCs w:val="24"/>
          <w:lang w:val="en-GB"/>
        </w:rPr>
        <w:t>,</w:t>
      </w:r>
      <w:r w:rsidR="009132D4" w:rsidRPr="00B70D50">
        <w:rPr>
          <w:rFonts w:asciiTheme="majorBidi" w:hAnsiTheme="majorBidi" w:cstheme="majorBidi"/>
          <w:sz w:val="24"/>
          <w:szCs w:val="24"/>
          <w:lang w:val="en-GB"/>
        </w:rPr>
        <w:t xml:space="preserve"> </w:t>
      </w:r>
      <w:r w:rsidR="00AD2A8D" w:rsidRPr="00B70D50">
        <w:rPr>
          <w:rFonts w:asciiTheme="majorBidi" w:hAnsiTheme="majorBidi" w:cstheme="majorBidi"/>
          <w:sz w:val="24"/>
          <w:szCs w:val="24"/>
          <w:lang w:val="en-GB"/>
        </w:rPr>
        <w:t>the Human Rights Council and its mechanisms</w:t>
      </w:r>
      <w:r w:rsidR="00F367B8" w:rsidRPr="00B70D50">
        <w:rPr>
          <w:rFonts w:asciiTheme="majorBidi" w:hAnsiTheme="majorBidi" w:cstheme="majorBidi"/>
          <w:sz w:val="24"/>
          <w:szCs w:val="24"/>
          <w:lang w:val="en-GB"/>
        </w:rPr>
        <w:t>,</w:t>
      </w:r>
      <w:r w:rsidR="00AD2A8D" w:rsidRPr="00B70D50">
        <w:rPr>
          <w:rFonts w:asciiTheme="majorBidi" w:hAnsiTheme="majorBidi" w:cstheme="majorBidi"/>
          <w:sz w:val="24"/>
          <w:szCs w:val="24"/>
          <w:lang w:val="en-GB"/>
        </w:rPr>
        <w:t xml:space="preserve"> </w:t>
      </w:r>
      <w:r w:rsidR="00F367B8" w:rsidRPr="00B70D50">
        <w:rPr>
          <w:rFonts w:asciiTheme="majorBidi" w:hAnsiTheme="majorBidi" w:cstheme="majorBidi"/>
          <w:sz w:val="24"/>
          <w:szCs w:val="24"/>
          <w:lang w:val="en-GB"/>
        </w:rPr>
        <w:t xml:space="preserve">and </w:t>
      </w:r>
      <w:r w:rsidR="00AD2A8D" w:rsidRPr="00B70D50">
        <w:rPr>
          <w:rFonts w:asciiTheme="majorBidi" w:hAnsiTheme="majorBidi" w:cstheme="majorBidi"/>
          <w:sz w:val="24"/>
          <w:szCs w:val="24"/>
          <w:lang w:val="en-GB"/>
        </w:rPr>
        <w:t>the Office of the High Commissioner for Human Rights</w:t>
      </w:r>
      <w:r w:rsidR="004231D3" w:rsidRPr="00B70D50">
        <w:rPr>
          <w:rFonts w:asciiTheme="majorBidi" w:hAnsiTheme="majorBidi" w:cstheme="majorBidi"/>
          <w:sz w:val="24"/>
          <w:szCs w:val="24"/>
          <w:lang w:val="en-GB"/>
        </w:rPr>
        <w:t xml:space="preserve">. This </w:t>
      </w:r>
      <w:r w:rsidR="00554F5C" w:rsidRPr="00B70D50">
        <w:rPr>
          <w:rFonts w:asciiTheme="majorBidi" w:hAnsiTheme="majorBidi" w:cstheme="majorBidi"/>
          <w:sz w:val="24"/>
          <w:szCs w:val="24"/>
          <w:lang w:val="en-GB"/>
        </w:rPr>
        <w:t>was manifest as</w:t>
      </w:r>
      <w:r w:rsidR="004231D3" w:rsidRPr="00B70D50">
        <w:rPr>
          <w:rFonts w:asciiTheme="majorBidi" w:hAnsiTheme="majorBidi" w:cstheme="majorBidi"/>
          <w:sz w:val="24"/>
          <w:szCs w:val="24"/>
          <w:lang w:val="en-GB"/>
        </w:rPr>
        <w:t xml:space="preserve"> the </w:t>
      </w:r>
      <w:r w:rsidR="00F367B8" w:rsidRPr="00B70D50">
        <w:rPr>
          <w:rFonts w:asciiTheme="majorBidi" w:hAnsiTheme="majorBidi" w:cstheme="majorBidi"/>
          <w:sz w:val="24"/>
          <w:szCs w:val="24"/>
          <w:lang w:val="en-GB"/>
        </w:rPr>
        <w:t>G</w:t>
      </w:r>
      <w:r w:rsidR="004231D3" w:rsidRPr="00B70D50">
        <w:rPr>
          <w:rFonts w:asciiTheme="majorBidi" w:hAnsiTheme="majorBidi" w:cstheme="majorBidi"/>
          <w:sz w:val="24"/>
          <w:szCs w:val="24"/>
          <w:lang w:val="en-GB"/>
        </w:rPr>
        <w:t xml:space="preserve">overnment received </w:t>
      </w:r>
      <w:r w:rsidR="00554F5C" w:rsidRPr="00B70D50">
        <w:rPr>
          <w:rFonts w:asciiTheme="majorBidi" w:hAnsiTheme="majorBidi" w:cstheme="majorBidi"/>
          <w:sz w:val="24"/>
          <w:szCs w:val="24"/>
          <w:lang w:val="en-GB"/>
        </w:rPr>
        <w:t xml:space="preserve">a </w:t>
      </w:r>
      <w:r w:rsidR="00A76D53" w:rsidRPr="00B70D50">
        <w:rPr>
          <w:rFonts w:asciiTheme="majorBidi" w:hAnsiTheme="majorBidi" w:cstheme="majorBidi"/>
          <w:sz w:val="24"/>
          <w:szCs w:val="24"/>
          <w:lang w:val="en-GB"/>
        </w:rPr>
        <w:t>s</w:t>
      </w:r>
      <w:r w:rsidR="004231D3" w:rsidRPr="00B70D50">
        <w:rPr>
          <w:rFonts w:asciiTheme="majorBidi" w:hAnsiTheme="majorBidi" w:cstheme="majorBidi"/>
          <w:sz w:val="24"/>
          <w:szCs w:val="24"/>
          <w:lang w:val="en-GB"/>
        </w:rPr>
        <w:t xml:space="preserve">pecial </w:t>
      </w:r>
      <w:r w:rsidR="00A76D53" w:rsidRPr="00B70D50">
        <w:rPr>
          <w:rFonts w:asciiTheme="majorBidi" w:hAnsiTheme="majorBidi" w:cstheme="majorBidi"/>
          <w:sz w:val="24"/>
          <w:szCs w:val="24"/>
          <w:lang w:val="en-GB"/>
        </w:rPr>
        <w:t>r</w:t>
      </w:r>
      <w:r w:rsidR="004231D3" w:rsidRPr="00B70D50">
        <w:rPr>
          <w:rFonts w:asciiTheme="majorBidi" w:hAnsiTheme="majorBidi" w:cstheme="majorBidi"/>
          <w:sz w:val="24"/>
          <w:szCs w:val="24"/>
          <w:lang w:val="en-GB"/>
        </w:rPr>
        <w:t xml:space="preserve">apporteur </w:t>
      </w:r>
      <w:r w:rsidR="001C1341" w:rsidRPr="00B70D50">
        <w:rPr>
          <w:rFonts w:asciiTheme="majorBidi" w:hAnsiTheme="majorBidi" w:cstheme="majorBidi"/>
          <w:sz w:val="24"/>
          <w:szCs w:val="24"/>
          <w:lang w:val="en-GB"/>
        </w:rPr>
        <w:t xml:space="preserve">in </w:t>
      </w:r>
      <w:r w:rsidR="007C073B" w:rsidRPr="00B70D50">
        <w:rPr>
          <w:rFonts w:asciiTheme="majorBidi" w:hAnsiTheme="majorBidi" w:cstheme="majorBidi"/>
          <w:sz w:val="24"/>
          <w:szCs w:val="24"/>
          <w:lang w:val="en-GB"/>
        </w:rPr>
        <w:t>2018 and</w:t>
      </w:r>
      <w:r w:rsidR="004231D3" w:rsidRPr="00B70D50">
        <w:rPr>
          <w:rFonts w:asciiTheme="majorBidi" w:hAnsiTheme="majorBidi" w:cstheme="majorBidi"/>
          <w:sz w:val="24"/>
          <w:szCs w:val="24"/>
          <w:lang w:val="en-GB"/>
        </w:rPr>
        <w:t xml:space="preserve"> invited 6 other</w:t>
      </w:r>
      <w:r w:rsidR="00F367B8" w:rsidRPr="00B70D50">
        <w:rPr>
          <w:rFonts w:asciiTheme="majorBidi" w:hAnsiTheme="majorBidi" w:cstheme="majorBidi"/>
          <w:sz w:val="24"/>
          <w:szCs w:val="24"/>
          <w:lang w:val="en-GB"/>
        </w:rPr>
        <w:t>s</w:t>
      </w:r>
      <w:r w:rsidR="001C1341" w:rsidRPr="00B70D50">
        <w:rPr>
          <w:rFonts w:asciiTheme="majorBidi" w:hAnsiTheme="majorBidi" w:cstheme="majorBidi"/>
          <w:sz w:val="24"/>
          <w:szCs w:val="24"/>
          <w:lang w:val="en-GB"/>
        </w:rPr>
        <w:t xml:space="preserve"> to visit Egypt. Moreover, the </w:t>
      </w:r>
      <w:r w:rsidR="00F367B8" w:rsidRPr="00B70D50">
        <w:rPr>
          <w:rFonts w:asciiTheme="majorBidi" w:hAnsiTheme="majorBidi" w:cstheme="majorBidi"/>
          <w:sz w:val="24"/>
          <w:szCs w:val="24"/>
          <w:lang w:val="en-GB"/>
        </w:rPr>
        <w:t>G</w:t>
      </w:r>
      <w:r w:rsidR="001C1341" w:rsidRPr="00B70D50">
        <w:rPr>
          <w:rFonts w:asciiTheme="majorBidi" w:hAnsiTheme="majorBidi" w:cstheme="majorBidi"/>
          <w:sz w:val="24"/>
          <w:szCs w:val="24"/>
          <w:lang w:val="en-GB"/>
        </w:rPr>
        <w:t>overnment</w:t>
      </w:r>
      <w:r w:rsidR="00B70D50">
        <w:rPr>
          <w:rFonts w:asciiTheme="majorBidi" w:hAnsiTheme="majorBidi" w:cstheme="majorBidi"/>
          <w:sz w:val="24"/>
          <w:szCs w:val="24"/>
          <w:lang w:val="en-GB"/>
        </w:rPr>
        <w:t xml:space="preserve"> </w:t>
      </w:r>
      <w:r w:rsidR="00201EB0" w:rsidRPr="00B70D50">
        <w:rPr>
          <w:rFonts w:asciiTheme="majorBidi" w:hAnsiTheme="majorBidi" w:cstheme="majorBidi"/>
          <w:sz w:val="24"/>
          <w:szCs w:val="24"/>
          <w:lang w:val="en-GB"/>
        </w:rPr>
        <w:t xml:space="preserve">is also keen on furthering </w:t>
      </w:r>
      <w:r w:rsidR="001C1341" w:rsidRPr="00B70D50">
        <w:rPr>
          <w:rFonts w:asciiTheme="majorBidi" w:hAnsiTheme="majorBidi" w:cstheme="majorBidi"/>
          <w:sz w:val="24"/>
          <w:szCs w:val="24"/>
          <w:lang w:val="en-GB"/>
        </w:rPr>
        <w:t>civil socie</w:t>
      </w:r>
      <w:r w:rsidR="00751D5E" w:rsidRPr="00B70D50">
        <w:rPr>
          <w:rFonts w:asciiTheme="majorBidi" w:hAnsiTheme="majorBidi" w:cstheme="majorBidi"/>
          <w:sz w:val="24"/>
          <w:szCs w:val="24"/>
          <w:lang w:val="en-GB"/>
        </w:rPr>
        <w:t>ty</w:t>
      </w:r>
      <w:r w:rsidR="001C1341" w:rsidRPr="00B70D50">
        <w:rPr>
          <w:rFonts w:asciiTheme="majorBidi" w:hAnsiTheme="majorBidi" w:cstheme="majorBidi"/>
          <w:sz w:val="24"/>
          <w:szCs w:val="24"/>
          <w:lang w:val="en-GB"/>
        </w:rPr>
        <w:t xml:space="preserve"> </w:t>
      </w:r>
      <w:r w:rsidR="00201EB0" w:rsidRPr="00B70D50">
        <w:rPr>
          <w:rFonts w:asciiTheme="majorBidi" w:hAnsiTheme="majorBidi" w:cstheme="majorBidi"/>
          <w:sz w:val="24"/>
          <w:szCs w:val="24"/>
          <w:lang w:val="en-GB"/>
        </w:rPr>
        <w:t xml:space="preserve">ties with </w:t>
      </w:r>
      <w:r w:rsidR="000F70B7" w:rsidRPr="00B70D50">
        <w:rPr>
          <w:rFonts w:asciiTheme="majorBidi" w:hAnsiTheme="majorBidi" w:cstheme="majorBidi"/>
          <w:sz w:val="24"/>
          <w:szCs w:val="24"/>
          <w:lang w:val="en-GB"/>
        </w:rPr>
        <w:t>UNHRC</w:t>
      </w:r>
      <w:r w:rsidR="006C4D3A" w:rsidRPr="00B70D50">
        <w:rPr>
          <w:rFonts w:asciiTheme="majorBidi" w:hAnsiTheme="majorBidi" w:cstheme="majorBidi"/>
          <w:sz w:val="24"/>
          <w:szCs w:val="24"/>
          <w:lang w:val="en-GB"/>
        </w:rPr>
        <w:t xml:space="preserve"> and its mechanisms.</w:t>
      </w:r>
      <w:r w:rsidR="00286A79" w:rsidRPr="00B70D50">
        <w:rPr>
          <w:rFonts w:asciiTheme="majorBidi" w:hAnsiTheme="majorBidi" w:cstheme="majorBidi"/>
          <w:sz w:val="24"/>
          <w:szCs w:val="24"/>
          <w:lang w:val="en-GB"/>
        </w:rPr>
        <w:t xml:space="preserve"> T</w:t>
      </w:r>
      <w:r w:rsidR="00C140D8" w:rsidRPr="00B70D50">
        <w:rPr>
          <w:rFonts w:asciiTheme="majorBidi" w:hAnsiTheme="majorBidi" w:cstheme="majorBidi"/>
          <w:sz w:val="24"/>
          <w:szCs w:val="24"/>
          <w:lang w:val="en-GB"/>
        </w:rPr>
        <w:t xml:space="preserve">he </w:t>
      </w:r>
      <w:r w:rsidR="00201EB0" w:rsidRPr="00B70D50">
        <w:rPr>
          <w:rFonts w:asciiTheme="majorBidi" w:hAnsiTheme="majorBidi" w:cstheme="majorBidi"/>
          <w:sz w:val="24"/>
          <w:szCs w:val="24"/>
          <w:lang w:val="en-GB"/>
        </w:rPr>
        <w:t>G</w:t>
      </w:r>
      <w:r w:rsidR="00C140D8" w:rsidRPr="00B70D50">
        <w:rPr>
          <w:rFonts w:asciiTheme="majorBidi" w:hAnsiTheme="majorBidi" w:cstheme="majorBidi"/>
          <w:sz w:val="24"/>
          <w:szCs w:val="24"/>
          <w:lang w:val="en-GB"/>
        </w:rPr>
        <w:t xml:space="preserve">overnment will </w:t>
      </w:r>
      <w:r w:rsidR="00A76D53" w:rsidRPr="00B70D50">
        <w:rPr>
          <w:rFonts w:asciiTheme="majorBidi" w:hAnsiTheme="majorBidi" w:cstheme="majorBidi"/>
          <w:sz w:val="24"/>
          <w:szCs w:val="24"/>
          <w:lang w:val="en-GB"/>
        </w:rPr>
        <w:t xml:space="preserve">successively </w:t>
      </w:r>
      <w:r w:rsidR="00C140D8" w:rsidRPr="00B70D50">
        <w:rPr>
          <w:rFonts w:asciiTheme="majorBidi" w:hAnsiTheme="majorBidi" w:cstheme="majorBidi"/>
          <w:sz w:val="24"/>
          <w:szCs w:val="24"/>
          <w:lang w:val="en-GB"/>
        </w:rPr>
        <w:t xml:space="preserve">consider </w:t>
      </w:r>
      <w:r w:rsidR="00201EB0" w:rsidRPr="00B70D50">
        <w:rPr>
          <w:rFonts w:asciiTheme="majorBidi" w:hAnsiTheme="majorBidi" w:cstheme="majorBidi"/>
          <w:sz w:val="24"/>
          <w:szCs w:val="24"/>
          <w:lang w:val="en-GB"/>
        </w:rPr>
        <w:t xml:space="preserve">extending </w:t>
      </w:r>
      <w:r w:rsidR="00286A79" w:rsidRPr="00B70D50">
        <w:rPr>
          <w:rFonts w:asciiTheme="majorBidi" w:hAnsiTheme="majorBidi" w:cstheme="majorBidi"/>
          <w:sz w:val="24"/>
          <w:szCs w:val="24"/>
          <w:lang w:val="en-GB"/>
        </w:rPr>
        <w:t>invitation</w:t>
      </w:r>
      <w:r w:rsidR="00C75BB2" w:rsidRPr="00B70D50">
        <w:rPr>
          <w:rFonts w:asciiTheme="majorBidi" w:hAnsiTheme="majorBidi" w:cstheme="majorBidi"/>
          <w:sz w:val="24"/>
          <w:szCs w:val="24"/>
          <w:lang w:val="en-GB"/>
        </w:rPr>
        <w:t>s</w:t>
      </w:r>
      <w:r w:rsidR="00286A79" w:rsidRPr="00B70D50">
        <w:rPr>
          <w:rFonts w:asciiTheme="majorBidi" w:hAnsiTheme="majorBidi" w:cstheme="majorBidi"/>
          <w:sz w:val="24"/>
          <w:szCs w:val="24"/>
          <w:lang w:val="en-GB"/>
        </w:rPr>
        <w:t xml:space="preserve"> </w:t>
      </w:r>
      <w:r w:rsidR="00A76D53" w:rsidRPr="00B70D50">
        <w:rPr>
          <w:rFonts w:asciiTheme="majorBidi" w:hAnsiTheme="majorBidi" w:cstheme="majorBidi"/>
          <w:sz w:val="24"/>
          <w:szCs w:val="24"/>
          <w:lang w:val="en-GB"/>
        </w:rPr>
        <w:t xml:space="preserve">to other </w:t>
      </w:r>
      <w:r w:rsidR="00C140D8" w:rsidRPr="00B70D50">
        <w:rPr>
          <w:rFonts w:asciiTheme="majorBidi" w:hAnsiTheme="majorBidi" w:cstheme="majorBidi"/>
          <w:sz w:val="24"/>
          <w:szCs w:val="24"/>
          <w:lang w:val="en-GB"/>
        </w:rPr>
        <w:t xml:space="preserve">special rapporteurs. </w:t>
      </w:r>
      <w:r w:rsidR="00C140D8" w:rsidRPr="00B70D50">
        <w:rPr>
          <w:rFonts w:asciiTheme="majorBidi" w:hAnsiTheme="majorBidi" w:cstheme="majorBidi"/>
          <w:b/>
          <w:bCs/>
          <w:sz w:val="24"/>
          <w:szCs w:val="24"/>
          <w:lang w:val="en-GB"/>
        </w:rPr>
        <w:t>Therefore:</w:t>
      </w:r>
    </w:p>
    <w:p w14:paraId="3CA3DEF6" w14:textId="77777777" w:rsidR="00A76D53" w:rsidRPr="00B70D50" w:rsidRDefault="00A76D53" w:rsidP="00A76D53">
      <w:pPr>
        <w:pStyle w:val="ListParagraph"/>
        <w:bidi w:val="0"/>
        <w:spacing w:after="0" w:line="300" w:lineRule="exact"/>
        <w:ind w:left="0" w:right="49"/>
        <w:contextualSpacing w:val="0"/>
        <w:jc w:val="both"/>
        <w:rPr>
          <w:rFonts w:asciiTheme="majorBidi" w:hAnsiTheme="majorBidi" w:cstheme="majorBidi"/>
          <w:sz w:val="24"/>
          <w:szCs w:val="24"/>
          <w:lang w:val="en-GB" w:bidi="ar-EG"/>
        </w:rPr>
      </w:pPr>
    </w:p>
    <w:p w14:paraId="50A00AB2" w14:textId="15341F12" w:rsidR="00FD02B5" w:rsidRPr="00B70D50" w:rsidRDefault="00FD02B5" w:rsidP="00671925">
      <w:pPr>
        <w:pStyle w:val="ListParagraph"/>
        <w:numPr>
          <w:ilvl w:val="0"/>
          <w:numId w:val="40"/>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Fully Accepted Recommendations:</w:t>
      </w:r>
    </w:p>
    <w:p w14:paraId="67E0398E" w14:textId="6C0024AF" w:rsidR="00865FC0" w:rsidRPr="00B70D50" w:rsidRDefault="00FD02B5" w:rsidP="00671925">
      <w:pPr>
        <w:bidi w:val="0"/>
        <w:spacing w:after="0" w:line="300" w:lineRule="exact"/>
        <w:ind w:right="49"/>
        <w:jc w:val="both"/>
        <w:rPr>
          <w:rFonts w:asciiTheme="majorBidi" w:hAnsiTheme="majorBidi" w:cstheme="majorBidi"/>
          <w:sz w:val="24"/>
          <w:szCs w:val="24"/>
          <w:lang w:val="en-GB" w:bidi="ar-EG"/>
        </w:rPr>
      </w:pPr>
      <w:r w:rsidRPr="00B70D50">
        <w:rPr>
          <w:rFonts w:asciiTheme="majorBidi" w:hAnsiTheme="majorBidi" w:cstheme="majorBidi"/>
          <w:sz w:val="24"/>
          <w:szCs w:val="24"/>
          <w:lang w:val="en-GB" w:bidi="ar-EG"/>
        </w:rPr>
        <w:t>1-2-21-24-26-28-29-30-31-32-33-34-35-37-38-39-40-41-42-51-195</w:t>
      </w:r>
      <w:r w:rsidR="00422B10" w:rsidRPr="00B70D50">
        <w:rPr>
          <w:rStyle w:val="FootnoteReference"/>
          <w:rFonts w:asciiTheme="majorBidi" w:hAnsiTheme="majorBidi" w:cstheme="majorBidi"/>
          <w:sz w:val="24"/>
          <w:szCs w:val="24"/>
          <w:lang w:val="en-GB" w:bidi="ar-EG"/>
        </w:rPr>
        <w:footnoteReference w:id="7"/>
      </w:r>
      <w:r w:rsidRPr="00B70D50">
        <w:rPr>
          <w:rFonts w:asciiTheme="majorBidi" w:hAnsiTheme="majorBidi" w:cstheme="majorBidi"/>
          <w:sz w:val="24"/>
          <w:szCs w:val="24"/>
          <w:lang w:val="en-GB" w:bidi="ar-EG"/>
        </w:rPr>
        <w:t>-</w:t>
      </w:r>
      <w:r w:rsidR="0086038F" w:rsidRPr="00B70D50">
        <w:rPr>
          <w:rFonts w:asciiTheme="majorBidi" w:hAnsiTheme="majorBidi" w:cstheme="majorBidi"/>
          <w:sz w:val="24"/>
          <w:szCs w:val="24"/>
          <w:lang w:val="en-GB" w:bidi="ar-EG"/>
        </w:rPr>
        <w:t>196</w:t>
      </w:r>
      <w:r w:rsidR="00422B10" w:rsidRPr="00B70D50">
        <w:rPr>
          <w:rStyle w:val="FootnoteReference"/>
          <w:rFonts w:asciiTheme="majorBidi" w:hAnsiTheme="majorBidi" w:cstheme="majorBidi"/>
          <w:sz w:val="24"/>
          <w:szCs w:val="24"/>
          <w:lang w:val="en-GB" w:bidi="ar-EG"/>
        </w:rPr>
        <w:footnoteReference w:id="8"/>
      </w:r>
      <w:r w:rsidRPr="00B70D50">
        <w:rPr>
          <w:rFonts w:asciiTheme="majorBidi" w:hAnsiTheme="majorBidi" w:cstheme="majorBidi"/>
          <w:sz w:val="24"/>
          <w:szCs w:val="24"/>
          <w:lang w:val="en-GB" w:bidi="ar-EG"/>
        </w:rPr>
        <w:t>-</w:t>
      </w:r>
      <w:r w:rsidR="0086038F" w:rsidRPr="00B70D50">
        <w:rPr>
          <w:rFonts w:asciiTheme="majorBidi" w:hAnsiTheme="majorBidi" w:cstheme="majorBidi"/>
          <w:sz w:val="24"/>
          <w:szCs w:val="24"/>
          <w:lang w:val="en-GB" w:bidi="ar-EG"/>
        </w:rPr>
        <w:t>205</w:t>
      </w:r>
      <w:r w:rsidR="00D82EA6" w:rsidRPr="00B70D50">
        <w:rPr>
          <w:rStyle w:val="FootnoteReference"/>
          <w:rFonts w:asciiTheme="majorBidi" w:hAnsiTheme="majorBidi" w:cstheme="majorBidi"/>
          <w:sz w:val="24"/>
          <w:szCs w:val="24"/>
          <w:lang w:val="en-GB" w:bidi="ar-EG"/>
        </w:rPr>
        <w:footnoteReference w:id="9"/>
      </w:r>
    </w:p>
    <w:p w14:paraId="0C82F982" w14:textId="77777777" w:rsidR="0008161E" w:rsidRPr="00B70D50" w:rsidRDefault="0008161E" w:rsidP="0008161E">
      <w:pPr>
        <w:bidi w:val="0"/>
        <w:spacing w:after="0" w:line="300" w:lineRule="exact"/>
        <w:ind w:right="49"/>
        <w:jc w:val="both"/>
        <w:rPr>
          <w:rFonts w:asciiTheme="majorBidi" w:hAnsiTheme="majorBidi" w:cstheme="majorBidi"/>
          <w:sz w:val="24"/>
          <w:szCs w:val="24"/>
          <w:lang w:val="en-GB" w:bidi="ar-EG"/>
        </w:rPr>
      </w:pPr>
    </w:p>
    <w:p w14:paraId="0888BFEA" w14:textId="77777777" w:rsidR="00CD652D" w:rsidRPr="00B70D50" w:rsidRDefault="00CD652D" w:rsidP="00A76D53">
      <w:pPr>
        <w:pStyle w:val="ListParagraph"/>
        <w:numPr>
          <w:ilvl w:val="0"/>
          <w:numId w:val="40"/>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Partially Accepted Recommendations:</w:t>
      </w:r>
    </w:p>
    <w:p w14:paraId="01372936" w14:textId="3AA32BDA" w:rsidR="00CD652D" w:rsidRPr="00B70D50" w:rsidRDefault="00CD652D"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5-</w:t>
      </w:r>
      <w:r w:rsidR="0019421D" w:rsidRPr="00B70D50">
        <w:rPr>
          <w:rFonts w:asciiTheme="majorBidi" w:hAnsiTheme="majorBidi" w:cstheme="majorBidi"/>
          <w:sz w:val="24"/>
          <w:szCs w:val="24"/>
          <w:lang w:val="en-GB"/>
        </w:rPr>
        <w:t>23</w:t>
      </w:r>
    </w:p>
    <w:p w14:paraId="13357CFF" w14:textId="77777777" w:rsidR="00A76D53" w:rsidRPr="00B70D50" w:rsidRDefault="00A76D53" w:rsidP="00A76D53">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1A292127" w14:textId="40D5D8B6" w:rsidR="00CD652D" w:rsidRPr="00B70D50" w:rsidRDefault="00F66DA2" w:rsidP="00671925">
      <w:pPr>
        <w:pStyle w:val="ListParagraph"/>
        <w:numPr>
          <w:ilvl w:val="0"/>
          <w:numId w:val="40"/>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Una</w:t>
      </w:r>
      <w:r w:rsidR="00CD652D" w:rsidRPr="00B70D50">
        <w:rPr>
          <w:rFonts w:asciiTheme="majorBidi" w:hAnsiTheme="majorBidi" w:cstheme="majorBidi"/>
          <w:b/>
          <w:bCs/>
          <w:sz w:val="24"/>
          <w:szCs w:val="24"/>
          <w:u w:val="single"/>
          <w:lang w:val="en-GB"/>
        </w:rPr>
        <w:t>ccepted Recommendations:</w:t>
      </w:r>
    </w:p>
    <w:p w14:paraId="36E994A2" w14:textId="20D62C47" w:rsidR="00CD652D" w:rsidRPr="00B70D50" w:rsidRDefault="00CD652D"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22-</w:t>
      </w:r>
      <w:r w:rsidR="0019421D" w:rsidRPr="00B70D50">
        <w:rPr>
          <w:rFonts w:asciiTheme="majorBidi" w:hAnsiTheme="majorBidi" w:cstheme="majorBidi"/>
          <w:sz w:val="24"/>
          <w:szCs w:val="24"/>
          <w:lang w:val="en-GB"/>
        </w:rPr>
        <w:t>25</w:t>
      </w:r>
      <w:r w:rsidRPr="00B70D50">
        <w:rPr>
          <w:rFonts w:asciiTheme="majorBidi" w:hAnsiTheme="majorBidi" w:cstheme="majorBidi"/>
          <w:sz w:val="24"/>
          <w:szCs w:val="24"/>
          <w:lang w:val="en-GB"/>
        </w:rPr>
        <w:t>-27</w:t>
      </w:r>
    </w:p>
    <w:p w14:paraId="5DC9815F" w14:textId="77777777" w:rsidR="00385461" w:rsidRPr="00B70D50" w:rsidRDefault="00385461" w:rsidP="00671925">
      <w:pPr>
        <w:pStyle w:val="ListParagraph"/>
        <w:bidi w:val="0"/>
        <w:spacing w:after="0" w:line="300" w:lineRule="exact"/>
        <w:ind w:left="0" w:right="49"/>
        <w:contextualSpacing w:val="0"/>
        <w:jc w:val="lowKashida"/>
        <w:rPr>
          <w:rFonts w:asciiTheme="majorBidi" w:hAnsiTheme="majorBidi" w:cstheme="majorBidi"/>
          <w:sz w:val="24"/>
          <w:szCs w:val="24"/>
          <w:vertAlign w:val="superscript"/>
          <w:lang w:val="en-GB" w:bidi="ar-EG"/>
        </w:rPr>
      </w:pPr>
    </w:p>
    <w:p w14:paraId="79755D2D" w14:textId="77777777" w:rsidR="00706286" w:rsidRPr="00B70D50" w:rsidRDefault="00706286" w:rsidP="00706286">
      <w:pPr>
        <w:pStyle w:val="ListParagraph"/>
        <w:bidi w:val="0"/>
        <w:spacing w:after="0" w:line="300" w:lineRule="exact"/>
        <w:ind w:left="0" w:right="49"/>
        <w:contextualSpacing w:val="0"/>
        <w:jc w:val="lowKashida"/>
        <w:rPr>
          <w:rFonts w:asciiTheme="majorBidi" w:hAnsiTheme="majorBidi" w:cstheme="majorBidi"/>
          <w:sz w:val="24"/>
          <w:szCs w:val="24"/>
          <w:vertAlign w:val="superscript"/>
          <w:lang w:val="en-GB" w:bidi="ar-EG"/>
        </w:rPr>
      </w:pPr>
    </w:p>
    <w:p w14:paraId="796144C0" w14:textId="0CEA83F1" w:rsidR="00385461" w:rsidRPr="00B70D50" w:rsidRDefault="00385461" w:rsidP="00671925">
      <w:pPr>
        <w:pStyle w:val="ListParagraph"/>
        <w:numPr>
          <w:ilvl w:val="0"/>
          <w:numId w:val="41"/>
        </w:numPr>
        <w:bidi w:val="0"/>
        <w:spacing w:after="0" w:line="300" w:lineRule="exact"/>
        <w:ind w:left="0" w:right="49"/>
        <w:contextualSpacing w:val="0"/>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Measures Relevant to Legislative and Institutional Frameworks</w:t>
      </w:r>
      <w:r w:rsidR="00502A8A" w:rsidRPr="00B70D50">
        <w:rPr>
          <w:rFonts w:asciiTheme="majorBidi" w:hAnsiTheme="majorBidi" w:cstheme="majorBidi"/>
          <w:b/>
          <w:bCs/>
          <w:sz w:val="24"/>
          <w:szCs w:val="24"/>
          <w:u w:val="single"/>
          <w:rtl/>
          <w:lang w:val="en-GB"/>
        </w:rPr>
        <w:t>:</w:t>
      </w:r>
    </w:p>
    <w:p w14:paraId="09654C1C" w14:textId="3DB1C539" w:rsidR="005E3049" w:rsidRPr="00B70D50" w:rsidRDefault="00885BF3" w:rsidP="00672DBA">
      <w:pPr>
        <w:pStyle w:val="ListParagraph"/>
        <w:numPr>
          <w:ilvl w:val="0"/>
          <w:numId w:val="39"/>
        </w:numPr>
        <w:bidi w:val="0"/>
        <w:spacing w:after="0" w:line="300" w:lineRule="exact"/>
        <w:ind w:left="0" w:right="49"/>
        <w:contextualSpacing w:val="0"/>
        <w:jc w:val="both"/>
        <w:rPr>
          <w:rFonts w:asciiTheme="majorBidi" w:hAnsiTheme="majorBidi" w:cstheme="majorBidi"/>
          <w:b/>
          <w:bCs/>
          <w:sz w:val="24"/>
          <w:szCs w:val="24"/>
          <w:u w:val="single"/>
          <w:lang w:val="en-GB"/>
        </w:rPr>
      </w:pPr>
      <w:r w:rsidRPr="00B70D50">
        <w:rPr>
          <w:rFonts w:asciiTheme="majorBidi" w:hAnsiTheme="majorBidi" w:cstheme="majorBidi"/>
          <w:sz w:val="24"/>
          <w:szCs w:val="24"/>
          <w:lang w:val="en-GB"/>
        </w:rPr>
        <w:t xml:space="preserve">The </w:t>
      </w:r>
      <w:r w:rsidR="000B234E" w:rsidRPr="00B70D50">
        <w:rPr>
          <w:rFonts w:asciiTheme="majorBidi" w:hAnsiTheme="majorBidi" w:cstheme="majorBidi"/>
          <w:sz w:val="24"/>
          <w:szCs w:val="24"/>
          <w:lang w:val="en-GB"/>
        </w:rPr>
        <w:t>G</w:t>
      </w:r>
      <w:r w:rsidRPr="00B70D50">
        <w:rPr>
          <w:rFonts w:asciiTheme="majorBidi" w:hAnsiTheme="majorBidi" w:cstheme="majorBidi"/>
          <w:sz w:val="24"/>
          <w:szCs w:val="24"/>
          <w:lang w:val="en-GB"/>
        </w:rPr>
        <w:t xml:space="preserve">overnment </w:t>
      </w:r>
      <w:r w:rsidR="00A01C11" w:rsidRPr="00B70D50">
        <w:rPr>
          <w:rFonts w:asciiTheme="majorBidi" w:hAnsiTheme="majorBidi" w:cstheme="majorBidi"/>
          <w:sz w:val="24"/>
          <w:szCs w:val="24"/>
          <w:lang w:val="en-GB"/>
        </w:rPr>
        <w:t xml:space="preserve">continues its </w:t>
      </w:r>
      <w:r w:rsidRPr="00B70D50">
        <w:rPr>
          <w:rFonts w:asciiTheme="majorBidi" w:hAnsiTheme="majorBidi" w:cstheme="majorBidi"/>
          <w:sz w:val="24"/>
          <w:szCs w:val="24"/>
          <w:lang w:val="en-GB"/>
        </w:rPr>
        <w:t xml:space="preserve">efforts </w:t>
      </w:r>
      <w:r w:rsidR="00A01C11" w:rsidRPr="00B70D50">
        <w:rPr>
          <w:rFonts w:asciiTheme="majorBidi" w:hAnsiTheme="majorBidi" w:cstheme="majorBidi"/>
          <w:sz w:val="24"/>
          <w:szCs w:val="24"/>
          <w:lang w:val="en-GB"/>
        </w:rPr>
        <w:t xml:space="preserve">to </w:t>
      </w:r>
      <w:r w:rsidR="00786318" w:rsidRPr="00B70D50">
        <w:rPr>
          <w:rFonts w:asciiTheme="majorBidi" w:hAnsiTheme="majorBidi" w:cstheme="majorBidi"/>
          <w:sz w:val="24"/>
          <w:szCs w:val="24"/>
          <w:lang w:val="en-GB"/>
        </w:rPr>
        <w:t>promot</w:t>
      </w:r>
      <w:r w:rsidR="00A01C11" w:rsidRPr="00B70D50">
        <w:rPr>
          <w:rFonts w:asciiTheme="majorBidi" w:hAnsiTheme="majorBidi" w:cstheme="majorBidi"/>
          <w:sz w:val="24"/>
          <w:szCs w:val="24"/>
          <w:lang w:val="en-GB"/>
        </w:rPr>
        <w:t>e</w:t>
      </w:r>
      <w:r w:rsidR="00786318" w:rsidRPr="00B70D50">
        <w:rPr>
          <w:rFonts w:asciiTheme="majorBidi" w:hAnsiTheme="majorBidi" w:cstheme="majorBidi"/>
          <w:sz w:val="24"/>
          <w:szCs w:val="24"/>
          <w:lang w:val="en-GB"/>
        </w:rPr>
        <w:t xml:space="preserve"> </w:t>
      </w:r>
      <w:r w:rsidR="00A01C11" w:rsidRPr="00B70D50">
        <w:rPr>
          <w:rFonts w:asciiTheme="majorBidi" w:hAnsiTheme="majorBidi" w:cstheme="majorBidi"/>
          <w:sz w:val="24"/>
          <w:szCs w:val="24"/>
          <w:lang w:val="en-GB"/>
        </w:rPr>
        <w:t xml:space="preserve">the </w:t>
      </w:r>
      <w:r w:rsidR="00786318" w:rsidRPr="00B70D50">
        <w:rPr>
          <w:rFonts w:asciiTheme="majorBidi" w:hAnsiTheme="majorBidi" w:cstheme="majorBidi"/>
          <w:sz w:val="24"/>
          <w:szCs w:val="24"/>
          <w:lang w:val="en-GB"/>
        </w:rPr>
        <w:t xml:space="preserve">institutional and legislative frameworks, so as to safeguard </w:t>
      </w:r>
      <w:r w:rsidR="001C3B3B" w:rsidRPr="00B70D50">
        <w:rPr>
          <w:rFonts w:asciiTheme="majorBidi" w:hAnsiTheme="majorBidi" w:cstheme="majorBidi"/>
          <w:sz w:val="24"/>
          <w:szCs w:val="24"/>
          <w:lang w:val="en-GB"/>
        </w:rPr>
        <w:t xml:space="preserve">human rights and fundamental freedoms. </w:t>
      </w:r>
      <w:r w:rsidR="00A01C11" w:rsidRPr="00B70D50">
        <w:rPr>
          <w:rFonts w:asciiTheme="majorBidi" w:hAnsiTheme="majorBidi" w:cstheme="majorBidi"/>
          <w:sz w:val="24"/>
          <w:szCs w:val="24"/>
          <w:lang w:val="en-GB"/>
        </w:rPr>
        <w:t>T</w:t>
      </w:r>
      <w:r w:rsidR="001C3B3B" w:rsidRPr="00B70D50">
        <w:rPr>
          <w:rFonts w:asciiTheme="majorBidi" w:hAnsiTheme="majorBidi" w:cstheme="majorBidi"/>
          <w:sz w:val="24"/>
          <w:szCs w:val="24"/>
          <w:lang w:val="en-GB"/>
        </w:rPr>
        <w:t>he Constitution</w:t>
      </w:r>
      <w:r w:rsidR="00A01C11" w:rsidRPr="00B70D50">
        <w:rPr>
          <w:rFonts w:asciiTheme="majorBidi" w:hAnsiTheme="majorBidi" w:cstheme="majorBidi"/>
          <w:sz w:val="24"/>
          <w:szCs w:val="24"/>
          <w:lang w:val="en-GB"/>
        </w:rPr>
        <w:t xml:space="preserve"> asserts the independence of</w:t>
      </w:r>
      <w:r w:rsidR="001C3B3B" w:rsidRPr="00B70D50">
        <w:rPr>
          <w:rFonts w:asciiTheme="majorBidi" w:hAnsiTheme="majorBidi" w:cstheme="majorBidi"/>
          <w:sz w:val="24"/>
          <w:szCs w:val="24"/>
          <w:lang w:val="en-GB"/>
        </w:rPr>
        <w:t xml:space="preserve"> </w:t>
      </w:r>
      <w:r w:rsidR="003F08BC" w:rsidRPr="00B70D50">
        <w:rPr>
          <w:rFonts w:asciiTheme="majorBidi" w:hAnsiTheme="majorBidi" w:cstheme="majorBidi"/>
          <w:sz w:val="24"/>
          <w:szCs w:val="24"/>
          <w:lang w:val="en-GB"/>
        </w:rPr>
        <w:t>the National</w:t>
      </w:r>
      <w:r w:rsidR="00746C0C" w:rsidRPr="00B70D50">
        <w:rPr>
          <w:rFonts w:asciiTheme="majorBidi" w:hAnsiTheme="majorBidi" w:cstheme="majorBidi"/>
          <w:sz w:val="24"/>
          <w:szCs w:val="24"/>
          <w:lang w:val="en-GB"/>
        </w:rPr>
        <w:t xml:space="preserve"> Council for</w:t>
      </w:r>
      <w:r w:rsidR="003F08BC" w:rsidRPr="00B70D50">
        <w:rPr>
          <w:rFonts w:asciiTheme="majorBidi" w:hAnsiTheme="majorBidi" w:cstheme="majorBidi"/>
          <w:sz w:val="24"/>
          <w:szCs w:val="24"/>
          <w:lang w:val="en-GB"/>
        </w:rPr>
        <w:t xml:space="preserve"> Human Rights </w:t>
      </w:r>
      <w:r w:rsidR="00A01C11" w:rsidRPr="00B70D50">
        <w:rPr>
          <w:rFonts w:asciiTheme="majorBidi" w:hAnsiTheme="majorBidi" w:cstheme="majorBidi"/>
          <w:sz w:val="24"/>
          <w:szCs w:val="24"/>
          <w:lang w:val="en-GB"/>
        </w:rPr>
        <w:t>(NCHR)</w:t>
      </w:r>
      <w:r w:rsidR="003F08BC" w:rsidRPr="00B70D50">
        <w:rPr>
          <w:rFonts w:asciiTheme="majorBidi" w:hAnsiTheme="majorBidi" w:cstheme="majorBidi"/>
          <w:sz w:val="24"/>
          <w:szCs w:val="24"/>
          <w:lang w:val="en-GB"/>
        </w:rPr>
        <w:t xml:space="preserve">, and </w:t>
      </w:r>
      <w:r w:rsidR="00A01C11" w:rsidRPr="00B70D50">
        <w:rPr>
          <w:rFonts w:asciiTheme="majorBidi" w:hAnsiTheme="majorBidi" w:cstheme="majorBidi"/>
          <w:sz w:val="24"/>
          <w:szCs w:val="24"/>
          <w:lang w:val="en-GB"/>
        </w:rPr>
        <w:t xml:space="preserve">the review of </w:t>
      </w:r>
      <w:r w:rsidR="003F08BC" w:rsidRPr="00B70D50">
        <w:rPr>
          <w:rFonts w:asciiTheme="majorBidi" w:hAnsiTheme="majorBidi" w:cstheme="majorBidi"/>
          <w:sz w:val="24"/>
          <w:szCs w:val="24"/>
          <w:lang w:val="en-GB"/>
        </w:rPr>
        <w:t xml:space="preserve">all </w:t>
      </w:r>
      <w:r w:rsidR="008351E9" w:rsidRPr="00B70D50">
        <w:rPr>
          <w:rFonts w:asciiTheme="majorBidi" w:hAnsiTheme="majorBidi" w:cstheme="majorBidi"/>
          <w:sz w:val="24"/>
          <w:szCs w:val="24"/>
          <w:lang w:val="en-GB"/>
        </w:rPr>
        <w:t>domestic laws and legislations</w:t>
      </w:r>
      <w:r w:rsidR="00224AD1" w:rsidRPr="00B70D50">
        <w:rPr>
          <w:rFonts w:asciiTheme="majorBidi" w:hAnsiTheme="majorBidi" w:cstheme="majorBidi"/>
          <w:sz w:val="24"/>
          <w:szCs w:val="24"/>
          <w:lang w:val="en-GB"/>
        </w:rPr>
        <w:t xml:space="preserve"> </w:t>
      </w:r>
      <w:r w:rsidR="00A01C11" w:rsidRPr="00B70D50">
        <w:rPr>
          <w:rFonts w:asciiTheme="majorBidi" w:hAnsiTheme="majorBidi" w:cstheme="majorBidi"/>
          <w:sz w:val="24"/>
          <w:szCs w:val="24"/>
          <w:lang w:val="en-GB"/>
        </w:rPr>
        <w:t xml:space="preserve">is underway </w:t>
      </w:r>
      <w:r w:rsidR="00224AD1" w:rsidRPr="00B70D50">
        <w:rPr>
          <w:rFonts w:asciiTheme="majorBidi" w:hAnsiTheme="majorBidi" w:cstheme="majorBidi"/>
          <w:sz w:val="24"/>
          <w:szCs w:val="24"/>
          <w:lang w:val="en-GB"/>
        </w:rPr>
        <w:t xml:space="preserve">to ensure that they conform to the 2014 Constitution. Moreover, the </w:t>
      </w:r>
      <w:r w:rsidR="00A01C11" w:rsidRPr="00B70D50">
        <w:rPr>
          <w:rFonts w:asciiTheme="majorBidi" w:hAnsiTheme="majorBidi" w:cstheme="majorBidi"/>
          <w:sz w:val="24"/>
          <w:szCs w:val="24"/>
          <w:lang w:val="en-GB"/>
        </w:rPr>
        <w:t>G</w:t>
      </w:r>
      <w:r w:rsidR="00224AD1" w:rsidRPr="00B70D50">
        <w:rPr>
          <w:rFonts w:asciiTheme="majorBidi" w:hAnsiTheme="majorBidi" w:cstheme="majorBidi"/>
          <w:sz w:val="24"/>
          <w:szCs w:val="24"/>
          <w:lang w:val="en-GB"/>
        </w:rPr>
        <w:t xml:space="preserve">overnment has </w:t>
      </w:r>
      <w:r w:rsidR="00672DBA" w:rsidRPr="00B70D50">
        <w:rPr>
          <w:rFonts w:asciiTheme="majorBidi" w:hAnsiTheme="majorBidi" w:cstheme="majorBidi"/>
          <w:sz w:val="24"/>
          <w:szCs w:val="24"/>
          <w:lang w:val="en-GB"/>
        </w:rPr>
        <w:t xml:space="preserve">taken major </w:t>
      </w:r>
      <w:r w:rsidR="00224AD1" w:rsidRPr="00B70D50">
        <w:rPr>
          <w:rFonts w:asciiTheme="majorBidi" w:hAnsiTheme="majorBidi" w:cstheme="majorBidi"/>
          <w:sz w:val="24"/>
          <w:szCs w:val="24"/>
          <w:lang w:val="en-GB"/>
        </w:rPr>
        <w:t xml:space="preserve">strides </w:t>
      </w:r>
      <w:r w:rsidR="00286A79" w:rsidRPr="00B70D50">
        <w:rPr>
          <w:rFonts w:asciiTheme="majorBidi" w:hAnsiTheme="majorBidi" w:cstheme="majorBidi"/>
          <w:sz w:val="24"/>
          <w:szCs w:val="24"/>
          <w:lang w:val="en-GB"/>
        </w:rPr>
        <w:t>to</w:t>
      </w:r>
      <w:r w:rsidR="00224AD1" w:rsidRPr="00B70D50">
        <w:rPr>
          <w:rFonts w:asciiTheme="majorBidi" w:hAnsiTheme="majorBidi" w:cstheme="majorBidi"/>
          <w:sz w:val="24"/>
          <w:szCs w:val="24"/>
          <w:lang w:val="en-GB"/>
        </w:rPr>
        <w:t xml:space="preserve"> combat corruption at all levels, </w:t>
      </w:r>
      <w:r w:rsidR="00A01C11" w:rsidRPr="00B70D50">
        <w:rPr>
          <w:rFonts w:asciiTheme="majorBidi" w:hAnsiTheme="majorBidi" w:cstheme="majorBidi"/>
          <w:sz w:val="24"/>
          <w:szCs w:val="24"/>
          <w:lang w:val="en-GB"/>
        </w:rPr>
        <w:t>uph</w:t>
      </w:r>
      <w:r w:rsidR="00672DBA" w:rsidRPr="00B70D50">
        <w:rPr>
          <w:rFonts w:asciiTheme="majorBidi" w:hAnsiTheme="majorBidi" w:cstheme="majorBidi"/>
          <w:sz w:val="24"/>
          <w:szCs w:val="24"/>
          <w:lang w:val="en-GB"/>
        </w:rPr>
        <w:t>o</w:t>
      </w:r>
      <w:r w:rsidR="00A01C11" w:rsidRPr="00B70D50">
        <w:rPr>
          <w:rFonts w:asciiTheme="majorBidi" w:hAnsiTheme="majorBidi" w:cstheme="majorBidi"/>
          <w:sz w:val="24"/>
          <w:szCs w:val="24"/>
          <w:lang w:val="en-GB"/>
        </w:rPr>
        <w:t>ld</w:t>
      </w:r>
      <w:r w:rsidR="00672DBA" w:rsidRPr="00B70D50">
        <w:rPr>
          <w:rFonts w:asciiTheme="majorBidi" w:hAnsiTheme="majorBidi" w:cstheme="majorBidi"/>
          <w:sz w:val="24"/>
          <w:szCs w:val="24"/>
          <w:lang w:val="en-GB"/>
        </w:rPr>
        <w:t>ing</w:t>
      </w:r>
      <w:r w:rsidR="00A01C11" w:rsidRPr="00B70D50">
        <w:rPr>
          <w:rFonts w:asciiTheme="majorBidi" w:hAnsiTheme="majorBidi" w:cstheme="majorBidi"/>
          <w:sz w:val="24"/>
          <w:szCs w:val="24"/>
          <w:lang w:val="en-GB"/>
        </w:rPr>
        <w:t xml:space="preserve"> </w:t>
      </w:r>
      <w:r w:rsidR="00224AD1" w:rsidRPr="00B70D50">
        <w:rPr>
          <w:rFonts w:asciiTheme="majorBidi" w:hAnsiTheme="majorBidi" w:cstheme="majorBidi"/>
          <w:sz w:val="24"/>
          <w:szCs w:val="24"/>
          <w:lang w:val="en-GB"/>
        </w:rPr>
        <w:t xml:space="preserve">the principle of accountability, and has developed the </w:t>
      </w:r>
      <w:r w:rsidR="005E3049" w:rsidRPr="00B70D50">
        <w:rPr>
          <w:rFonts w:asciiTheme="majorBidi" w:hAnsiTheme="majorBidi" w:cstheme="majorBidi"/>
          <w:sz w:val="24"/>
          <w:szCs w:val="24"/>
          <w:lang w:val="en-GB"/>
        </w:rPr>
        <w:t>2019-</w:t>
      </w:r>
      <w:r w:rsidR="006C1ADC" w:rsidRPr="00B70D50">
        <w:rPr>
          <w:rFonts w:asciiTheme="majorBidi" w:hAnsiTheme="majorBidi" w:cstheme="majorBidi"/>
          <w:sz w:val="24"/>
          <w:szCs w:val="24"/>
          <w:lang w:val="en-GB"/>
        </w:rPr>
        <w:t>2022</w:t>
      </w:r>
      <w:r w:rsidR="005E3049" w:rsidRPr="00B70D50">
        <w:rPr>
          <w:rFonts w:asciiTheme="majorBidi" w:hAnsiTheme="majorBidi" w:cstheme="majorBidi"/>
          <w:sz w:val="24"/>
          <w:szCs w:val="24"/>
          <w:lang w:val="en-GB"/>
        </w:rPr>
        <w:t xml:space="preserve"> National Anti-Corruption Strategy. </w:t>
      </w:r>
      <w:r w:rsidR="005E3049" w:rsidRPr="00B70D50">
        <w:rPr>
          <w:rFonts w:asciiTheme="majorBidi" w:hAnsiTheme="majorBidi" w:cstheme="majorBidi"/>
          <w:b/>
          <w:bCs/>
          <w:sz w:val="24"/>
          <w:szCs w:val="24"/>
          <w:lang w:val="en-GB"/>
        </w:rPr>
        <w:t>Therefore:</w:t>
      </w:r>
    </w:p>
    <w:p w14:paraId="4AFAB17F" w14:textId="77777777" w:rsidR="00A76D53" w:rsidRPr="00B70D50" w:rsidRDefault="00A76D53" w:rsidP="00A76D53">
      <w:pPr>
        <w:pStyle w:val="ListParagraph"/>
        <w:bidi w:val="0"/>
        <w:spacing w:after="0" w:line="300" w:lineRule="exact"/>
        <w:ind w:left="0" w:right="49"/>
        <w:contextualSpacing w:val="0"/>
        <w:jc w:val="both"/>
        <w:rPr>
          <w:rFonts w:asciiTheme="majorBidi" w:hAnsiTheme="majorBidi" w:cstheme="majorBidi"/>
          <w:b/>
          <w:bCs/>
          <w:sz w:val="24"/>
          <w:szCs w:val="24"/>
          <w:u w:val="single"/>
          <w:lang w:val="en-GB"/>
        </w:rPr>
      </w:pPr>
    </w:p>
    <w:p w14:paraId="43204566" w14:textId="0E783353" w:rsidR="0003547E" w:rsidRPr="00B70D50" w:rsidRDefault="0003547E" w:rsidP="00A76D53">
      <w:pPr>
        <w:pStyle w:val="ListParagraph"/>
        <w:numPr>
          <w:ilvl w:val="0"/>
          <w:numId w:val="40"/>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Fully Accepted Recommendations:</w:t>
      </w:r>
    </w:p>
    <w:p w14:paraId="4813225C" w14:textId="155F1E11" w:rsidR="0003547E" w:rsidRPr="00B70D50" w:rsidRDefault="006C1ADC"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43-44-45-46-47-48-49-50-52-53-54-55-56-86-91-151-153-154-156-157</w:t>
      </w:r>
      <w:r w:rsidR="00276BC8" w:rsidRPr="00B70D50">
        <w:rPr>
          <w:rStyle w:val="FootnoteReference"/>
          <w:rFonts w:asciiTheme="majorBidi" w:hAnsiTheme="majorBidi" w:cstheme="majorBidi"/>
          <w:sz w:val="24"/>
          <w:szCs w:val="24"/>
          <w:lang w:val="en-GB"/>
        </w:rPr>
        <w:footnoteReference w:id="10"/>
      </w:r>
      <w:r w:rsidRPr="00B70D50">
        <w:rPr>
          <w:rFonts w:asciiTheme="majorBidi" w:hAnsiTheme="majorBidi" w:cstheme="majorBidi"/>
          <w:sz w:val="24"/>
          <w:szCs w:val="24"/>
          <w:lang w:val="en-GB"/>
        </w:rPr>
        <w:t>-158-160-301-304-307-315-317-320-331-333-334-338-339-344-346-347-348-353-355-363-364</w:t>
      </w:r>
    </w:p>
    <w:p w14:paraId="3455B6FE" w14:textId="77777777" w:rsidR="00A76D53" w:rsidRPr="00B70D50" w:rsidRDefault="00A76D53" w:rsidP="00A76D53">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211A0821" w14:textId="31B0CCA8" w:rsidR="0003547E" w:rsidRPr="00B70D50" w:rsidRDefault="0003547E"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Partially Accepted Recommendations:</w:t>
      </w:r>
    </w:p>
    <w:p w14:paraId="7EB69242" w14:textId="1FB04186" w:rsidR="0003547E" w:rsidRPr="00B70D50" w:rsidRDefault="00802CBB" w:rsidP="00671925">
      <w:pPr>
        <w:bidi w:val="0"/>
        <w:spacing w:after="0" w:line="300" w:lineRule="exact"/>
        <w:ind w:right="49"/>
        <w:jc w:val="lowKashida"/>
        <w:rPr>
          <w:rFonts w:asciiTheme="majorBidi" w:hAnsiTheme="majorBidi" w:cstheme="majorBidi"/>
          <w:sz w:val="24"/>
          <w:szCs w:val="24"/>
          <w:lang w:val="en-GB"/>
        </w:rPr>
      </w:pPr>
      <w:r w:rsidRPr="00B70D50">
        <w:rPr>
          <w:rStyle w:val="EndnoteReference"/>
          <w:rFonts w:asciiTheme="majorBidi" w:hAnsiTheme="majorBidi" w:cstheme="majorBidi"/>
          <w:color w:val="FFFFFF" w:themeColor="background1"/>
          <w:sz w:val="24"/>
          <w:szCs w:val="24"/>
          <w:lang w:val="en-GB"/>
        </w:rPr>
        <w:lastRenderedPageBreak/>
        <w:endnoteReference w:id="1"/>
      </w:r>
      <w:r w:rsidRPr="00B70D50">
        <w:rPr>
          <w:rFonts w:asciiTheme="majorBidi" w:hAnsiTheme="majorBidi" w:cstheme="majorBidi"/>
          <w:sz w:val="24"/>
          <w:szCs w:val="24"/>
          <w:lang w:val="en-GB"/>
        </w:rPr>
        <w:t>312-327-330-332-340-345</w:t>
      </w:r>
    </w:p>
    <w:p w14:paraId="411430CB" w14:textId="77777777" w:rsidR="00A76D53" w:rsidRPr="00B70D50" w:rsidRDefault="00A76D53" w:rsidP="00A76D53">
      <w:pPr>
        <w:bidi w:val="0"/>
        <w:spacing w:after="0" w:line="300" w:lineRule="exact"/>
        <w:ind w:right="49"/>
        <w:jc w:val="lowKashida"/>
        <w:rPr>
          <w:rFonts w:asciiTheme="majorBidi" w:hAnsiTheme="majorBidi" w:cstheme="majorBidi"/>
          <w:sz w:val="24"/>
          <w:szCs w:val="24"/>
          <w:lang w:val="en-GB"/>
        </w:rPr>
      </w:pPr>
    </w:p>
    <w:p w14:paraId="6D0E427C" w14:textId="427FD1E9" w:rsidR="00421B81" w:rsidRPr="00B70D50" w:rsidRDefault="00421B81"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 xml:space="preserve">Implemented </w:t>
      </w:r>
      <w:r w:rsidR="00E50624" w:rsidRPr="00B70D50">
        <w:rPr>
          <w:rFonts w:asciiTheme="majorBidi" w:hAnsiTheme="majorBidi" w:cstheme="majorBidi"/>
          <w:b/>
          <w:bCs/>
          <w:sz w:val="24"/>
          <w:szCs w:val="24"/>
          <w:u w:val="single"/>
          <w:lang w:val="en-GB"/>
        </w:rPr>
        <w:t>Recommendations</w:t>
      </w:r>
    </w:p>
    <w:p w14:paraId="3CA4BD66" w14:textId="79858B0E" w:rsidR="00E50624" w:rsidRPr="00B70D50" w:rsidRDefault="00E50624"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60</w:t>
      </w:r>
      <w:r w:rsidR="00EB4206" w:rsidRPr="00B70D50">
        <w:rPr>
          <w:rStyle w:val="FootnoteReference"/>
          <w:rFonts w:asciiTheme="majorBidi" w:hAnsiTheme="majorBidi" w:cstheme="majorBidi"/>
          <w:sz w:val="24"/>
          <w:szCs w:val="24"/>
          <w:lang w:val="en-GB"/>
        </w:rPr>
        <w:footnoteReference w:id="11"/>
      </w:r>
      <w:r w:rsidR="006E1062" w:rsidRPr="00B70D50">
        <w:rPr>
          <w:rFonts w:asciiTheme="majorBidi" w:hAnsiTheme="majorBidi" w:cstheme="majorBidi"/>
          <w:sz w:val="24"/>
          <w:szCs w:val="24"/>
          <w:lang w:val="en-GB"/>
        </w:rPr>
        <w:t>-83</w:t>
      </w:r>
      <w:r w:rsidR="00EB4206" w:rsidRPr="00B70D50">
        <w:rPr>
          <w:rStyle w:val="FootnoteReference"/>
          <w:rFonts w:asciiTheme="majorBidi" w:hAnsiTheme="majorBidi" w:cstheme="majorBidi"/>
          <w:sz w:val="24"/>
          <w:szCs w:val="24"/>
          <w:lang w:val="en-GB"/>
        </w:rPr>
        <w:footnoteReference w:id="12"/>
      </w:r>
      <w:r w:rsidR="006E1062" w:rsidRPr="00B70D50">
        <w:rPr>
          <w:rFonts w:asciiTheme="majorBidi" w:hAnsiTheme="majorBidi" w:cstheme="majorBidi"/>
          <w:sz w:val="24"/>
          <w:szCs w:val="24"/>
          <w:lang w:val="en-GB"/>
        </w:rPr>
        <w:t>-93</w:t>
      </w:r>
      <w:r w:rsidR="00782F78" w:rsidRPr="00B70D50">
        <w:rPr>
          <w:rStyle w:val="FootnoteReference"/>
          <w:rFonts w:asciiTheme="majorBidi" w:hAnsiTheme="majorBidi" w:cstheme="majorBidi"/>
          <w:sz w:val="24"/>
          <w:szCs w:val="24"/>
          <w:lang w:val="en-GB"/>
        </w:rPr>
        <w:footnoteReference w:id="13"/>
      </w:r>
      <w:r w:rsidRPr="00B70D50">
        <w:rPr>
          <w:rFonts w:asciiTheme="majorBidi" w:hAnsiTheme="majorBidi" w:cstheme="majorBidi"/>
          <w:sz w:val="24"/>
          <w:szCs w:val="24"/>
          <w:lang w:val="en-GB"/>
        </w:rPr>
        <w:t>-98</w:t>
      </w:r>
      <w:r w:rsidR="00EB4206" w:rsidRPr="00B70D50">
        <w:rPr>
          <w:rStyle w:val="FootnoteReference"/>
          <w:rFonts w:asciiTheme="majorBidi" w:hAnsiTheme="majorBidi" w:cstheme="majorBidi"/>
          <w:sz w:val="24"/>
          <w:szCs w:val="24"/>
          <w:lang w:val="en-GB"/>
        </w:rPr>
        <w:footnoteReference w:id="14"/>
      </w:r>
      <w:r w:rsidRPr="00B70D50">
        <w:rPr>
          <w:rFonts w:asciiTheme="majorBidi" w:hAnsiTheme="majorBidi" w:cstheme="majorBidi"/>
          <w:sz w:val="24"/>
          <w:szCs w:val="24"/>
          <w:lang w:val="en-GB"/>
        </w:rPr>
        <w:t>-102</w:t>
      </w:r>
      <w:r w:rsidR="002840ED" w:rsidRPr="00B70D50">
        <w:rPr>
          <w:rStyle w:val="FootnoteReference"/>
          <w:rFonts w:asciiTheme="majorBidi" w:hAnsiTheme="majorBidi" w:cstheme="majorBidi"/>
          <w:sz w:val="24"/>
          <w:szCs w:val="24"/>
          <w:lang w:val="en-GB"/>
        </w:rPr>
        <w:footnoteReference w:id="15"/>
      </w:r>
      <w:r w:rsidRPr="00B70D50">
        <w:rPr>
          <w:rFonts w:asciiTheme="majorBidi" w:hAnsiTheme="majorBidi" w:cstheme="majorBidi"/>
          <w:sz w:val="24"/>
          <w:szCs w:val="24"/>
          <w:lang w:val="en-GB"/>
        </w:rPr>
        <w:t>-103</w:t>
      </w:r>
      <w:r w:rsidR="009002D9" w:rsidRPr="00B70D50">
        <w:rPr>
          <w:rStyle w:val="FootnoteReference"/>
          <w:rFonts w:asciiTheme="majorBidi" w:hAnsiTheme="majorBidi" w:cstheme="majorBidi"/>
          <w:sz w:val="24"/>
          <w:szCs w:val="24"/>
          <w:lang w:val="en-GB"/>
        </w:rPr>
        <w:footnoteReference w:id="16"/>
      </w:r>
      <w:r w:rsidRPr="00B70D50">
        <w:rPr>
          <w:rFonts w:asciiTheme="majorBidi" w:hAnsiTheme="majorBidi" w:cstheme="majorBidi"/>
          <w:sz w:val="24"/>
          <w:szCs w:val="24"/>
          <w:lang w:val="en-GB"/>
        </w:rPr>
        <w:t>-106</w:t>
      </w:r>
      <w:r w:rsidR="0021608F" w:rsidRPr="00B70D50">
        <w:rPr>
          <w:rStyle w:val="FootnoteReference"/>
          <w:rFonts w:asciiTheme="majorBidi" w:hAnsiTheme="majorBidi" w:cstheme="majorBidi"/>
          <w:sz w:val="24"/>
          <w:szCs w:val="24"/>
          <w:lang w:val="en-GB"/>
        </w:rPr>
        <w:footnoteReference w:id="17"/>
      </w:r>
      <w:r w:rsidRPr="00B70D50">
        <w:rPr>
          <w:rFonts w:asciiTheme="majorBidi" w:hAnsiTheme="majorBidi" w:cstheme="majorBidi"/>
          <w:sz w:val="24"/>
          <w:szCs w:val="24"/>
          <w:lang w:val="en-GB"/>
        </w:rPr>
        <w:t>-109</w:t>
      </w:r>
      <w:r w:rsidR="00D45052" w:rsidRPr="00B70D50">
        <w:rPr>
          <w:rStyle w:val="FootnoteReference"/>
          <w:rFonts w:asciiTheme="majorBidi" w:hAnsiTheme="majorBidi" w:cstheme="majorBidi"/>
          <w:sz w:val="24"/>
          <w:szCs w:val="24"/>
          <w:lang w:val="en-GB"/>
        </w:rPr>
        <w:footnoteReference w:id="18"/>
      </w:r>
      <w:r w:rsidR="00A43CE2" w:rsidRPr="00B70D50">
        <w:rPr>
          <w:rFonts w:asciiTheme="majorBidi" w:hAnsiTheme="majorBidi" w:cstheme="majorBidi"/>
          <w:sz w:val="24"/>
          <w:szCs w:val="24"/>
          <w:lang w:val="en-GB"/>
        </w:rPr>
        <w:t>-134</w:t>
      </w:r>
      <w:r w:rsidR="0005042A" w:rsidRPr="00B70D50">
        <w:rPr>
          <w:rStyle w:val="FootnoteReference"/>
          <w:rFonts w:asciiTheme="majorBidi" w:hAnsiTheme="majorBidi" w:cstheme="majorBidi"/>
          <w:sz w:val="24"/>
          <w:szCs w:val="24"/>
          <w:lang w:val="en-GB"/>
        </w:rPr>
        <w:footnoteReference w:id="19"/>
      </w:r>
      <w:r w:rsidRPr="00B70D50">
        <w:rPr>
          <w:rFonts w:asciiTheme="majorBidi" w:hAnsiTheme="majorBidi" w:cstheme="majorBidi"/>
          <w:sz w:val="24"/>
          <w:szCs w:val="24"/>
          <w:lang w:val="en-GB"/>
        </w:rPr>
        <w:t>-136</w:t>
      </w:r>
      <w:r w:rsidR="0005042A" w:rsidRPr="00B70D50">
        <w:rPr>
          <w:rStyle w:val="FootnoteReference"/>
          <w:rFonts w:asciiTheme="majorBidi" w:hAnsiTheme="majorBidi" w:cstheme="majorBidi"/>
          <w:sz w:val="24"/>
          <w:szCs w:val="24"/>
          <w:lang w:val="en-GB"/>
        </w:rPr>
        <w:footnoteReference w:id="20"/>
      </w:r>
      <w:r w:rsidRPr="00B70D50">
        <w:rPr>
          <w:rFonts w:asciiTheme="majorBidi" w:hAnsiTheme="majorBidi" w:cstheme="majorBidi"/>
          <w:sz w:val="24"/>
          <w:szCs w:val="24"/>
          <w:lang w:val="en-GB"/>
        </w:rPr>
        <w:t>-350</w:t>
      </w:r>
      <w:r w:rsidR="006076EB" w:rsidRPr="00B70D50">
        <w:rPr>
          <w:rStyle w:val="FootnoteReference"/>
          <w:rFonts w:asciiTheme="majorBidi" w:hAnsiTheme="majorBidi" w:cstheme="majorBidi"/>
          <w:sz w:val="24"/>
          <w:szCs w:val="24"/>
          <w:lang w:val="en-GB"/>
        </w:rPr>
        <w:footnoteReference w:id="21"/>
      </w:r>
    </w:p>
    <w:p w14:paraId="3EA0A46D" w14:textId="77777777" w:rsidR="00A76D53" w:rsidRPr="00B70D50" w:rsidRDefault="00A76D53" w:rsidP="00A76D53">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3D15D7A0" w14:textId="79131B61" w:rsidR="0003547E" w:rsidRPr="00B70D50" w:rsidRDefault="0003547E"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lastRenderedPageBreak/>
        <w:t>Factually Incorrect Recommendations:</w:t>
      </w:r>
    </w:p>
    <w:p w14:paraId="09FDF377" w14:textId="0B3F52DF" w:rsidR="0003547E" w:rsidRPr="00B70D50" w:rsidRDefault="00802CBB"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94</w:t>
      </w:r>
      <w:r w:rsidR="009C07A3" w:rsidRPr="00B70D50">
        <w:rPr>
          <w:rStyle w:val="FootnoteReference"/>
          <w:rFonts w:asciiTheme="majorBidi" w:hAnsiTheme="majorBidi" w:cstheme="majorBidi"/>
          <w:sz w:val="24"/>
          <w:szCs w:val="24"/>
          <w:lang w:val="en-GB"/>
        </w:rPr>
        <w:footnoteReference w:id="22"/>
      </w:r>
      <w:r w:rsidRPr="00B70D50">
        <w:rPr>
          <w:rFonts w:asciiTheme="majorBidi" w:hAnsiTheme="majorBidi" w:cstheme="majorBidi"/>
          <w:sz w:val="24"/>
          <w:szCs w:val="24"/>
          <w:lang w:val="en-GB"/>
        </w:rPr>
        <w:t>-</w:t>
      </w:r>
      <w:r w:rsidR="001C17BC" w:rsidRPr="00B70D50">
        <w:rPr>
          <w:rFonts w:asciiTheme="majorBidi" w:hAnsiTheme="majorBidi" w:cstheme="majorBidi"/>
          <w:sz w:val="24"/>
          <w:szCs w:val="24"/>
          <w:lang w:val="en-GB"/>
        </w:rPr>
        <w:t>129</w:t>
      </w:r>
      <w:r w:rsidR="00FB70FF" w:rsidRPr="00B70D50">
        <w:rPr>
          <w:rStyle w:val="FootnoteReference"/>
          <w:rFonts w:asciiTheme="majorBidi" w:hAnsiTheme="majorBidi" w:cstheme="majorBidi"/>
          <w:sz w:val="24"/>
          <w:szCs w:val="24"/>
          <w:lang w:val="en-GB"/>
        </w:rPr>
        <w:footnoteReference w:id="23"/>
      </w:r>
      <w:r w:rsidR="001C17BC" w:rsidRPr="00B70D50">
        <w:rPr>
          <w:rFonts w:asciiTheme="majorBidi" w:hAnsiTheme="majorBidi" w:cstheme="majorBidi"/>
          <w:sz w:val="24"/>
          <w:szCs w:val="24"/>
          <w:lang w:val="en-GB"/>
        </w:rPr>
        <w:t>-</w:t>
      </w:r>
      <w:r w:rsidRPr="00B70D50">
        <w:rPr>
          <w:rFonts w:asciiTheme="majorBidi" w:hAnsiTheme="majorBidi" w:cstheme="majorBidi"/>
          <w:sz w:val="24"/>
          <w:szCs w:val="24"/>
          <w:lang w:val="en-GB"/>
        </w:rPr>
        <w:t>203</w:t>
      </w:r>
      <w:r w:rsidR="00374999" w:rsidRPr="00B70D50">
        <w:rPr>
          <w:rStyle w:val="FootnoteReference"/>
          <w:rFonts w:asciiTheme="majorBidi" w:hAnsiTheme="majorBidi" w:cstheme="majorBidi"/>
          <w:sz w:val="24"/>
          <w:szCs w:val="24"/>
          <w:lang w:val="en-GB"/>
        </w:rPr>
        <w:footnoteReference w:id="24"/>
      </w:r>
      <w:r w:rsidRPr="00B70D50">
        <w:rPr>
          <w:rFonts w:asciiTheme="majorBidi" w:hAnsiTheme="majorBidi" w:cstheme="majorBidi"/>
          <w:sz w:val="24"/>
          <w:szCs w:val="24"/>
          <w:lang w:val="en-GB"/>
        </w:rPr>
        <w:t>-204</w:t>
      </w:r>
      <w:r w:rsidR="00A76FB0" w:rsidRPr="00B70D50">
        <w:rPr>
          <w:rStyle w:val="FootnoteReference"/>
          <w:rFonts w:asciiTheme="majorBidi" w:hAnsiTheme="majorBidi" w:cstheme="majorBidi"/>
          <w:sz w:val="24"/>
          <w:szCs w:val="24"/>
          <w:lang w:val="en-GB"/>
        </w:rPr>
        <w:footnoteReference w:id="25"/>
      </w:r>
    </w:p>
    <w:p w14:paraId="33D0CAC8" w14:textId="77777777" w:rsidR="00A76D53" w:rsidRPr="00B70D50" w:rsidRDefault="00A76D53" w:rsidP="00A76D53">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03502938" w14:textId="77777777" w:rsidR="00382F8A" w:rsidRPr="00B70D50" w:rsidRDefault="00382F8A" w:rsidP="00382F8A">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1D6B5940" w14:textId="109ED32E" w:rsidR="0003547E" w:rsidRPr="00B70D50" w:rsidRDefault="005E5F65"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Un</w:t>
      </w:r>
      <w:r w:rsidR="00B70D50">
        <w:rPr>
          <w:rFonts w:asciiTheme="majorBidi" w:hAnsiTheme="majorBidi" w:cstheme="majorBidi"/>
          <w:b/>
          <w:bCs/>
          <w:sz w:val="24"/>
          <w:szCs w:val="24"/>
          <w:u w:val="single"/>
          <w:lang w:val="en-GB"/>
        </w:rPr>
        <w:t>a</w:t>
      </w:r>
      <w:r w:rsidR="0003547E" w:rsidRPr="00B70D50">
        <w:rPr>
          <w:rFonts w:asciiTheme="majorBidi" w:hAnsiTheme="majorBidi" w:cstheme="majorBidi"/>
          <w:b/>
          <w:bCs/>
          <w:sz w:val="24"/>
          <w:szCs w:val="24"/>
          <w:u w:val="single"/>
          <w:lang w:val="en-GB"/>
        </w:rPr>
        <w:t>ccepted Recommendations:</w:t>
      </w:r>
    </w:p>
    <w:p w14:paraId="7DFA9200" w14:textId="2CE8BF1F" w:rsidR="009068B3" w:rsidRPr="00B70D50" w:rsidRDefault="00150203" w:rsidP="00671925">
      <w:pPr>
        <w:bidi w:val="0"/>
        <w:spacing w:after="0" w:line="300" w:lineRule="exact"/>
        <w:ind w:right="49"/>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92-95</w:t>
      </w:r>
      <w:r w:rsidR="00E7507D" w:rsidRPr="00B70D50">
        <w:rPr>
          <w:rStyle w:val="FootnoteReference"/>
          <w:rFonts w:asciiTheme="majorBidi" w:hAnsiTheme="majorBidi" w:cstheme="majorBidi"/>
          <w:sz w:val="24"/>
          <w:szCs w:val="24"/>
          <w:lang w:val="en-GB"/>
        </w:rPr>
        <w:footnoteReference w:id="26"/>
      </w:r>
      <w:r w:rsidRPr="00B70D50">
        <w:rPr>
          <w:rFonts w:asciiTheme="majorBidi" w:hAnsiTheme="majorBidi" w:cstheme="majorBidi"/>
          <w:sz w:val="24"/>
          <w:szCs w:val="24"/>
          <w:lang w:val="en-GB"/>
        </w:rPr>
        <w:t>-100</w:t>
      </w:r>
      <w:r w:rsidR="00E12062" w:rsidRPr="00B70D50">
        <w:rPr>
          <w:rStyle w:val="FootnoteReference"/>
          <w:rFonts w:asciiTheme="majorBidi" w:hAnsiTheme="majorBidi" w:cstheme="majorBidi"/>
          <w:sz w:val="24"/>
          <w:szCs w:val="24"/>
          <w:lang w:val="en-GB"/>
        </w:rPr>
        <w:footnoteReference w:id="27"/>
      </w:r>
      <w:r w:rsidRPr="00B70D50">
        <w:rPr>
          <w:rFonts w:asciiTheme="majorBidi" w:hAnsiTheme="majorBidi" w:cstheme="majorBidi"/>
          <w:sz w:val="24"/>
          <w:szCs w:val="24"/>
          <w:lang w:val="en-GB"/>
        </w:rPr>
        <w:t>-104</w:t>
      </w:r>
      <w:r w:rsidR="00317056" w:rsidRPr="00B70D50">
        <w:rPr>
          <w:rStyle w:val="FootnoteReference"/>
          <w:rFonts w:asciiTheme="majorBidi" w:hAnsiTheme="majorBidi" w:cstheme="majorBidi"/>
          <w:sz w:val="24"/>
          <w:szCs w:val="24"/>
          <w:lang w:val="en-GB"/>
        </w:rPr>
        <w:footnoteReference w:id="28"/>
      </w:r>
      <w:r w:rsidRPr="00B70D50">
        <w:rPr>
          <w:rFonts w:asciiTheme="majorBidi" w:hAnsiTheme="majorBidi" w:cstheme="majorBidi"/>
          <w:sz w:val="24"/>
          <w:szCs w:val="24"/>
          <w:lang w:val="en-GB"/>
        </w:rPr>
        <w:t>-</w:t>
      </w:r>
      <w:r w:rsidR="00097A8B" w:rsidRPr="00B70D50">
        <w:rPr>
          <w:rFonts w:asciiTheme="majorBidi" w:hAnsiTheme="majorBidi" w:cstheme="majorBidi"/>
          <w:sz w:val="24"/>
          <w:szCs w:val="24"/>
          <w:lang w:val="en-GB"/>
        </w:rPr>
        <w:t>105</w:t>
      </w:r>
      <w:r w:rsidR="00F605B0" w:rsidRPr="00B70D50">
        <w:rPr>
          <w:rStyle w:val="FootnoteReference"/>
          <w:rFonts w:asciiTheme="majorBidi" w:hAnsiTheme="majorBidi" w:cstheme="majorBidi"/>
          <w:sz w:val="24"/>
          <w:szCs w:val="24"/>
          <w:lang w:val="en-GB"/>
        </w:rPr>
        <w:footnoteReference w:id="29"/>
      </w:r>
      <w:r w:rsidRPr="00B70D50">
        <w:rPr>
          <w:rFonts w:asciiTheme="majorBidi" w:hAnsiTheme="majorBidi" w:cstheme="majorBidi"/>
          <w:sz w:val="24"/>
          <w:szCs w:val="24"/>
          <w:lang w:val="en-GB"/>
        </w:rPr>
        <w:t>-110</w:t>
      </w:r>
      <w:r w:rsidR="00B50B39" w:rsidRPr="00B70D50">
        <w:rPr>
          <w:rStyle w:val="FootnoteReference"/>
          <w:rFonts w:asciiTheme="majorBidi" w:hAnsiTheme="majorBidi" w:cstheme="majorBidi"/>
          <w:sz w:val="24"/>
          <w:szCs w:val="24"/>
          <w:lang w:val="en-GB"/>
        </w:rPr>
        <w:footnoteReference w:id="30"/>
      </w:r>
      <w:r w:rsidRPr="00B70D50">
        <w:rPr>
          <w:rFonts w:asciiTheme="majorBidi" w:hAnsiTheme="majorBidi" w:cstheme="majorBidi"/>
          <w:sz w:val="24"/>
          <w:szCs w:val="24"/>
          <w:lang w:val="en-GB"/>
        </w:rPr>
        <w:t>-</w:t>
      </w:r>
      <w:r w:rsidR="009A4340" w:rsidRPr="00B70D50">
        <w:rPr>
          <w:rFonts w:asciiTheme="majorBidi" w:hAnsiTheme="majorBidi" w:cstheme="majorBidi"/>
          <w:sz w:val="24"/>
          <w:szCs w:val="24"/>
          <w:lang w:val="en-GB"/>
        </w:rPr>
        <w:t>111</w:t>
      </w:r>
      <w:r w:rsidR="008A6423" w:rsidRPr="00B70D50">
        <w:rPr>
          <w:rStyle w:val="FootnoteReference"/>
          <w:rFonts w:asciiTheme="majorBidi" w:hAnsiTheme="majorBidi" w:cstheme="majorBidi"/>
          <w:sz w:val="24"/>
          <w:szCs w:val="24"/>
          <w:lang w:val="en-GB"/>
        </w:rPr>
        <w:footnoteReference w:id="31"/>
      </w:r>
      <w:r w:rsidRPr="00B70D50">
        <w:rPr>
          <w:rFonts w:asciiTheme="majorBidi" w:hAnsiTheme="majorBidi" w:cstheme="majorBidi"/>
          <w:sz w:val="24"/>
          <w:szCs w:val="24"/>
          <w:lang w:val="en-GB"/>
        </w:rPr>
        <w:t>-</w:t>
      </w:r>
      <w:r w:rsidR="009A4340" w:rsidRPr="00B70D50">
        <w:rPr>
          <w:rFonts w:asciiTheme="majorBidi" w:hAnsiTheme="majorBidi" w:cstheme="majorBidi"/>
          <w:sz w:val="24"/>
          <w:szCs w:val="24"/>
          <w:lang w:val="en-GB"/>
        </w:rPr>
        <w:t>113</w:t>
      </w:r>
      <w:r w:rsidR="007A265A" w:rsidRPr="00B70D50">
        <w:rPr>
          <w:rStyle w:val="FootnoteReference"/>
          <w:rFonts w:asciiTheme="majorBidi" w:hAnsiTheme="majorBidi" w:cstheme="majorBidi"/>
          <w:sz w:val="24"/>
          <w:szCs w:val="24"/>
          <w:lang w:val="en-GB"/>
        </w:rPr>
        <w:footnoteReference w:id="32"/>
      </w:r>
      <w:r w:rsidRPr="00B70D50">
        <w:rPr>
          <w:rFonts w:asciiTheme="majorBidi" w:hAnsiTheme="majorBidi" w:cstheme="majorBidi"/>
          <w:sz w:val="24"/>
          <w:szCs w:val="24"/>
          <w:lang w:val="en-GB"/>
        </w:rPr>
        <w:t>-</w:t>
      </w:r>
      <w:r w:rsidR="009A4340" w:rsidRPr="00B70D50">
        <w:rPr>
          <w:rFonts w:asciiTheme="majorBidi" w:hAnsiTheme="majorBidi" w:cstheme="majorBidi"/>
          <w:sz w:val="24"/>
          <w:szCs w:val="24"/>
          <w:lang w:val="en-GB"/>
        </w:rPr>
        <w:t>114</w:t>
      </w:r>
      <w:r w:rsidR="002C01E5" w:rsidRPr="00B70D50">
        <w:rPr>
          <w:rStyle w:val="FootnoteReference"/>
          <w:rFonts w:asciiTheme="majorBidi" w:hAnsiTheme="majorBidi" w:cstheme="majorBidi"/>
          <w:sz w:val="24"/>
          <w:szCs w:val="24"/>
          <w:lang w:val="en-GB"/>
        </w:rPr>
        <w:footnoteReference w:id="33"/>
      </w:r>
      <w:r w:rsidRPr="00B70D50">
        <w:rPr>
          <w:rFonts w:asciiTheme="majorBidi" w:hAnsiTheme="majorBidi" w:cstheme="majorBidi"/>
          <w:sz w:val="24"/>
          <w:szCs w:val="24"/>
          <w:lang w:val="en-GB"/>
        </w:rPr>
        <w:t>-356</w:t>
      </w:r>
    </w:p>
    <w:p w14:paraId="268470C6" w14:textId="77777777" w:rsidR="00706286" w:rsidRPr="00B70D50" w:rsidRDefault="00706286" w:rsidP="00706286">
      <w:pPr>
        <w:bidi w:val="0"/>
        <w:spacing w:after="0" w:line="300" w:lineRule="exact"/>
        <w:ind w:right="49"/>
        <w:jc w:val="lowKashida"/>
        <w:rPr>
          <w:rFonts w:asciiTheme="majorBidi" w:hAnsiTheme="majorBidi" w:cstheme="majorBidi"/>
          <w:sz w:val="24"/>
          <w:szCs w:val="24"/>
          <w:lang w:val="en-GB"/>
        </w:rPr>
      </w:pPr>
    </w:p>
    <w:p w14:paraId="265F0446" w14:textId="468AA723" w:rsidR="00D64A3C" w:rsidRPr="00B70D50" w:rsidRDefault="00D64A3C" w:rsidP="00D94202">
      <w:pPr>
        <w:pStyle w:val="ListParagraph"/>
        <w:numPr>
          <w:ilvl w:val="0"/>
          <w:numId w:val="41"/>
        </w:numPr>
        <w:bidi w:val="0"/>
        <w:spacing w:after="0" w:line="300" w:lineRule="exact"/>
        <w:ind w:left="0" w:right="49"/>
        <w:contextualSpacing w:val="0"/>
        <w:jc w:val="both"/>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 xml:space="preserve">Measures and Guarantees of the </w:t>
      </w:r>
      <w:r w:rsidR="00D94202" w:rsidRPr="00B70D50">
        <w:rPr>
          <w:rFonts w:asciiTheme="majorBidi" w:hAnsiTheme="majorBidi" w:cstheme="majorBidi"/>
          <w:b/>
          <w:bCs/>
          <w:sz w:val="24"/>
          <w:szCs w:val="24"/>
          <w:u w:val="single"/>
          <w:lang w:val="en-GB"/>
        </w:rPr>
        <w:t>Judicial System:</w:t>
      </w:r>
    </w:p>
    <w:p w14:paraId="48BC2D8E" w14:textId="52E7E4C1" w:rsidR="00466323" w:rsidRPr="00B70D50" w:rsidRDefault="00536A98" w:rsidP="00E83EE8">
      <w:pPr>
        <w:pStyle w:val="ListParagraph"/>
        <w:numPr>
          <w:ilvl w:val="0"/>
          <w:numId w:val="39"/>
        </w:numPr>
        <w:bidi w:val="0"/>
        <w:spacing w:after="0" w:line="300" w:lineRule="exact"/>
        <w:ind w:left="0" w:right="49"/>
        <w:contextualSpacing w:val="0"/>
        <w:jc w:val="both"/>
        <w:rPr>
          <w:rFonts w:asciiTheme="majorBidi" w:hAnsiTheme="majorBidi" w:cstheme="majorBidi"/>
          <w:sz w:val="24"/>
          <w:szCs w:val="24"/>
          <w:lang w:val="en-GB"/>
        </w:rPr>
      </w:pPr>
      <w:r w:rsidRPr="00B70D50">
        <w:rPr>
          <w:rFonts w:asciiTheme="majorBidi" w:hAnsiTheme="majorBidi" w:cstheme="majorBidi"/>
          <w:sz w:val="24"/>
          <w:szCs w:val="24"/>
          <w:lang w:val="en-GB"/>
        </w:rPr>
        <w:t xml:space="preserve">National legislation </w:t>
      </w:r>
      <w:r w:rsidR="00E83EE8" w:rsidRPr="00B70D50">
        <w:rPr>
          <w:rFonts w:asciiTheme="majorBidi" w:hAnsiTheme="majorBidi" w:cstheme="majorBidi"/>
          <w:sz w:val="24"/>
          <w:szCs w:val="24"/>
          <w:lang w:val="en-GB"/>
        </w:rPr>
        <w:t xml:space="preserve">is rife with the </w:t>
      </w:r>
      <w:r w:rsidR="00286A79" w:rsidRPr="00B70D50">
        <w:rPr>
          <w:rFonts w:asciiTheme="majorBidi" w:hAnsiTheme="majorBidi" w:cstheme="majorBidi"/>
          <w:sz w:val="24"/>
          <w:szCs w:val="24"/>
          <w:lang w:val="en-GB"/>
        </w:rPr>
        <w:t xml:space="preserve">necessary </w:t>
      </w:r>
      <w:r w:rsidR="007E3B5E" w:rsidRPr="00B70D50">
        <w:rPr>
          <w:rFonts w:asciiTheme="majorBidi" w:hAnsiTheme="majorBidi" w:cstheme="majorBidi"/>
          <w:sz w:val="24"/>
          <w:szCs w:val="24"/>
          <w:lang w:val="en-GB"/>
        </w:rPr>
        <w:t>guarantees</w:t>
      </w:r>
      <w:r w:rsidR="00C44C49" w:rsidRPr="00B70D50">
        <w:rPr>
          <w:rFonts w:asciiTheme="majorBidi" w:hAnsiTheme="majorBidi" w:cstheme="majorBidi"/>
          <w:sz w:val="24"/>
          <w:szCs w:val="24"/>
          <w:lang w:val="en-GB"/>
        </w:rPr>
        <w:t xml:space="preserve"> </w:t>
      </w:r>
      <w:r w:rsidR="00286A79" w:rsidRPr="00B70D50">
        <w:rPr>
          <w:rFonts w:asciiTheme="majorBidi" w:hAnsiTheme="majorBidi" w:cstheme="majorBidi"/>
          <w:sz w:val="24"/>
          <w:szCs w:val="24"/>
          <w:lang w:val="en-GB"/>
        </w:rPr>
        <w:t xml:space="preserve">of </w:t>
      </w:r>
      <w:r w:rsidR="007E3B5E" w:rsidRPr="00B70D50">
        <w:rPr>
          <w:rFonts w:asciiTheme="majorBidi" w:hAnsiTheme="majorBidi" w:cstheme="majorBidi"/>
          <w:sz w:val="24"/>
          <w:szCs w:val="24"/>
          <w:lang w:val="en-GB"/>
        </w:rPr>
        <w:t xml:space="preserve">fair </w:t>
      </w:r>
      <w:r w:rsidR="00286A79" w:rsidRPr="00B70D50">
        <w:rPr>
          <w:rFonts w:asciiTheme="majorBidi" w:hAnsiTheme="majorBidi" w:cstheme="majorBidi"/>
          <w:sz w:val="24"/>
          <w:szCs w:val="24"/>
          <w:lang w:val="en-GB"/>
        </w:rPr>
        <w:t>trial</w:t>
      </w:r>
      <w:r w:rsidR="00C44C49" w:rsidRPr="00B70D50">
        <w:rPr>
          <w:rFonts w:asciiTheme="majorBidi" w:hAnsiTheme="majorBidi" w:cstheme="majorBidi"/>
          <w:sz w:val="24"/>
          <w:szCs w:val="24"/>
          <w:lang w:val="en-GB"/>
        </w:rPr>
        <w:t>,</w:t>
      </w:r>
      <w:r w:rsidR="007E3B5E" w:rsidRPr="00B70D50">
        <w:rPr>
          <w:rFonts w:asciiTheme="majorBidi" w:hAnsiTheme="majorBidi" w:cstheme="majorBidi"/>
          <w:sz w:val="24"/>
          <w:szCs w:val="24"/>
          <w:lang w:val="en-GB"/>
        </w:rPr>
        <w:t xml:space="preserve"> in </w:t>
      </w:r>
      <w:r w:rsidR="00E83EE8" w:rsidRPr="00B70D50">
        <w:rPr>
          <w:rFonts w:asciiTheme="majorBidi" w:hAnsiTheme="majorBidi" w:cstheme="majorBidi"/>
          <w:sz w:val="24"/>
          <w:szCs w:val="24"/>
          <w:lang w:val="en-GB"/>
        </w:rPr>
        <w:t xml:space="preserve">accordance </w:t>
      </w:r>
      <w:r w:rsidR="007E3B5E" w:rsidRPr="00B70D50">
        <w:rPr>
          <w:rFonts w:asciiTheme="majorBidi" w:hAnsiTheme="majorBidi" w:cstheme="majorBidi"/>
          <w:sz w:val="24"/>
          <w:szCs w:val="24"/>
          <w:lang w:val="en-GB"/>
        </w:rPr>
        <w:t xml:space="preserve">with international standards. </w:t>
      </w:r>
      <w:r w:rsidR="009D28C6" w:rsidRPr="00B70D50">
        <w:rPr>
          <w:rFonts w:asciiTheme="majorBidi" w:hAnsiTheme="majorBidi" w:cstheme="majorBidi"/>
          <w:sz w:val="24"/>
          <w:szCs w:val="24"/>
          <w:lang w:val="en-GB"/>
        </w:rPr>
        <w:t>Thereupon</w:t>
      </w:r>
      <w:r w:rsidR="00392BF3" w:rsidRPr="00B70D50">
        <w:rPr>
          <w:rFonts w:asciiTheme="majorBidi" w:hAnsiTheme="majorBidi" w:cstheme="majorBidi"/>
          <w:sz w:val="24"/>
          <w:szCs w:val="24"/>
          <w:lang w:val="en-GB"/>
        </w:rPr>
        <w:t xml:space="preserve">, the State is fully committed to observe the principle </w:t>
      </w:r>
      <w:r w:rsidR="00392BF3" w:rsidRPr="00B70D50">
        <w:rPr>
          <w:rFonts w:asciiTheme="majorBidi" w:hAnsiTheme="majorBidi" w:cstheme="majorBidi"/>
          <w:sz w:val="24"/>
          <w:szCs w:val="24"/>
          <w:lang w:val="en-GB"/>
        </w:rPr>
        <w:lastRenderedPageBreak/>
        <w:t>of separation of powers</w:t>
      </w:r>
      <w:r w:rsidR="00E83EE8" w:rsidRPr="00B70D50">
        <w:rPr>
          <w:rFonts w:asciiTheme="majorBidi" w:hAnsiTheme="majorBidi" w:cstheme="majorBidi"/>
          <w:sz w:val="24"/>
          <w:szCs w:val="24"/>
          <w:lang w:val="en-GB"/>
        </w:rPr>
        <w:t xml:space="preserve">. Egypt is also committed to </w:t>
      </w:r>
      <w:r w:rsidR="00466323" w:rsidRPr="00B70D50">
        <w:rPr>
          <w:rFonts w:asciiTheme="majorBidi" w:hAnsiTheme="majorBidi" w:cstheme="majorBidi"/>
          <w:sz w:val="24"/>
          <w:szCs w:val="24"/>
          <w:lang w:val="en-GB"/>
        </w:rPr>
        <w:t>respect</w:t>
      </w:r>
      <w:r w:rsidR="00E83EE8" w:rsidRPr="00B70D50">
        <w:rPr>
          <w:rFonts w:asciiTheme="majorBidi" w:hAnsiTheme="majorBidi" w:cstheme="majorBidi"/>
          <w:sz w:val="24"/>
          <w:szCs w:val="24"/>
          <w:lang w:val="en-GB"/>
        </w:rPr>
        <w:t>ing</w:t>
      </w:r>
      <w:r w:rsidR="00466323" w:rsidRPr="00B70D50">
        <w:rPr>
          <w:rFonts w:asciiTheme="majorBidi" w:hAnsiTheme="majorBidi" w:cstheme="majorBidi"/>
          <w:sz w:val="24"/>
          <w:szCs w:val="24"/>
          <w:lang w:val="en-GB"/>
        </w:rPr>
        <w:t xml:space="preserve"> and </w:t>
      </w:r>
      <w:r w:rsidR="00392BF3" w:rsidRPr="00B70D50">
        <w:rPr>
          <w:rFonts w:asciiTheme="majorBidi" w:hAnsiTheme="majorBidi" w:cstheme="majorBidi"/>
          <w:sz w:val="24"/>
          <w:szCs w:val="24"/>
          <w:lang w:val="en-GB"/>
        </w:rPr>
        <w:t>strengthen</w:t>
      </w:r>
      <w:r w:rsidR="00E83EE8" w:rsidRPr="00B70D50">
        <w:rPr>
          <w:rFonts w:asciiTheme="majorBidi" w:hAnsiTheme="majorBidi" w:cstheme="majorBidi"/>
          <w:sz w:val="24"/>
          <w:szCs w:val="24"/>
          <w:lang w:val="en-GB"/>
        </w:rPr>
        <w:t xml:space="preserve">ing the </w:t>
      </w:r>
      <w:r w:rsidR="0034190D" w:rsidRPr="00B70D50">
        <w:rPr>
          <w:rFonts w:asciiTheme="majorBidi" w:hAnsiTheme="majorBidi" w:cstheme="majorBidi"/>
          <w:sz w:val="24"/>
          <w:szCs w:val="24"/>
          <w:lang w:val="en-GB"/>
        </w:rPr>
        <w:t>independence of the judiciary</w:t>
      </w:r>
      <w:r w:rsidR="00E83EE8" w:rsidRPr="00B70D50">
        <w:rPr>
          <w:rFonts w:asciiTheme="majorBidi" w:hAnsiTheme="majorBidi" w:cstheme="majorBidi"/>
          <w:sz w:val="24"/>
          <w:szCs w:val="24"/>
          <w:lang w:val="en-GB"/>
        </w:rPr>
        <w:t>, as</w:t>
      </w:r>
      <w:r w:rsidR="0034190D" w:rsidRPr="00B70D50">
        <w:rPr>
          <w:rFonts w:asciiTheme="majorBidi" w:hAnsiTheme="majorBidi" w:cstheme="majorBidi"/>
          <w:sz w:val="24"/>
          <w:szCs w:val="24"/>
          <w:lang w:val="en-GB"/>
        </w:rPr>
        <w:t xml:space="preserve"> the </w:t>
      </w:r>
      <w:r w:rsidR="00E83EE8" w:rsidRPr="00B70D50">
        <w:rPr>
          <w:rFonts w:asciiTheme="majorBidi" w:hAnsiTheme="majorBidi" w:cstheme="majorBidi"/>
          <w:sz w:val="24"/>
          <w:szCs w:val="24"/>
          <w:lang w:val="en-GB"/>
        </w:rPr>
        <w:t xml:space="preserve">fundamental </w:t>
      </w:r>
      <w:r w:rsidR="00C153F6" w:rsidRPr="00B70D50">
        <w:rPr>
          <w:rFonts w:asciiTheme="majorBidi" w:hAnsiTheme="majorBidi" w:cstheme="majorBidi"/>
          <w:sz w:val="24"/>
          <w:szCs w:val="24"/>
          <w:lang w:val="en-GB"/>
        </w:rPr>
        <w:t xml:space="preserve">guarantee </w:t>
      </w:r>
      <w:r w:rsidR="00E83EE8" w:rsidRPr="00B70D50">
        <w:rPr>
          <w:rFonts w:asciiTheme="majorBidi" w:hAnsiTheme="majorBidi" w:cstheme="majorBidi"/>
          <w:sz w:val="24"/>
          <w:szCs w:val="24"/>
          <w:lang w:val="en-GB"/>
        </w:rPr>
        <w:t xml:space="preserve">for the protection of </w:t>
      </w:r>
      <w:r w:rsidR="00C153F6" w:rsidRPr="00B70D50">
        <w:rPr>
          <w:rFonts w:asciiTheme="majorBidi" w:hAnsiTheme="majorBidi" w:cstheme="majorBidi"/>
          <w:sz w:val="24"/>
          <w:szCs w:val="24"/>
          <w:lang w:val="en-GB"/>
        </w:rPr>
        <w:t>human rights and</w:t>
      </w:r>
      <w:r w:rsidR="0034190D" w:rsidRPr="00B70D50">
        <w:rPr>
          <w:rFonts w:asciiTheme="majorBidi" w:hAnsiTheme="majorBidi" w:cstheme="majorBidi"/>
          <w:sz w:val="24"/>
          <w:szCs w:val="24"/>
          <w:lang w:val="en-GB"/>
        </w:rPr>
        <w:t xml:space="preserve"> </w:t>
      </w:r>
      <w:r w:rsidR="00C153F6" w:rsidRPr="00B70D50">
        <w:rPr>
          <w:rFonts w:asciiTheme="majorBidi" w:hAnsiTheme="majorBidi" w:cstheme="majorBidi"/>
          <w:sz w:val="24"/>
          <w:szCs w:val="24"/>
          <w:lang w:val="en-GB"/>
        </w:rPr>
        <w:t xml:space="preserve">fundamental freedoms. </w:t>
      </w:r>
      <w:r w:rsidR="00C153F6" w:rsidRPr="00B70D50">
        <w:rPr>
          <w:rFonts w:asciiTheme="majorBidi" w:hAnsiTheme="majorBidi" w:cstheme="majorBidi"/>
          <w:b/>
          <w:bCs/>
          <w:sz w:val="24"/>
          <w:szCs w:val="24"/>
          <w:lang w:val="en-GB"/>
        </w:rPr>
        <w:t>Therefore</w:t>
      </w:r>
      <w:r w:rsidR="00C153F6" w:rsidRPr="00B70D50">
        <w:rPr>
          <w:rFonts w:asciiTheme="majorBidi" w:hAnsiTheme="majorBidi" w:cstheme="majorBidi"/>
          <w:sz w:val="24"/>
          <w:szCs w:val="24"/>
          <w:lang w:val="en-GB"/>
        </w:rPr>
        <w:t>:</w:t>
      </w:r>
    </w:p>
    <w:p w14:paraId="3A6B1769" w14:textId="77777777" w:rsidR="00E83EE8" w:rsidRPr="00B70D50" w:rsidRDefault="00E83EE8" w:rsidP="00E83EE8">
      <w:pPr>
        <w:pStyle w:val="ListParagraph"/>
        <w:bidi w:val="0"/>
        <w:spacing w:after="0" w:line="300" w:lineRule="exact"/>
        <w:ind w:left="0" w:right="49"/>
        <w:contextualSpacing w:val="0"/>
        <w:jc w:val="both"/>
        <w:rPr>
          <w:rFonts w:asciiTheme="majorBidi" w:hAnsiTheme="majorBidi" w:cstheme="majorBidi"/>
          <w:b/>
          <w:bCs/>
          <w:sz w:val="24"/>
          <w:szCs w:val="24"/>
          <w:lang w:val="en-GB"/>
        </w:rPr>
      </w:pPr>
    </w:p>
    <w:p w14:paraId="18B08B81" w14:textId="2C5F3A62" w:rsidR="00581682" w:rsidRPr="00B70D50" w:rsidRDefault="00581682"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Fully Accepted Recommendations:</w:t>
      </w:r>
    </w:p>
    <w:p w14:paraId="47E49A4C" w14:textId="7E1BCDBB" w:rsidR="00581682" w:rsidRPr="00B70D50" w:rsidRDefault="00581682"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68-69-74-77-82-101</w:t>
      </w:r>
      <w:r w:rsidR="00870AFA" w:rsidRPr="00B70D50">
        <w:rPr>
          <w:rStyle w:val="FootnoteReference"/>
          <w:rFonts w:asciiTheme="majorBidi" w:hAnsiTheme="majorBidi" w:cstheme="majorBidi"/>
          <w:sz w:val="24"/>
          <w:szCs w:val="24"/>
          <w:lang w:val="en-GB"/>
        </w:rPr>
        <w:footnoteReference w:id="34"/>
      </w:r>
      <w:r w:rsidRPr="00B70D50">
        <w:rPr>
          <w:rFonts w:asciiTheme="majorBidi" w:hAnsiTheme="majorBidi" w:cstheme="majorBidi"/>
          <w:sz w:val="24"/>
          <w:szCs w:val="24"/>
          <w:lang w:val="en-GB"/>
        </w:rPr>
        <w:t>-127-143-145-147-149-150</w:t>
      </w:r>
    </w:p>
    <w:p w14:paraId="59DB4DF2"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2800258F" w14:textId="1E02169E" w:rsidR="00581682" w:rsidRPr="00B70D50" w:rsidRDefault="00581682"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Partially Accepted Recommendations:</w:t>
      </w:r>
    </w:p>
    <w:p w14:paraId="28ADB186" w14:textId="3D6534BA" w:rsidR="00581682" w:rsidRPr="00B70D50" w:rsidRDefault="00235E1D"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11-79-96-116-128-142-146-148</w:t>
      </w:r>
    </w:p>
    <w:p w14:paraId="456F4C9F"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450AD1CE" w14:textId="7108870D" w:rsidR="002A22C0" w:rsidRPr="00B70D50" w:rsidRDefault="002A22C0"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Implemented Recommendations</w:t>
      </w:r>
    </w:p>
    <w:p w14:paraId="6F31F4EE" w14:textId="4504BBAF" w:rsidR="002A22C0" w:rsidRPr="00B70D50" w:rsidRDefault="002A22C0" w:rsidP="00CA262C">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84</w:t>
      </w:r>
      <w:r w:rsidR="005F0F05" w:rsidRPr="00B70D50">
        <w:rPr>
          <w:rStyle w:val="FootnoteReference"/>
          <w:rFonts w:asciiTheme="majorBidi" w:hAnsiTheme="majorBidi" w:cstheme="majorBidi"/>
          <w:sz w:val="24"/>
          <w:szCs w:val="24"/>
          <w:lang w:val="en-GB"/>
        </w:rPr>
        <w:footnoteReference w:id="35"/>
      </w:r>
      <w:r w:rsidRPr="00B70D50">
        <w:rPr>
          <w:rFonts w:asciiTheme="majorBidi" w:hAnsiTheme="majorBidi" w:cstheme="majorBidi"/>
          <w:sz w:val="24"/>
          <w:szCs w:val="24"/>
          <w:lang w:val="en-GB"/>
        </w:rPr>
        <w:t>-85</w:t>
      </w:r>
      <w:r w:rsidR="00D00224" w:rsidRPr="00B70D50">
        <w:rPr>
          <w:rStyle w:val="FootnoteReference"/>
          <w:rFonts w:asciiTheme="majorBidi" w:hAnsiTheme="majorBidi" w:cstheme="majorBidi"/>
          <w:sz w:val="24"/>
          <w:szCs w:val="24"/>
          <w:lang w:val="en-GB"/>
        </w:rPr>
        <w:footnoteReference w:id="36"/>
      </w:r>
    </w:p>
    <w:p w14:paraId="3772AD4E"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2A801B9A" w14:textId="55053D3B" w:rsidR="00581682" w:rsidRPr="00B70D50" w:rsidRDefault="00581682"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Factually Incorrect Recommendations:</w:t>
      </w:r>
    </w:p>
    <w:p w14:paraId="0FAFA616" w14:textId="77DB1A34" w:rsidR="00581682" w:rsidRPr="00B70D50" w:rsidRDefault="002A22C0" w:rsidP="00CA262C">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lastRenderedPageBreak/>
        <w:t>125</w:t>
      </w:r>
      <w:r w:rsidR="00B66D62" w:rsidRPr="00B70D50">
        <w:rPr>
          <w:rStyle w:val="FootnoteReference"/>
          <w:rFonts w:asciiTheme="majorBidi" w:hAnsiTheme="majorBidi" w:cstheme="majorBidi"/>
          <w:sz w:val="24"/>
          <w:szCs w:val="24"/>
          <w:lang w:val="en-GB"/>
        </w:rPr>
        <w:footnoteReference w:id="37"/>
      </w:r>
      <w:r w:rsidR="00235E1D" w:rsidRPr="00B70D50">
        <w:rPr>
          <w:rFonts w:asciiTheme="majorBidi" w:hAnsiTheme="majorBidi" w:cstheme="majorBidi"/>
          <w:sz w:val="24"/>
          <w:szCs w:val="24"/>
          <w:lang w:val="en-GB"/>
        </w:rPr>
        <w:t>-</w:t>
      </w:r>
      <w:r w:rsidRPr="00B70D50">
        <w:rPr>
          <w:rFonts w:asciiTheme="majorBidi" w:hAnsiTheme="majorBidi" w:cstheme="majorBidi"/>
          <w:sz w:val="24"/>
          <w:szCs w:val="24"/>
          <w:lang w:val="en-GB"/>
        </w:rPr>
        <w:t>130</w:t>
      </w:r>
      <w:r w:rsidR="00DA4B78" w:rsidRPr="00B70D50">
        <w:rPr>
          <w:rStyle w:val="FootnoteReference"/>
          <w:rFonts w:asciiTheme="majorBidi" w:hAnsiTheme="majorBidi" w:cstheme="majorBidi"/>
          <w:sz w:val="24"/>
          <w:szCs w:val="24"/>
          <w:lang w:val="en-GB"/>
        </w:rPr>
        <w:footnoteReference w:id="38"/>
      </w:r>
      <w:r w:rsidR="00235E1D" w:rsidRPr="00B70D50">
        <w:rPr>
          <w:rFonts w:asciiTheme="majorBidi" w:hAnsiTheme="majorBidi" w:cstheme="majorBidi"/>
          <w:sz w:val="24"/>
          <w:szCs w:val="24"/>
          <w:lang w:val="en-GB"/>
        </w:rPr>
        <w:t>-201</w:t>
      </w:r>
      <w:r w:rsidR="008D513E" w:rsidRPr="00B70D50">
        <w:rPr>
          <w:rStyle w:val="FootnoteReference"/>
          <w:rFonts w:asciiTheme="majorBidi" w:hAnsiTheme="majorBidi" w:cstheme="majorBidi"/>
          <w:sz w:val="24"/>
          <w:szCs w:val="24"/>
          <w:lang w:val="en-GB"/>
        </w:rPr>
        <w:footnoteReference w:id="39"/>
      </w:r>
    </w:p>
    <w:p w14:paraId="262368A8"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6C548D10" w14:textId="77777777" w:rsidR="00382F8A" w:rsidRPr="00B70D50" w:rsidRDefault="00382F8A" w:rsidP="00382F8A">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26CFD6D2" w14:textId="7C848E73" w:rsidR="00581682" w:rsidRPr="00B70D50" w:rsidRDefault="00BA33C8"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Hostile Recommendation</w:t>
      </w:r>
      <w:r w:rsidR="00581682" w:rsidRPr="00B70D50">
        <w:rPr>
          <w:rFonts w:asciiTheme="majorBidi" w:hAnsiTheme="majorBidi" w:cstheme="majorBidi"/>
          <w:b/>
          <w:bCs/>
          <w:sz w:val="24"/>
          <w:szCs w:val="24"/>
          <w:u w:val="single"/>
          <w:lang w:val="en-GB"/>
        </w:rPr>
        <w:t>:</w:t>
      </w:r>
    </w:p>
    <w:p w14:paraId="05381888" w14:textId="7B669C68" w:rsidR="00BA33C8" w:rsidRPr="00B70D50" w:rsidRDefault="00BA33C8"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144</w:t>
      </w:r>
    </w:p>
    <w:p w14:paraId="41E72549" w14:textId="77777777" w:rsidR="00706286" w:rsidRPr="00B70D50" w:rsidRDefault="00706286" w:rsidP="00382F8A">
      <w:pPr>
        <w:pStyle w:val="ListParagraph"/>
        <w:bidi w:val="0"/>
        <w:spacing w:before="260" w:after="0" w:line="300" w:lineRule="exact"/>
        <w:ind w:left="0" w:right="51"/>
        <w:contextualSpacing w:val="0"/>
        <w:jc w:val="lowKashida"/>
        <w:rPr>
          <w:rFonts w:asciiTheme="majorBidi" w:hAnsiTheme="majorBidi" w:cstheme="majorBidi"/>
          <w:sz w:val="24"/>
          <w:szCs w:val="24"/>
          <w:lang w:val="en-GB" w:bidi="ar-EG"/>
        </w:rPr>
      </w:pPr>
    </w:p>
    <w:p w14:paraId="61F208D4" w14:textId="7F8B67F8" w:rsidR="00142870" w:rsidRPr="00B70D50" w:rsidRDefault="00706286" w:rsidP="00D94202">
      <w:pPr>
        <w:pStyle w:val="ListParagraph"/>
        <w:numPr>
          <w:ilvl w:val="0"/>
          <w:numId w:val="41"/>
        </w:numPr>
        <w:bidi w:val="0"/>
        <w:spacing w:after="0" w:line="300" w:lineRule="exact"/>
        <w:ind w:left="0" w:right="49"/>
        <w:contextualSpacing w:val="0"/>
        <w:jc w:val="both"/>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 xml:space="preserve">Promoting </w:t>
      </w:r>
      <w:r w:rsidR="00142870" w:rsidRPr="00B70D50">
        <w:rPr>
          <w:rFonts w:asciiTheme="majorBidi" w:hAnsiTheme="majorBidi" w:cstheme="majorBidi"/>
          <w:b/>
          <w:bCs/>
          <w:sz w:val="24"/>
          <w:szCs w:val="24"/>
          <w:u w:val="single"/>
          <w:lang w:val="en-GB"/>
        </w:rPr>
        <w:t xml:space="preserve">Human Rights Culture, </w:t>
      </w:r>
      <w:r w:rsidR="00D94202" w:rsidRPr="00B70D50">
        <w:rPr>
          <w:rFonts w:asciiTheme="majorBidi" w:hAnsiTheme="majorBidi" w:cstheme="majorBidi"/>
          <w:b/>
          <w:bCs/>
          <w:sz w:val="24"/>
          <w:szCs w:val="24"/>
          <w:u w:val="single"/>
          <w:lang w:val="en-GB"/>
        </w:rPr>
        <w:t xml:space="preserve">Learning </w:t>
      </w:r>
      <w:r w:rsidR="00142870" w:rsidRPr="00B70D50">
        <w:rPr>
          <w:rFonts w:asciiTheme="majorBidi" w:hAnsiTheme="majorBidi" w:cstheme="majorBidi"/>
          <w:b/>
          <w:bCs/>
          <w:sz w:val="24"/>
          <w:szCs w:val="24"/>
          <w:u w:val="single"/>
          <w:lang w:val="en-GB"/>
        </w:rPr>
        <w:t>and Training:</w:t>
      </w:r>
    </w:p>
    <w:p w14:paraId="29080FAF" w14:textId="381837D8" w:rsidR="00DC384D" w:rsidRPr="00B70D50" w:rsidRDefault="00467AC3" w:rsidP="00CA262C">
      <w:pPr>
        <w:pStyle w:val="ListParagraph"/>
        <w:numPr>
          <w:ilvl w:val="0"/>
          <w:numId w:val="39"/>
        </w:numPr>
        <w:bidi w:val="0"/>
        <w:spacing w:after="0" w:line="300" w:lineRule="exact"/>
        <w:ind w:left="0" w:right="49"/>
        <w:contextualSpacing w:val="0"/>
        <w:jc w:val="both"/>
        <w:rPr>
          <w:rFonts w:asciiTheme="majorBidi" w:hAnsiTheme="majorBidi" w:cstheme="majorBidi"/>
          <w:b/>
          <w:bCs/>
          <w:sz w:val="24"/>
          <w:szCs w:val="24"/>
          <w:lang w:val="en-GB"/>
        </w:rPr>
      </w:pPr>
      <w:r w:rsidRPr="00B70D50">
        <w:rPr>
          <w:rFonts w:asciiTheme="majorBidi" w:hAnsiTheme="majorBidi" w:cstheme="majorBidi"/>
          <w:sz w:val="24"/>
          <w:szCs w:val="24"/>
          <w:lang w:val="en-GB"/>
        </w:rPr>
        <w:t xml:space="preserve">The </w:t>
      </w:r>
      <w:r w:rsidR="00774842" w:rsidRPr="00B70D50">
        <w:rPr>
          <w:rFonts w:asciiTheme="majorBidi" w:hAnsiTheme="majorBidi" w:cstheme="majorBidi"/>
          <w:sz w:val="24"/>
          <w:szCs w:val="24"/>
          <w:lang w:val="en-GB"/>
        </w:rPr>
        <w:t xml:space="preserve">government </w:t>
      </w:r>
      <w:r w:rsidR="00CA262C" w:rsidRPr="00B70D50">
        <w:rPr>
          <w:rFonts w:asciiTheme="majorBidi" w:hAnsiTheme="majorBidi" w:cstheme="majorBidi"/>
          <w:sz w:val="24"/>
          <w:szCs w:val="24"/>
          <w:lang w:val="en-GB"/>
        </w:rPr>
        <w:t xml:space="preserve">endeavours </w:t>
      </w:r>
      <w:r w:rsidR="00774842" w:rsidRPr="00B70D50">
        <w:rPr>
          <w:rFonts w:asciiTheme="majorBidi" w:hAnsiTheme="majorBidi" w:cstheme="majorBidi"/>
          <w:sz w:val="24"/>
          <w:szCs w:val="24"/>
          <w:lang w:val="en-GB"/>
        </w:rPr>
        <w:t xml:space="preserve">to carry out </w:t>
      </w:r>
      <w:r w:rsidR="00EF03BF" w:rsidRPr="00B70D50">
        <w:rPr>
          <w:rFonts w:asciiTheme="majorBidi" w:hAnsiTheme="majorBidi" w:cstheme="majorBidi"/>
          <w:sz w:val="24"/>
          <w:szCs w:val="24"/>
          <w:lang w:val="en-GB"/>
        </w:rPr>
        <w:t xml:space="preserve">activities </w:t>
      </w:r>
      <w:r w:rsidR="00774842" w:rsidRPr="00B70D50">
        <w:rPr>
          <w:rFonts w:asciiTheme="majorBidi" w:hAnsiTheme="majorBidi" w:cstheme="majorBidi"/>
          <w:sz w:val="24"/>
          <w:szCs w:val="24"/>
          <w:lang w:val="en-GB"/>
        </w:rPr>
        <w:t>and program</w:t>
      </w:r>
      <w:r w:rsidR="0096193E" w:rsidRPr="00B70D50">
        <w:rPr>
          <w:rFonts w:asciiTheme="majorBidi" w:hAnsiTheme="majorBidi" w:cstheme="majorBidi"/>
          <w:sz w:val="24"/>
          <w:szCs w:val="24"/>
          <w:lang w:val="en-GB"/>
        </w:rPr>
        <w:t>me</w:t>
      </w:r>
      <w:r w:rsidR="00774842" w:rsidRPr="00B70D50">
        <w:rPr>
          <w:rFonts w:asciiTheme="majorBidi" w:hAnsiTheme="majorBidi" w:cstheme="majorBidi"/>
          <w:sz w:val="24"/>
          <w:szCs w:val="24"/>
          <w:lang w:val="en-GB"/>
        </w:rPr>
        <w:t>s to</w:t>
      </w:r>
      <w:r w:rsidR="00CA262C" w:rsidRPr="00B70D50">
        <w:rPr>
          <w:rFonts w:asciiTheme="majorBidi" w:hAnsiTheme="majorBidi" w:cstheme="majorBidi"/>
          <w:sz w:val="24"/>
          <w:szCs w:val="24"/>
          <w:lang w:val="en-GB"/>
        </w:rPr>
        <w:t xml:space="preserve"> spread human rights culture</w:t>
      </w:r>
      <w:r w:rsidR="009F13CC" w:rsidRPr="00B70D50">
        <w:rPr>
          <w:rFonts w:asciiTheme="majorBidi" w:hAnsiTheme="majorBidi" w:cstheme="majorBidi"/>
          <w:sz w:val="24"/>
          <w:szCs w:val="24"/>
          <w:lang w:val="en-GB"/>
        </w:rPr>
        <w:t>,</w:t>
      </w:r>
      <w:r w:rsidR="00B70D50">
        <w:rPr>
          <w:rFonts w:asciiTheme="majorBidi" w:hAnsiTheme="majorBidi" w:cstheme="majorBidi"/>
          <w:sz w:val="24"/>
          <w:szCs w:val="24"/>
          <w:lang w:val="en-GB"/>
        </w:rPr>
        <w:t xml:space="preserve"> </w:t>
      </w:r>
      <w:r w:rsidR="00CA262C" w:rsidRPr="00B70D50">
        <w:rPr>
          <w:rFonts w:asciiTheme="majorBidi" w:hAnsiTheme="majorBidi" w:cstheme="majorBidi"/>
          <w:sz w:val="24"/>
          <w:szCs w:val="24"/>
          <w:lang w:val="en-GB"/>
        </w:rPr>
        <w:t xml:space="preserve">whether in academic curricula of </w:t>
      </w:r>
      <w:r w:rsidR="00307441" w:rsidRPr="00B70D50">
        <w:rPr>
          <w:rFonts w:asciiTheme="majorBidi" w:hAnsiTheme="majorBidi" w:cstheme="majorBidi"/>
          <w:sz w:val="24"/>
          <w:szCs w:val="24"/>
          <w:lang w:val="en-GB"/>
        </w:rPr>
        <w:t xml:space="preserve">basic, secondary and university education, or </w:t>
      </w:r>
      <w:r w:rsidR="00CA262C" w:rsidRPr="00B70D50">
        <w:rPr>
          <w:rFonts w:asciiTheme="majorBidi" w:hAnsiTheme="majorBidi" w:cstheme="majorBidi"/>
          <w:sz w:val="24"/>
          <w:szCs w:val="24"/>
          <w:lang w:val="en-GB"/>
        </w:rPr>
        <w:t xml:space="preserve">through the </w:t>
      </w:r>
      <w:r w:rsidR="00307441" w:rsidRPr="00B70D50">
        <w:rPr>
          <w:rFonts w:asciiTheme="majorBidi" w:hAnsiTheme="majorBidi" w:cstheme="majorBidi"/>
          <w:sz w:val="24"/>
          <w:szCs w:val="24"/>
          <w:lang w:val="en-GB"/>
        </w:rPr>
        <w:t xml:space="preserve">training for </w:t>
      </w:r>
      <w:r w:rsidR="00DC384D" w:rsidRPr="00B70D50">
        <w:rPr>
          <w:rFonts w:asciiTheme="majorBidi" w:hAnsiTheme="majorBidi" w:cstheme="majorBidi"/>
          <w:sz w:val="24"/>
          <w:szCs w:val="24"/>
          <w:lang w:val="en-GB"/>
        </w:rPr>
        <w:t>public officials</w:t>
      </w:r>
      <w:r w:rsidR="00307441" w:rsidRPr="00B70D50">
        <w:rPr>
          <w:rFonts w:asciiTheme="majorBidi" w:hAnsiTheme="majorBidi" w:cstheme="majorBidi"/>
          <w:sz w:val="24"/>
          <w:szCs w:val="24"/>
          <w:lang w:val="en-GB"/>
        </w:rPr>
        <w:t xml:space="preserve"> and law</w:t>
      </w:r>
      <w:r w:rsidR="00CA262C" w:rsidRPr="00B70D50">
        <w:rPr>
          <w:rFonts w:asciiTheme="majorBidi" w:hAnsiTheme="majorBidi" w:cstheme="majorBidi"/>
          <w:sz w:val="24"/>
          <w:szCs w:val="24"/>
          <w:lang w:val="en-GB"/>
        </w:rPr>
        <w:t xml:space="preserve"> </w:t>
      </w:r>
      <w:r w:rsidR="00307441" w:rsidRPr="00B70D50">
        <w:rPr>
          <w:rFonts w:asciiTheme="majorBidi" w:hAnsiTheme="majorBidi" w:cstheme="majorBidi"/>
          <w:sz w:val="24"/>
          <w:szCs w:val="24"/>
          <w:lang w:val="en-GB"/>
        </w:rPr>
        <w:t xml:space="preserve">enforcement </w:t>
      </w:r>
      <w:r w:rsidR="00DC384D" w:rsidRPr="00B70D50">
        <w:rPr>
          <w:rFonts w:asciiTheme="majorBidi" w:hAnsiTheme="majorBidi" w:cstheme="majorBidi"/>
          <w:sz w:val="24"/>
          <w:szCs w:val="24"/>
          <w:lang w:val="en-GB"/>
        </w:rPr>
        <w:t>personnel</w:t>
      </w:r>
      <w:r w:rsidR="00307441" w:rsidRPr="00B70D50">
        <w:rPr>
          <w:rFonts w:asciiTheme="majorBidi" w:hAnsiTheme="majorBidi" w:cstheme="majorBidi"/>
          <w:sz w:val="24"/>
          <w:szCs w:val="24"/>
          <w:lang w:val="en-GB"/>
        </w:rPr>
        <w:t>.</w:t>
      </w:r>
      <w:r w:rsidR="00DC384D" w:rsidRPr="00B70D50">
        <w:rPr>
          <w:rFonts w:asciiTheme="majorBidi" w:hAnsiTheme="majorBidi" w:cstheme="majorBidi"/>
          <w:sz w:val="24"/>
          <w:szCs w:val="24"/>
          <w:lang w:val="en-GB"/>
        </w:rPr>
        <w:t xml:space="preserve"> </w:t>
      </w:r>
      <w:r w:rsidR="00CA262C" w:rsidRPr="00B70D50">
        <w:rPr>
          <w:rFonts w:asciiTheme="majorBidi" w:hAnsiTheme="majorBidi" w:cstheme="majorBidi"/>
          <w:sz w:val="24"/>
          <w:szCs w:val="24"/>
          <w:lang w:val="en-GB"/>
        </w:rPr>
        <w:t>T</w:t>
      </w:r>
      <w:r w:rsidR="00DC384D" w:rsidRPr="00B70D50">
        <w:rPr>
          <w:rFonts w:asciiTheme="majorBidi" w:hAnsiTheme="majorBidi" w:cstheme="majorBidi"/>
          <w:sz w:val="24"/>
          <w:szCs w:val="24"/>
          <w:lang w:val="en-GB"/>
        </w:rPr>
        <w:t xml:space="preserve">he </w:t>
      </w:r>
      <w:r w:rsidR="00CA262C" w:rsidRPr="00B70D50">
        <w:rPr>
          <w:rFonts w:asciiTheme="majorBidi" w:hAnsiTheme="majorBidi" w:cstheme="majorBidi"/>
          <w:sz w:val="24"/>
          <w:szCs w:val="24"/>
          <w:lang w:val="en-GB"/>
        </w:rPr>
        <w:t>G</w:t>
      </w:r>
      <w:r w:rsidR="00DC384D" w:rsidRPr="00B70D50">
        <w:rPr>
          <w:rFonts w:asciiTheme="majorBidi" w:hAnsiTheme="majorBidi" w:cstheme="majorBidi"/>
          <w:sz w:val="24"/>
          <w:szCs w:val="24"/>
          <w:lang w:val="en-GB"/>
        </w:rPr>
        <w:t xml:space="preserve">overnment </w:t>
      </w:r>
      <w:r w:rsidR="00CA262C" w:rsidRPr="00B70D50">
        <w:rPr>
          <w:rFonts w:asciiTheme="majorBidi" w:hAnsiTheme="majorBidi" w:cstheme="majorBidi"/>
          <w:sz w:val="24"/>
          <w:szCs w:val="24"/>
          <w:lang w:val="en-GB"/>
        </w:rPr>
        <w:t xml:space="preserve">is determined to </w:t>
      </w:r>
      <w:r w:rsidR="00DC384D" w:rsidRPr="00B70D50">
        <w:rPr>
          <w:rFonts w:asciiTheme="majorBidi" w:hAnsiTheme="majorBidi" w:cstheme="majorBidi"/>
          <w:sz w:val="24"/>
          <w:szCs w:val="24"/>
          <w:lang w:val="en-GB"/>
        </w:rPr>
        <w:t xml:space="preserve">pursue these efforts. </w:t>
      </w:r>
      <w:r w:rsidR="00DC384D" w:rsidRPr="00B70D50">
        <w:rPr>
          <w:rFonts w:asciiTheme="majorBidi" w:hAnsiTheme="majorBidi" w:cstheme="majorBidi"/>
          <w:b/>
          <w:bCs/>
          <w:sz w:val="24"/>
          <w:szCs w:val="24"/>
          <w:lang w:val="en-GB"/>
        </w:rPr>
        <w:t>Therefore:</w:t>
      </w:r>
    </w:p>
    <w:p w14:paraId="4D4A231E" w14:textId="77777777" w:rsidR="000B234E" w:rsidRPr="00B70D50" w:rsidRDefault="000B234E" w:rsidP="000B234E">
      <w:pPr>
        <w:pStyle w:val="ListParagraph"/>
        <w:bidi w:val="0"/>
        <w:spacing w:after="0" w:line="300" w:lineRule="exact"/>
        <w:ind w:left="0" w:right="49"/>
        <w:contextualSpacing w:val="0"/>
        <w:jc w:val="both"/>
        <w:rPr>
          <w:rFonts w:asciiTheme="majorBidi" w:hAnsiTheme="majorBidi" w:cstheme="majorBidi"/>
          <w:b/>
          <w:bCs/>
          <w:sz w:val="24"/>
          <w:szCs w:val="24"/>
          <w:lang w:val="en-GB"/>
        </w:rPr>
      </w:pPr>
    </w:p>
    <w:p w14:paraId="077F11DD" w14:textId="3D28CCAA" w:rsidR="00DC384D" w:rsidRPr="00B70D50" w:rsidRDefault="00DC384D"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Fully Accepted Recommendations:</w:t>
      </w:r>
    </w:p>
    <w:p w14:paraId="30DCF851" w14:textId="7444C4C6" w:rsidR="00DC384D" w:rsidRPr="00B70D50" w:rsidRDefault="00DC34A0"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63-118-119-120-121-122-123-164-179-184-280-281-285-288-290-292-294-309-343-358</w:t>
      </w:r>
    </w:p>
    <w:p w14:paraId="30320673"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282F1BA3" w14:textId="77777777" w:rsidR="00DC384D" w:rsidRPr="00B70D50" w:rsidRDefault="00DC384D"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Partially Accepted Recommendations:</w:t>
      </w:r>
    </w:p>
    <w:p w14:paraId="3243F862" w14:textId="467DB536" w:rsidR="00DC384D" w:rsidRPr="00B70D50" w:rsidRDefault="00DC34A0"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326</w:t>
      </w:r>
    </w:p>
    <w:p w14:paraId="5F9DA03D" w14:textId="0910A71F" w:rsidR="00DC34A0" w:rsidRPr="00B70D50" w:rsidRDefault="00DC34A0" w:rsidP="00671925">
      <w:pPr>
        <w:pStyle w:val="ListParagraph"/>
        <w:bidi w:val="0"/>
        <w:spacing w:after="0" w:line="300" w:lineRule="exact"/>
        <w:ind w:left="0" w:right="49"/>
        <w:contextualSpacing w:val="0"/>
        <w:jc w:val="lowKashida"/>
        <w:rPr>
          <w:rFonts w:asciiTheme="majorBidi" w:hAnsiTheme="majorBidi" w:cstheme="majorBidi"/>
          <w:sz w:val="24"/>
          <w:szCs w:val="24"/>
          <w:lang w:val="en-GB" w:bidi="ar-DZ"/>
        </w:rPr>
      </w:pPr>
    </w:p>
    <w:p w14:paraId="5B8E34B0" w14:textId="77777777" w:rsidR="00706286" w:rsidRPr="00B70D50" w:rsidRDefault="00706286" w:rsidP="00706286">
      <w:pPr>
        <w:pStyle w:val="ListParagraph"/>
        <w:bidi w:val="0"/>
        <w:spacing w:after="0" w:line="300" w:lineRule="exact"/>
        <w:ind w:left="0" w:right="49"/>
        <w:contextualSpacing w:val="0"/>
        <w:jc w:val="lowKashida"/>
        <w:rPr>
          <w:rFonts w:asciiTheme="majorBidi" w:hAnsiTheme="majorBidi" w:cstheme="majorBidi"/>
          <w:sz w:val="24"/>
          <w:szCs w:val="24"/>
          <w:lang w:val="en-GB" w:bidi="ar-DZ"/>
        </w:rPr>
      </w:pPr>
    </w:p>
    <w:p w14:paraId="3842CE7E" w14:textId="75C6871A" w:rsidR="00326B07" w:rsidRPr="00B70D50" w:rsidRDefault="00D94202" w:rsidP="00D94202">
      <w:pPr>
        <w:pStyle w:val="ListParagraph"/>
        <w:numPr>
          <w:ilvl w:val="0"/>
          <w:numId w:val="41"/>
        </w:numPr>
        <w:bidi w:val="0"/>
        <w:spacing w:after="0" w:line="300" w:lineRule="exact"/>
        <w:ind w:left="0" w:right="49"/>
        <w:contextualSpacing w:val="0"/>
        <w:jc w:val="both"/>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T</w:t>
      </w:r>
      <w:r w:rsidR="000E6166" w:rsidRPr="00B70D50">
        <w:rPr>
          <w:rFonts w:asciiTheme="majorBidi" w:hAnsiTheme="majorBidi" w:cstheme="majorBidi"/>
          <w:b/>
          <w:bCs/>
          <w:sz w:val="24"/>
          <w:szCs w:val="24"/>
          <w:u w:val="single"/>
          <w:lang w:val="en-GB"/>
        </w:rPr>
        <w:t>he Rights of Women</w:t>
      </w:r>
      <w:r w:rsidR="00326B07" w:rsidRPr="00B70D50">
        <w:rPr>
          <w:rFonts w:asciiTheme="majorBidi" w:hAnsiTheme="majorBidi" w:cstheme="majorBidi"/>
          <w:b/>
          <w:bCs/>
          <w:sz w:val="24"/>
          <w:szCs w:val="24"/>
          <w:u w:val="single"/>
          <w:lang w:val="en-GB"/>
        </w:rPr>
        <w:t xml:space="preserve">, Children, </w:t>
      </w:r>
      <w:r w:rsidR="00005BBB" w:rsidRPr="00B70D50">
        <w:rPr>
          <w:rFonts w:asciiTheme="majorBidi" w:hAnsiTheme="majorBidi" w:cstheme="majorBidi"/>
          <w:b/>
          <w:bCs/>
          <w:sz w:val="24"/>
          <w:szCs w:val="24"/>
          <w:u w:val="single"/>
          <w:lang w:val="en-GB"/>
        </w:rPr>
        <w:t xml:space="preserve">Persons </w:t>
      </w:r>
      <w:r w:rsidR="00326B07" w:rsidRPr="00B70D50">
        <w:rPr>
          <w:rFonts w:asciiTheme="majorBidi" w:hAnsiTheme="majorBidi" w:cstheme="majorBidi"/>
          <w:b/>
          <w:bCs/>
          <w:sz w:val="24"/>
          <w:szCs w:val="24"/>
          <w:u w:val="single"/>
          <w:lang w:val="en-GB"/>
        </w:rPr>
        <w:t xml:space="preserve">with Disabilities, </w:t>
      </w:r>
      <w:r w:rsidR="00005BBB" w:rsidRPr="00B70D50">
        <w:rPr>
          <w:rFonts w:asciiTheme="majorBidi" w:hAnsiTheme="majorBidi" w:cstheme="majorBidi"/>
          <w:b/>
          <w:bCs/>
          <w:sz w:val="24"/>
          <w:szCs w:val="24"/>
          <w:u w:val="single"/>
          <w:lang w:val="en-GB"/>
        </w:rPr>
        <w:t xml:space="preserve">The Family </w:t>
      </w:r>
      <w:r w:rsidR="00326B07" w:rsidRPr="00B70D50">
        <w:rPr>
          <w:rFonts w:asciiTheme="majorBidi" w:hAnsiTheme="majorBidi" w:cstheme="majorBidi"/>
          <w:b/>
          <w:bCs/>
          <w:sz w:val="24"/>
          <w:szCs w:val="24"/>
          <w:u w:val="single"/>
          <w:lang w:val="en-GB"/>
        </w:rPr>
        <w:t xml:space="preserve">and </w:t>
      </w:r>
      <w:r w:rsidR="00005BBB" w:rsidRPr="00B70D50">
        <w:rPr>
          <w:rFonts w:asciiTheme="majorBidi" w:hAnsiTheme="majorBidi" w:cstheme="majorBidi"/>
          <w:b/>
          <w:bCs/>
          <w:sz w:val="24"/>
          <w:szCs w:val="24"/>
          <w:u w:val="single"/>
          <w:lang w:val="en-GB"/>
        </w:rPr>
        <w:t xml:space="preserve">other </w:t>
      </w:r>
      <w:r w:rsidR="00326B07" w:rsidRPr="00B70D50">
        <w:rPr>
          <w:rFonts w:asciiTheme="majorBidi" w:hAnsiTheme="majorBidi" w:cstheme="majorBidi"/>
          <w:b/>
          <w:bCs/>
          <w:sz w:val="24"/>
          <w:szCs w:val="24"/>
          <w:u w:val="single"/>
          <w:lang w:val="en-GB"/>
        </w:rPr>
        <w:t>segments:</w:t>
      </w:r>
    </w:p>
    <w:p w14:paraId="6338508F" w14:textId="1692CC87" w:rsidR="00B776C2" w:rsidRPr="00B70D50" w:rsidRDefault="00EF03BF" w:rsidP="00B83A79">
      <w:pPr>
        <w:pStyle w:val="ListParagraph"/>
        <w:numPr>
          <w:ilvl w:val="0"/>
          <w:numId w:val="39"/>
        </w:numPr>
        <w:bidi w:val="0"/>
        <w:spacing w:after="0" w:line="300" w:lineRule="exact"/>
        <w:ind w:left="0" w:right="49"/>
        <w:contextualSpacing w:val="0"/>
        <w:jc w:val="both"/>
        <w:rPr>
          <w:rFonts w:asciiTheme="majorBidi" w:hAnsiTheme="majorBidi" w:cstheme="majorBidi"/>
          <w:b/>
          <w:bCs/>
          <w:sz w:val="24"/>
          <w:szCs w:val="24"/>
          <w:lang w:val="en-GB"/>
        </w:rPr>
      </w:pPr>
      <w:r w:rsidRPr="00B70D50">
        <w:rPr>
          <w:rFonts w:asciiTheme="majorBidi" w:hAnsiTheme="majorBidi" w:cstheme="majorBidi"/>
          <w:sz w:val="24"/>
          <w:szCs w:val="24"/>
          <w:lang w:val="en-GB"/>
        </w:rPr>
        <w:t>Egypt firmly believes that</w:t>
      </w:r>
      <w:r w:rsidR="00600BAB" w:rsidRPr="00B70D50">
        <w:rPr>
          <w:rFonts w:asciiTheme="majorBidi" w:hAnsiTheme="majorBidi" w:cstheme="majorBidi"/>
          <w:sz w:val="24"/>
          <w:szCs w:val="24"/>
          <w:lang w:val="en-GB"/>
        </w:rPr>
        <w:t xml:space="preserve"> </w:t>
      </w:r>
      <w:r w:rsidR="00005BBB" w:rsidRPr="00B70D50">
        <w:rPr>
          <w:rFonts w:asciiTheme="majorBidi" w:hAnsiTheme="majorBidi" w:cstheme="majorBidi"/>
          <w:sz w:val="24"/>
          <w:szCs w:val="24"/>
          <w:lang w:val="en-GB"/>
        </w:rPr>
        <w:t xml:space="preserve">the Family is </w:t>
      </w:r>
      <w:r w:rsidR="00326B07" w:rsidRPr="00B70D50">
        <w:rPr>
          <w:rFonts w:asciiTheme="majorBidi" w:hAnsiTheme="majorBidi" w:cstheme="majorBidi"/>
          <w:sz w:val="24"/>
          <w:szCs w:val="24"/>
          <w:lang w:val="en-GB"/>
        </w:rPr>
        <w:t>the</w:t>
      </w:r>
      <w:r w:rsidR="00005BBB" w:rsidRPr="00B70D50">
        <w:rPr>
          <w:rFonts w:asciiTheme="majorBidi" w:hAnsiTheme="majorBidi" w:cstheme="majorBidi"/>
          <w:sz w:val="24"/>
          <w:szCs w:val="24"/>
          <w:lang w:val="en-GB"/>
        </w:rPr>
        <w:t xml:space="preserve"> fundamental unit</w:t>
      </w:r>
      <w:r w:rsidR="00326B07" w:rsidRPr="00B70D50">
        <w:rPr>
          <w:rFonts w:asciiTheme="majorBidi" w:hAnsiTheme="majorBidi" w:cstheme="majorBidi"/>
          <w:sz w:val="24"/>
          <w:szCs w:val="24"/>
          <w:lang w:val="en-GB"/>
        </w:rPr>
        <w:t xml:space="preserve"> of society. </w:t>
      </w:r>
      <w:r w:rsidR="00005BBB" w:rsidRPr="00B70D50">
        <w:rPr>
          <w:rFonts w:asciiTheme="majorBidi" w:hAnsiTheme="majorBidi" w:cstheme="majorBidi"/>
          <w:sz w:val="24"/>
          <w:szCs w:val="24"/>
          <w:lang w:val="en-GB"/>
        </w:rPr>
        <w:t>T</w:t>
      </w:r>
      <w:r w:rsidR="00326B07" w:rsidRPr="00B70D50">
        <w:rPr>
          <w:rFonts w:asciiTheme="majorBidi" w:hAnsiTheme="majorBidi" w:cstheme="majorBidi"/>
          <w:sz w:val="24"/>
          <w:szCs w:val="24"/>
          <w:lang w:val="en-GB"/>
        </w:rPr>
        <w:t xml:space="preserve">he Constitution </w:t>
      </w:r>
      <w:r w:rsidR="00005BBB" w:rsidRPr="00B70D50">
        <w:rPr>
          <w:rFonts w:asciiTheme="majorBidi" w:hAnsiTheme="majorBidi" w:cstheme="majorBidi"/>
          <w:sz w:val="24"/>
          <w:szCs w:val="24"/>
          <w:lang w:val="en-GB"/>
        </w:rPr>
        <w:t xml:space="preserve">mandates </w:t>
      </w:r>
      <w:r w:rsidR="00326B07" w:rsidRPr="00B70D50">
        <w:rPr>
          <w:rFonts w:asciiTheme="majorBidi" w:hAnsiTheme="majorBidi" w:cstheme="majorBidi"/>
          <w:sz w:val="24"/>
          <w:szCs w:val="24"/>
          <w:lang w:val="en-GB"/>
        </w:rPr>
        <w:t>to</w:t>
      </w:r>
      <w:r w:rsidR="00305BBC" w:rsidRPr="00B70D50">
        <w:rPr>
          <w:rFonts w:asciiTheme="majorBidi" w:hAnsiTheme="majorBidi" w:cstheme="majorBidi"/>
          <w:sz w:val="24"/>
          <w:szCs w:val="24"/>
          <w:lang w:val="en-GB"/>
        </w:rPr>
        <w:t xml:space="preserve"> uphold</w:t>
      </w:r>
      <w:r w:rsidR="00305BBC" w:rsidRPr="00B70D50">
        <w:rPr>
          <w:rFonts w:asciiTheme="majorBidi" w:hAnsiTheme="majorBidi" w:cstheme="majorBidi"/>
          <w:sz w:val="24"/>
          <w:szCs w:val="24"/>
          <w:lang w:val="en-GB" w:bidi="ar-EG"/>
        </w:rPr>
        <w:t xml:space="preserve"> the cohesion</w:t>
      </w:r>
      <w:r w:rsidR="0096193E" w:rsidRPr="00B70D50">
        <w:rPr>
          <w:rFonts w:asciiTheme="majorBidi" w:hAnsiTheme="majorBidi" w:cstheme="majorBidi"/>
          <w:sz w:val="24"/>
          <w:szCs w:val="24"/>
          <w:lang w:val="en-GB" w:bidi="ar-EG"/>
        </w:rPr>
        <w:t>,</w:t>
      </w:r>
      <w:r w:rsidR="00305BBC" w:rsidRPr="00B70D50">
        <w:rPr>
          <w:rFonts w:asciiTheme="majorBidi" w:hAnsiTheme="majorBidi" w:cstheme="majorBidi"/>
          <w:sz w:val="24"/>
          <w:szCs w:val="24"/>
          <w:lang w:val="en-GB" w:bidi="ar-EG"/>
        </w:rPr>
        <w:t xml:space="preserve"> stability </w:t>
      </w:r>
      <w:r w:rsidR="0096193E" w:rsidRPr="00B70D50">
        <w:rPr>
          <w:rFonts w:asciiTheme="majorBidi" w:hAnsiTheme="majorBidi" w:cstheme="majorBidi"/>
          <w:sz w:val="24"/>
          <w:szCs w:val="24"/>
          <w:lang w:val="en-GB" w:bidi="ar-EG"/>
        </w:rPr>
        <w:t xml:space="preserve">and values </w:t>
      </w:r>
      <w:r w:rsidR="00305BBC" w:rsidRPr="00B70D50">
        <w:rPr>
          <w:rFonts w:asciiTheme="majorBidi" w:hAnsiTheme="majorBidi" w:cstheme="majorBidi"/>
          <w:sz w:val="24"/>
          <w:szCs w:val="24"/>
          <w:lang w:val="en-GB" w:bidi="ar-EG"/>
        </w:rPr>
        <w:t>of</w:t>
      </w:r>
      <w:r w:rsidR="00005BBB" w:rsidRPr="00B70D50">
        <w:rPr>
          <w:rFonts w:asciiTheme="majorBidi" w:hAnsiTheme="majorBidi" w:cstheme="majorBidi"/>
          <w:sz w:val="24"/>
          <w:szCs w:val="24"/>
          <w:lang w:val="en-GB" w:bidi="ar-EG"/>
        </w:rPr>
        <w:t xml:space="preserve"> the Family</w:t>
      </w:r>
      <w:r w:rsidR="00305BBC" w:rsidRPr="00B70D50">
        <w:rPr>
          <w:rFonts w:asciiTheme="majorBidi" w:hAnsiTheme="majorBidi" w:cstheme="majorBidi"/>
          <w:sz w:val="24"/>
          <w:szCs w:val="24"/>
          <w:lang w:val="en-GB" w:bidi="ar-EG"/>
        </w:rPr>
        <w:t>.</w:t>
      </w:r>
      <w:r w:rsidR="009E183D" w:rsidRPr="00B70D50">
        <w:rPr>
          <w:rFonts w:asciiTheme="majorBidi" w:hAnsiTheme="majorBidi" w:cstheme="majorBidi"/>
          <w:sz w:val="24"/>
          <w:szCs w:val="24"/>
          <w:lang w:val="en-GB" w:bidi="ar-EG"/>
        </w:rPr>
        <w:t xml:space="preserve"> </w:t>
      </w:r>
      <w:r w:rsidR="0096193E" w:rsidRPr="00B70D50">
        <w:rPr>
          <w:rFonts w:asciiTheme="majorBidi" w:hAnsiTheme="majorBidi" w:cstheme="majorBidi"/>
          <w:sz w:val="24"/>
          <w:szCs w:val="24"/>
          <w:lang w:val="en-GB" w:bidi="ar-EG"/>
        </w:rPr>
        <w:t xml:space="preserve">Egypt works on the </w:t>
      </w:r>
      <w:r w:rsidR="0096193E" w:rsidRPr="00B70D50">
        <w:rPr>
          <w:rFonts w:asciiTheme="majorBidi" w:hAnsiTheme="majorBidi" w:cstheme="majorBidi"/>
          <w:sz w:val="24"/>
          <w:szCs w:val="24"/>
          <w:lang w:val="en-GB" w:bidi="ar-EG"/>
        </w:rPr>
        <w:lastRenderedPageBreak/>
        <w:t xml:space="preserve">international level </w:t>
      </w:r>
      <w:r w:rsidR="009E183D" w:rsidRPr="00B70D50">
        <w:rPr>
          <w:rFonts w:asciiTheme="majorBidi" w:hAnsiTheme="majorBidi" w:cstheme="majorBidi"/>
          <w:sz w:val="24"/>
          <w:szCs w:val="24"/>
          <w:lang w:val="en-GB" w:bidi="ar-EG"/>
        </w:rPr>
        <w:t>t</w:t>
      </w:r>
      <w:r w:rsidR="00172FED" w:rsidRPr="00B70D50">
        <w:rPr>
          <w:rFonts w:asciiTheme="majorBidi" w:hAnsiTheme="majorBidi" w:cstheme="majorBidi"/>
          <w:sz w:val="24"/>
          <w:szCs w:val="24"/>
          <w:lang w:val="en-GB" w:bidi="ar-EG"/>
        </w:rPr>
        <w:t xml:space="preserve">o </w:t>
      </w:r>
      <w:r w:rsidR="0096193E" w:rsidRPr="00B70D50">
        <w:rPr>
          <w:rFonts w:asciiTheme="majorBidi" w:hAnsiTheme="majorBidi" w:cstheme="majorBidi"/>
          <w:sz w:val="24"/>
          <w:szCs w:val="24"/>
          <w:lang w:val="en-GB" w:bidi="ar-EG"/>
        </w:rPr>
        <w:t xml:space="preserve">promote the </w:t>
      </w:r>
      <w:r w:rsidR="00172FED" w:rsidRPr="00B70D50">
        <w:rPr>
          <w:rFonts w:asciiTheme="majorBidi" w:hAnsiTheme="majorBidi" w:cstheme="majorBidi"/>
          <w:sz w:val="24"/>
          <w:szCs w:val="24"/>
          <w:lang w:val="en-GB" w:bidi="ar-EG"/>
        </w:rPr>
        <w:t>respect of</w:t>
      </w:r>
      <w:r w:rsidR="009E183D" w:rsidRPr="00B70D50">
        <w:rPr>
          <w:rFonts w:asciiTheme="majorBidi" w:hAnsiTheme="majorBidi" w:cstheme="majorBidi"/>
          <w:sz w:val="24"/>
          <w:szCs w:val="24"/>
          <w:lang w:val="en-GB" w:bidi="ar-EG"/>
        </w:rPr>
        <w:t xml:space="preserve"> </w:t>
      </w:r>
      <w:r w:rsidR="0096193E" w:rsidRPr="00B70D50">
        <w:rPr>
          <w:rFonts w:asciiTheme="majorBidi" w:hAnsiTheme="majorBidi" w:cstheme="majorBidi"/>
          <w:sz w:val="24"/>
          <w:szCs w:val="24"/>
          <w:lang w:val="en-GB" w:bidi="ar-EG"/>
        </w:rPr>
        <w:t xml:space="preserve">the commitment </w:t>
      </w:r>
      <w:r w:rsidR="00593A34" w:rsidRPr="00B70D50">
        <w:rPr>
          <w:rFonts w:asciiTheme="majorBidi" w:hAnsiTheme="majorBidi" w:cstheme="majorBidi"/>
          <w:sz w:val="24"/>
          <w:szCs w:val="24"/>
          <w:lang w:val="en-GB" w:bidi="ar-EG"/>
        </w:rPr>
        <w:t xml:space="preserve">under the Universal Declaration of Human Rights </w:t>
      </w:r>
      <w:r w:rsidR="00600BAB" w:rsidRPr="00B70D50">
        <w:rPr>
          <w:rFonts w:asciiTheme="majorBidi" w:hAnsiTheme="majorBidi" w:cstheme="majorBidi"/>
          <w:sz w:val="24"/>
          <w:szCs w:val="24"/>
          <w:lang w:val="en-GB" w:bidi="ar-EG"/>
        </w:rPr>
        <w:t>and the two International Covenants</w:t>
      </w:r>
      <w:r w:rsidR="0096193E" w:rsidRPr="00B70D50">
        <w:rPr>
          <w:rFonts w:asciiTheme="majorBidi" w:hAnsiTheme="majorBidi" w:cstheme="majorBidi"/>
          <w:sz w:val="24"/>
          <w:szCs w:val="24"/>
          <w:lang w:val="en-GB" w:bidi="ar-EG"/>
        </w:rPr>
        <w:t xml:space="preserve"> to protect the Family</w:t>
      </w:r>
      <w:r w:rsidR="00600BAB" w:rsidRPr="00B70D50">
        <w:rPr>
          <w:rFonts w:asciiTheme="majorBidi" w:hAnsiTheme="majorBidi" w:cstheme="majorBidi"/>
          <w:sz w:val="24"/>
          <w:szCs w:val="24"/>
          <w:lang w:val="en-GB" w:bidi="ar-EG"/>
        </w:rPr>
        <w:t>.</w:t>
      </w:r>
      <w:r w:rsidR="00913ADD" w:rsidRPr="00B70D50">
        <w:rPr>
          <w:rFonts w:asciiTheme="majorBidi" w:hAnsiTheme="majorBidi" w:cstheme="majorBidi"/>
          <w:sz w:val="24"/>
          <w:szCs w:val="24"/>
          <w:lang w:val="en-GB" w:bidi="ar-EG"/>
        </w:rPr>
        <w:t xml:space="preserve"> To this end, </w:t>
      </w:r>
      <w:r w:rsidR="002F5D25" w:rsidRPr="00B70D50">
        <w:rPr>
          <w:rFonts w:asciiTheme="majorBidi" w:hAnsiTheme="majorBidi" w:cstheme="majorBidi"/>
          <w:sz w:val="24"/>
          <w:szCs w:val="24"/>
          <w:lang w:val="en-GB" w:bidi="ar-EG"/>
        </w:rPr>
        <w:t>t</w:t>
      </w:r>
      <w:r w:rsidRPr="00B70D50">
        <w:rPr>
          <w:rFonts w:asciiTheme="majorBidi" w:hAnsiTheme="majorBidi" w:cstheme="majorBidi"/>
          <w:sz w:val="24"/>
          <w:szCs w:val="24"/>
          <w:lang w:val="en-GB" w:bidi="ar-EG"/>
        </w:rPr>
        <w:t xml:space="preserve">he </w:t>
      </w:r>
      <w:r w:rsidR="0096193E" w:rsidRPr="00B70D50">
        <w:rPr>
          <w:rFonts w:asciiTheme="majorBidi" w:hAnsiTheme="majorBidi" w:cstheme="majorBidi"/>
          <w:sz w:val="24"/>
          <w:szCs w:val="24"/>
          <w:lang w:val="en-GB" w:bidi="ar-EG"/>
        </w:rPr>
        <w:t>G</w:t>
      </w:r>
      <w:r w:rsidRPr="00B70D50">
        <w:rPr>
          <w:rFonts w:asciiTheme="majorBidi" w:hAnsiTheme="majorBidi" w:cstheme="majorBidi"/>
          <w:sz w:val="24"/>
          <w:szCs w:val="24"/>
          <w:lang w:val="en-GB" w:bidi="ar-EG"/>
        </w:rPr>
        <w:t xml:space="preserve">overnment declared </w:t>
      </w:r>
      <w:r w:rsidR="00380486" w:rsidRPr="00B70D50">
        <w:rPr>
          <w:rFonts w:asciiTheme="majorBidi" w:hAnsiTheme="majorBidi" w:cstheme="majorBidi"/>
          <w:sz w:val="24"/>
          <w:szCs w:val="24"/>
          <w:lang w:val="en-GB" w:bidi="ar-EG"/>
        </w:rPr>
        <w:t xml:space="preserve">2017 </w:t>
      </w:r>
      <w:r w:rsidRPr="00B70D50">
        <w:rPr>
          <w:rFonts w:asciiTheme="majorBidi" w:hAnsiTheme="majorBidi" w:cstheme="majorBidi"/>
          <w:sz w:val="24"/>
          <w:szCs w:val="24"/>
          <w:lang w:val="en-GB" w:bidi="ar-EG"/>
        </w:rPr>
        <w:t xml:space="preserve">as </w:t>
      </w:r>
      <w:r w:rsidR="00380486" w:rsidRPr="00B70D50">
        <w:rPr>
          <w:rFonts w:asciiTheme="majorBidi" w:hAnsiTheme="majorBidi" w:cstheme="majorBidi"/>
          <w:sz w:val="24"/>
          <w:szCs w:val="24"/>
          <w:lang w:val="en-GB" w:bidi="ar-EG"/>
        </w:rPr>
        <w:t>the Year of Women</w:t>
      </w:r>
      <w:r w:rsidR="0096193E" w:rsidRPr="00B70D50">
        <w:rPr>
          <w:rFonts w:asciiTheme="majorBidi" w:hAnsiTheme="majorBidi" w:cstheme="majorBidi"/>
          <w:sz w:val="24"/>
          <w:szCs w:val="24"/>
          <w:lang w:val="en-GB" w:bidi="ar-EG"/>
        </w:rPr>
        <w:t xml:space="preserve">, </w:t>
      </w:r>
      <w:r w:rsidR="00380486" w:rsidRPr="00B70D50">
        <w:rPr>
          <w:rFonts w:asciiTheme="majorBidi" w:hAnsiTheme="majorBidi" w:cstheme="majorBidi"/>
          <w:sz w:val="24"/>
          <w:szCs w:val="24"/>
          <w:lang w:val="en-GB" w:bidi="ar-EG"/>
        </w:rPr>
        <w:t>2018 the Year of P</w:t>
      </w:r>
      <w:r w:rsidR="00AD0150" w:rsidRPr="00B70D50">
        <w:rPr>
          <w:rFonts w:asciiTheme="majorBidi" w:hAnsiTheme="majorBidi" w:cstheme="majorBidi"/>
          <w:sz w:val="24"/>
          <w:szCs w:val="24"/>
          <w:lang w:val="en-GB" w:bidi="ar-EG"/>
        </w:rPr>
        <w:t xml:space="preserve">ersons with </w:t>
      </w:r>
      <w:r w:rsidR="0096193E" w:rsidRPr="00B70D50">
        <w:rPr>
          <w:rFonts w:asciiTheme="majorBidi" w:hAnsiTheme="majorBidi" w:cstheme="majorBidi"/>
          <w:sz w:val="24"/>
          <w:szCs w:val="24"/>
          <w:lang w:val="en-GB" w:bidi="ar-EG"/>
        </w:rPr>
        <w:t>Disability</w:t>
      </w:r>
      <w:r w:rsidR="00AD0150" w:rsidRPr="00B70D50">
        <w:rPr>
          <w:rFonts w:asciiTheme="majorBidi" w:hAnsiTheme="majorBidi" w:cstheme="majorBidi"/>
          <w:sz w:val="24"/>
          <w:szCs w:val="24"/>
          <w:lang w:val="en-GB" w:bidi="ar-EG"/>
        </w:rPr>
        <w:t xml:space="preserve">; and 2019 the Year of </w:t>
      </w:r>
      <w:r w:rsidR="0096193E" w:rsidRPr="00B70D50">
        <w:rPr>
          <w:rFonts w:asciiTheme="majorBidi" w:hAnsiTheme="majorBidi" w:cstheme="majorBidi"/>
          <w:sz w:val="24"/>
          <w:szCs w:val="24"/>
          <w:lang w:val="en-GB" w:bidi="ar-EG"/>
        </w:rPr>
        <w:t xml:space="preserve">the </w:t>
      </w:r>
      <w:r w:rsidR="00AD0150" w:rsidRPr="00B70D50">
        <w:rPr>
          <w:rFonts w:asciiTheme="majorBidi" w:hAnsiTheme="majorBidi" w:cstheme="majorBidi"/>
          <w:sz w:val="24"/>
          <w:szCs w:val="24"/>
          <w:lang w:val="en-GB" w:bidi="ar-EG"/>
        </w:rPr>
        <w:t xml:space="preserve">Youth. Moreover, a number of legislative measures </w:t>
      </w:r>
      <w:r w:rsidR="0096193E" w:rsidRPr="00B70D50">
        <w:rPr>
          <w:rFonts w:asciiTheme="majorBidi" w:hAnsiTheme="majorBidi" w:cstheme="majorBidi"/>
          <w:sz w:val="24"/>
          <w:szCs w:val="24"/>
          <w:lang w:val="en-GB" w:bidi="ar-EG"/>
        </w:rPr>
        <w:t xml:space="preserve">were </w:t>
      </w:r>
      <w:r w:rsidR="00AD0150" w:rsidRPr="00B70D50">
        <w:rPr>
          <w:rFonts w:asciiTheme="majorBidi" w:hAnsiTheme="majorBidi" w:cstheme="majorBidi"/>
          <w:sz w:val="24"/>
          <w:szCs w:val="24"/>
          <w:lang w:val="en-GB" w:bidi="ar-EG"/>
        </w:rPr>
        <w:t>taken, and a series of program</w:t>
      </w:r>
      <w:r w:rsidR="0096193E" w:rsidRPr="00B70D50">
        <w:rPr>
          <w:rFonts w:asciiTheme="majorBidi" w:hAnsiTheme="majorBidi" w:cstheme="majorBidi"/>
          <w:sz w:val="24"/>
          <w:szCs w:val="24"/>
          <w:lang w:val="en-GB" w:bidi="ar-EG"/>
        </w:rPr>
        <w:t>me</w:t>
      </w:r>
      <w:r w:rsidR="00AD0150" w:rsidRPr="00B70D50">
        <w:rPr>
          <w:rFonts w:asciiTheme="majorBidi" w:hAnsiTheme="majorBidi" w:cstheme="majorBidi"/>
          <w:sz w:val="24"/>
          <w:szCs w:val="24"/>
          <w:lang w:val="en-GB" w:bidi="ar-EG"/>
        </w:rPr>
        <w:t xml:space="preserve">s </w:t>
      </w:r>
      <w:r w:rsidR="0096193E" w:rsidRPr="00B70D50">
        <w:rPr>
          <w:rFonts w:asciiTheme="majorBidi" w:hAnsiTheme="majorBidi" w:cstheme="majorBidi"/>
          <w:sz w:val="24"/>
          <w:szCs w:val="24"/>
          <w:lang w:val="en-GB" w:bidi="ar-EG"/>
        </w:rPr>
        <w:t xml:space="preserve">were </w:t>
      </w:r>
      <w:r w:rsidR="00C13ABC" w:rsidRPr="00B70D50">
        <w:rPr>
          <w:rFonts w:asciiTheme="majorBidi" w:hAnsiTheme="majorBidi" w:cstheme="majorBidi"/>
          <w:sz w:val="24"/>
          <w:szCs w:val="24"/>
          <w:lang w:val="en-GB" w:bidi="ar-EG"/>
        </w:rPr>
        <w:t xml:space="preserve">launched </w:t>
      </w:r>
      <w:r w:rsidR="0096193E" w:rsidRPr="00B70D50">
        <w:rPr>
          <w:rFonts w:asciiTheme="majorBidi" w:hAnsiTheme="majorBidi" w:cstheme="majorBidi"/>
          <w:sz w:val="24"/>
          <w:szCs w:val="24"/>
          <w:lang w:val="en-GB" w:bidi="ar-EG"/>
        </w:rPr>
        <w:t xml:space="preserve">to </w:t>
      </w:r>
      <w:r w:rsidR="00C13ABC" w:rsidRPr="00B70D50">
        <w:rPr>
          <w:rFonts w:asciiTheme="majorBidi" w:hAnsiTheme="majorBidi" w:cstheme="majorBidi"/>
          <w:sz w:val="24"/>
          <w:szCs w:val="24"/>
          <w:lang w:val="en-GB" w:bidi="ar-EG"/>
        </w:rPr>
        <w:t xml:space="preserve">empower women, </w:t>
      </w:r>
      <w:r w:rsidR="0096193E" w:rsidRPr="00B70D50">
        <w:rPr>
          <w:rFonts w:asciiTheme="majorBidi" w:hAnsiTheme="majorBidi" w:cstheme="majorBidi"/>
          <w:sz w:val="24"/>
          <w:szCs w:val="24"/>
          <w:lang w:val="en-GB" w:bidi="ar-EG"/>
        </w:rPr>
        <w:t xml:space="preserve">the </w:t>
      </w:r>
      <w:r w:rsidR="00C13ABC" w:rsidRPr="00B70D50">
        <w:rPr>
          <w:rFonts w:asciiTheme="majorBidi" w:hAnsiTheme="majorBidi" w:cstheme="majorBidi"/>
          <w:sz w:val="24"/>
          <w:szCs w:val="24"/>
          <w:lang w:val="en-GB" w:bidi="ar-EG"/>
        </w:rPr>
        <w:t xml:space="preserve">youth and persons with disabilities, whilst </w:t>
      </w:r>
      <w:r w:rsidR="00B83A79" w:rsidRPr="00B70D50">
        <w:rPr>
          <w:rFonts w:asciiTheme="majorBidi" w:hAnsiTheme="majorBidi" w:cstheme="majorBidi"/>
          <w:sz w:val="24"/>
          <w:szCs w:val="24"/>
          <w:lang w:val="en-GB" w:bidi="ar-EG"/>
        </w:rPr>
        <w:t xml:space="preserve">promoting the rights of, </w:t>
      </w:r>
      <w:r w:rsidR="0096193E" w:rsidRPr="00B70D50">
        <w:rPr>
          <w:rFonts w:asciiTheme="majorBidi" w:hAnsiTheme="majorBidi" w:cstheme="majorBidi"/>
          <w:sz w:val="24"/>
          <w:szCs w:val="24"/>
          <w:lang w:val="en-GB" w:bidi="ar-EG"/>
        </w:rPr>
        <w:t xml:space="preserve">and the provision of necessary care and </w:t>
      </w:r>
      <w:r w:rsidR="00162355" w:rsidRPr="00B70D50">
        <w:rPr>
          <w:rFonts w:asciiTheme="majorBidi" w:hAnsiTheme="majorBidi" w:cstheme="majorBidi"/>
          <w:sz w:val="24"/>
          <w:szCs w:val="24"/>
          <w:lang w:val="en-GB" w:bidi="ar-EG"/>
        </w:rPr>
        <w:t>protection</w:t>
      </w:r>
      <w:r w:rsidR="00B83A79" w:rsidRPr="00B70D50">
        <w:rPr>
          <w:rFonts w:asciiTheme="majorBidi" w:hAnsiTheme="majorBidi" w:cstheme="majorBidi"/>
          <w:sz w:val="24"/>
          <w:szCs w:val="24"/>
          <w:lang w:val="en-GB" w:bidi="ar-EG"/>
        </w:rPr>
        <w:t xml:space="preserve"> to,</w:t>
      </w:r>
      <w:r w:rsidR="00B83A79" w:rsidRPr="00B70D50" w:rsidDel="0096193E">
        <w:rPr>
          <w:rFonts w:asciiTheme="majorBidi" w:hAnsiTheme="majorBidi" w:cstheme="majorBidi"/>
          <w:sz w:val="24"/>
          <w:szCs w:val="24"/>
          <w:lang w:val="en-GB" w:bidi="ar-EG"/>
        </w:rPr>
        <w:t xml:space="preserve"> </w:t>
      </w:r>
      <w:r w:rsidR="00B83A79" w:rsidRPr="00B70D50">
        <w:rPr>
          <w:rFonts w:asciiTheme="majorBidi" w:hAnsiTheme="majorBidi" w:cstheme="majorBidi"/>
          <w:sz w:val="24"/>
          <w:szCs w:val="24"/>
          <w:lang w:val="en-GB" w:bidi="ar-EG"/>
        </w:rPr>
        <w:t xml:space="preserve">the child, as </w:t>
      </w:r>
      <w:r w:rsidRPr="00B70D50">
        <w:rPr>
          <w:rFonts w:asciiTheme="majorBidi" w:hAnsiTheme="majorBidi" w:cstheme="majorBidi"/>
          <w:sz w:val="24"/>
          <w:szCs w:val="24"/>
          <w:lang w:val="en-GB" w:bidi="ar-EG"/>
        </w:rPr>
        <w:t xml:space="preserve">detailed in </w:t>
      </w:r>
      <w:r w:rsidR="00B776C2" w:rsidRPr="00B70D50">
        <w:rPr>
          <w:rFonts w:asciiTheme="majorBidi" w:hAnsiTheme="majorBidi" w:cstheme="majorBidi"/>
          <w:sz w:val="24"/>
          <w:szCs w:val="24"/>
          <w:lang w:val="en-GB" w:bidi="ar-EG"/>
        </w:rPr>
        <w:t>the national report.</w:t>
      </w:r>
      <w:r w:rsidR="00B776C2" w:rsidRPr="00B70D50">
        <w:rPr>
          <w:rFonts w:asciiTheme="majorBidi" w:hAnsiTheme="majorBidi" w:cstheme="majorBidi"/>
          <w:sz w:val="24"/>
          <w:szCs w:val="24"/>
          <w:lang w:val="en-GB"/>
        </w:rPr>
        <w:t xml:space="preserve"> </w:t>
      </w:r>
      <w:r w:rsidRPr="00B70D50">
        <w:rPr>
          <w:rFonts w:asciiTheme="majorBidi" w:hAnsiTheme="majorBidi" w:cstheme="majorBidi"/>
          <w:sz w:val="24"/>
          <w:szCs w:val="24"/>
          <w:lang w:val="en-GB"/>
        </w:rPr>
        <w:t>T</w:t>
      </w:r>
      <w:r w:rsidR="00B776C2" w:rsidRPr="00B70D50">
        <w:rPr>
          <w:rFonts w:asciiTheme="majorBidi" w:hAnsiTheme="majorBidi" w:cstheme="majorBidi"/>
          <w:sz w:val="24"/>
          <w:szCs w:val="24"/>
          <w:lang w:val="en-GB"/>
        </w:rPr>
        <w:t xml:space="preserve">he </w:t>
      </w:r>
      <w:r w:rsidR="00B83A79" w:rsidRPr="00B70D50">
        <w:rPr>
          <w:rFonts w:asciiTheme="majorBidi" w:hAnsiTheme="majorBidi" w:cstheme="majorBidi"/>
          <w:sz w:val="24"/>
          <w:szCs w:val="24"/>
          <w:lang w:val="en-GB"/>
        </w:rPr>
        <w:t>G</w:t>
      </w:r>
      <w:r w:rsidR="00B776C2" w:rsidRPr="00B70D50">
        <w:rPr>
          <w:rFonts w:asciiTheme="majorBidi" w:hAnsiTheme="majorBidi" w:cstheme="majorBidi"/>
          <w:sz w:val="24"/>
          <w:szCs w:val="24"/>
          <w:lang w:val="en-GB"/>
        </w:rPr>
        <w:t xml:space="preserve">overnment will </w:t>
      </w:r>
      <w:r w:rsidR="00B83A79" w:rsidRPr="00B70D50">
        <w:rPr>
          <w:rFonts w:asciiTheme="majorBidi" w:hAnsiTheme="majorBidi" w:cstheme="majorBidi"/>
          <w:sz w:val="24"/>
          <w:szCs w:val="24"/>
          <w:lang w:val="en-GB"/>
        </w:rPr>
        <w:t xml:space="preserve">continue to </w:t>
      </w:r>
      <w:r w:rsidR="00B776C2" w:rsidRPr="00B70D50">
        <w:rPr>
          <w:rFonts w:asciiTheme="majorBidi" w:hAnsiTheme="majorBidi" w:cstheme="majorBidi"/>
          <w:sz w:val="24"/>
          <w:szCs w:val="24"/>
          <w:lang w:val="en-GB"/>
        </w:rPr>
        <w:t xml:space="preserve">pursue these efforts. </w:t>
      </w:r>
      <w:r w:rsidR="00B776C2" w:rsidRPr="00B70D50">
        <w:rPr>
          <w:rFonts w:asciiTheme="majorBidi" w:hAnsiTheme="majorBidi" w:cstheme="majorBidi"/>
          <w:b/>
          <w:bCs/>
          <w:sz w:val="24"/>
          <w:szCs w:val="24"/>
          <w:lang w:val="en-GB"/>
        </w:rPr>
        <w:t>Therefore:</w:t>
      </w:r>
    </w:p>
    <w:p w14:paraId="5650BB3A" w14:textId="77777777" w:rsidR="000B234E" w:rsidRPr="00B70D50" w:rsidRDefault="000B234E" w:rsidP="000B234E">
      <w:pPr>
        <w:pStyle w:val="ListParagraph"/>
        <w:bidi w:val="0"/>
        <w:spacing w:after="0" w:line="300" w:lineRule="exact"/>
        <w:ind w:left="0" w:right="49"/>
        <w:contextualSpacing w:val="0"/>
        <w:jc w:val="both"/>
        <w:rPr>
          <w:rFonts w:asciiTheme="majorBidi" w:hAnsiTheme="majorBidi" w:cstheme="majorBidi"/>
          <w:b/>
          <w:bCs/>
          <w:sz w:val="24"/>
          <w:szCs w:val="24"/>
          <w:lang w:val="en-GB"/>
        </w:rPr>
      </w:pPr>
    </w:p>
    <w:p w14:paraId="027758FE" w14:textId="03113B78" w:rsidR="00B776C2" w:rsidRPr="00B70D50" w:rsidRDefault="00B776C2"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Fully Accepted Recommendations:</w:t>
      </w:r>
    </w:p>
    <w:p w14:paraId="379DAFFC" w14:textId="386844D9" w:rsidR="00B776C2" w:rsidRPr="00B70D50" w:rsidRDefault="001C1FC6"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67-176-244-248-293-298-299-300-303-306-308-310-311-313-314-316-318-319-321-323-325</w:t>
      </w:r>
      <w:r w:rsidR="00E8030B" w:rsidRPr="00B70D50">
        <w:rPr>
          <w:rStyle w:val="FootnoteReference"/>
          <w:rFonts w:asciiTheme="majorBidi" w:hAnsiTheme="majorBidi" w:cstheme="majorBidi"/>
          <w:sz w:val="24"/>
          <w:szCs w:val="24"/>
          <w:lang w:val="en-GB"/>
        </w:rPr>
        <w:footnoteReference w:id="40"/>
      </w:r>
      <w:r w:rsidRPr="00B70D50">
        <w:rPr>
          <w:rFonts w:asciiTheme="majorBidi" w:hAnsiTheme="majorBidi" w:cstheme="majorBidi"/>
          <w:sz w:val="24"/>
          <w:szCs w:val="24"/>
          <w:lang w:val="en-GB"/>
        </w:rPr>
        <w:t>-328-329-335-336-337-341-342-349-351-352-354-357</w:t>
      </w:r>
    </w:p>
    <w:p w14:paraId="722B7556"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37753ABB" w14:textId="77777777" w:rsidR="00B776C2" w:rsidRPr="00B70D50" w:rsidRDefault="00B776C2"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Partially Accepted Recommendations:</w:t>
      </w:r>
    </w:p>
    <w:p w14:paraId="1AC0347D" w14:textId="4F7E396C" w:rsidR="00543B1F" w:rsidRPr="00B70D50" w:rsidRDefault="00AF2056"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20</w:t>
      </w:r>
      <w:r w:rsidR="00543B1F" w:rsidRPr="00B70D50">
        <w:rPr>
          <w:rFonts w:asciiTheme="majorBidi" w:hAnsiTheme="majorBidi" w:cstheme="majorBidi"/>
          <w:sz w:val="24"/>
          <w:szCs w:val="24"/>
          <w:lang w:val="en-GB"/>
        </w:rPr>
        <w:t>-359</w:t>
      </w:r>
    </w:p>
    <w:p w14:paraId="08415935"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52B0A658" w14:textId="17749F70" w:rsidR="00543B1F" w:rsidRPr="00B70D50" w:rsidRDefault="00F24F7E" w:rsidP="00671925">
      <w:pPr>
        <w:pStyle w:val="ListParagraph"/>
        <w:numPr>
          <w:ilvl w:val="0"/>
          <w:numId w:val="42"/>
        </w:numPr>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b/>
          <w:bCs/>
          <w:sz w:val="24"/>
          <w:szCs w:val="24"/>
          <w:u w:val="single"/>
          <w:lang w:val="en-GB"/>
        </w:rPr>
        <w:t>Implemented Recommendations</w:t>
      </w:r>
    </w:p>
    <w:p w14:paraId="275ADCCB" w14:textId="20CF3095" w:rsidR="00B776C2" w:rsidRPr="00B70D50" w:rsidRDefault="00B2415B" w:rsidP="00671925">
      <w:pPr>
        <w:pStyle w:val="ListParagraph"/>
        <w:bidi w:val="0"/>
        <w:spacing w:after="0" w:line="300" w:lineRule="exact"/>
        <w:ind w:left="0" w:right="49"/>
        <w:contextualSpacing w:val="0"/>
        <w:jc w:val="lowKashida"/>
        <w:rPr>
          <w:rFonts w:asciiTheme="majorBidi" w:hAnsiTheme="majorBidi" w:cstheme="majorBidi"/>
          <w:color w:val="FF0000"/>
          <w:sz w:val="24"/>
          <w:szCs w:val="24"/>
          <w:lang w:val="en-GB"/>
        </w:rPr>
      </w:pPr>
      <w:r w:rsidRPr="00B70D50">
        <w:rPr>
          <w:rFonts w:asciiTheme="majorBidi" w:hAnsiTheme="majorBidi" w:cstheme="majorBidi"/>
          <w:sz w:val="24"/>
          <w:szCs w:val="24"/>
          <w:lang w:val="en-GB"/>
        </w:rPr>
        <w:lastRenderedPageBreak/>
        <w:t>107</w:t>
      </w:r>
      <w:r w:rsidR="00715EB2" w:rsidRPr="00B70D50">
        <w:rPr>
          <w:rStyle w:val="FootnoteReference"/>
          <w:rFonts w:asciiTheme="majorBidi" w:hAnsiTheme="majorBidi" w:cstheme="majorBidi"/>
          <w:sz w:val="24"/>
          <w:szCs w:val="24"/>
          <w:lang w:val="en-GB"/>
        </w:rPr>
        <w:footnoteReference w:id="41"/>
      </w:r>
      <w:r w:rsidR="001C1FC6" w:rsidRPr="00B70D50">
        <w:rPr>
          <w:rFonts w:asciiTheme="majorBidi" w:hAnsiTheme="majorBidi" w:cstheme="majorBidi"/>
          <w:sz w:val="24"/>
          <w:szCs w:val="24"/>
          <w:lang w:val="en-GB"/>
        </w:rPr>
        <w:t>-</w:t>
      </w:r>
      <w:r w:rsidR="00EB6F69" w:rsidRPr="00B70D50">
        <w:rPr>
          <w:rFonts w:asciiTheme="majorBidi" w:hAnsiTheme="majorBidi" w:cstheme="majorBidi"/>
          <w:sz w:val="24"/>
          <w:szCs w:val="24"/>
          <w:lang w:val="en-GB"/>
        </w:rPr>
        <w:t>112</w:t>
      </w:r>
      <w:r w:rsidR="00EB4B1E" w:rsidRPr="00B70D50">
        <w:rPr>
          <w:rStyle w:val="FootnoteReference"/>
          <w:rFonts w:asciiTheme="majorBidi" w:hAnsiTheme="majorBidi" w:cstheme="majorBidi"/>
          <w:sz w:val="24"/>
          <w:szCs w:val="24"/>
          <w:lang w:val="en-GB"/>
        </w:rPr>
        <w:footnoteReference w:id="42"/>
      </w:r>
      <w:r w:rsidR="000558E6" w:rsidRPr="00B70D50">
        <w:rPr>
          <w:rFonts w:asciiTheme="majorBidi" w:hAnsiTheme="majorBidi" w:cstheme="majorBidi"/>
          <w:sz w:val="24"/>
          <w:szCs w:val="24"/>
          <w:lang w:val="en-GB"/>
        </w:rPr>
        <w:t>-221</w:t>
      </w:r>
      <w:r w:rsidR="00AD5D1F" w:rsidRPr="00B70D50">
        <w:rPr>
          <w:rStyle w:val="FootnoteReference"/>
          <w:rFonts w:asciiTheme="majorBidi" w:hAnsiTheme="majorBidi" w:cstheme="majorBidi"/>
          <w:sz w:val="24"/>
          <w:szCs w:val="24"/>
          <w:lang w:val="en-GB"/>
        </w:rPr>
        <w:footnoteReference w:id="43"/>
      </w:r>
      <w:r w:rsidR="00A42137" w:rsidRPr="00B70D50">
        <w:rPr>
          <w:rFonts w:asciiTheme="majorBidi" w:hAnsiTheme="majorBidi" w:cstheme="majorBidi"/>
          <w:sz w:val="24"/>
          <w:szCs w:val="24"/>
          <w:lang w:val="en-GB"/>
        </w:rPr>
        <w:t>-282</w:t>
      </w:r>
      <w:r w:rsidR="00A42137" w:rsidRPr="00B70D50">
        <w:rPr>
          <w:rStyle w:val="FootnoteReference"/>
          <w:rFonts w:asciiTheme="majorBidi" w:hAnsiTheme="majorBidi" w:cstheme="majorBidi"/>
          <w:sz w:val="24"/>
          <w:szCs w:val="24"/>
          <w:lang w:val="en-GB"/>
        </w:rPr>
        <w:footnoteReference w:id="44"/>
      </w:r>
    </w:p>
    <w:p w14:paraId="50488E1C" w14:textId="77777777" w:rsidR="001C1FC6" w:rsidRPr="00B70D50" w:rsidRDefault="001C1FC6"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Factually Incorrect Recommendations:</w:t>
      </w:r>
    </w:p>
    <w:p w14:paraId="0A80A071" w14:textId="0B73CF59" w:rsidR="001C1FC6" w:rsidRPr="00B70D50" w:rsidRDefault="00B2415B"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108</w:t>
      </w:r>
      <w:r w:rsidR="00CB082E" w:rsidRPr="00B70D50">
        <w:rPr>
          <w:rStyle w:val="FootnoteReference"/>
          <w:rFonts w:asciiTheme="majorBidi" w:hAnsiTheme="majorBidi" w:cstheme="majorBidi"/>
          <w:sz w:val="24"/>
          <w:szCs w:val="24"/>
          <w:lang w:val="en-GB"/>
        </w:rPr>
        <w:footnoteReference w:id="45"/>
      </w:r>
    </w:p>
    <w:p w14:paraId="3F07A117" w14:textId="77777777" w:rsidR="00B2415B" w:rsidRPr="00B70D50" w:rsidRDefault="00B2415B" w:rsidP="00671925">
      <w:pPr>
        <w:pStyle w:val="ListParagraph"/>
        <w:bidi w:val="0"/>
        <w:spacing w:after="0" w:line="300" w:lineRule="exact"/>
        <w:ind w:left="0" w:right="49"/>
        <w:contextualSpacing w:val="0"/>
        <w:jc w:val="lowKashida"/>
        <w:rPr>
          <w:rFonts w:asciiTheme="majorBidi" w:hAnsiTheme="majorBidi" w:cstheme="majorBidi"/>
          <w:sz w:val="24"/>
          <w:szCs w:val="24"/>
          <w:lang w:val="en-GB" w:bidi="ar-DZ"/>
        </w:rPr>
      </w:pPr>
    </w:p>
    <w:p w14:paraId="55A0625A" w14:textId="77777777" w:rsidR="00706286" w:rsidRPr="00B70D50" w:rsidRDefault="00706286" w:rsidP="00706286">
      <w:pPr>
        <w:pStyle w:val="ListParagraph"/>
        <w:bidi w:val="0"/>
        <w:spacing w:after="0" w:line="300" w:lineRule="exact"/>
        <w:ind w:left="0" w:right="49"/>
        <w:contextualSpacing w:val="0"/>
        <w:jc w:val="lowKashida"/>
        <w:rPr>
          <w:rFonts w:asciiTheme="majorBidi" w:hAnsiTheme="majorBidi" w:cstheme="majorBidi"/>
          <w:sz w:val="24"/>
          <w:szCs w:val="24"/>
          <w:lang w:val="en-GB" w:bidi="ar-DZ"/>
        </w:rPr>
      </w:pPr>
    </w:p>
    <w:p w14:paraId="459BF088" w14:textId="5CB7CE45" w:rsidR="00B55E2B" w:rsidRPr="00B70D50" w:rsidRDefault="00B2415B" w:rsidP="00671925">
      <w:pPr>
        <w:pStyle w:val="ListParagraph"/>
        <w:numPr>
          <w:ilvl w:val="0"/>
          <w:numId w:val="41"/>
        </w:numPr>
        <w:bidi w:val="0"/>
        <w:spacing w:after="0" w:line="300" w:lineRule="exact"/>
        <w:ind w:left="0" w:right="49"/>
        <w:contextualSpacing w:val="0"/>
        <w:jc w:val="both"/>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Civil and Political Rights</w:t>
      </w:r>
      <w:r w:rsidR="00B55E2B" w:rsidRPr="00B70D50">
        <w:rPr>
          <w:rFonts w:asciiTheme="majorBidi" w:hAnsiTheme="majorBidi" w:cstheme="majorBidi"/>
          <w:b/>
          <w:bCs/>
          <w:sz w:val="24"/>
          <w:szCs w:val="24"/>
          <w:u w:val="single"/>
          <w:lang w:val="en-GB"/>
        </w:rPr>
        <w:t>:</w:t>
      </w:r>
    </w:p>
    <w:p w14:paraId="3CF8463C" w14:textId="142332C9" w:rsidR="007E4EE7" w:rsidRPr="00B70D50" w:rsidRDefault="00395781" w:rsidP="0008161E">
      <w:pPr>
        <w:pStyle w:val="ListParagraph"/>
        <w:numPr>
          <w:ilvl w:val="0"/>
          <w:numId w:val="39"/>
        </w:numPr>
        <w:bidi w:val="0"/>
        <w:spacing w:after="0" w:line="300" w:lineRule="exact"/>
        <w:ind w:left="0" w:right="49"/>
        <w:contextualSpacing w:val="0"/>
        <w:jc w:val="lowKashida"/>
        <w:rPr>
          <w:rFonts w:asciiTheme="majorBidi" w:hAnsiTheme="majorBidi" w:cstheme="majorBidi"/>
          <w:b/>
          <w:bCs/>
          <w:sz w:val="24"/>
          <w:szCs w:val="24"/>
          <w:lang w:val="en-GB"/>
        </w:rPr>
      </w:pPr>
      <w:r w:rsidRPr="00B70D50">
        <w:rPr>
          <w:rFonts w:asciiTheme="majorBidi" w:hAnsiTheme="majorBidi" w:cstheme="majorBidi"/>
          <w:sz w:val="24"/>
          <w:szCs w:val="24"/>
          <w:lang w:val="en-GB"/>
        </w:rPr>
        <w:t xml:space="preserve">The Constitution </w:t>
      </w:r>
      <w:r w:rsidR="003918AF" w:rsidRPr="00B70D50">
        <w:rPr>
          <w:rFonts w:asciiTheme="majorBidi" w:hAnsiTheme="majorBidi" w:cstheme="majorBidi"/>
          <w:sz w:val="24"/>
          <w:szCs w:val="24"/>
          <w:lang w:val="en-GB"/>
        </w:rPr>
        <w:t xml:space="preserve">considers the </w:t>
      </w:r>
      <w:r w:rsidRPr="00B70D50">
        <w:rPr>
          <w:rFonts w:asciiTheme="majorBidi" w:hAnsiTheme="majorBidi" w:cstheme="majorBidi"/>
          <w:sz w:val="24"/>
          <w:szCs w:val="24"/>
          <w:lang w:val="en-GB"/>
        </w:rPr>
        <w:t>freedom of belief</w:t>
      </w:r>
      <w:r w:rsidR="003918AF" w:rsidRPr="00B70D50">
        <w:rPr>
          <w:rFonts w:asciiTheme="majorBidi" w:hAnsiTheme="majorBidi" w:cstheme="majorBidi"/>
          <w:sz w:val="24"/>
          <w:szCs w:val="24"/>
          <w:lang w:val="en-GB"/>
        </w:rPr>
        <w:t xml:space="preserve"> as absolute</w:t>
      </w:r>
      <w:r w:rsidRPr="00B70D50">
        <w:rPr>
          <w:rFonts w:asciiTheme="majorBidi" w:hAnsiTheme="majorBidi" w:cstheme="majorBidi"/>
          <w:sz w:val="24"/>
          <w:szCs w:val="24"/>
          <w:lang w:val="en-GB"/>
        </w:rPr>
        <w:t xml:space="preserve">, and prohibits all forms of discrimination. </w:t>
      </w:r>
      <w:r w:rsidR="00D62513" w:rsidRPr="00B70D50">
        <w:rPr>
          <w:rFonts w:asciiTheme="majorBidi" w:hAnsiTheme="majorBidi" w:cstheme="majorBidi"/>
          <w:sz w:val="24"/>
          <w:szCs w:val="24"/>
          <w:lang w:val="en-GB"/>
        </w:rPr>
        <w:t>Any act</w:t>
      </w:r>
      <w:r w:rsidR="003918AF" w:rsidRPr="00B70D50">
        <w:rPr>
          <w:rFonts w:asciiTheme="majorBidi" w:hAnsiTheme="majorBidi" w:cstheme="majorBidi"/>
          <w:sz w:val="24"/>
          <w:szCs w:val="24"/>
          <w:lang w:val="en-GB"/>
        </w:rPr>
        <w:t>ion</w:t>
      </w:r>
      <w:r w:rsidR="00D62513" w:rsidRPr="00B70D50">
        <w:rPr>
          <w:rFonts w:asciiTheme="majorBidi" w:hAnsiTheme="majorBidi" w:cstheme="majorBidi"/>
          <w:sz w:val="24"/>
          <w:szCs w:val="24"/>
          <w:lang w:val="en-GB"/>
        </w:rPr>
        <w:t xml:space="preserve"> or</w:t>
      </w:r>
      <w:r w:rsidR="0060037E" w:rsidRPr="00B70D50">
        <w:rPr>
          <w:rFonts w:asciiTheme="majorBidi" w:hAnsiTheme="majorBidi" w:cstheme="majorBidi"/>
          <w:sz w:val="24"/>
          <w:szCs w:val="24"/>
          <w:lang w:val="en-GB"/>
        </w:rPr>
        <w:t xml:space="preserve"> statement </w:t>
      </w:r>
      <w:r w:rsidR="003918AF" w:rsidRPr="00B70D50">
        <w:rPr>
          <w:rFonts w:asciiTheme="majorBidi" w:hAnsiTheme="majorBidi" w:cstheme="majorBidi"/>
          <w:sz w:val="24"/>
          <w:szCs w:val="24"/>
          <w:lang w:val="en-GB"/>
        </w:rPr>
        <w:t xml:space="preserve">advocating </w:t>
      </w:r>
      <w:r w:rsidR="0092677F" w:rsidRPr="00B70D50">
        <w:rPr>
          <w:rFonts w:asciiTheme="majorBidi" w:hAnsiTheme="majorBidi" w:cstheme="majorBidi"/>
          <w:sz w:val="24"/>
          <w:szCs w:val="24"/>
          <w:lang w:val="en-GB"/>
        </w:rPr>
        <w:t>hatred</w:t>
      </w:r>
      <w:r w:rsidR="0060037E" w:rsidRPr="00B70D50">
        <w:rPr>
          <w:rFonts w:asciiTheme="majorBidi" w:hAnsiTheme="majorBidi" w:cstheme="majorBidi"/>
          <w:sz w:val="24"/>
          <w:szCs w:val="24"/>
          <w:lang w:val="en-GB"/>
        </w:rPr>
        <w:t xml:space="preserve"> or discrimination is a crime punishable by law. </w:t>
      </w:r>
      <w:r w:rsidR="003918AF" w:rsidRPr="00B70D50">
        <w:rPr>
          <w:rFonts w:asciiTheme="majorBidi" w:hAnsiTheme="majorBidi" w:cstheme="majorBidi"/>
          <w:sz w:val="24"/>
          <w:szCs w:val="24"/>
          <w:lang w:val="en-GB"/>
        </w:rPr>
        <w:t>T</w:t>
      </w:r>
      <w:r w:rsidR="0060037E" w:rsidRPr="00B70D50">
        <w:rPr>
          <w:rFonts w:asciiTheme="majorBidi" w:hAnsiTheme="majorBidi" w:cstheme="majorBidi"/>
          <w:sz w:val="24"/>
          <w:szCs w:val="24"/>
          <w:lang w:val="en-GB"/>
        </w:rPr>
        <w:t xml:space="preserve">he </w:t>
      </w:r>
      <w:r w:rsidR="003918AF" w:rsidRPr="00B70D50">
        <w:rPr>
          <w:rFonts w:asciiTheme="majorBidi" w:hAnsiTheme="majorBidi" w:cstheme="majorBidi"/>
          <w:sz w:val="24"/>
          <w:szCs w:val="24"/>
          <w:lang w:val="en-GB"/>
        </w:rPr>
        <w:t>G</w:t>
      </w:r>
      <w:r w:rsidR="0060037E" w:rsidRPr="00B70D50">
        <w:rPr>
          <w:rFonts w:asciiTheme="majorBidi" w:hAnsiTheme="majorBidi" w:cstheme="majorBidi"/>
          <w:sz w:val="24"/>
          <w:szCs w:val="24"/>
          <w:lang w:val="en-GB"/>
        </w:rPr>
        <w:t xml:space="preserve">overnment </w:t>
      </w:r>
      <w:r w:rsidR="003918AF" w:rsidRPr="00B70D50">
        <w:rPr>
          <w:rFonts w:asciiTheme="majorBidi" w:hAnsiTheme="majorBidi" w:cstheme="majorBidi"/>
          <w:sz w:val="24"/>
          <w:szCs w:val="24"/>
          <w:lang w:val="en-GB"/>
        </w:rPr>
        <w:t xml:space="preserve">is taking the </w:t>
      </w:r>
      <w:r w:rsidR="0060037E" w:rsidRPr="00B70D50">
        <w:rPr>
          <w:rFonts w:asciiTheme="majorBidi" w:hAnsiTheme="majorBidi" w:cstheme="majorBidi"/>
          <w:sz w:val="24"/>
          <w:szCs w:val="24"/>
          <w:lang w:val="en-GB"/>
        </w:rPr>
        <w:t xml:space="preserve">necessary measures to </w:t>
      </w:r>
      <w:r w:rsidR="003918AF" w:rsidRPr="00B70D50">
        <w:rPr>
          <w:rFonts w:asciiTheme="majorBidi" w:hAnsiTheme="majorBidi" w:cstheme="majorBidi"/>
          <w:sz w:val="24"/>
          <w:szCs w:val="24"/>
          <w:lang w:val="en-GB"/>
        </w:rPr>
        <w:t xml:space="preserve">prevent </w:t>
      </w:r>
      <w:r w:rsidR="00D8045C" w:rsidRPr="00B70D50">
        <w:rPr>
          <w:rFonts w:asciiTheme="majorBidi" w:hAnsiTheme="majorBidi" w:cstheme="majorBidi"/>
          <w:sz w:val="24"/>
          <w:szCs w:val="24"/>
          <w:lang w:val="en-GB"/>
        </w:rPr>
        <w:t xml:space="preserve">individual </w:t>
      </w:r>
      <w:r w:rsidR="003918AF" w:rsidRPr="00B70D50">
        <w:rPr>
          <w:rFonts w:asciiTheme="majorBidi" w:hAnsiTheme="majorBidi" w:cstheme="majorBidi"/>
          <w:sz w:val="24"/>
          <w:szCs w:val="24"/>
          <w:lang w:val="en-GB"/>
        </w:rPr>
        <w:t>mal</w:t>
      </w:r>
      <w:r w:rsidR="00D8045C" w:rsidRPr="00B70D50">
        <w:rPr>
          <w:rFonts w:asciiTheme="majorBidi" w:hAnsiTheme="majorBidi" w:cstheme="majorBidi"/>
          <w:sz w:val="24"/>
          <w:szCs w:val="24"/>
          <w:lang w:val="en-GB"/>
        </w:rPr>
        <w:t>practices</w:t>
      </w:r>
      <w:r w:rsidR="003918AF" w:rsidRPr="00B70D50">
        <w:rPr>
          <w:rFonts w:asciiTheme="majorBidi" w:hAnsiTheme="majorBidi" w:cstheme="majorBidi"/>
          <w:sz w:val="24"/>
          <w:szCs w:val="24"/>
          <w:lang w:val="en-GB"/>
        </w:rPr>
        <w:t xml:space="preserve"> in this regard</w:t>
      </w:r>
      <w:r w:rsidR="0079181F" w:rsidRPr="00B70D50">
        <w:rPr>
          <w:rFonts w:asciiTheme="majorBidi" w:hAnsiTheme="majorBidi" w:cstheme="majorBidi"/>
          <w:sz w:val="24"/>
          <w:szCs w:val="24"/>
          <w:lang w:val="en-GB"/>
        </w:rPr>
        <w:t>. Further</w:t>
      </w:r>
      <w:r w:rsidR="00306562" w:rsidRPr="00B70D50">
        <w:rPr>
          <w:rFonts w:asciiTheme="majorBidi" w:hAnsiTheme="majorBidi" w:cstheme="majorBidi"/>
          <w:sz w:val="24"/>
          <w:szCs w:val="24"/>
          <w:lang w:val="en-GB"/>
        </w:rPr>
        <w:t>more</w:t>
      </w:r>
      <w:r w:rsidR="0079181F" w:rsidRPr="00B70D50">
        <w:rPr>
          <w:rFonts w:asciiTheme="majorBidi" w:hAnsiTheme="majorBidi" w:cstheme="majorBidi"/>
          <w:sz w:val="24"/>
          <w:szCs w:val="24"/>
          <w:lang w:val="en-GB"/>
        </w:rPr>
        <w:t xml:space="preserve">, the Constitution and </w:t>
      </w:r>
      <w:r w:rsidR="000779F4" w:rsidRPr="00B70D50">
        <w:rPr>
          <w:rFonts w:asciiTheme="majorBidi" w:hAnsiTheme="majorBidi" w:cstheme="majorBidi"/>
          <w:sz w:val="24"/>
          <w:szCs w:val="24"/>
          <w:lang w:val="en-GB"/>
        </w:rPr>
        <w:t xml:space="preserve">the </w:t>
      </w:r>
      <w:r w:rsidR="0079181F" w:rsidRPr="00B70D50">
        <w:rPr>
          <w:rFonts w:asciiTheme="majorBidi" w:hAnsiTheme="majorBidi" w:cstheme="majorBidi"/>
          <w:sz w:val="24"/>
          <w:szCs w:val="24"/>
          <w:lang w:val="en-GB"/>
        </w:rPr>
        <w:t>law</w:t>
      </w:r>
      <w:r w:rsidR="00B70D50">
        <w:rPr>
          <w:rFonts w:asciiTheme="majorBidi" w:hAnsiTheme="majorBidi" w:cstheme="majorBidi"/>
          <w:sz w:val="24"/>
          <w:szCs w:val="24"/>
          <w:lang w:val="en-GB"/>
        </w:rPr>
        <w:t xml:space="preserve"> </w:t>
      </w:r>
      <w:r w:rsidR="00306562" w:rsidRPr="00B70D50">
        <w:rPr>
          <w:rFonts w:asciiTheme="majorBidi" w:hAnsiTheme="majorBidi" w:cstheme="majorBidi"/>
          <w:sz w:val="24"/>
          <w:szCs w:val="24"/>
          <w:lang w:val="en-GB"/>
        </w:rPr>
        <w:t xml:space="preserve">establish </w:t>
      </w:r>
      <w:r w:rsidR="0079181F" w:rsidRPr="00B70D50">
        <w:rPr>
          <w:rFonts w:asciiTheme="majorBidi" w:hAnsiTheme="majorBidi" w:cstheme="majorBidi"/>
          <w:sz w:val="24"/>
          <w:szCs w:val="24"/>
          <w:lang w:val="en-GB"/>
        </w:rPr>
        <w:t>the right</w:t>
      </w:r>
      <w:r w:rsidR="00306562" w:rsidRPr="00B70D50">
        <w:rPr>
          <w:rFonts w:asciiTheme="majorBidi" w:hAnsiTheme="majorBidi" w:cstheme="majorBidi"/>
          <w:sz w:val="24"/>
          <w:szCs w:val="24"/>
          <w:lang w:val="en-GB"/>
        </w:rPr>
        <w:t>s</w:t>
      </w:r>
      <w:r w:rsidR="0079181F" w:rsidRPr="00B70D50">
        <w:rPr>
          <w:rFonts w:asciiTheme="majorBidi" w:hAnsiTheme="majorBidi" w:cstheme="majorBidi"/>
          <w:sz w:val="24"/>
          <w:szCs w:val="24"/>
          <w:lang w:val="en-GB"/>
        </w:rPr>
        <w:t xml:space="preserve"> of </w:t>
      </w:r>
      <w:r w:rsidR="00306562" w:rsidRPr="00B70D50">
        <w:rPr>
          <w:rFonts w:asciiTheme="majorBidi" w:hAnsiTheme="majorBidi" w:cstheme="majorBidi"/>
          <w:sz w:val="24"/>
          <w:szCs w:val="24"/>
          <w:lang w:val="en-GB"/>
        </w:rPr>
        <w:t xml:space="preserve">association </w:t>
      </w:r>
      <w:r w:rsidR="0079181F" w:rsidRPr="00B70D50">
        <w:rPr>
          <w:rFonts w:asciiTheme="majorBidi" w:hAnsiTheme="majorBidi" w:cstheme="majorBidi"/>
          <w:sz w:val="24"/>
          <w:szCs w:val="24"/>
          <w:lang w:val="en-GB"/>
        </w:rPr>
        <w:t xml:space="preserve">and peaceful </w:t>
      </w:r>
      <w:r w:rsidR="00306562" w:rsidRPr="00B70D50">
        <w:rPr>
          <w:rFonts w:asciiTheme="majorBidi" w:hAnsiTheme="majorBidi" w:cstheme="majorBidi"/>
          <w:sz w:val="24"/>
          <w:szCs w:val="24"/>
          <w:lang w:val="en-GB"/>
        </w:rPr>
        <w:t xml:space="preserve">assembly </w:t>
      </w:r>
      <w:r w:rsidR="0079181F" w:rsidRPr="00B70D50">
        <w:rPr>
          <w:rFonts w:asciiTheme="majorBidi" w:hAnsiTheme="majorBidi" w:cstheme="majorBidi"/>
          <w:sz w:val="24"/>
          <w:szCs w:val="24"/>
          <w:lang w:val="en-GB"/>
        </w:rPr>
        <w:t xml:space="preserve">by notification. The </w:t>
      </w:r>
      <w:r w:rsidR="00306562" w:rsidRPr="00B70D50">
        <w:rPr>
          <w:rFonts w:asciiTheme="majorBidi" w:hAnsiTheme="majorBidi" w:cstheme="majorBidi"/>
          <w:sz w:val="24"/>
          <w:szCs w:val="24"/>
          <w:lang w:val="en-GB"/>
        </w:rPr>
        <w:t>G</w:t>
      </w:r>
      <w:r w:rsidR="0079181F" w:rsidRPr="00B70D50">
        <w:rPr>
          <w:rFonts w:asciiTheme="majorBidi" w:hAnsiTheme="majorBidi" w:cstheme="majorBidi"/>
          <w:sz w:val="24"/>
          <w:szCs w:val="24"/>
          <w:lang w:val="en-GB"/>
        </w:rPr>
        <w:t>overnment is deeply convinced that freedom</w:t>
      </w:r>
      <w:r w:rsidR="000779F4" w:rsidRPr="00B70D50">
        <w:rPr>
          <w:rFonts w:asciiTheme="majorBidi" w:hAnsiTheme="majorBidi" w:cstheme="majorBidi"/>
          <w:sz w:val="24"/>
          <w:szCs w:val="24"/>
          <w:lang w:val="en-GB"/>
        </w:rPr>
        <w:t>s</w:t>
      </w:r>
      <w:r w:rsidR="0079181F" w:rsidRPr="00B70D50">
        <w:rPr>
          <w:rFonts w:asciiTheme="majorBidi" w:hAnsiTheme="majorBidi" w:cstheme="majorBidi"/>
          <w:sz w:val="24"/>
          <w:szCs w:val="24"/>
          <w:lang w:val="en-GB"/>
        </w:rPr>
        <w:t xml:space="preserve"> of the media, opinion and expression </w:t>
      </w:r>
      <w:r w:rsidR="00306562" w:rsidRPr="00B70D50">
        <w:rPr>
          <w:rFonts w:asciiTheme="majorBidi" w:hAnsiTheme="majorBidi" w:cstheme="majorBidi"/>
          <w:sz w:val="24"/>
          <w:szCs w:val="24"/>
          <w:lang w:val="en-GB"/>
        </w:rPr>
        <w:t xml:space="preserve">fundamental pillars </w:t>
      </w:r>
      <w:r w:rsidR="0079181F" w:rsidRPr="00B70D50">
        <w:rPr>
          <w:rFonts w:asciiTheme="majorBidi" w:hAnsiTheme="majorBidi" w:cstheme="majorBidi"/>
          <w:sz w:val="24"/>
          <w:szCs w:val="24"/>
          <w:lang w:val="en-GB"/>
        </w:rPr>
        <w:t xml:space="preserve">of a healthy </w:t>
      </w:r>
      <w:r w:rsidR="006A0C9D" w:rsidRPr="00B70D50">
        <w:rPr>
          <w:rFonts w:asciiTheme="majorBidi" w:hAnsiTheme="majorBidi" w:cstheme="majorBidi"/>
          <w:sz w:val="24"/>
          <w:szCs w:val="24"/>
          <w:lang w:val="en-GB"/>
        </w:rPr>
        <w:t>democracy</w:t>
      </w:r>
      <w:r w:rsidR="0079181F" w:rsidRPr="00B70D50">
        <w:rPr>
          <w:rFonts w:asciiTheme="majorBidi" w:hAnsiTheme="majorBidi" w:cstheme="majorBidi"/>
          <w:sz w:val="24"/>
          <w:szCs w:val="24"/>
          <w:lang w:val="en-GB"/>
        </w:rPr>
        <w:t>.</w:t>
      </w:r>
      <w:r w:rsidR="006A0C9D" w:rsidRPr="00B70D50">
        <w:rPr>
          <w:rFonts w:asciiTheme="majorBidi" w:hAnsiTheme="majorBidi" w:cstheme="majorBidi"/>
          <w:sz w:val="24"/>
          <w:szCs w:val="24"/>
          <w:lang w:val="en-GB"/>
        </w:rPr>
        <w:t xml:space="preserve"> </w:t>
      </w:r>
      <w:r w:rsidR="00306562" w:rsidRPr="00B70D50">
        <w:rPr>
          <w:rFonts w:asciiTheme="majorBidi" w:hAnsiTheme="majorBidi" w:cstheme="majorBidi"/>
          <w:sz w:val="24"/>
          <w:szCs w:val="24"/>
          <w:lang w:val="en-GB"/>
        </w:rPr>
        <w:t>A</w:t>
      </w:r>
      <w:r w:rsidR="006A0C9D" w:rsidRPr="00B70D50">
        <w:rPr>
          <w:rFonts w:asciiTheme="majorBidi" w:hAnsiTheme="majorBidi" w:cstheme="majorBidi"/>
          <w:sz w:val="24"/>
          <w:szCs w:val="24"/>
          <w:lang w:val="en-GB"/>
        </w:rPr>
        <w:t xml:space="preserve">ll citizens are indiscriminately equal before </w:t>
      </w:r>
      <w:r w:rsidR="00306562" w:rsidRPr="00B70D50">
        <w:rPr>
          <w:rFonts w:asciiTheme="majorBidi" w:hAnsiTheme="majorBidi" w:cstheme="majorBidi"/>
          <w:sz w:val="24"/>
          <w:szCs w:val="24"/>
          <w:lang w:val="en-GB"/>
        </w:rPr>
        <w:t xml:space="preserve">the </w:t>
      </w:r>
      <w:r w:rsidR="006A0C9D" w:rsidRPr="00B70D50">
        <w:rPr>
          <w:rFonts w:asciiTheme="majorBidi" w:hAnsiTheme="majorBidi" w:cstheme="majorBidi"/>
          <w:sz w:val="24"/>
          <w:szCs w:val="24"/>
          <w:lang w:val="en-GB"/>
        </w:rPr>
        <w:t xml:space="preserve">law. </w:t>
      </w:r>
      <w:r w:rsidR="00B46B7B" w:rsidRPr="00B70D50">
        <w:rPr>
          <w:rFonts w:asciiTheme="majorBidi" w:hAnsiTheme="majorBidi" w:cstheme="majorBidi"/>
          <w:sz w:val="24"/>
          <w:szCs w:val="24"/>
          <w:lang w:val="en-GB"/>
        </w:rPr>
        <w:t xml:space="preserve">The </w:t>
      </w:r>
      <w:r w:rsidR="00306562" w:rsidRPr="00B70D50">
        <w:rPr>
          <w:rFonts w:asciiTheme="majorBidi" w:hAnsiTheme="majorBidi" w:cstheme="majorBidi"/>
          <w:sz w:val="24"/>
          <w:szCs w:val="24"/>
          <w:lang w:val="en-GB"/>
        </w:rPr>
        <w:t>G</w:t>
      </w:r>
      <w:r w:rsidR="00B46B7B" w:rsidRPr="00B70D50">
        <w:rPr>
          <w:rFonts w:asciiTheme="majorBidi" w:hAnsiTheme="majorBidi" w:cstheme="majorBidi"/>
          <w:sz w:val="24"/>
          <w:szCs w:val="24"/>
          <w:lang w:val="en-GB"/>
        </w:rPr>
        <w:t>overn</w:t>
      </w:r>
      <w:r w:rsidR="00B46B7B" w:rsidRPr="00B70D50">
        <w:rPr>
          <w:rFonts w:asciiTheme="majorBidi" w:hAnsiTheme="majorBidi" w:cstheme="majorBidi"/>
          <w:sz w:val="24"/>
          <w:szCs w:val="24"/>
          <w:lang w:val="en-GB"/>
        </w:rPr>
        <w:lastRenderedPageBreak/>
        <w:t xml:space="preserve">ment </w:t>
      </w:r>
      <w:r w:rsidR="00306562" w:rsidRPr="00B70D50">
        <w:rPr>
          <w:rFonts w:asciiTheme="majorBidi" w:hAnsiTheme="majorBidi" w:cstheme="majorBidi"/>
          <w:sz w:val="24"/>
          <w:szCs w:val="24"/>
          <w:lang w:val="en-GB"/>
        </w:rPr>
        <w:t xml:space="preserve">is endeavouring to </w:t>
      </w:r>
      <w:r w:rsidR="00B46B7B" w:rsidRPr="00B70D50">
        <w:rPr>
          <w:rFonts w:asciiTheme="majorBidi" w:hAnsiTheme="majorBidi" w:cstheme="majorBidi"/>
          <w:sz w:val="24"/>
          <w:szCs w:val="24"/>
          <w:lang w:val="en-GB"/>
        </w:rPr>
        <w:t>fight impunity</w:t>
      </w:r>
      <w:r w:rsidR="00306562" w:rsidRPr="00B70D50">
        <w:rPr>
          <w:rFonts w:asciiTheme="majorBidi" w:hAnsiTheme="majorBidi" w:cstheme="majorBidi"/>
          <w:sz w:val="24"/>
          <w:szCs w:val="24"/>
          <w:lang w:val="en-GB"/>
        </w:rPr>
        <w:t>, in implantation of</w:t>
      </w:r>
      <w:r w:rsidR="00B46B7B" w:rsidRPr="00B70D50">
        <w:rPr>
          <w:rFonts w:asciiTheme="majorBidi" w:hAnsiTheme="majorBidi" w:cstheme="majorBidi"/>
          <w:sz w:val="24"/>
          <w:szCs w:val="24"/>
          <w:lang w:val="en-GB"/>
        </w:rPr>
        <w:t xml:space="preserve"> the rule of law, whilst observing the </w:t>
      </w:r>
      <w:r w:rsidR="00306562" w:rsidRPr="00B70D50">
        <w:rPr>
          <w:rFonts w:asciiTheme="majorBidi" w:hAnsiTheme="majorBidi" w:cstheme="majorBidi"/>
          <w:sz w:val="24"/>
          <w:szCs w:val="24"/>
          <w:lang w:val="en-GB"/>
        </w:rPr>
        <w:t xml:space="preserve">safeguards for </w:t>
      </w:r>
      <w:r w:rsidR="00B46B7B" w:rsidRPr="00B70D50">
        <w:rPr>
          <w:rFonts w:asciiTheme="majorBidi" w:hAnsiTheme="majorBidi" w:cstheme="majorBidi"/>
          <w:sz w:val="24"/>
          <w:szCs w:val="24"/>
          <w:lang w:val="en-GB"/>
        </w:rPr>
        <w:t>respect</w:t>
      </w:r>
      <w:r w:rsidR="00306562" w:rsidRPr="00B70D50">
        <w:rPr>
          <w:rFonts w:asciiTheme="majorBidi" w:hAnsiTheme="majorBidi" w:cstheme="majorBidi"/>
          <w:sz w:val="24"/>
          <w:szCs w:val="24"/>
          <w:lang w:val="en-GB"/>
        </w:rPr>
        <w:t>ing</w:t>
      </w:r>
      <w:r w:rsidR="00B46B7B" w:rsidRPr="00B70D50">
        <w:rPr>
          <w:rFonts w:asciiTheme="majorBidi" w:hAnsiTheme="majorBidi" w:cstheme="majorBidi"/>
          <w:sz w:val="24"/>
          <w:szCs w:val="24"/>
          <w:lang w:val="en-GB"/>
        </w:rPr>
        <w:t xml:space="preserve"> </w:t>
      </w:r>
      <w:r w:rsidR="00306562" w:rsidRPr="00B70D50">
        <w:rPr>
          <w:rFonts w:asciiTheme="majorBidi" w:hAnsiTheme="majorBidi" w:cstheme="majorBidi"/>
          <w:sz w:val="24"/>
          <w:szCs w:val="24"/>
          <w:lang w:val="en-GB"/>
        </w:rPr>
        <w:t xml:space="preserve">the </w:t>
      </w:r>
      <w:r w:rsidR="00B46B7B" w:rsidRPr="00B70D50">
        <w:rPr>
          <w:rFonts w:asciiTheme="majorBidi" w:hAnsiTheme="majorBidi" w:cstheme="majorBidi"/>
          <w:sz w:val="24"/>
          <w:szCs w:val="24"/>
          <w:lang w:val="en-GB"/>
        </w:rPr>
        <w:t>hu</w:t>
      </w:r>
      <w:r w:rsidR="00172FED" w:rsidRPr="00B70D50">
        <w:rPr>
          <w:rFonts w:asciiTheme="majorBidi" w:hAnsiTheme="majorBidi" w:cstheme="majorBidi"/>
          <w:sz w:val="24"/>
          <w:szCs w:val="24"/>
          <w:lang w:val="en-GB"/>
        </w:rPr>
        <w:t xml:space="preserve">man rights </w:t>
      </w:r>
      <w:r w:rsidR="00306562" w:rsidRPr="00B70D50">
        <w:rPr>
          <w:rFonts w:asciiTheme="majorBidi" w:hAnsiTheme="majorBidi" w:cstheme="majorBidi"/>
          <w:sz w:val="24"/>
          <w:szCs w:val="24"/>
          <w:lang w:val="en-GB"/>
        </w:rPr>
        <w:t xml:space="preserve">of </w:t>
      </w:r>
      <w:r w:rsidR="00172FED" w:rsidRPr="00B70D50">
        <w:rPr>
          <w:rFonts w:asciiTheme="majorBidi" w:hAnsiTheme="majorBidi" w:cstheme="majorBidi"/>
          <w:sz w:val="24"/>
          <w:szCs w:val="24"/>
          <w:lang w:val="en-GB"/>
        </w:rPr>
        <w:t xml:space="preserve">those whose </w:t>
      </w:r>
      <w:r w:rsidR="00306562" w:rsidRPr="00B70D50">
        <w:rPr>
          <w:rFonts w:asciiTheme="majorBidi" w:hAnsiTheme="majorBidi" w:cstheme="majorBidi"/>
          <w:sz w:val="24"/>
          <w:szCs w:val="24"/>
          <w:lang w:val="en-GB"/>
        </w:rPr>
        <w:t xml:space="preserve">liberty is </w:t>
      </w:r>
      <w:r w:rsidR="00172FED" w:rsidRPr="00B70D50">
        <w:rPr>
          <w:rFonts w:asciiTheme="majorBidi" w:hAnsiTheme="majorBidi" w:cstheme="majorBidi"/>
          <w:sz w:val="24"/>
          <w:szCs w:val="24"/>
          <w:lang w:val="en-GB"/>
        </w:rPr>
        <w:t>restricted</w:t>
      </w:r>
      <w:r w:rsidR="00172FED" w:rsidRPr="00B70D50">
        <w:rPr>
          <w:rFonts w:asciiTheme="majorBidi" w:hAnsiTheme="majorBidi" w:cstheme="majorBidi"/>
          <w:b/>
          <w:bCs/>
          <w:sz w:val="24"/>
          <w:szCs w:val="24"/>
          <w:lang w:val="en-GB"/>
        </w:rPr>
        <w:t>.</w:t>
      </w:r>
      <w:r w:rsidR="007E4EE7" w:rsidRPr="00B70D50">
        <w:rPr>
          <w:rFonts w:asciiTheme="majorBidi" w:hAnsiTheme="majorBidi" w:cstheme="majorBidi"/>
          <w:b/>
          <w:bCs/>
          <w:sz w:val="24"/>
          <w:szCs w:val="24"/>
          <w:lang w:val="en-GB"/>
        </w:rPr>
        <w:t xml:space="preserve"> Therefore</w:t>
      </w:r>
      <w:r w:rsidR="000B234E" w:rsidRPr="00B70D50">
        <w:rPr>
          <w:rFonts w:asciiTheme="majorBidi" w:hAnsiTheme="majorBidi" w:cstheme="majorBidi"/>
          <w:b/>
          <w:bCs/>
          <w:sz w:val="24"/>
          <w:szCs w:val="24"/>
          <w:lang w:val="en-GB"/>
        </w:rPr>
        <w:t>:</w:t>
      </w:r>
    </w:p>
    <w:p w14:paraId="10906DB3" w14:textId="77777777" w:rsidR="000B234E" w:rsidRPr="00B70D50" w:rsidRDefault="000B234E" w:rsidP="000B234E">
      <w:pPr>
        <w:pStyle w:val="ListParagraph"/>
        <w:bidi w:val="0"/>
        <w:spacing w:after="0" w:line="300" w:lineRule="exact"/>
        <w:ind w:left="0" w:right="49"/>
        <w:contextualSpacing w:val="0"/>
        <w:jc w:val="both"/>
        <w:rPr>
          <w:rFonts w:asciiTheme="majorBidi" w:hAnsiTheme="majorBidi" w:cstheme="majorBidi"/>
          <w:b/>
          <w:bCs/>
          <w:sz w:val="24"/>
          <w:szCs w:val="24"/>
          <w:lang w:val="en-GB"/>
        </w:rPr>
      </w:pPr>
    </w:p>
    <w:p w14:paraId="22D68246" w14:textId="5A447D86" w:rsidR="00812D58" w:rsidRPr="00B70D50" w:rsidRDefault="00812D58"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Fully Accepted Recommendations:</w:t>
      </w:r>
    </w:p>
    <w:p w14:paraId="1A50892E" w14:textId="59F76DA4" w:rsidR="00812D58" w:rsidRPr="00B70D50" w:rsidRDefault="006F1CCE" w:rsidP="00671925">
      <w:pPr>
        <w:pStyle w:val="ListParagraph"/>
        <w:bidi w:val="0"/>
        <w:spacing w:after="0" w:line="300" w:lineRule="exact"/>
        <w:ind w:left="0" w:right="49"/>
        <w:contextualSpacing w:val="0"/>
        <w:rPr>
          <w:rFonts w:asciiTheme="majorBidi" w:hAnsiTheme="majorBidi" w:cstheme="majorBidi"/>
          <w:sz w:val="24"/>
          <w:szCs w:val="24"/>
          <w:lang w:val="en-GB"/>
        </w:rPr>
      </w:pPr>
      <w:r w:rsidRPr="00B70D50">
        <w:rPr>
          <w:rFonts w:asciiTheme="majorBidi" w:hAnsiTheme="majorBidi" w:cstheme="majorBidi"/>
          <w:sz w:val="24"/>
          <w:szCs w:val="24"/>
          <w:lang w:val="en-GB"/>
        </w:rPr>
        <w:lastRenderedPageBreak/>
        <w:t>70-71-72-75</w:t>
      </w:r>
      <w:r w:rsidR="002A117A" w:rsidRPr="00B70D50">
        <w:rPr>
          <w:rStyle w:val="FootnoteReference"/>
          <w:rFonts w:asciiTheme="majorBidi" w:hAnsiTheme="majorBidi" w:cstheme="majorBidi"/>
          <w:sz w:val="24"/>
          <w:szCs w:val="24"/>
          <w:lang w:val="en-GB"/>
        </w:rPr>
        <w:footnoteReference w:id="46"/>
      </w:r>
      <w:r w:rsidR="000C6039" w:rsidRPr="00B70D50">
        <w:rPr>
          <w:rFonts w:asciiTheme="majorBidi" w:hAnsiTheme="majorBidi" w:cstheme="majorBidi"/>
          <w:sz w:val="24"/>
          <w:szCs w:val="24"/>
          <w:lang w:val="en-GB"/>
        </w:rPr>
        <w:t>-76-80</w:t>
      </w:r>
      <w:r w:rsidR="0009539A" w:rsidRPr="00B70D50">
        <w:rPr>
          <w:rStyle w:val="FootnoteReference"/>
          <w:rFonts w:asciiTheme="majorBidi" w:hAnsiTheme="majorBidi" w:cstheme="majorBidi"/>
          <w:sz w:val="24"/>
          <w:szCs w:val="24"/>
          <w:lang w:val="en-GB"/>
        </w:rPr>
        <w:footnoteReference w:id="47"/>
      </w:r>
      <w:r w:rsidRPr="00B70D50">
        <w:rPr>
          <w:rFonts w:asciiTheme="majorBidi" w:hAnsiTheme="majorBidi" w:cstheme="majorBidi"/>
          <w:sz w:val="24"/>
          <w:szCs w:val="24"/>
          <w:lang w:val="en-GB"/>
        </w:rPr>
        <w:t>-87-89-117-141-161-165-168-169-170-171-172-173-174-177-180-182-185-188-189-191-192-194</w:t>
      </w:r>
      <w:r w:rsidR="007F6305" w:rsidRPr="00B70D50">
        <w:rPr>
          <w:rStyle w:val="FootnoteReference"/>
          <w:rFonts w:asciiTheme="majorBidi" w:hAnsiTheme="majorBidi" w:cstheme="majorBidi"/>
          <w:sz w:val="24"/>
          <w:szCs w:val="24"/>
          <w:lang w:val="en-GB"/>
        </w:rPr>
        <w:footnoteReference w:id="48"/>
      </w:r>
      <w:r w:rsidRPr="00B70D50">
        <w:rPr>
          <w:rFonts w:asciiTheme="majorBidi" w:hAnsiTheme="majorBidi" w:cstheme="majorBidi"/>
          <w:sz w:val="24"/>
          <w:szCs w:val="24"/>
          <w:lang w:val="en-GB"/>
        </w:rPr>
        <w:t>-</w:t>
      </w:r>
      <w:r w:rsidR="00253213" w:rsidRPr="00B70D50">
        <w:rPr>
          <w:rFonts w:asciiTheme="majorBidi" w:hAnsiTheme="majorBidi" w:cstheme="majorBidi"/>
          <w:sz w:val="24"/>
          <w:szCs w:val="24"/>
          <w:lang w:val="en-GB"/>
        </w:rPr>
        <w:t>200</w:t>
      </w:r>
      <w:r w:rsidR="00410501" w:rsidRPr="00B70D50">
        <w:rPr>
          <w:rStyle w:val="FootnoteReference"/>
          <w:rFonts w:asciiTheme="majorBidi" w:hAnsiTheme="majorBidi" w:cstheme="majorBidi"/>
          <w:sz w:val="24"/>
          <w:szCs w:val="24"/>
          <w:lang w:val="en-GB"/>
        </w:rPr>
        <w:footnoteReference w:id="49"/>
      </w:r>
      <w:r w:rsidR="00253213" w:rsidRPr="00B70D50">
        <w:rPr>
          <w:rFonts w:asciiTheme="majorBidi" w:hAnsiTheme="majorBidi" w:cstheme="majorBidi"/>
          <w:sz w:val="24"/>
          <w:szCs w:val="24"/>
          <w:lang w:val="en-GB"/>
        </w:rPr>
        <w:t>-202</w:t>
      </w:r>
      <w:r w:rsidR="00133F32" w:rsidRPr="00B70D50">
        <w:rPr>
          <w:rStyle w:val="FootnoteReference"/>
          <w:rFonts w:asciiTheme="majorBidi" w:hAnsiTheme="majorBidi" w:cstheme="majorBidi"/>
          <w:sz w:val="24"/>
          <w:szCs w:val="24"/>
          <w:lang w:val="en-GB"/>
        </w:rPr>
        <w:footnoteReference w:id="50"/>
      </w:r>
      <w:r w:rsidRPr="00B70D50">
        <w:rPr>
          <w:rFonts w:asciiTheme="majorBidi" w:hAnsiTheme="majorBidi" w:cstheme="majorBidi"/>
          <w:sz w:val="24"/>
          <w:szCs w:val="24"/>
          <w:lang w:val="en-GB"/>
        </w:rPr>
        <w:t>-</w:t>
      </w:r>
      <w:r w:rsidR="008D32D7" w:rsidRPr="00B70D50">
        <w:rPr>
          <w:rFonts w:asciiTheme="majorBidi" w:hAnsiTheme="majorBidi" w:cstheme="majorBidi"/>
          <w:sz w:val="24"/>
          <w:szCs w:val="24"/>
          <w:lang w:val="en-GB"/>
        </w:rPr>
        <w:t>206</w:t>
      </w:r>
      <w:r w:rsidR="00B9785A" w:rsidRPr="00B70D50">
        <w:rPr>
          <w:rStyle w:val="FootnoteReference"/>
          <w:rFonts w:asciiTheme="majorBidi" w:hAnsiTheme="majorBidi" w:cstheme="majorBidi"/>
          <w:sz w:val="24"/>
          <w:szCs w:val="24"/>
          <w:lang w:val="en-GB"/>
        </w:rPr>
        <w:footnoteReference w:id="51"/>
      </w:r>
      <w:r w:rsidRPr="00B70D50">
        <w:rPr>
          <w:rFonts w:asciiTheme="majorBidi" w:hAnsiTheme="majorBidi" w:cstheme="majorBidi"/>
          <w:sz w:val="24"/>
          <w:szCs w:val="24"/>
          <w:lang w:val="en-GB"/>
        </w:rPr>
        <w:t>-</w:t>
      </w:r>
      <w:r w:rsidR="008D32D7" w:rsidRPr="00B70D50">
        <w:rPr>
          <w:rFonts w:asciiTheme="majorBidi" w:hAnsiTheme="majorBidi" w:cstheme="majorBidi"/>
          <w:sz w:val="24"/>
          <w:szCs w:val="24"/>
          <w:lang w:val="en-GB"/>
        </w:rPr>
        <w:t>207</w:t>
      </w:r>
      <w:r w:rsidR="000A4818" w:rsidRPr="00B70D50">
        <w:rPr>
          <w:rStyle w:val="FootnoteReference"/>
          <w:rFonts w:asciiTheme="majorBidi" w:hAnsiTheme="majorBidi" w:cstheme="majorBidi"/>
          <w:sz w:val="24"/>
          <w:szCs w:val="24"/>
          <w:lang w:val="en-GB"/>
        </w:rPr>
        <w:footnoteReference w:id="52"/>
      </w:r>
      <w:r w:rsidR="00AF7AC7" w:rsidRPr="00B70D50">
        <w:rPr>
          <w:rFonts w:asciiTheme="majorBidi" w:hAnsiTheme="majorBidi" w:cstheme="majorBidi"/>
          <w:sz w:val="24"/>
          <w:szCs w:val="24"/>
          <w:lang w:val="en-GB"/>
        </w:rPr>
        <w:t>-220-222-272-360</w:t>
      </w:r>
      <w:r w:rsidR="009B5483" w:rsidRPr="00B70D50">
        <w:rPr>
          <w:rStyle w:val="FootnoteReference"/>
          <w:rFonts w:asciiTheme="majorBidi" w:hAnsiTheme="majorBidi" w:cstheme="majorBidi"/>
          <w:sz w:val="24"/>
          <w:szCs w:val="24"/>
          <w:lang w:val="en-GB"/>
        </w:rPr>
        <w:footnoteReference w:id="53"/>
      </w:r>
      <w:r w:rsidRPr="00B70D50">
        <w:rPr>
          <w:rFonts w:asciiTheme="majorBidi" w:hAnsiTheme="majorBidi" w:cstheme="majorBidi"/>
          <w:sz w:val="24"/>
          <w:szCs w:val="24"/>
          <w:lang w:val="en-GB"/>
        </w:rPr>
        <w:t>-365</w:t>
      </w:r>
      <w:r w:rsidR="00725FEC" w:rsidRPr="00B70D50">
        <w:rPr>
          <w:rStyle w:val="FootnoteReference"/>
          <w:rFonts w:asciiTheme="majorBidi" w:hAnsiTheme="majorBidi" w:cstheme="majorBidi"/>
          <w:sz w:val="24"/>
          <w:szCs w:val="24"/>
          <w:lang w:val="en-GB"/>
        </w:rPr>
        <w:footnoteReference w:id="54"/>
      </w:r>
    </w:p>
    <w:p w14:paraId="0A2E275F" w14:textId="77777777" w:rsidR="000B234E" w:rsidRPr="00B70D50" w:rsidRDefault="000B234E" w:rsidP="000B234E">
      <w:pPr>
        <w:pStyle w:val="ListParagraph"/>
        <w:bidi w:val="0"/>
        <w:spacing w:after="0" w:line="300" w:lineRule="exact"/>
        <w:ind w:left="0" w:right="49"/>
        <w:contextualSpacing w:val="0"/>
        <w:rPr>
          <w:rFonts w:asciiTheme="majorBidi" w:hAnsiTheme="majorBidi" w:cstheme="majorBidi"/>
          <w:sz w:val="24"/>
          <w:szCs w:val="24"/>
          <w:lang w:val="en-GB"/>
        </w:rPr>
      </w:pPr>
    </w:p>
    <w:p w14:paraId="02B498E0" w14:textId="77777777" w:rsidR="00382F8A" w:rsidRPr="00B70D50" w:rsidRDefault="00382F8A" w:rsidP="00382F8A">
      <w:pPr>
        <w:pStyle w:val="ListParagraph"/>
        <w:bidi w:val="0"/>
        <w:spacing w:after="0" w:line="300" w:lineRule="exact"/>
        <w:ind w:left="0" w:right="49"/>
        <w:contextualSpacing w:val="0"/>
        <w:rPr>
          <w:rFonts w:asciiTheme="majorBidi" w:hAnsiTheme="majorBidi" w:cstheme="majorBidi"/>
          <w:sz w:val="24"/>
          <w:szCs w:val="24"/>
          <w:lang w:val="en-GB"/>
        </w:rPr>
      </w:pPr>
    </w:p>
    <w:p w14:paraId="1EAB63B5" w14:textId="5853D007" w:rsidR="00812D58" w:rsidRPr="00B70D50" w:rsidRDefault="00812D58"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Partially Accepted Recommendations:</w:t>
      </w:r>
    </w:p>
    <w:p w14:paraId="301CE0DC" w14:textId="1BB894CF" w:rsidR="00812D58" w:rsidRPr="00B70D50" w:rsidRDefault="001330FD"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lastRenderedPageBreak/>
        <w:t>4-62</w:t>
      </w:r>
      <w:r w:rsidR="008D32D7" w:rsidRPr="00B70D50">
        <w:rPr>
          <w:rFonts w:asciiTheme="majorBidi" w:hAnsiTheme="majorBidi" w:cstheme="majorBidi"/>
          <w:sz w:val="24"/>
          <w:szCs w:val="24"/>
          <w:lang w:val="en-GB"/>
        </w:rPr>
        <w:t>-163</w:t>
      </w:r>
      <w:r w:rsidR="001674EA" w:rsidRPr="00B70D50">
        <w:rPr>
          <w:rStyle w:val="FootnoteReference"/>
          <w:rFonts w:asciiTheme="majorBidi" w:hAnsiTheme="majorBidi" w:cstheme="majorBidi"/>
          <w:sz w:val="24"/>
          <w:szCs w:val="24"/>
          <w:lang w:val="en-GB"/>
        </w:rPr>
        <w:footnoteReference w:id="55"/>
      </w:r>
      <w:r w:rsidR="008D32D7" w:rsidRPr="00B70D50">
        <w:rPr>
          <w:rFonts w:asciiTheme="majorBidi" w:hAnsiTheme="majorBidi" w:cstheme="majorBidi"/>
          <w:sz w:val="24"/>
          <w:szCs w:val="24"/>
          <w:lang w:val="en-GB"/>
        </w:rPr>
        <w:t>-</w:t>
      </w:r>
      <w:r w:rsidRPr="00B70D50">
        <w:rPr>
          <w:rFonts w:asciiTheme="majorBidi" w:hAnsiTheme="majorBidi" w:cstheme="majorBidi"/>
          <w:sz w:val="24"/>
          <w:szCs w:val="24"/>
          <w:lang w:val="en-GB"/>
        </w:rPr>
        <w:t>166-175-193-197</w:t>
      </w:r>
      <w:r w:rsidR="00404408" w:rsidRPr="00B70D50">
        <w:rPr>
          <w:rStyle w:val="FootnoteReference"/>
          <w:rFonts w:asciiTheme="majorBidi" w:hAnsiTheme="majorBidi" w:cstheme="majorBidi"/>
          <w:sz w:val="24"/>
          <w:szCs w:val="24"/>
          <w:lang w:val="en-GB"/>
        </w:rPr>
        <w:footnoteReference w:id="56"/>
      </w:r>
    </w:p>
    <w:p w14:paraId="0E7B4A82"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3237F8BD" w14:textId="28C3C3E3" w:rsidR="009A48B0" w:rsidRPr="00B70D50" w:rsidRDefault="009A48B0"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Implemented Recommendations</w:t>
      </w:r>
    </w:p>
    <w:p w14:paraId="793EB06E" w14:textId="6B345490" w:rsidR="009A48B0" w:rsidRPr="00B70D50" w:rsidRDefault="009A48B0"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88</w:t>
      </w:r>
      <w:r w:rsidR="00EF5F16" w:rsidRPr="00B70D50">
        <w:rPr>
          <w:rStyle w:val="FootnoteReference"/>
          <w:rFonts w:asciiTheme="majorBidi" w:hAnsiTheme="majorBidi" w:cstheme="majorBidi"/>
          <w:sz w:val="24"/>
          <w:szCs w:val="24"/>
          <w:lang w:val="en-GB"/>
        </w:rPr>
        <w:footnoteReference w:id="57"/>
      </w:r>
      <w:r w:rsidRPr="00B70D50">
        <w:rPr>
          <w:rFonts w:asciiTheme="majorBidi" w:hAnsiTheme="majorBidi" w:cstheme="majorBidi"/>
          <w:sz w:val="24"/>
          <w:szCs w:val="24"/>
          <w:lang w:val="en-GB"/>
        </w:rPr>
        <w:t>-178</w:t>
      </w:r>
      <w:r w:rsidR="00380F6F" w:rsidRPr="00B70D50">
        <w:rPr>
          <w:rStyle w:val="FootnoteReference"/>
          <w:rFonts w:asciiTheme="majorBidi" w:hAnsiTheme="majorBidi" w:cstheme="majorBidi"/>
          <w:sz w:val="24"/>
          <w:szCs w:val="24"/>
          <w:lang w:val="en-GB"/>
        </w:rPr>
        <w:footnoteReference w:id="58"/>
      </w:r>
      <w:r w:rsidRPr="00B70D50">
        <w:rPr>
          <w:rFonts w:asciiTheme="majorBidi" w:hAnsiTheme="majorBidi" w:cstheme="majorBidi"/>
          <w:sz w:val="24"/>
          <w:szCs w:val="24"/>
          <w:lang w:val="en-GB"/>
        </w:rPr>
        <w:t>-</w:t>
      </w:r>
      <w:r w:rsidR="007351E2" w:rsidRPr="00B70D50">
        <w:rPr>
          <w:rFonts w:asciiTheme="majorBidi" w:hAnsiTheme="majorBidi" w:cstheme="majorBidi"/>
          <w:sz w:val="24"/>
          <w:szCs w:val="24"/>
          <w:lang w:val="en-GB"/>
        </w:rPr>
        <w:t>186</w:t>
      </w:r>
      <w:r w:rsidR="00586AA5" w:rsidRPr="00B70D50">
        <w:rPr>
          <w:rStyle w:val="FootnoteReference"/>
          <w:rFonts w:asciiTheme="majorBidi" w:hAnsiTheme="majorBidi" w:cstheme="majorBidi"/>
          <w:sz w:val="24"/>
          <w:szCs w:val="24"/>
          <w:lang w:val="en-GB"/>
        </w:rPr>
        <w:footnoteReference w:id="59"/>
      </w:r>
      <w:r w:rsidR="007351E2" w:rsidRPr="00B70D50">
        <w:rPr>
          <w:rFonts w:asciiTheme="majorBidi" w:hAnsiTheme="majorBidi" w:cstheme="majorBidi"/>
          <w:sz w:val="24"/>
          <w:szCs w:val="24"/>
          <w:lang w:val="en-GB"/>
        </w:rPr>
        <w:t>-187</w:t>
      </w:r>
      <w:r w:rsidR="002B50B1" w:rsidRPr="00B70D50">
        <w:rPr>
          <w:rStyle w:val="FootnoteReference"/>
          <w:rFonts w:asciiTheme="majorBidi" w:hAnsiTheme="majorBidi" w:cstheme="majorBidi"/>
          <w:sz w:val="24"/>
          <w:szCs w:val="24"/>
          <w:lang w:val="en-GB"/>
        </w:rPr>
        <w:footnoteReference w:id="60"/>
      </w:r>
      <w:r w:rsidR="007351E2" w:rsidRPr="00B70D50">
        <w:rPr>
          <w:rFonts w:asciiTheme="majorBidi" w:hAnsiTheme="majorBidi" w:cstheme="majorBidi"/>
          <w:sz w:val="24"/>
          <w:szCs w:val="24"/>
          <w:lang w:val="en-GB"/>
        </w:rPr>
        <w:t>-190</w:t>
      </w:r>
      <w:r w:rsidR="002A45A1" w:rsidRPr="00B70D50">
        <w:rPr>
          <w:rStyle w:val="FootnoteReference"/>
          <w:rFonts w:asciiTheme="majorBidi" w:hAnsiTheme="majorBidi" w:cstheme="majorBidi"/>
          <w:sz w:val="24"/>
          <w:szCs w:val="24"/>
          <w:lang w:val="en-GB"/>
        </w:rPr>
        <w:footnoteReference w:id="61"/>
      </w:r>
      <w:r w:rsidR="007351E2" w:rsidRPr="00B70D50">
        <w:rPr>
          <w:rFonts w:asciiTheme="majorBidi" w:hAnsiTheme="majorBidi" w:cstheme="majorBidi"/>
          <w:sz w:val="24"/>
          <w:szCs w:val="24"/>
          <w:lang w:val="en-GB"/>
        </w:rPr>
        <w:t>-</w:t>
      </w:r>
      <w:r w:rsidR="00751975" w:rsidRPr="00B70D50">
        <w:rPr>
          <w:rFonts w:asciiTheme="majorBidi" w:hAnsiTheme="majorBidi" w:cstheme="majorBidi"/>
          <w:sz w:val="24"/>
          <w:szCs w:val="24"/>
          <w:lang w:val="en-GB"/>
        </w:rPr>
        <w:t>198</w:t>
      </w:r>
      <w:r w:rsidR="006A7581" w:rsidRPr="00B70D50">
        <w:rPr>
          <w:rStyle w:val="FootnoteReference"/>
          <w:rFonts w:asciiTheme="majorBidi" w:hAnsiTheme="majorBidi" w:cstheme="majorBidi"/>
          <w:sz w:val="24"/>
          <w:szCs w:val="24"/>
          <w:lang w:val="en-GB"/>
        </w:rPr>
        <w:footnoteReference w:id="62"/>
      </w:r>
      <w:r w:rsidR="00751975" w:rsidRPr="00B70D50">
        <w:rPr>
          <w:rFonts w:asciiTheme="majorBidi" w:hAnsiTheme="majorBidi" w:cstheme="majorBidi"/>
          <w:sz w:val="24"/>
          <w:szCs w:val="24"/>
          <w:lang w:val="en-GB"/>
        </w:rPr>
        <w:t>-199</w:t>
      </w:r>
      <w:r w:rsidR="00953DF3" w:rsidRPr="00B70D50">
        <w:rPr>
          <w:rStyle w:val="FootnoteReference"/>
          <w:rFonts w:asciiTheme="majorBidi" w:hAnsiTheme="majorBidi" w:cstheme="majorBidi"/>
          <w:sz w:val="24"/>
          <w:szCs w:val="24"/>
          <w:lang w:val="en-GB"/>
        </w:rPr>
        <w:footnoteReference w:id="63"/>
      </w:r>
    </w:p>
    <w:p w14:paraId="2AE60371"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5EEB240C" w14:textId="0F00F15B" w:rsidR="00812D58" w:rsidRPr="00B70D50" w:rsidRDefault="00812D58"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Factually Incorrect Recommendations:</w:t>
      </w:r>
    </w:p>
    <w:p w14:paraId="7DD2CF2D" w14:textId="7BC2E246" w:rsidR="00812D58" w:rsidRPr="00B70D50" w:rsidRDefault="00577DFE"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lastRenderedPageBreak/>
        <w:t>124</w:t>
      </w:r>
      <w:r w:rsidR="0083367D" w:rsidRPr="00B70D50">
        <w:rPr>
          <w:rStyle w:val="FootnoteReference"/>
          <w:rFonts w:asciiTheme="majorBidi" w:hAnsiTheme="majorBidi" w:cstheme="majorBidi"/>
          <w:sz w:val="24"/>
          <w:szCs w:val="24"/>
          <w:lang w:val="en-GB"/>
        </w:rPr>
        <w:footnoteReference w:id="64"/>
      </w:r>
      <w:r w:rsidRPr="00B70D50">
        <w:rPr>
          <w:rFonts w:asciiTheme="majorBidi" w:hAnsiTheme="majorBidi" w:cstheme="majorBidi"/>
          <w:sz w:val="24"/>
          <w:szCs w:val="24"/>
          <w:lang w:val="en-GB"/>
        </w:rPr>
        <w:t>-126</w:t>
      </w:r>
      <w:r w:rsidR="00203EBC" w:rsidRPr="00B70D50">
        <w:rPr>
          <w:rStyle w:val="FootnoteReference"/>
          <w:rFonts w:asciiTheme="majorBidi" w:hAnsiTheme="majorBidi" w:cstheme="majorBidi"/>
          <w:sz w:val="24"/>
          <w:szCs w:val="24"/>
          <w:lang w:val="en-GB"/>
        </w:rPr>
        <w:footnoteReference w:id="65"/>
      </w:r>
      <w:r w:rsidRPr="00B70D50">
        <w:rPr>
          <w:rFonts w:asciiTheme="majorBidi" w:hAnsiTheme="majorBidi" w:cstheme="majorBidi"/>
          <w:sz w:val="24"/>
          <w:szCs w:val="24"/>
          <w:lang w:val="en-GB"/>
        </w:rPr>
        <w:t>-183</w:t>
      </w:r>
      <w:r w:rsidR="001F53C6" w:rsidRPr="00B70D50">
        <w:rPr>
          <w:rStyle w:val="FootnoteReference"/>
          <w:rFonts w:asciiTheme="majorBidi" w:hAnsiTheme="majorBidi" w:cstheme="majorBidi"/>
          <w:sz w:val="24"/>
          <w:szCs w:val="24"/>
          <w:lang w:val="en-GB"/>
        </w:rPr>
        <w:footnoteReference w:id="66"/>
      </w:r>
      <w:r w:rsidRPr="00B70D50">
        <w:rPr>
          <w:rFonts w:asciiTheme="majorBidi" w:hAnsiTheme="majorBidi" w:cstheme="majorBidi"/>
          <w:sz w:val="24"/>
          <w:szCs w:val="24"/>
          <w:lang w:val="en-GB"/>
        </w:rPr>
        <w:t>-208</w:t>
      </w:r>
      <w:r w:rsidR="00AA77AB" w:rsidRPr="00B70D50">
        <w:rPr>
          <w:rStyle w:val="FootnoteReference"/>
          <w:rFonts w:asciiTheme="majorBidi" w:hAnsiTheme="majorBidi" w:cstheme="majorBidi"/>
          <w:sz w:val="24"/>
          <w:szCs w:val="24"/>
          <w:lang w:val="en-GB"/>
        </w:rPr>
        <w:footnoteReference w:id="67"/>
      </w:r>
    </w:p>
    <w:p w14:paraId="551ED1F4"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37985ECE" w14:textId="2E71F6C2" w:rsidR="000C1D32" w:rsidRPr="00B70D50" w:rsidRDefault="00B70D50"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Unaccepted</w:t>
      </w:r>
      <w:r w:rsidR="000C1D32" w:rsidRPr="00B70D50">
        <w:rPr>
          <w:rFonts w:asciiTheme="majorBidi" w:hAnsiTheme="majorBidi" w:cstheme="majorBidi"/>
          <w:b/>
          <w:bCs/>
          <w:sz w:val="24"/>
          <w:szCs w:val="24"/>
          <w:u w:val="single"/>
          <w:lang w:val="en-GB"/>
        </w:rPr>
        <w:t xml:space="preserve"> Recommendations:</w:t>
      </w:r>
    </w:p>
    <w:p w14:paraId="38F4EC12" w14:textId="1B0E49BB" w:rsidR="000C1D32" w:rsidRPr="00B70D50" w:rsidRDefault="000C1D32"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78</w:t>
      </w:r>
      <w:r w:rsidR="005E0DE9" w:rsidRPr="00B70D50">
        <w:rPr>
          <w:rStyle w:val="FootnoteReference"/>
          <w:rFonts w:asciiTheme="majorBidi" w:hAnsiTheme="majorBidi" w:cstheme="majorBidi"/>
          <w:sz w:val="24"/>
          <w:szCs w:val="24"/>
          <w:lang w:val="en-GB"/>
        </w:rPr>
        <w:footnoteReference w:id="68"/>
      </w:r>
      <w:r w:rsidRPr="00B70D50">
        <w:rPr>
          <w:rFonts w:asciiTheme="majorBidi" w:hAnsiTheme="majorBidi" w:cstheme="majorBidi"/>
          <w:sz w:val="24"/>
          <w:szCs w:val="24"/>
          <w:lang w:val="en-GB"/>
        </w:rPr>
        <w:t>-81-140-162-372</w:t>
      </w:r>
    </w:p>
    <w:p w14:paraId="1A69578F"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4C4DF3AF" w14:textId="3F122EC0" w:rsidR="00577DFE" w:rsidRPr="00B70D50" w:rsidRDefault="00577DFE"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Hostile Recommendation:</w:t>
      </w:r>
    </w:p>
    <w:p w14:paraId="658A66B3" w14:textId="21BC96A7" w:rsidR="00577DFE" w:rsidRPr="00B70D50" w:rsidRDefault="00577DFE"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167</w:t>
      </w:r>
    </w:p>
    <w:p w14:paraId="5AEC499A" w14:textId="77777777" w:rsidR="00577DFE" w:rsidRPr="00B70D50" w:rsidRDefault="00577DFE" w:rsidP="00671925">
      <w:pPr>
        <w:pStyle w:val="ListParagraph"/>
        <w:bidi w:val="0"/>
        <w:spacing w:after="0" w:line="300" w:lineRule="exact"/>
        <w:ind w:left="0" w:right="49"/>
        <w:contextualSpacing w:val="0"/>
        <w:jc w:val="lowKashida"/>
        <w:rPr>
          <w:rFonts w:asciiTheme="majorBidi" w:hAnsiTheme="majorBidi" w:cstheme="majorBidi"/>
          <w:sz w:val="24"/>
          <w:szCs w:val="24"/>
          <w:lang w:val="en-GB" w:bidi="ar-DZ"/>
        </w:rPr>
      </w:pPr>
    </w:p>
    <w:p w14:paraId="21254CEE" w14:textId="77777777" w:rsidR="00706286" w:rsidRPr="00B70D50" w:rsidRDefault="00706286" w:rsidP="00706286">
      <w:pPr>
        <w:pStyle w:val="ListParagraph"/>
        <w:bidi w:val="0"/>
        <w:spacing w:after="0" w:line="300" w:lineRule="exact"/>
        <w:ind w:left="0" w:right="49"/>
        <w:contextualSpacing w:val="0"/>
        <w:jc w:val="lowKashida"/>
        <w:rPr>
          <w:rFonts w:asciiTheme="majorBidi" w:hAnsiTheme="majorBidi" w:cstheme="majorBidi"/>
          <w:sz w:val="24"/>
          <w:szCs w:val="24"/>
          <w:lang w:val="en-GB" w:bidi="ar-DZ"/>
        </w:rPr>
      </w:pPr>
    </w:p>
    <w:p w14:paraId="655978CD" w14:textId="77777777" w:rsidR="00382F8A" w:rsidRPr="00B70D50" w:rsidRDefault="00382F8A" w:rsidP="00382F8A">
      <w:pPr>
        <w:pStyle w:val="ListParagraph"/>
        <w:bidi w:val="0"/>
        <w:spacing w:after="0" w:line="300" w:lineRule="exact"/>
        <w:ind w:left="0" w:right="49"/>
        <w:contextualSpacing w:val="0"/>
        <w:jc w:val="lowKashida"/>
        <w:rPr>
          <w:rFonts w:asciiTheme="majorBidi" w:hAnsiTheme="majorBidi" w:cstheme="majorBidi"/>
          <w:sz w:val="24"/>
          <w:szCs w:val="24"/>
          <w:lang w:val="en-GB" w:bidi="ar-DZ"/>
        </w:rPr>
      </w:pPr>
    </w:p>
    <w:p w14:paraId="256CE7A4" w14:textId="77777777" w:rsidR="004B60D5" w:rsidRPr="00B70D50" w:rsidRDefault="000C1D32" w:rsidP="00671925">
      <w:pPr>
        <w:pStyle w:val="ListParagraph"/>
        <w:numPr>
          <w:ilvl w:val="0"/>
          <w:numId w:val="41"/>
        </w:numPr>
        <w:bidi w:val="0"/>
        <w:spacing w:after="0" w:line="300" w:lineRule="exact"/>
        <w:ind w:left="0" w:right="49"/>
        <w:contextualSpacing w:val="0"/>
        <w:jc w:val="both"/>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 xml:space="preserve">Economic, </w:t>
      </w:r>
      <w:r w:rsidR="004B60D5" w:rsidRPr="00B70D50">
        <w:rPr>
          <w:rFonts w:asciiTheme="majorBidi" w:hAnsiTheme="majorBidi" w:cstheme="majorBidi"/>
          <w:b/>
          <w:bCs/>
          <w:sz w:val="24"/>
          <w:szCs w:val="24"/>
          <w:u w:val="single"/>
          <w:lang w:val="en-GB"/>
        </w:rPr>
        <w:t>Social and Cultural Rights:</w:t>
      </w:r>
    </w:p>
    <w:p w14:paraId="3D6B36CD" w14:textId="0268772B" w:rsidR="00A626DD" w:rsidRPr="00B70D50" w:rsidRDefault="005576A9" w:rsidP="0008161E">
      <w:pPr>
        <w:pStyle w:val="ListParagraph"/>
        <w:numPr>
          <w:ilvl w:val="0"/>
          <w:numId w:val="39"/>
        </w:numPr>
        <w:bidi w:val="0"/>
        <w:spacing w:after="0" w:line="300" w:lineRule="exact"/>
        <w:ind w:left="0" w:right="49"/>
        <w:contextualSpacing w:val="0"/>
        <w:jc w:val="lowKashida"/>
        <w:rPr>
          <w:rFonts w:asciiTheme="majorBidi" w:hAnsiTheme="majorBidi" w:cstheme="majorBidi"/>
          <w:b/>
          <w:bCs/>
          <w:sz w:val="24"/>
          <w:szCs w:val="24"/>
          <w:lang w:val="en-GB"/>
        </w:rPr>
      </w:pPr>
      <w:r w:rsidRPr="00B70D50">
        <w:rPr>
          <w:rFonts w:asciiTheme="majorBidi" w:hAnsiTheme="majorBidi" w:cstheme="majorBidi"/>
          <w:sz w:val="24"/>
          <w:szCs w:val="24"/>
          <w:lang w:val="en-GB"/>
        </w:rPr>
        <w:t xml:space="preserve">The </w:t>
      </w:r>
      <w:r w:rsidR="00D94202" w:rsidRPr="00B70D50">
        <w:rPr>
          <w:rFonts w:asciiTheme="majorBidi" w:hAnsiTheme="majorBidi" w:cstheme="majorBidi"/>
          <w:sz w:val="24"/>
          <w:szCs w:val="24"/>
          <w:lang w:val="en-GB"/>
        </w:rPr>
        <w:t>G</w:t>
      </w:r>
      <w:r w:rsidRPr="00B70D50">
        <w:rPr>
          <w:rFonts w:asciiTheme="majorBidi" w:hAnsiTheme="majorBidi" w:cstheme="majorBidi"/>
          <w:sz w:val="24"/>
          <w:szCs w:val="24"/>
          <w:lang w:val="en-GB"/>
        </w:rPr>
        <w:t xml:space="preserve">overnment has launched </w:t>
      </w:r>
      <w:r w:rsidR="006F0784" w:rsidRPr="00B70D50">
        <w:rPr>
          <w:rFonts w:asciiTheme="majorBidi" w:hAnsiTheme="majorBidi" w:cstheme="majorBidi"/>
          <w:sz w:val="24"/>
          <w:szCs w:val="24"/>
          <w:lang w:val="en-GB"/>
        </w:rPr>
        <w:t>the Su</w:t>
      </w:r>
      <w:r w:rsidR="00F23BB3" w:rsidRPr="00B70D50">
        <w:rPr>
          <w:rFonts w:asciiTheme="majorBidi" w:hAnsiTheme="majorBidi" w:cstheme="majorBidi"/>
          <w:sz w:val="24"/>
          <w:szCs w:val="24"/>
          <w:lang w:val="en-GB"/>
        </w:rPr>
        <w:t>stainable Development Strategy (Egypt Vision 2030), with an eye on establishing major projects</w:t>
      </w:r>
      <w:r w:rsidR="00EC4361" w:rsidRPr="00B70D50">
        <w:rPr>
          <w:rFonts w:asciiTheme="majorBidi" w:hAnsiTheme="majorBidi" w:cstheme="majorBidi"/>
          <w:sz w:val="24"/>
          <w:szCs w:val="24"/>
          <w:lang w:val="en-GB"/>
        </w:rPr>
        <w:t xml:space="preserve"> for the provision of </w:t>
      </w:r>
      <w:r w:rsidR="00717D2E" w:rsidRPr="00B70D50">
        <w:rPr>
          <w:rFonts w:asciiTheme="majorBidi" w:hAnsiTheme="majorBidi" w:cstheme="majorBidi"/>
          <w:sz w:val="24"/>
          <w:szCs w:val="24"/>
          <w:lang w:val="en-GB"/>
        </w:rPr>
        <w:t xml:space="preserve">job opportunities, </w:t>
      </w:r>
      <w:r w:rsidR="00D94202" w:rsidRPr="00B70D50">
        <w:rPr>
          <w:rFonts w:asciiTheme="majorBidi" w:hAnsiTheme="majorBidi" w:cstheme="majorBidi"/>
          <w:sz w:val="24"/>
          <w:szCs w:val="24"/>
          <w:lang w:val="en-GB"/>
        </w:rPr>
        <w:t xml:space="preserve">adequate </w:t>
      </w:r>
      <w:r w:rsidR="00717D2E" w:rsidRPr="00B70D50">
        <w:rPr>
          <w:rFonts w:asciiTheme="majorBidi" w:hAnsiTheme="majorBidi" w:cstheme="majorBidi"/>
          <w:sz w:val="24"/>
          <w:szCs w:val="24"/>
          <w:lang w:val="en-GB"/>
        </w:rPr>
        <w:t>housing, clean and safe drinking water, sanitat</w:t>
      </w:r>
      <w:r w:rsidR="00CB4F3F" w:rsidRPr="00B70D50">
        <w:rPr>
          <w:rFonts w:asciiTheme="majorBidi" w:hAnsiTheme="majorBidi" w:cstheme="majorBidi"/>
          <w:sz w:val="24"/>
          <w:szCs w:val="24"/>
          <w:lang w:val="en-GB"/>
        </w:rPr>
        <w:t xml:space="preserve">ion, </w:t>
      </w:r>
      <w:r w:rsidR="00717D2E" w:rsidRPr="00B70D50">
        <w:rPr>
          <w:rFonts w:asciiTheme="majorBidi" w:hAnsiTheme="majorBidi" w:cstheme="majorBidi"/>
          <w:sz w:val="24"/>
          <w:szCs w:val="24"/>
          <w:lang w:val="en-GB"/>
        </w:rPr>
        <w:t>healthcare</w:t>
      </w:r>
      <w:r w:rsidR="00CB4F3F" w:rsidRPr="00B70D50">
        <w:rPr>
          <w:rFonts w:asciiTheme="majorBidi" w:hAnsiTheme="majorBidi" w:cstheme="majorBidi"/>
          <w:sz w:val="24"/>
          <w:szCs w:val="24"/>
          <w:lang w:val="en-GB"/>
        </w:rPr>
        <w:t xml:space="preserve"> and </w:t>
      </w:r>
      <w:r w:rsidR="00D94202" w:rsidRPr="00B70D50">
        <w:rPr>
          <w:rFonts w:asciiTheme="majorBidi" w:hAnsiTheme="majorBidi" w:cstheme="majorBidi"/>
          <w:sz w:val="24"/>
          <w:szCs w:val="24"/>
          <w:lang w:val="en-GB"/>
        </w:rPr>
        <w:t xml:space="preserve">improving the </w:t>
      </w:r>
      <w:r w:rsidR="00CB4F3F" w:rsidRPr="00B70D50">
        <w:rPr>
          <w:rFonts w:asciiTheme="majorBidi" w:hAnsiTheme="majorBidi" w:cstheme="majorBidi"/>
          <w:sz w:val="24"/>
          <w:szCs w:val="24"/>
          <w:lang w:val="en-GB"/>
        </w:rPr>
        <w:t xml:space="preserve">quality </w:t>
      </w:r>
      <w:r w:rsidR="00D94202" w:rsidRPr="00B70D50">
        <w:rPr>
          <w:rFonts w:asciiTheme="majorBidi" w:hAnsiTheme="majorBidi" w:cstheme="majorBidi"/>
          <w:sz w:val="24"/>
          <w:szCs w:val="24"/>
          <w:lang w:val="en-GB"/>
        </w:rPr>
        <w:t xml:space="preserve">of </w:t>
      </w:r>
      <w:r w:rsidR="00CB4F3F" w:rsidRPr="00B70D50">
        <w:rPr>
          <w:rFonts w:asciiTheme="majorBidi" w:hAnsiTheme="majorBidi" w:cstheme="majorBidi"/>
          <w:sz w:val="24"/>
          <w:szCs w:val="24"/>
          <w:lang w:val="en-GB"/>
        </w:rPr>
        <w:t>education</w:t>
      </w:r>
      <w:r w:rsidR="00717D2E" w:rsidRPr="00B70D50">
        <w:rPr>
          <w:rFonts w:asciiTheme="majorBidi" w:hAnsiTheme="majorBidi" w:cstheme="majorBidi"/>
          <w:sz w:val="24"/>
          <w:szCs w:val="24"/>
          <w:lang w:val="en-GB"/>
        </w:rPr>
        <w:t xml:space="preserve">, while respecting </w:t>
      </w:r>
      <w:r w:rsidR="00CB4F3F" w:rsidRPr="00B70D50">
        <w:rPr>
          <w:rFonts w:asciiTheme="majorBidi" w:hAnsiTheme="majorBidi" w:cstheme="majorBidi"/>
          <w:sz w:val="24"/>
          <w:szCs w:val="24"/>
          <w:lang w:val="en-GB"/>
        </w:rPr>
        <w:t xml:space="preserve">cultural pluralism. </w:t>
      </w:r>
      <w:r w:rsidR="001070E8" w:rsidRPr="00B70D50">
        <w:rPr>
          <w:rFonts w:asciiTheme="majorBidi" w:hAnsiTheme="majorBidi" w:cstheme="majorBidi"/>
          <w:sz w:val="24"/>
          <w:szCs w:val="24"/>
          <w:lang w:val="en-GB"/>
        </w:rPr>
        <w:t>With the active participation of civil society, private sector and international development partners</w:t>
      </w:r>
      <w:r w:rsidR="00CB4F3F" w:rsidRPr="00B70D50">
        <w:rPr>
          <w:rFonts w:asciiTheme="majorBidi" w:hAnsiTheme="majorBidi" w:cstheme="majorBidi"/>
          <w:sz w:val="24"/>
          <w:szCs w:val="24"/>
          <w:lang w:val="en-GB"/>
        </w:rPr>
        <w:t xml:space="preserve">, </w:t>
      </w:r>
      <w:r w:rsidR="001070E8" w:rsidRPr="00B70D50">
        <w:rPr>
          <w:rFonts w:asciiTheme="majorBidi" w:hAnsiTheme="majorBidi" w:cstheme="majorBidi"/>
          <w:sz w:val="24"/>
          <w:szCs w:val="24"/>
          <w:lang w:val="en-GB"/>
        </w:rPr>
        <w:t xml:space="preserve">the </w:t>
      </w:r>
      <w:r w:rsidR="00D94202" w:rsidRPr="00B70D50">
        <w:rPr>
          <w:rFonts w:asciiTheme="majorBidi" w:hAnsiTheme="majorBidi" w:cstheme="majorBidi"/>
          <w:sz w:val="24"/>
          <w:szCs w:val="24"/>
          <w:lang w:val="en-GB"/>
        </w:rPr>
        <w:t>G</w:t>
      </w:r>
      <w:r w:rsidR="001070E8" w:rsidRPr="00B70D50">
        <w:rPr>
          <w:rFonts w:asciiTheme="majorBidi" w:hAnsiTheme="majorBidi" w:cstheme="majorBidi"/>
          <w:sz w:val="24"/>
          <w:szCs w:val="24"/>
          <w:lang w:val="en-GB"/>
        </w:rPr>
        <w:t xml:space="preserve">overnment </w:t>
      </w:r>
      <w:r w:rsidR="00CB4F3F" w:rsidRPr="00B70D50">
        <w:rPr>
          <w:rFonts w:asciiTheme="majorBidi" w:hAnsiTheme="majorBidi" w:cstheme="majorBidi"/>
          <w:sz w:val="24"/>
          <w:szCs w:val="24"/>
          <w:lang w:val="en-GB"/>
        </w:rPr>
        <w:t xml:space="preserve">is determined to provide decent living conditions for all </w:t>
      </w:r>
      <w:r w:rsidR="001070E8" w:rsidRPr="00B70D50">
        <w:rPr>
          <w:rFonts w:asciiTheme="majorBidi" w:hAnsiTheme="majorBidi" w:cstheme="majorBidi"/>
          <w:sz w:val="24"/>
          <w:szCs w:val="24"/>
          <w:lang w:val="en-GB"/>
        </w:rPr>
        <w:t>citizens</w:t>
      </w:r>
      <w:r w:rsidR="00D94202" w:rsidRPr="00B70D50">
        <w:rPr>
          <w:rFonts w:asciiTheme="majorBidi" w:hAnsiTheme="majorBidi" w:cstheme="majorBidi"/>
          <w:sz w:val="24"/>
          <w:szCs w:val="24"/>
          <w:lang w:val="en-GB"/>
        </w:rPr>
        <w:t>,</w:t>
      </w:r>
      <w:r w:rsidR="00CB4F3F" w:rsidRPr="00B70D50">
        <w:rPr>
          <w:rFonts w:asciiTheme="majorBidi" w:hAnsiTheme="majorBidi" w:cstheme="majorBidi"/>
          <w:sz w:val="24"/>
          <w:szCs w:val="24"/>
          <w:lang w:val="en-GB"/>
        </w:rPr>
        <w:t xml:space="preserve"> without</w:t>
      </w:r>
      <w:r w:rsidR="00D94202" w:rsidRPr="00B70D50">
        <w:rPr>
          <w:rFonts w:asciiTheme="majorBidi" w:hAnsiTheme="majorBidi" w:cstheme="majorBidi"/>
          <w:sz w:val="24"/>
          <w:szCs w:val="24"/>
          <w:lang w:val="en-GB"/>
        </w:rPr>
        <w:t xml:space="preserve"> distinction</w:t>
      </w:r>
      <w:r w:rsidR="00935369" w:rsidRPr="00B70D50">
        <w:rPr>
          <w:rFonts w:asciiTheme="majorBidi" w:hAnsiTheme="majorBidi" w:cstheme="majorBidi"/>
          <w:sz w:val="24"/>
          <w:szCs w:val="24"/>
          <w:lang w:val="en-GB"/>
        </w:rPr>
        <w:t xml:space="preserve">. </w:t>
      </w:r>
      <w:r w:rsidR="00D94202" w:rsidRPr="00B70D50">
        <w:rPr>
          <w:rFonts w:asciiTheme="majorBidi" w:hAnsiTheme="majorBidi" w:cstheme="majorBidi"/>
          <w:sz w:val="24"/>
          <w:szCs w:val="24"/>
          <w:lang w:val="en-GB"/>
        </w:rPr>
        <w:t xml:space="preserve">The Government continues to </w:t>
      </w:r>
      <w:r w:rsidR="00935369" w:rsidRPr="00B70D50">
        <w:rPr>
          <w:rFonts w:asciiTheme="majorBidi" w:hAnsiTheme="majorBidi" w:cstheme="majorBidi"/>
          <w:sz w:val="24"/>
          <w:szCs w:val="24"/>
          <w:lang w:val="en-GB"/>
        </w:rPr>
        <w:t xml:space="preserve">implement its </w:t>
      </w:r>
      <w:r w:rsidR="00A66C11" w:rsidRPr="00B70D50">
        <w:rPr>
          <w:rFonts w:asciiTheme="majorBidi" w:hAnsiTheme="majorBidi" w:cstheme="majorBidi"/>
          <w:sz w:val="24"/>
          <w:szCs w:val="24"/>
          <w:lang w:val="en-GB"/>
        </w:rPr>
        <w:t>comprehensive</w:t>
      </w:r>
      <w:r w:rsidR="00935369" w:rsidRPr="00B70D50">
        <w:rPr>
          <w:rFonts w:asciiTheme="majorBidi" w:hAnsiTheme="majorBidi" w:cstheme="majorBidi"/>
          <w:sz w:val="24"/>
          <w:szCs w:val="24"/>
          <w:lang w:val="en-GB"/>
        </w:rPr>
        <w:t xml:space="preserve"> economic reform scheme, along </w:t>
      </w:r>
      <w:r w:rsidR="00935369" w:rsidRPr="00B70D50">
        <w:rPr>
          <w:rFonts w:asciiTheme="majorBidi" w:hAnsiTheme="majorBidi" w:cstheme="majorBidi"/>
          <w:sz w:val="24"/>
          <w:szCs w:val="24"/>
          <w:lang w:val="en-GB"/>
        </w:rPr>
        <w:lastRenderedPageBreak/>
        <w:t xml:space="preserve">with </w:t>
      </w:r>
      <w:r w:rsidR="00D94202" w:rsidRPr="00B70D50">
        <w:rPr>
          <w:rFonts w:asciiTheme="majorBidi" w:hAnsiTheme="majorBidi" w:cstheme="majorBidi"/>
          <w:sz w:val="24"/>
          <w:szCs w:val="24"/>
          <w:lang w:val="en-GB"/>
        </w:rPr>
        <w:t xml:space="preserve">the </w:t>
      </w:r>
      <w:r w:rsidR="00935369" w:rsidRPr="00B70D50">
        <w:rPr>
          <w:rFonts w:asciiTheme="majorBidi" w:hAnsiTheme="majorBidi" w:cstheme="majorBidi"/>
          <w:sz w:val="24"/>
          <w:szCs w:val="24"/>
          <w:lang w:val="en-GB"/>
        </w:rPr>
        <w:t xml:space="preserve">integrating informal </w:t>
      </w:r>
      <w:r w:rsidR="00A66C11" w:rsidRPr="00B70D50">
        <w:rPr>
          <w:rFonts w:asciiTheme="majorBidi" w:hAnsiTheme="majorBidi" w:cstheme="majorBidi"/>
          <w:sz w:val="24"/>
          <w:szCs w:val="24"/>
          <w:lang w:val="en-GB"/>
        </w:rPr>
        <w:t>economy</w:t>
      </w:r>
      <w:r w:rsidR="00935369" w:rsidRPr="00B70D50">
        <w:rPr>
          <w:rFonts w:asciiTheme="majorBidi" w:hAnsiTheme="majorBidi" w:cstheme="majorBidi"/>
          <w:sz w:val="24"/>
          <w:szCs w:val="24"/>
          <w:lang w:val="en-GB"/>
        </w:rPr>
        <w:t xml:space="preserve"> into the forma</w:t>
      </w:r>
      <w:r w:rsidR="00A66C11" w:rsidRPr="00B70D50">
        <w:rPr>
          <w:rFonts w:asciiTheme="majorBidi" w:hAnsiTheme="majorBidi" w:cstheme="majorBidi"/>
          <w:sz w:val="24"/>
          <w:szCs w:val="24"/>
          <w:lang w:val="en-GB"/>
        </w:rPr>
        <w:t>l</w:t>
      </w:r>
      <w:r w:rsidR="00D94202" w:rsidRPr="00B70D50">
        <w:rPr>
          <w:rFonts w:asciiTheme="majorBidi" w:hAnsiTheme="majorBidi" w:cstheme="majorBidi"/>
          <w:sz w:val="24"/>
          <w:szCs w:val="24"/>
          <w:lang w:val="en-GB"/>
        </w:rPr>
        <w:t xml:space="preserve"> economy</w:t>
      </w:r>
      <w:r w:rsidR="00935369" w:rsidRPr="00B70D50">
        <w:rPr>
          <w:rFonts w:asciiTheme="majorBidi" w:hAnsiTheme="majorBidi" w:cstheme="majorBidi"/>
          <w:sz w:val="24"/>
          <w:szCs w:val="24"/>
          <w:lang w:val="en-GB"/>
        </w:rPr>
        <w:t>.</w:t>
      </w:r>
      <w:r w:rsidR="00D243FB" w:rsidRPr="00B70D50">
        <w:rPr>
          <w:rFonts w:asciiTheme="majorBidi" w:hAnsiTheme="majorBidi" w:cstheme="majorBidi"/>
          <w:sz w:val="24"/>
          <w:szCs w:val="24"/>
          <w:lang w:val="en-GB"/>
        </w:rPr>
        <w:t xml:space="preserve"> </w:t>
      </w:r>
      <w:r w:rsidR="000779F4" w:rsidRPr="00B70D50">
        <w:rPr>
          <w:rFonts w:asciiTheme="majorBidi" w:hAnsiTheme="majorBidi" w:cstheme="majorBidi"/>
          <w:sz w:val="24"/>
          <w:szCs w:val="24"/>
          <w:lang w:val="en-GB"/>
        </w:rPr>
        <w:t>A chief target is to boost</w:t>
      </w:r>
      <w:r w:rsidR="00D243FB" w:rsidRPr="00B70D50">
        <w:rPr>
          <w:rFonts w:asciiTheme="majorBidi" w:hAnsiTheme="majorBidi" w:cstheme="majorBidi"/>
          <w:sz w:val="24"/>
          <w:szCs w:val="24"/>
          <w:lang w:val="en-GB"/>
        </w:rPr>
        <w:t xml:space="preserve"> local </w:t>
      </w:r>
      <w:r w:rsidR="000779F4" w:rsidRPr="00B70D50">
        <w:rPr>
          <w:rFonts w:asciiTheme="majorBidi" w:hAnsiTheme="majorBidi" w:cstheme="majorBidi"/>
          <w:sz w:val="24"/>
          <w:szCs w:val="24"/>
          <w:lang w:val="en-GB"/>
        </w:rPr>
        <w:t>investment</w:t>
      </w:r>
      <w:r w:rsidR="009E7707" w:rsidRPr="00B70D50">
        <w:rPr>
          <w:rFonts w:asciiTheme="majorBidi" w:hAnsiTheme="majorBidi" w:cstheme="majorBidi"/>
          <w:sz w:val="24"/>
          <w:szCs w:val="24"/>
          <w:lang w:val="en-GB"/>
        </w:rPr>
        <w:t xml:space="preserve">, </w:t>
      </w:r>
      <w:r w:rsidR="000779F4" w:rsidRPr="00B70D50">
        <w:rPr>
          <w:rFonts w:asciiTheme="majorBidi" w:hAnsiTheme="majorBidi" w:cstheme="majorBidi"/>
          <w:sz w:val="24"/>
          <w:szCs w:val="24"/>
          <w:lang w:val="en-GB"/>
        </w:rPr>
        <w:t>attract</w:t>
      </w:r>
      <w:r w:rsidR="00D243FB" w:rsidRPr="00B70D50">
        <w:rPr>
          <w:rFonts w:asciiTheme="majorBidi" w:hAnsiTheme="majorBidi" w:cstheme="majorBidi"/>
          <w:sz w:val="24"/>
          <w:szCs w:val="24"/>
          <w:lang w:val="en-GB"/>
        </w:rPr>
        <w:t xml:space="preserve"> foreign investment</w:t>
      </w:r>
      <w:r w:rsidR="00A626DD" w:rsidRPr="00B70D50">
        <w:rPr>
          <w:rFonts w:asciiTheme="majorBidi" w:hAnsiTheme="majorBidi" w:cstheme="majorBidi"/>
          <w:sz w:val="24"/>
          <w:szCs w:val="24"/>
          <w:lang w:val="en-GB"/>
        </w:rPr>
        <w:t>s</w:t>
      </w:r>
      <w:r w:rsidR="00D243FB" w:rsidRPr="00B70D50">
        <w:rPr>
          <w:rFonts w:asciiTheme="majorBidi" w:hAnsiTheme="majorBidi" w:cstheme="majorBidi"/>
          <w:sz w:val="24"/>
          <w:szCs w:val="24"/>
          <w:lang w:val="en-GB"/>
        </w:rPr>
        <w:t xml:space="preserve"> and </w:t>
      </w:r>
      <w:r w:rsidR="00295F7C" w:rsidRPr="00B70D50">
        <w:rPr>
          <w:rFonts w:asciiTheme="majorBidi" w:hAnsiTheme="majorBidi" w:cstheme="majorBidi"/>
          <w:sz w:val="24"/>
          <w:szCs w:val="24"/>
          <w:lang w:val="en-GB"/>
        </w:rPr>
        <w:t>accelerate</w:t>
      </w:r>
      <w:r w:rsidR="00A66C11" w:rsidRPr="00B70D50">
        <w:rPr>
          <w:rFonts w:asciiTheme="majorBidi" w:hAnsiTheme="majorBidi" w:cstheme="majorBidi"/>
          <w:sz w:val="24"/>
          <w:szCs w:val="24"/>
          <w:lang w:val="en-GB"/>
        </w:rPr>
        <w:t xml:space="preserve"> economic growth rates</w:t>
      </w:r>
      <w:r w:rsidR="00295F7C" w:rsidRPr="00B70D50">
        <w:rPr>
          <w:rFonts w:asciiTheme="majorBidi" w:hAnsiTheme="majorBidi" w:cstheme="majorBidi"/>
          <w:sz w:val="24"/>
          <w:szCs w:val="24"/>
          <w:lang w:val="en-GB"/>
        </w:rPr>
        <w:t xml:space="preserve">. </w:t>
      </w:r>
      <w:r w:rsidR="00295F7C" w:rsidRPr="00B70D50">
        <w:rPr>
          <w:rFonts w:asciiTheme="majorBidi" w:hAnsiTheme="majorBidi" w:cstheme="majorBidi"/>
          <w:b/>
          <w:bCs/>
          <w:sz w:val="24"/>
          <w:szCs w:val="24"/>
          <w:lang w:val="en-GB"/>
        </w:rPr>
        <w:t>Therefore</w:t>
      </w:r>
      <w:r w:rsidR="000B234E" w:rsidRPr="00B70D50">
        <w:rPr>
          <w:rFonts w:asciiTheme="majorBidi" w:hAnsiTheme="majorBidi" w:cstheme="majorBidi"/>
          <w:b/>
          <w:bCs/>
          <w:sz w:val="24"/>
          <w:szCs w:val="24"/>
          <w:lang w:val="en-GB"/>
        </w:rPr>
        <w:t>:</w:t>
      </w:r>
    </w:p>
    <w:p w14:paraId="1C750999" w14:textId="77777777" w:rsidR="000B234E" w:rsidRPr="00B70D50" w:rsidRDefault="000B234E" w:rsidP="000B234E">
      <w:pPr>
        <w:pStyle w:val="ListParagraph"/>
        <w:bidi w:val="0"/>
        <w:spacing w:after="0" w:line="300" w:lineRule="exact"/>
        <w:ind w:left="0" w:right="49"/>
        <w:contextualSpacing w:val="0"/>
        <w:jc w:val="both"/>
        <w:rPr>
          <w:rFonts w:asciiTheme="majorBidi" w:hAnsiTheme="majorBidi" w:cstheme="majorBidi"/>
          <w:b/>
          <w:bCs/>
          <w:sz w:val="24"/>
          <w:szCs w:val="24"/>
          <w:lang w:val="en-GB"/>
        </w:rPr>
      </w:pPr>
    </w:p>
    <w:p w14:paraId="62CCB08C" w14:textId="40FED66B" w:rsidR="00A626DD" w:rsidRPr="00B70D50" w:rsidRDefault="00A626DD"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Fully Accepted Recommendations:</w:t>
      </w:r>
    </w:p>
    <w:p w14:paraId="619DCFF0" w14:textId="5B9254CA" w:rsidR="00A626DD" w:rsidRPr="00B70D50" w:rsidRDefault="001A78E6" w:rsidP="00671925">
      <w:pPr>
        <w:pStyle w:val="ListParagraph"/>
        <w:bidi w:val="0"/>
        <w:spacing w:after="0" w:line="300" w:lineRule="exact"/>
        <w:ind w:left="0" w:right="49"/>
        <w:contextualSpacing w:val="0"/>
        <w:rPr>
          <w:rFonts w:asciiTheme="majorBidi" w:hAnsiTheme="majorBidi" w:cstheme="majorBidi"/>
          <w:sz w:val="24"/>
          <w:szCs w:val="24"/>
          <w:lang w:val="en-GB"/>
        </w:rPr>
      </w:pPr>
      <w:r w:rsidRPr="00B70D50">
        <w:rPr>
          <w:rFonts w:asciiTheme="majorBidi" w:hAnsiTheme="majorBidi" w:cstheme="majorBidi"/>
          <w:sz w:val="24"/>
          <w:szCs w:val="24"/>
          <w:lang w:val="en-GB"/>
        </w:rPr>
        <w:t>58</w:t>
      </w:r>
      <w:r w:rsidR="00D556F1" w:rsidRPr="00B70D50">
        <w:rPr>
          <w:rStyle w:val="FootnoteReference"/>
          <w:rFonts w:asciiTheme="majorBidi" w:hAnsiTheme="majorBidi" w:cstheme="majorBidi"/>
          <w:sz w:val="24"/>
          <w:szCs w:val="24"/>
          <w:lang w:val="en-GB"/>
        </w:rPr>
        <w:footnoteReference w:id="69"/>
      </w:r>
      <w:r w:rsidR="00A626DD" w:rsidRPr="00B70D50">
        <w:rPr>
          <w:rFonts w:asciiTheme="majorBidi" w:hAnsiTheme="majorBidi" w:cstheme="majorBidi"/>
          <w:sz w:val="24"/>
          <w:szCs w:val="24"/>
          <w:lang w:val="en-GB"/>
        </w:rPr>
        <w:t>-</w:t>
      </w:r>
      <w:r w:rsidR="009E7707" w:rsidRPr="00B70D50">
        <w:rPr>
          <w:rFonts w:asciiTheme="majorBidi" w:hAnsiTheme="majorBidi" w:cstheme="majorBidi"/>
          <w:sz w:val="24"/>
          <w:szCs w:val="24"/>
          <w:lang w:val="en-GB"/>
        </w:rPr>
        <w:t>59</w:t>
      </w:r>
      <w:r w:rsidR="00402BAC" w:rsidRPr="00B70D50">
        <w:rPr>
          <w:rStyle w:val="FootnoteReference"/>
          <w:rFonts w:asciiTheme="majorBidi" w:hAnsiTheme="majorBidi" w:cstheme="majorBidi"/>
          <w:sz w:val="24"/>
          <w:szCs w:val="24"/>
          <w:lang w:val="en-GB"/>
        </w:rPr>
        <w:footnoteReference w:id="70"/>
      </w:r>
      <w:r w:rsidR="00A626DD" w:rsidRPr="00B70D50">
        <w:rPr>
          <w:rFonts w:asciiTheme="majorBidi" w:hAnsiTheme="majorBidi" w:cstheme="majorBidi"/>
          <w:sz w:val="24"/>
          <w:szCs w:val="24"/>
          <w:lang w:val="en-GB"/>
        </w:rPr>
        <w:t>-64-65-66-152-155-159-181-210-217-219-223-224-225-226-227-228-229-230-231-232-233-234-235-236-237-238-239-240-241-242-243-245-246-247-249-250-251-252-253-254-255-256-257-258-259-260-261-262-263-264-265-266-</w:t>
      </w:r>
      <w:r w:rsidRPr="00B70D50">
        <w:rPr>
          <w:rFonts w:asciiTheme="majorBidi" w:hAnsiTheme="majorBidi" w:cstheme="majorBidi"/>
          <w:sz w:val="24"/>
          <w:szCs w:val="24"/>
          <w:lang w:val="en-GB"/>
        </w:rPr>
        <w:t>267-268-269-270-271-273-274-275</w:t>
      </w:r>
      <w:r w:rsidR="001047FD" w:rsidRPr="00B70D50">
        <w:rPr>
          <w:rStyle w:val="FootnoteReference"/>
          <w:rFonts w:asciiTheme="majorBidi" w:hAnsiTheme="majorBidi" w:cstheme="majorBidi"/>
          <w:sz w:val="24"/>
          <w:szCs w:val="24"/>
          <w:lang w:val="en-GB"/>
        </w:rPr>
        <w:footnoteReference w:id="71"/>
      </w:r>
      <w:r w:rsidR="00FB2F26" w:rsidRPr="00B70D50">
        <w:rPr>
          <w:rFonts w:asciiTheme="majorBidi" w:hAnsiTheme="majorBidi" w:cstheme="majorBidi"/>
          <w:sz w:val="24"/>
          <w:szCs w:val="24"/>
          <w:lang w:val="en-GB"/>
        </w:rPr>
        <w:t>-276-278</w:t>
      </w:r>
      <w:r w:rsidR="00A626DD" w:rsidRPr="00B70D50">
        <w:rPr>
          <w:rFonts w:asciiTheme="majorBidi" w:hAnsiTheme="majorBidi" w:cstheme="majorBidi"/>
          <w:sz w:val="24"/>
          <w:szCs w:val="24"/>
          <w:lang w:val="en-GB"/>
        </w:rPr>
        <w:t>-283-284-</w:t>
      </w:r>
      <w:r w:rsidR="00D050C9" w:rsidRPr="00B70D50">
        <w:rPr>
          <w:rFonts w:asciiTheme="majorBidi" w:hAnsiTheme="majorBidi" w:cstheme="majorBidi"/>
          <w:sz w:val="24"/>
          <w:szCs w:val="24"/>
          <w:lang w:val="en-GB"/>
        </w:rPr>
        <w:t>286</w:t>
      </w:r>
      <w:r w:rsidR="0034603B" w:rsidRPr="00B70D50">
        <w:rPr>
          <w:rStyle w:val="FootnoteReference"/>
          <w:rFonts w:asciiTheme="majorBidi" w:hAnsiTheme="majorBidi" w:cstheme="majorBidi"/>
          <w:sz w:val="24"/>
          <w:szCs w:val="24"/>
          <w:lang w:val="en-GB"/>
        </w:rPr>
        <w:footnoteReference w:id="72"/>
      </w:r>
      <w:r w:rsidR="00A626DD" w:rsidRPr="00B70D50">
        <w:rPr>
          <w:rFonts w:asciiTheme="majorBidi" w:hAnsiTheme="majorBidi" w:cstheme="majorBidi"/>
          <w:sz w:val="24"/>
          <w:szCs w:val="24"/>
          <w:lang w:val="en-GB"/>
        </w:rPr>
        <w:t>-287-</w:t>
      </w:r>
      <w:r w:rsidR="00D050C9" w:rsidRPr="00B70D50">
        <w:rPr>
          <w:rFonts w:asciiTheme="majorBidi" w:hAnsiTheme="majorBidi" w:cstheme="majorBidi"/>
          <w:sz w:val="24"/>
          <w:szCs w:val="24"/>
          <w:lang w:val="en-GB"/>
        </w:rPr>
        <w:t>289</w:t>
      </w:r>
      <w:r w:rsidR="003D7C9B" w:rsidRPr="00B70D50">
        <w:rPr>
          <w:rStyle w:val="FootnoteReference"/>
          <w:rFonts w:asciiTheme="majorBidi" w:hAnsiTheme="majorBidi" w:cstheme="majorBidi"/>
          <w:sz w:val="24"/>
          <w:szCs w:val="24"/>
          <w:lang w:val="en-GB"/>
        </w:rPr>
        <w:footnoteReference w:id="73"/>
      </w:r>
      <w:r w:rsidR="00A626DD" w:rsidRPr="00B70D50">
        <w:rPr>
          <w:rFonts w:asciiTheme="majorBidi" w:hAnsiTheme="majorBidi" w:cstheme="majorBidi"/>
          <w:sz w:val="24"/>
          <w:szCs w:val="24"/>
          <w:lang w:val="en-GB"/>
        </w:rPr>
        <w:t>-291-295-296-297-302-322-324</w:t>
      </w:r>
      <w:r w:rsidR="00604D68" w:rsidRPr="00B70D50">
        <w:rPr>
          <w:rStyle w:val="FootnoteReference"/>
          <w:rFonts w:asciiTheme="majorBidi" w:hAnsiTheme="majorBidi" w:cstheme="majorBidi"/>
          <w:sz w:val="24"/>
          <w:szCs w:val="24"/>
          <w:lang w:val="en-GB"/>
        </w:rPr>
        <w:footnoteReference w:id="74"/>
      </w:r>
      <w:r w:rsidR="00A626DD" w:rsidRPr="00B70D50">
        <w:rPr>
          <w:rFonts w:asciiTheme="majorBidi" w:hAnsiTheme="majorBidi" w:cstheme="majorBidi"/>
          <w:sz w:val="24"/>
          <w:szCs w:val="24"/>
          <w:lang w:val="en-GB"/>
        </w:rPr>
        <w:t>-362-366-371</w:t>
      </w:r>
    </w:p>
    <w:p w14:paraId="694E4ED0" w14:textId="77777777" w:rsidR="000B234E" w:rsidRPr="00B70D50" w:rsidRDefault="000B234E" w:rsidP="000B234E">
      <w:pPr>
        <w:pStyle w:val="ListParagraph"/>
        <w:bidi w:val="0"/>
        <w:spacing w:after="0" w:line="300" w:lineRule="exact"/>
        <w:ind w:left="0" w:right="49"/>
        <w:contextualSpacing w:val="0"/>
        <w:rPr>
          <w:rFonts w:asciiTheme="majorBidi" w:hAnsiTheme="majorBidi" w:cstheme="majorBidi"/>
          <w:sz w:val="24"/>
          <w:szCs w:val="24"/>
          <w:lang w:val="en-GB"/>
        </w:rPr>
      </w:pPr>
    </w:p>
    <w:p w14:paraId="7E3F054C" w14:textId="0CBE4223" w:rsidR="00A626DD" w:rsidRPr="00B70D50" w:rsidRDefault="00A626DD"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Partially Accepted Recommendations:</w:t>
      </w:r>
    </w:p>
    <w:p w14:paraId="52BB3004" w14:textId="131A4E76" w:rsidR="00A626DD" w:rsidRPr="00B70D50" w:rsidRDefault="001B27C7"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277-</w:t>
      </w:r>
      <w:r w:rsidR="00A77D28" w:rsidRPr="00B70D50">
        <w:rPr>
          <w:rFonts w:asciiTheme="majorBidi" w:hAnsiTheme="majorBidi" w:cstheme="majorBidi"/>
          <w:sz w:val="24"/>
          <w:szCs w:val="24"/>
          <w:lang w:val="en-GB"/>
        </w:rPr>
        <w:t>279-</w:t>
      </w:r>
      <w:r w:rsidRPr="00B70D50">
        <w:rPr>
          <w:rFonts w:asciiTheme="majorBidi" w:hAnsiTheme="majorBidi" w:cstheme="majorBidi"/>
          <w:sz w:val="24"/>
          <w:szCs w:val="24"/>
          <w:lang w:val="en-GB"/>
        </w:rPr>
        <w:t>361</w:t>
      </w:r>
    </w:p>
    <w:p w14:paraId="7C327EB0"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722DE995" w14:textId="520F30F7" w:rsidR="00A626DD" w:rsidRPr="00B70D50" w:rsidRDefault="00A626DD"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Factually Incorrect Recommendations:</w:t>
      </w:r>
    </w:p>
    <w:p w14:paraId="6666FB0D" w14:textId="0BC08792" w:rsidR="00A626DD" w:rsidRPr="00B70D50" w:rsidRDefault="001B27C7"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57</w:t>
      </w:r>
      <w:r w:rsidR="00C53820" w:rsidRPr="00B70D50">
        <w:rPr>
          <w:rStyle w:val="FootnoteReference"/>
          <w:rFonts w:asciiTheme="majorBidi" w:hAnsiTheme="majorBidi" w:cstheme="majorBidi"/>
          <w:sz w:val="24"/>
          <w:szCs w:val="24"/>
          <w:lang w:val="en-GB"/>
        </w:rPr>
        <w:footnoteReference w:id="75"/>
      </w:r>
      <w:r w:rsidRPr="00B70D50">
        <w:rPr>
          <w:rFonts w:asciiTheme="majorBidi" w:hAnsiTheme="majorBidi" w:cstheme="majorBidi"/>
          <w:sz w:val="24"/>
          <w:szCs w:val="24"/>
          <w:lang w:val="en-GB"/>
        </w:rPr>
        <w:t>-61</w:t>
      </w:r>
      <w:r w:rsidR="00894FB4" w:rsidRPr="00B70D50">
        <w:rPr>
          <w:rStyle w:val="FootnoteReference"/>
          <w:rFonts w:asciiTheme="majorBidi" w:hAnsiTheme="majorBidi" w:cstheme="majorBidi"/>
          <w:sz w:val="24"/>
          <w:szCs w:val="24"/>
          <w:lang w:val="en-GB"/>
        </w:rPr>
        <w:footnoteReference w:id="76"/>
      </w:r>
    </w:p>
    <w:p w14:paraId="4939FD89" w14:textId="77777777" w:rsidR="00246655" w:rsidRPr="00B70D50" w:rsidRDefault="00246655"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3B9D6B2C" w14:textId="77777777" w:rsidR="00706286" w:rsidRPr="00B70D50" w:rsidRDefault="00706286" w:rsidP="00706286">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07798DE5" w14:textId="77777777" w:rsidR="00246655" w:rsidRPr="00B70D50" w:rsidRDefault="00246655" w:rsidP="00671925">
      <w:pPr>
        <w:pStyle w:val="ListParagraph"/>
        <w:numPr>
          <w:ilvl w:val="0"/>
          <w:numId w:val="41"/>
        </w:numPr>
        <w:bidi w:val="0"/>
        <w:spacing w:after="0" w:line="300" w:lineRule="exact"/>
        <w:ind w:left="0" w:right="49"/>
        <w:contextualSpacing w:val="0"/>
        <w:jc w:val="both"/>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Combatting Human Trafficking and Illegal Migration:</w:t>
      </w:r>
    </w:p>
    <w:p w14:paraId="0334169A" w14:textId="1838B8F4" w:rsidR="0087744C" w:rsidRPr="00B70D50" w:rsidRDefault="00DB649E" w:rsidP="0008161E">
      <w:pPr>
        <w:pStyle w:val="ListParagraph"/>
        <w:numPr>
          <w:ilvl w:val="0"/>
          <w:numId w:val="39"/>
        </w:numPr>
        <w:bidi w:val="0"/>
        <w:spacing w:after="0" w:line="300" w:lineRule="exact"/>
        <w:ind w:left="0" w:right="49"/>
        <w:contextualSpacing w:val="0"/>
        <w:jc w:val="lowKashida"/>
        <w:rPr>
          <w:rFonts w:asciiTheme="majorBidi" w:hAnsiTheme="majorBidi" w:cstheme="majorBidi"/>
          <w:b/>
          <w:bCs/>
          <w:sz w:val="24"/>
          <w:szCs w:val="24"/>
          <w:lang w:val="en-GB"/>
        </w:rPr>
      </w:pPr>
      <w:r w:rsidRPr="00B70D50">
        <w:rPr>
          <w:rFonts w:asciiTheme="majorBidi" w:hAnsiTheme="majorBidi" w:cstheme="majorBidi"/>
          <w:sz w:val="24"/>
          <w:szCs w:val="24"/>
          <w:lang w:val="en-GB"/>
        </w:rPr>
        <w:t xml:space="preserve">The </w:t>
      </w:r>
      <w:r w:rsidR="00B724BE" w:rsidRPr="00B70D50">
        <w:rPr>
          <w:rFonts w:asciiTheme="majorBidi" w:hAnsiTheme="majorBidi" w:cstheme="majorBidi"/>
          <w:sz w:val="24"/>
          <w:szCs w:val="24"/>
          <w:lang w:val="en-GB"/>
        </w:rPr>
        <w:t>G</w:t>
      </w:r>
      <w:r w:rsidRPr="00B70D50">
        <w:rPr>
          <w:rFonts w:asciiTheme="majorBidi" w:hAnsiTheme="majorBidi" w:cstheme="majorBidi"/>
          <w:sz w:val="24"/>
          <w:szCs w:val="24"/>
          <w:lang w:val="en-GB"/>
        </w:rPr>
        <w:t xml:space="preserve">overnment </w:t>
      </w:r>
      <w:r w:rsidR="00B724BE" w:rsidRPr="00B70D50">
        <w:rPr>
          <w:rFonts w:asciiTheme="majorBidi" w:hAnsiTheme="majorBidi" w:cstheme="majorBidi"/>
          <w:sz w:val="24"/>
          <w:szCs w:val="24"/>
          <w:lang w:val="en-GB"/>
        </w:rPr>
        <w:t xml:space="preserve">is taking </w:t>
      </w:r>
      <w:r w:rsidRPr="00B70D50">
        <w:rPr>
          <w:rFonts w:asciiTheme="majorBidi" w:hAnsiTheme="majorBidi" w:cstheme="majorBidi"/>
          <w:sz w:val="24"/>
          <w:szCs w:val="24"/>
          <w:lang w:val="en-GB"/>
        </w:rPr>
        <w:t>several human trafficking</w:t>
      </w:r>
      <w:r w:rsidR="001D086E" w:rsidRPr="00B70D50">
        <w:rPr>
          <w:rFonts w:asciiTheme="majorBidi" w:hAnsiTheme="majorBidi" w:cstheme="majorBidi"/>
          <w:sz w:val="24"/>
          <w:szCs w:val="24"/>
          <w:lang w:val="en-GB"/>
        </w:rPr>
        <w:t xml:space="preserve"> </w:t>
      </w:r>
      <w:r w:rsidR="00B724BE" w:rsidRPr="00B70D50">
        <w:rPr>
          <w:rFonts w:asciiTheme="majorBidi" w:hAnsiTheme="majorBidi" w:cstheme="majorBidi"/>
          <w:sz w:val="24"/>
          <w:szCs w:val="24"/>
          <w:lang w:val="en-GB"/>
        </w:rPr>
        <w:t xml:space="preserve">counter </w:t>
      </w:r>
      <w:r w:rsidR="001D086E" w:rsidRPr="00B70D50">
        <w:rPr>
          <w:rFonts w:asciiTheme="majorBidi" w:hAnsiTheme="majorBidi" w:cstheme="majorBidi"/>
          <w:sz w:val="24"/>
          <w:szCs w:val="24"/>
          <w:lang w:val="en-GB"/>
        </w:rPr>
        <w:t xml:space="preserve">measures. This is represented </w:t>
      </w:r>
      <w:r w:rsidR="00295F7C" w:rsidRPr="00B70D50">
        <w:rPr>
          <w:rFonts w:asciiTheme="majorBidi" w:hAnsiTheme="majorBidi" w:cstheme="majorBidi"/>
          <w:sz w:val="24"/>
          <w:szCs w:val="24"/>
          <w:lang w:val="en-GB"/>
        </w:rPr>
        <w:t xml:space="preserve">in </w:t>
      </w:r>
      <w:r w:rsidR="001D086E" w:rsidRPr="00B70D50">
        <w:rPr>
          <w:rFonts w:asciiTheme="majorBidi" w:hAnsiTheme="majorBidi" w:cstheme="majorBidi"/>
          <w:sz w:val="24"/>
          <w:szCs w:val="24"/>
          <w:lang w:val="en-GB"/>
        </w:rPr>
        <w:t xml:space="preserve">imposing </w:t>
      </w:r>
      <w:r w:rsidR="00295F7C" w:rsidRPr="00B70D50">
        <w:rPr>
          <w:rFonts w:asciiTheme="majorBidi" w:hAnsiTheme="majorBidi" w:cstheme="majorBidi"/>
          <w:sz w:val="24"/>
          <w:szCs w:val="24"/>
          <w:lang w:val="en-GB"/>
        </w:rPr>
        <w:t xml:space="preserve">grave </w:t>
      </w:r>
      <w:r w:rsidR="00B724BE" w:rsidRPr="00B70D50">
        <w:rPr>
          <w:rFonts w:asciiTheme="majorBidi" w:hAnsiTheme="majorBidi" w:cstheme="majorBidi"/>
          <w:sz w:val="24"/>
          <w:szCs w:val="24"/>
          <w:lang w:val="en-GB"/>
        </w:rPr>
        <w:t xml:space="preserve">penalties </w:t>
      </w:r>
      <w:r w:rsidR="00FF5F7A" w:rsidRPr="00B70D50">
        <w:rPr>
          <w:rFonts w:asciiTheme="majorBidi" w:hAnsiTheme="majorBidi" w:cstheme="majorBidi"/>
          <w:sz w:val="24"/>
          <w:szCs w:val="24"/>
          <w:lang w:val="en-GB"/>
        </w:rPr>
        <w:t xml:space="preserve">on related offences, or protecting </w:t>
      </w:r>
      <w:r w:rsidR="00B724BE" w:rsidRPr="00B70D50">
        <w:rPr>
          <w:rFonts w:asciiTheme="majorBidi" w:hAnsiTheme="majorBidi" w:cstheme="majorBidi"/>
          <w:sz w:val="24"/>
          <w:szCs w:val="24"/>
          <w:lang w:val="en-GB"/>
        </w:rPr>
        <w:t xml:space="preserve">the </w:t>
      </w:r>
      <w:r w:rsidR="00FF5F7A" w:rsidRPr="00B70D50">
        <w:rPr>
          <w:rFonts w:asciiTheme="majorBidi" w:hAnsiTheme="majorBidi" w:cstheme="majorBidi"/>
          <w:sz w:val="24"/>
          <w:szCs w:val="24"/>
          <w:lang w:val="en-GB"/>
        </w:rPr>
        <w:t>victims</w:t>
      </w:r>
      <w:r w:rsidR="00B724BE" w:rsidRPr="00B70D50">
        <w:rPr>
          <w:rFonts w:asciiTheme="majorBidi" w:hAnsiTheme="majorBidi" w:cstheme="majorBidi"/>
          <w:sz w:val="24"/>
          <w:szCs w:val="24"/>
          <w:lang w:val="en-GB"/>
        </w:rPr>
        <w:t>’ rights</w:t>
      </w:r>
      <w:r w:rsidR="00FF5F7A" w:rsidRPr="00B70D50">
        <w:rPr>
          <w:rFonts w:asciiTheme="majorBidi" w:hAnsiTheme="majorBidi" w:cstheme="majorBidi"/>
          <w:sz w:val="24"/>
          <w:szCs w:val="24"/>
          <w:lang w:val="en-GB"/>
        </w:rPr>
        <w:t>, through</w:t>
      </w:r>
      <w:r w:rsidR="007371B9" w:rsidRPr="00B70D50">
        <w:rPr>
          <w:rFonts w:asciiTheme="majorBidi" w:hAnsiTheme="majorBidi" w:cstheme="majorBidi"/>
          <w:sz w:val="24"/>
          <w:szCs w:val="24"/>
          <w:lang w:val="en-GB"/>
        </w:rPr>
        <w:t xml:space="preserve"> the 2016-2021 National Strategy for Combating and Preventing Trafficking in Persons. </w:t>
      </w:r>
      <w:r w:rsidR="00B724BE" w:rsidRPr="00B70D50">
        <w:rPr>
          <w:rFonts w:asciiTheme="majorBidi" w:hAnsiTheme="majorBidi" w:cstheme="majorBidi"/>
          <w:sz w:val="24"/>
          <w:szCs w:val="24"/>
          <w:lang w:val="en-GB"/>
        </w:rPr>
        <w:t>While t</w:t>
      </w:r>
      <w:r w:rsidR="007371B9" w:rsidRPr="00B70D50">
        <w:rPr>
          <w:rFonts w:asciiTheme="majorBidi" w:hAnsiTheme="majorBidi" w:cstheme="majorBidi"/>
          <w:sz w:val="24"/>
          <w:szCs w:val="24"/>
          <w:lang w:val="en-GB"/>
        </w:rPr>
        <w:t xml:space="preserve">he Constitution </w:t>
      </w:r>
      <w:r w:rsidR="00061327" w:rsidRPr="00B70D50">
        <w:rPr>
          <w:rFonts w:asciiTheme="majorBidi" w:hAnsiTheme="majorBidi" w:cstheme="majorBidi"/>
          <w:sz w:val="24"/>
          <w:szCs w:val="24"/>
          <w:lang w:val="en-GB"/>
        </w:rPr>
        <w:t>guarantees</w:t>
      </w:r>
      <w:r w:rsidR="007371B9" w:rsidRPr="00B70D50">
        <w:rPr>
          <w:rFonts w:asciiTheme="majorBidi" w:hAnsiTheme="majorBidi" w:cstheme="majorBidi"/>
          <w:sz w:val="24"/>
          <w:szCs w:val="24"/>
          <w:lang w:val="en-GB"/>
        </w:rPr>
        <w:t xml:space="preserve"> the freedom of movement, residence and migration, and</w:t>
      </w:r>
      <w:r w:rsidR="00061327" w:rsidRPr="00B70D50">
        <w:rPr>
          <w:rFonts w:asciiTheme="majorBidi" w:hAnsiTheme="majorBidi" w:cstheme="majorBidi"/>
          <w:sz w:val="24"/>
          <w:szCs w:val="24"/>
          <w:lang w:val="en-GB"/>
        </w:rPr>
        <w:t xml:space="preserve"> obligates </w:t>
      </w:r>
      <w:r w:rsidR="00B724BE" w:rsidRPr="00B70D50">
        <w:rPr>
          <w:rFonts w:asciiTheme="majorBidi" w:hAnsiTheme="majorBidi" w:cstheme="majorBidi"/>
          <w:sz w:val="24"/>
          <w:szCs w:val="24"/>
          <w:lang w:val="en-GB"/>
        </w:rPr>
        <w:t xml:space="preserve">serving </w:t>
      </w:r>
      <w:r w:rsidR="00061327" w:rsidRPr="00B70D50">
        <w:rPr>
          <w:rFonts w:asciiTheme="majorBidi" w:hAnsiTheme="majorBidi" w:cstheme="majorBidi"/>
          <w:sz w:val="24"/>
          <w:szCs w:val="24"/>
          <w:lang w:val="en-GB"/>
        </w:rPr>
        <w:t xml:space="preserve">the best interests of Egyptians abroad, it prohibits all forms of slavery, </w:t>
      </w:r>
      <w:r w:rsidR="00DB7944" w:rsidRPr="00B70D50">
        <w:rPr>
          <w:rFonts w:asciiTheme="majorBidi" w:hAnsiTheme="majorBidi" w:cstheme="majorBidi"/>
          <w:sz w:val="24"/>
          <w:szCs w:val="24"/>
          <w:lang w:val="en-GB"/>
        </w:rPr>
        <w:t xml:space="preserve">forced </w:t>
      </w:r>
      <w:r w:rsidR="00B724BE" w:rsidRPr="00B70D50">
        <w:rPr>
          <w:rFonts w:asciiTheme="majorBidi" w:hAnsiTheme="majorBidi" w:cstheme="majorBidi"/>
          <w:sz w:val="24"/>
          <w:szCs w:val="24"/>
          <w:lang w:val="en-GB"/>
        </w:rPr>
        <w:t xml:space="preserve">human </w:t>
      </w:r>
      <w:r w:rsidR="00DB7944" w:rsidRPr="00B70D50">
        <w:rPr>
          <w:rFonts w:asciiTheme="majorBidi" w:hAnsiTheme="majorBidi" w:cstheme="majorBidi"/>
          <w:sz w:val="24"/>
          <w:szCs w:val="24"/>
          <w:lang w:val="en-GB"/>
        </w:rPr>
        <w:t xml:space="preserve">exploitation and sex trade, </w:t>
      </w:r>
      <w:r w:rsidR="00B724BE" w:rsidRPr="00B70D50">
        <w:rPr>
          <w:rFonts w:asciiTheme="majorBidi" w:hAnsiTheme="majorBidi" w:cstheme="majorBidi"/>
          <w:sz w:val="24"/>
          <w:szCs w:val="24"/>
          <w:lang w:val="en-GB"/>
        </w:rPr>
        <w:t xml:space="preserve">and </w:t>
      </w:r>
      <w:r w:rsidR="00DB7944" w:rsidRPr="00B70D50">
        <w:rPr>
          <w:rFonts w:asciiTheme="majorBidi" w:hAnsiTheme="majorBidi" w:cstheme="majorBidi"/>
          <w:sz w:val="24"/>
          <w:szCs w:val="24"/>
          <w:lang w:val="en-GB"/>
        </w:rPr>
        <w:t xml:space="preserve">other </w:t>
      </w:r>
      <w:r w:rsidR="00295F7C" w:rsidRPr="00B70D50">
        <w:rPr>
          <w:rFonts w:asciiTheme="majorBidi" w:hAnsiTheme="majorBidi" w:cstheme="majorBidi"/>
          <w:sz w:val="24"/>
          <w:szCs w:val="24"/>
          <w:lang w:val="en-GB"/>
        </w:rPr>
        <w:t xml:space="preserve">forms </w:t>
      </w:r>
      <w:r w:rsidR="00DB7944" w:rsidRPr="00B70D50">
        <w:rPr>
          <w:rFonts w:asciiTheme="majorBidi" w:hAnsiTheme="majorBidi" w:cstheme="majorBidi"/>
          <w:sz w:val="24"/>
          <w:szCs w:val="24"/>
          <w:lang w:val="en-GB"/>
        </w:rPr>
        <w:t xml:space="preserve">of human trafficking. </w:t>
      </w:r>
      <w:r w:rsidR="00996ACE" w:rsidRPr="00B70D50">
        <w:rPr>
          <w:rFonts w:asciiTheme="majorBidi" w:hAnsiTheme="majorBidi" w:cstheme="majorBidi"/>
          <w:sz w:val="24"/>
          <w:szCs w:val="24"/>
          <w:lang w:val="en-GB"/>
        </w:rPr>
        <w:t>To this end, the law criminalizes</w:t>
      </w:r>
      <w:r w:rsidR="0087744C" w:rsidRPr="00B70D50">
        <w:rPr>
          <w:rFonts w:asciiTheme="majorBidi" w:hAnsiTheme="majorBidi" w:cstheme="majorBidi"/>
          <w:sz w:val="24"/>
          <w:szCs w:val="24"/>
          <w:lang w:val="en-GB"/>
        </w:rPr>
        <w:t xml:space="preserve"> all forms of migrant smuggling</w:t>
      </w:r>
      <w:r w:rsidR="00B724BE" w:rsidRPr="00B70D50">
        <w:rPr>
          <w:rFonts w:asciiTheme="majorBidi" w:hAnsiTheme="majorBidi" w:cstheme="majorBidi"/>
          <w:sz w:val="24"/>
          <w:szCs w:val="24"/>
          <w:lang w:val="en-GB"/>
        </w:rPr>
        <w:t>,</w:t>
      </w:r>
      <w:r w:rsidR="0087744C" w:rsidRPr="00B70D50">
        <w:rPr>
          <w:rFonts w:asciiTheme="majorBidi" w:hAnsiTheme="majorBidi" w:cstheme="majorBidi"/>
          <w:sz w:val="24"/>
          <w:szCs w:val="24"/>
          <w:lang w:val="en-GB"/>
        </w:rPr>
        <w:t xml:space="preserve"> and</w:t>
      </w:r>
      <w:r w:rsidR="00996ACE" w:rsidRPr="00B70D50">
        <w:rPr>
          <w:rFonts w:asciiTheme="majorBidi" w:hAnsiTheme="majorBidi" w:cstheme="majorBidi"/>
          <w:sz w:val="24"/>
          <w:szCs w:val="24"/>
          <w:lang w:val="en-GB"/>
        </w:rPr>
        <w:t xml:space="preserve"> acknowledges the right to voluntary return</w:t>
      </w:r>
      <w:r w:rsidR="0087744C" w:rsidRPr="00B70D50">
        <w:rPr>
          <w:rFonts w:asciiTheme="majorBidi" w:hAnsiTheme="majorBidi" w:cstheme="majorBidi"/>
          <w:sz w:val="24"/>
          <w:szCs w:val="24"/>
          <w:lang w:val="en-GB"/>
        </w:rPr>
        <w:t>.</w:t>
      </w:r>
      <w:r w:rsidR="00996ACE" w:rsidRPr="00B70D50">
        <w:rPr>
          <w:rFonts w:asciiTheme="majorBidi" w:hAnsiTheme="majorBidi" w:cstheme="majorBidi"/>
          <w:sz w:val="24"/>
          <w:szCs w:val="24"/>
          <w:lang w:val="en-GB"/>
        </w:rPr>
        <w:t xml:space="preserve"> </w:t>
      </w:r>
      <w:r w:rsidR="00B724BE" w:rsidRPr="00B70D50">
        <w:rPr>
          <w:rFonts w:asciiTheme="majorBidi" w:hAnsiTheme="majorBidi" w:cstheme="majorBidi"/>
          <w:sz w:val="24"/>
          <w:szCs w:val="24"/>
          <w:lang w:val="en-GB"/>
        </w:rPr>
        <w:t>T</w:t>
      </w:r>
      <w:r w:rsidR="0087744C" w:rsidRPr="00B70D50">
        <w:rPr>
          <w:rFonts w:asciiTheme="majorBidi" w:hAnsiTheme="majorBidi" w:cstheme="majorBidi"/>
          <w:sz w:val="24"/>
          <w:szCs w:val="24"/>
          <w:lang w:val="en-GB"/>
        </w:rPr>
        <w:t xml:space="preserve">he government </w:t>
      </w:r>
      <w:r w:rsidR="00B724BE" w:rsidRPr="00B70D50">
        <w:rPr>
          <w:rFonts w:asciiTheme="majorBidi" w:hAnsiTheme="majorBidi" w:cstheme="majorBidi"/>
          <w:sz w:val="24"/>
          <w:szCs w:val="24"/>
          <w:lang w:val="en-GB"/>
        </w:rPr>
        <w:t xml:space="preserve">continues to </w:t>
      </w:r>
      <w:r w:rsidR="0087744C" w:rsidRPr="00B70D50">
        <w:rPr>
          <w:rFonts w:asciiTheme="majorBidi" w:hAnsiTheme="majorBidi" w:cstheme="majorBidi"/>
          <w:sz w:val="24"/>
          <w:szCs w:val="24"/>
          <w:lang w:val="en-GB"/>
        </w:rPr>
        <w:t>pursue efforts</w:t>
      </w:r>
      <w:r w:rsidR="002167B2" w:rsidRPr="00B70D50">
        <w:rPr>
          <w:rFonts w:asciiTheme="majorBidi" w:hAnsiTheme="majorBidi" w:cstheme="majorBidi"/>
          <w:sz w:val="24"/>
          <w:szCs w:val="24"/>
          <w:lang w:val="en-GB"/>
        </w:rPr>
        <w:t xml:space="preserve"> to </w:t>
      </w:r>
      <w:r w:rsidR="00B724BE" w:rsidRPr="00B70D50">
        <w:rPr>
          <w:rFonts w:asciiTheme="majorBidi" w:hAnsiTheme="majorBidi" w:cstheme="majorBidi"/>
          <w:sz w:val="24"/>
          <w:szCs w:val="24"/>
          <w:lang w:val="en-GB"/>
        </w:rPr>
        <w:t xml:space="preserve">promote </w:t>
      </w:r>
      <w:r w:rsidR="002167B2" w:rsidRPr="00B70D50">
        <w:rPr>
          <w:rFonts w:asciiTheme="majorBidi" w:hAnsiTheme="majorBidi" w:cstheme="majorBidi"/>
          <w:sz w:val="24"/>
          <w:szCs w:val="24"/>
          <w:lang w:val="en-GB"/>
        </w:rPr>
        <w:t xml:space="preserve">the rights of its </w:t>
      </w:r>
      <w:r w:rsidR="00B724BE" w:rsidRPr="00B70D50">
        <w:rPr>
          <w:rFonts w:asciiTheme="majorBidi" w:hAnsiTheme="majorBidi" w:cstheme="majorBidi"/>
          <w:sz w:val="24"/>
          <w:szCs w:val="24"/>
          <w:lang w:val="en-GB"/>
        </w:rPr>
        <w:t xml:space="preserve">citizens </w:t>
      </w:r>
      <w:r w:rsidR="002167B2" w:rsidRPr="00B70D50">
        <w:rPr>
          <w:rFonts w:asciiTheme="majorBidi" w:hAnsiTheme="majorBidi" w:cstheme="majorBidi"/>
          <w:sz w:val="24"/>
          <w:szCs w:val="24"/>
          <w:lang w:val="en-GB"/>
        </w:rPr>
        <w:t>in Egypt and abroad, striving to combat such crimes</w:t>
      </w:r>
      <w:r w:rsidR="00B724BE" w:rsidRPr="00B70D50">
        <w:rPr>
          <w:rFonts w:asciiTheme="majorBidi" w:hAnsiTheme="majorBidi" w:cstheme="majorBidi"/>
          <w:sz w:val="24"/>
          <w:szCs w:val="24"/>
          <w:lang w:val="en-GB"/>
        </w:rPr>
        <w:t xml:space="preserve"> and increasing awareness about them</w:t>
      </w:r>
      <w:r w:rsidR="0087744C" w:rsidRPr="00B70D50">
        <w:rPr>
          <w:rFonts w:asciiTheme="majorBidi" w:hAnsiTheme="majorBidi" w:cstheme="majorBidi"/>
          <w:sz w:val="24"/>
          <w:szCs w:val="24"/>
          <w:lang w:val="en-GB"/>
        </w:rPr>
        <w:t xml:space="preserve">. </w:t>
      </w:r>
      <w:r w:rsidR="0087744C" w:rsidRPr="00B70D50">
        <w:rPr>
          <w:rFonts w:asciiTheme="majorBidi" w:hAnsiTheme="majorBidi" w:cstheme="majorBidi"/>
          <w:b/>
          <w:bCs/>
          <w:sz w:val="24"/>
          <w:szCs w:val="24"/>
          <w:lang w:val="en-GB"/>
        </w:rPr>
        <w:t>Therefore:</w:t>
      </w:r>
    </w:p>
    <w:p w14:paraId="39AB6DAF" w14:textId="77777777" w:rsidR="000B234E" w:rsidRPr="00B70D50" w:rsidRDefault="000B234E" w:rsidP="000B234E">
      <w:pPr>
        <w:pStyle w:val="ListParagraph"/>
        <w:bidi w:val="0"/>
        <w:spacing w:after="0" w:line="300" w:lineRule="exact"/>
        <w:ind w:left="0" w:right="49"/>
        <w:contextualSpacing w:val="0"/>
        <w:jc w:val="both"/>
        <w:rPr>
          <w:rFonts w:asciiTheme="majorBidi" w:hAnsiTheme="majorBidi" w:cstheme="majorBidi"/>
          <w:b/>
          <w:bCs/>
          <w:sz w:val="24"/>
          <w:szCs w:val="24"/>
          <w:lang w:val="en-GB"/>
        </w:rPr>
      </w:pPr>
    </w:p>
    <w:p w14:paraId="0053BEFC" w14:textId="1B97333D" w:rsidR="0087744C" w:rsidRPr="00B70D50" w:rsidRDefault="0087744C"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Fully Accepted Recommendations:</w:t>
      </w:r>
    </w:p>
    <w:p w14:paraId="27D27407" w14:textId="74DA21F7" w:rsidR="0087744C" w:rsidRPr="00B70D50" w:rsidRDefault="002167B2"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209-211-212-213-214-215-216-218-367-368-369-370</w:t>
      </w:r>
      <w:r w:rsidR="00AC7C5A" w:rsidRPr="00B70D50">
        <w:rPr>
          <w:rStyle w:val="FootnoteReference"/>
          <w:rFonts w:asciiTheme="majorBidi" w:hAnsiTheme="majorBidi" w:cstheme="majorBidi"/>
          <w:sz w:val="24"/>
          <w:szCs w:val="24"/>
          <w:lang w:val="en-GB"/>
        </w:rPr>
        <w:footnoteReference w:id="77"/>
      </w:r>
    </w:p>
    <w:p w14:paraId="62C47404"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4FBA0261" w14:textId="77777777" w:rsidR="0087744C" w:rsidRPr="00B70D50" w:rsidRDefault="0087744C" w:rsidP="00671925">
      <w:pPr>
        <w:pStyle w:val="ListParagraph"/>
        <w:numPr>
          <w:ilvl w:val="0"/>
          <w:numId w:val="42"/>
        </w:numPr>
        <w:bidi w:val="0"/>
        <w:spacing w:after="0" w:line="300" w:lineRule="exact"/>
        <w:ind w:left="0" w:right="49"/>
        <w:contextualSpacing w:val="0"/>
        <w:jc w:val="lowKashida"/>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Partially Accepted Recommendations:</w:t>
      </w:r>
    </w:p>
    <w:p w14:paraId="2DFA297B" w14:textId="75998ACF" w:rsidR="0087744C" w:rsidRPr="00B70D50" w:rsidRDefault="002167B2"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305</w:t>
      </w:r>
    </w:p>
    <w:p w14:paraId="25A3A6BB" w14:textId="77777777" w:rsidR="000B234E" w:rsidRPr="00B70D50" w:rsidRDefault="000B234E" w:rsidP="000B234E">
      <w:pPr>
        <w:pStyle w:val="ListParagraph"/>
        <w:bidi w:val="0"/>
        <w:spacing w:after="0" w:line="300" w:lineRule="exact"/>
        <w:ind w:left="0" w:right="49"/>
        <w:contextualSpacing w:val="0"/>
        <w:jc w:val="lowKashida"/>
        <w:rPr>
          <w:rFonts w:asciiTheme="majorBidi" w:hAnsiTheme="majorBidi" w:cstheme="majorBidi"/>
          <w:sz w:val="24"/>
          <w:szCs w:val="24"/>
          <w:lang w:val="en-GB" w:bidi="ar-EG"/>
        </w:rPr>
      </w:pPr>
    </w:p>
    <w:p w14:paraId="73B32B9F" w14:textId="77777777" w:rsidR="00706286" w:rsidRPr="00B70D50" w:rsidRDefault="00706286" w:rsidP="00706286">
      <w:pPr>
        <w:pStyle w:val="ListParagraph"/>
        <w:bidi w:val="0"/>
        <w:spacing w:after="0" w:line="300" w:lineRule="exact"/>
        <w:ind w:left="0" w:right="49"/>
        <w:contextualSpacing w:val="0"/>
        <w:jc w:val="lowKashida"/>
        <w:rPr>
          <w:rFonts w:asciiTheme="majorBidi" w:hAnsiTheme="majorBidi" w:cstheme="majorBidi"/>
          <w:sz w:val="24"/>
          <w:szCs w:val="24"/>
          <w:lang w:val="en-GB" w:bidi="ar-EG"/>
        </w:rPr>
      </w:pPr>
    </w:p>
    <w:p w14:paraId="707AF9B9" w14:textId="77777777" w:rsidR="00637C7D" w:rsidRPr="00B70D50" w:rsidRDefault="00637C7D" w:rsidP="00671925">
      <w:pPr>
        <w:pStyle w:val="ListParagraph"/>
        <w:numPr>
          <w:ilvl w:val="0"/>
          <w:numId w:val="41"/>
        </w:numPr>
        <w:bidi w:val="0"/>
        <w:spacing w:after="0" w:line="300" w:lineRule="exact"/>
        <w:ind w:left="0" w:right="49"/>
        <w:contextualSpacing w:val="0"/>
        <w:jc w:val="both"/>
        <w:rPr>
          <w:rFonts w:asciiTheme="majorBidi" w:hAnsiTheme="majorBidi" w:cstheme="majorBidi"/>
          <w:b/>
          <w:bCs/>
          <w:sz w:val="24"/>
          <w:szCs w:val="24"/>
          <w:u w:val="single"/>
          <w:lang w:val="en-GB"/>
        </w:rPr>
      </w:pPr>
      <w:r w:rsidRPr="00B70D50">
        <w:rPr>
          <w:rFonts w:asciiTheme="majorBidi" w:hAnsiTheme="majorBidi" w:cstheme="majorBidi"/>
          <w:b/>
          <w:bCs/>
          <w:sz w:val="24"/>
          <w:szCs w:val="24"/>
          <w:u w:val="single"/>
          <w:lang w:val="en-GB"/>
        </w:rPr>
        <w:t>Counter-Terrorism</w:t>
      </w:r>
    </w:p>
    <w:p w14:paraId="146F8508" w14:textId="34AED2D8" w:rsidR="00E24C00" w:rsidRPr="00B70D50" w:rsidRDefault="004A13C2" w:rsidP="00781C6F">
      <w:pPr>
        <w:pStyle w:val="ListParagraph"/>
        <w:numPr>
          <w:ilvl w:val="0"/>
          <w:numId w:val="39"/>
        </w:numPr>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 xml:space="preserve">The </w:t>
      </w:r>
      <w:r w:rsidR="00437917" w:rsidRPr="00B70D50">
        <w:rPr>
          <w:rFonts w:asciiTheme="majorBidi" w:hAnsiTheme="majorBidi" w:cstheme="majorBidi"/>
          <w:sz w:val="24"/>
          <w:szCs w:val="24"/>
          <w:lang w:val="en-GB"/>
        </w:rPr>
        <w:t>C</w:t>
      </w:r>
      <w:r w:rsidRPr="00B70D50">
        <w:rPr>
          <w:rFonts w:asciiTheme="majorBidi" w:hAnsiTheme="majorBidi" w:cstheme="majorBidi"/>
          <w:sz w:val="24"/>
          <w:szCs w:val="24"/>
          <w:lang w:val="en-GB"/>
        </w:rPr>
        <w:t xml:space="preserve">onstitution </w:t>
      </w:r>
      <w:r w:rsidR="00052B18" w:rsidRPr="00B70D50">
        <w:rPr>
          <w:rFonts w:asciiTheme="majorBidi" w:hAnsiTheme="majorBidi" w:cstheme="majorBidi"/>
          <w:sz w:val="24"/>
          <w:szCs w:val="24"/>
          <w:lang w:val="en-GB"/>
        </w:rPr>
        <w:t>obligates combat</w:t>
      </w:r>
      <w:r w:rsidR="00B724BE" w:rsidRPr="00B70D50">
        <w:rPr>
          <w:rFonts w:asciiTheme="majorBidi" w:hAnsiTheme="majorBidi" w:cstheme="majorBidi"/>
          <w:sz w:val="24"/>
          <w:szCs w:val="24"/>
          <w:lang w:val="en-GB"/>
        </w:rPr>
        <w:t>in</w:t>
      </w:r>
      <w:r w:rsidR="005D0F8F" w:rsidRPr="00B70D50">
        <w:rPr>
          <w:rFonts w:asciiTheme="majorBidi" w:hAnsiTheme="majorBidi" w:cstheme="majorBidi"/>
          <w:sz w:val="24"/>
          <w:szCs w:val="24"/>
          <w:lang w:val="en-GB"/>
        </w:rPr>
        <w:t>g</w:t>
      </w:r>
      <w:r w:rsidRPr="00B70D50">
        <w:rPr>
          <w:rFonts w:asciiTheme="majorBidi" w:hAnsiTheme="majorBidi" w:cstheme="majorBidi"/>
          <w:sz w:val="24"/>
          <w:szCs w:val="24"/>
          <w:lang w:val="en-GB"/>
        </w:rPr>
        <w:t xml:space="preserve"> terrorism</w:t>
      </w:r>
      <w:r w:rsidR="00B724BE" w:rsidRPr="00B70D50">
        <w:rPr>
          <w:rFonts w:asciiTheme="majorBidi" w:hAnsiTheme="majorBidi" w:cstheme="majorBidi"/>
          <w:sz w:val="24"/>
          <w:szCs w:val="24"/>
          <w:lang w:val="en-GB"/>
        </w:rPr>
        <w:t xml:space="preserve"> in all its forms</w:t>
      </w:r>
      <w:r w:rsidR="00295F7C" w:rsidRPr="00B70D50">
        <w:rPr>
          <w:rFonts w:asciiTheme="majorBidi" w:hAnsiTheme="majorBidi" w:cstheme="majorBidi"/>
          <w:sz w:val="24"/>
          <w:szCs w:val="24"/>
          <w:lang w:val="en-GB"/>
        </w:rPr>
        <w:t>,</w:t>
      </w:r>
      <w:r w:rsidR="00ED17C9" w:rsidRPr="00B70D50">
        <w:rPr>
          <w:rFonts w:asciiTheme="majorBidi" w:hAnsiTheme="majorBidi" w:cstheme="majorBidi"/>
          <w:sz w:val="24"/>
          <w:szCs w:val="24"/>
          <w:lang w:val="en-GB"/>
        </w:rPr>
        <w:t xml:space="preserve"> </w:t>
      </w:r>
      <w:r w:rsidR="00052B18" w:rsidRPr="00B70D50">
        <w:rPr>
          <w:rFonts w:asciiTheme="majorBidi" w:hAnsiTheme="majorBidi" w:cstheme="majorBidi"/>
          <w:sz w:val="24"/>
          <w:szCs w:val="24"/>
          <w:lang w:val="en-GB"/>
        </w:rPr>
        <w:t xml:space="preserve">while </w:t>
      </w:r>
      <w:r w:rsidR="00ED17C9" w:rsidRPr="00B70D50">
        <w:rPr>
          <w:rFonts w:asciiTheme="majorBidi" w:hAnsiTheme="majorBidi" w:cstheme="majorBidi"/>
          <w:sz w:val="24"/>
          <w:szCs w:val="24"/>
          <w:lang w:val="en-GB"/>
        </w:rPr>
        <w:t xml:space="preserve">upholding </w:t>
      </w:r>
      <w:r w:rsidR="00052B18" w:rsidRPr="00B70D50">
        <w:rPr>
          <w:rFonts w:asciiTheme="majorBidi" w:hAnsiTheme="majorBidi" w:cstheme="majorBidi"/>
          <w:sz w:val="24"/>
          <w:szCs w:val="24"/>
          <w:lang w:val="en-GB"/>
        </w:rPr>
        <w:t xml:space="preserve">public </w:t>
      </w:r>
      <w:r w:rsidR="00ED17C9" w:rsidRPr="00B70D50">
        <w:rPr>
          <w:rFonts w:asciiTheme="majorBidi" w:hAnsiTheme="majorBidi" w:cstheme="majorBidi"/>
          <w:sz w:val="24"/>
          <w:szCs w:val="24"/>
          <w:lang w:val="en-GB"/>
        </w:rPr>
        <w:t xml:space="preserve">rights and </w:t>
      </w:r>
      <w:r w:rsidR="00B77B3B" w:rsidRPr="00B70D50">
        <w:rPr>
          <w:rFonts w:asciiTheme="majorBidi" w:hAnsiTheme="majorBidi" w:cstheme="majorBidi"/>
          <w:sz w:val="24"/>
          <w:szCs w:val="24"/>
          <w:lang w:val="en-GB"/>
        </w:rPr>
        <w:t xml:space="preserve">freedoms, </w:t>
      </w:r>
      <w:r w:rsidR="00D61231" w:rsidRPr="00B70D50">
        <w:rPr>
          <w:rFonts w:asciiTheme="majorBidi" w:hAnsiTheme="majorBidi" w:cstheme="majorBidi"/>
          <w:sz w:val="24"/>
          <w:szCs w:val="24"/>
          <w:lang w:val="en-GB"/>
        </w:rPr>
        <w:t xml:space="preserve">and </w:t>
      </w:r>
      <w:r w:rsidR="005D0F8F" w:rsidRPr="00B70D50">
        <w:rPr>
          <w:rFonts w:asciiTheme="majorBidi" w:hAnsiTheme="majorBidi" w:cstheme="majorBidi"/>
          <w:sz w:val="24"/>
          <w:szCs w:val="24"/>
          <w:lang w:val="en-GB"/>
        </w:rPr>
        <w:t xml:space="preserve">offering </w:t>
      </w:r>
      <w:r w:rsidR="00D61231" w:rsidRPr="00B70D50">
        <w:rPr>
          <w:rFonts w:asciiTheme="majorBidi" w:hAnsiTheme="majorBidi" w:cstheme="majorBidi"/>
          <w:sz w:val="24"/>
          <w:szCs w:val="24"/>
          <w:lang w:val="en-GB"/>
        </w:rPr>
        <w:t>equitable compensations for victims of terrorism</w:t>
      </w:r>
      <w:r w:rsidR="005D0F8F" w:rsidRPr="00B70D50">
        <w:rPr>
          <w:rFonts w:asciiTheme="majorBidi" w:hAnsiTheme="majorBidi" w:cstheme="majorBidi"/>
          <w:sz w:val="24"/>
          <w:szCs w:val="24"/>
          <w:lang w:val="en-GB"/>
        </w:rPr>
        <w:t>, to which the Government is committed</w:t>
      </w:r>
      <w:r w:rsidR="00052B18" w:rsidRPr="00B70D50">
        <w:rPr>
          <w:rFonts w:asciiTheme="majorBidi" w:hAnsiTheme="majorBidi" w:cstheme="majorBidi"/>
          <w:sz w:val="24"/>
          <w:szCs w:val="24"/>
          <w:lang w:val="en-GB"/>
        </w:rPr>
        <w:t xml:space="preserve">. </w:t>
      </w:r>
      <w:r w:rsidR="005D0F8F" w:rsidRPr="00B70D50">
        <w:rPr>
          <w:rFonts w:asciiTheme="majorBidi" w:hAnsiTheme="majorBidi" w:cstheme="majorBidi"/>
          <w:sz w:val="24"/>
          <w:szCs w:val="24"/>
          <w:lang w:val="en-GB"/>
        </w:rPr>
        <w:t xml:space="preserve">In order to safeguard the </w:t>
      </w:r>
      <w:r w:rsidR="008D26F9" w:rsidRPr="00B70D50">
        <w:rPr>
          <w:rFonts w:asciiTheme="majorBidi" w:hAnsiTheme="majorBidi" w:cstheme="majorBidi"/>
          <w:sz w:val="24"/>
          <w:szCs w:val="24"/>
          <w:lang w:val="en-GB"/>
        </w:rPr>
        <w:t xml:space="preserve">citizens’ security and </w:t>
      </w:r>
      <w:r w:rsidR="00781C6F" w:rsidRPr="00B70D50">
        <w:rPr>
          <w:rFonts w:asciiTheme="majorBidi" w:hAnsiTheme="majorBidi" w:cstheme="majorBidi"/>
          <w:sz w:val="24"/>
          <w:szCs w:val="24"/>
          <w:lang w:val="en-GB"/>
        </w:rPr>
        <w:t xml:space="preserve">allow them to enjoy </w:t>
      </w:r>
      <w:r w:rsidR="008D26F9" w:rsidRPr="00B70D50">
        <w:rPr>
          <w:rFonts w:asciiTheme="majorBidi" w:hAnsiTheme="majorBidi" w:cstheme="majorBidi"/>
          <w:sz w:val="24"/>
          <w:szCs w:val="24"/>
          <w:lang w:val="en-GB"/>
        </w:rPr>
        <w:t>their human rights and fundamental freedoms, t</w:t>
      </w:r>
      <w:r w:rsidRPr="00B70D50">
        <w:rPr>
          <w:rFonts w:asciiTheme="majorBidi" w:hAnsiTheme="majorBidi" w:cstheme="majorBidi"/>
          <w:sz w:val="24"/>
          <w:szCs w:val="24"/>
          <w:lang w:val="en-GB"/>
        </w:rPr>
        <w:t xml:space="preserve">he </w:t>
      </w:r>
      <w:r w:rsidR="005D0F8F" w:rsidRPr="00B70D50">
        <w:rPr>
          <w:rFonts w:asciiTheme="majorBidi" w:hAnsiTheme="majorBidi" w:cstheme="majorBidi"/>
          <w:sz w:val="24"/>
          <w:szCs w:val="24"/>
          <w:lang w:val="en-GB"/>
        </w:rPr>
        <w:t>A</w:t>
      </w:r>
      <w:r w:rsidRPr="00B70D50">
        <w:rPr>
          <w:rFonts w:asciiTheme="majorBidi" w:hAnsiTheme="majorBidi" w:cstheme="majorBidi"/>
          <w:sz w:val="24"/>
          <w:szCs w:val="24"/>
          <w:lang w:val="en-GB"/>
        </w:rPr>
        <w:t>nti-</w:t>
      </w:r>
      <w:r w:rsidR="005D0F8F" w:rsidRPr="00B70D50">
        <w:rPr>
          <w:rFonts w:asciiTheme="majorBidi" w:hAnsiTheme="majorBidi" w:cstheme="majorBidi"/>
          <w:sz w:val="24"/>
          <w:szCs w:val="24"/>
          <w:lang w:val="en-GB"/>
        </w:rPr>
        <w:t>T</w:t>
      </w:r>
      <w:r w:rsidRPr="00B70D50">
        <w:rPr>
          <w:rFonts w:asciiTheme="majorBidi" w:hAnsiTheme="majorBidi" w:cstheme="majorBidi"/>
          <w:sz w:val="24"/>
          <w:szCs w:val="24"/>
          <w:lang w:val="en-GB"/>
        </w:rPr>
        <w:t xml:space="preserve">errorism </w:t>
      </w:r>
      <w:r w:rsidR="005D0F8F" w:rsidRPr="00B70D50">
        <w:rPr>
          <w:rFonts w:asciiTheme="majorBidi" w:hAnsiTheme="majorBidi" w:cstheme="majorBidi"/>
          <w:sz w:val="24"/>
          <w:szCs w:val="24"/>
          <w:lang w:val="en-GB"/>
        </w:rPr>
        <w:t>L</w:t>
      </w:r>
      <w:r w:rsidRPr="00B70D50">
        <w:rPr>
          <w:rFonts w:asciiTheme="majorBidi" w:hAnsiTheme="majorBidi" w:cstheme="majorBidi"/>
          <w:sz w:val="24"/>
          <w:szCs w:val="24"/>
          <w:lang w:val="en-GB"/>
        </w:rPr>
        <w:t>aw</w:t>
      </w:r>
      <w:r w:rsidR="005D0F8F" w:rsidRPr="00B70D50">
        <w:rPr>
          <w:rFonts w:asciiTheme="majorBidi" w:hAnsiTheme="majorBidi" w:cstheme="majorBidi"/>
          <w:sz w:val="24"/>
          <w:szCs w:val="24"/>
          <w:lang w:val="en-GB"/>
        </w:rPr>
        <w:t xml:space="preserve"> was enacted. Its stipulations ensure </w:t>
      </w:r>
      <w:r w:rsidRPr="00B70D50">
        <w:rPr>
          <w:rFonts w:asciiTheme="majorBidi" w:hAnsiTheme="majorBidi" w:cstheme="majorBidi"/>
          <w:sz w:val="24"/>
          <w:szCs w:val="24"/>
          <w:lang w:val="en-GB"/>
        </w:rPr>
        <w:t>safeguard</w:t>
      </w:r>
      <w:r w:rsidR="009F2BC0" w:rsidRPr="00B70D50">
        <w:rPr>
          <w:rFonts w:asciiTheme="majorBidi" w:hAnsiTheme="majorBidi" w:cstheme="majorBidi"/>
          <w:sz w:val="24"/>
          <w:szCs w:val="24"/>
          <w:lang w:val="en-GB"/>
        </w:rPr>
        <w:t>ing</w:t>
      </w:r>
      <w:r w:rsidRPr="00B70D50">
        <w:rPr>
          <w:rFonts w:asciiTheme="majorBidi" w:hAnsiTheme="majorBidi" w:cstheme="majorBidi"/>
          <w:sz w:val="24"/>
          <w:szCs w:val="24"/>
          <w:lang w:val="en-GB"/>
        </w:rPr>
        <w:t xml:space="preserve"> all </w:t>
      </w:r>
      <w:r w:rsidR="005D0F8F" w:rsidRPr="00B70D50">
        <w:rPr>
          <w:rFonts w:asciiTheme="majorBidi" w:hAnsiTheme="majorBidi" w:cstheme="majorBidi"/>
          <w:sz w:val="24"/>
          <w:szCs w:val="24"/>
          <w:lang w:val="en-GB"/>
        </w:rPr>
        <w:t xml:space="preserve">human rights, </w:t>
      </w:r>
      <w:r w:rsidR="009F2BC0" w:rsidRPr="00B70D50">
        <w:rPr>
          <w:rFonts w:asciiTheme="majorBidi" w:hAnsiTheme="majorBidi" w:cstheme="majorBidi"/>
          <w:sz w:val="24"/>
          <w:szCs w:val="24"/>
          <w:lang w:val="en-GB"/>
        </w:rPr>
        <w:t xml:space="preserve">which are held </w:t>
      </w:r>
      <w:r w:rsidRPr="00B70D50">
        <w:rPr>
          <w:rFonts w:asciiTheme="majorBidi" w:hAnsiTheme="majorBidi" w:cstheme="majorBidi"/>
          <w:sz w:val="24"/>
          <w:szCs w:val="24"/>
          <w:lang w:val="en-GB"/>
        </w:rPr>
        <w:t xml:space="preserve">inviolable </w:t>
      </w:r>
      <w:r w:rsidR="005D0F8F" w:rsidRPr="00B70D50">
        <w:rPr>
          <w:rFonts w:asciiTheme="majorBidi" w:hAnsiTheme="majorBidi" w:cstheme="majorBidi"/>
          <w:sz w:val="24"/>
          <w:szCs w:val="24"/>
          <w:lang w:val="en-GB"/>
        </w:rPr>
        <w:lastRenderedPageBreak/>
        <w:t xml:space="preserve">by the Constitution and law, </w:t>
      </w:r>
      <w:r w:rsidRPr="00B70D50">
        <w:rPr>
          <w:rFonts w:asciiTheme="majorBidi" w:hAnsiTheme="majorBidi" w:cstheme="majorBidi"/>
          <w:sz w:val="24"/>
          <w:szCs w:val="24"/>
          <w:lang w:val="en-GB"/>
        </w:rPr>
        <w:t>without</w:t>
      </w:r>
      <w:r w:rsidR="009F2BC0" w:rsidRPr="00B70D50">
        <w:rPr>
          <w:rFonts w:asciiTheme="majorBidi" w:hAnsiTheme="majorBidi" w:cstheme="majorBidi"/>
          <w:sz w:val="24"/>
          <w:szCs w:val="24"/>
          <w:lang w:val="en-GB"/>
        </w:rPr>
        <w:t xml:space="preserve"> derogation</w:t>
      </w:r>
      <w:r w:rsidRPr="00B70D50">
        <w:rPr>
          <w:rFonts w:asciiTheme="majorBidi" w:hAnsiTheme="majorBidi" w:cstheme="majorBidi"/>
          <w:sz w:val="24"/>
          <w:szCs w:val="24"/>
          <w:lang w:val="en-GB"/>
        </w:rPr>
        <w:t>.</w:t>
      </w:r>
      <w:r w:rsidR="000745C8" w:rsidRPr="00B70D50">
        <w:rPr>
          <w:rFonts w:asciiTheme="majorBidi" w:hAnsiTheme="majorBidi" w:cstheme="majorBidi"/>
          <w:sz w:val="24"/>
          <w:szCs w:val="24"/>
          <w:lang w:val="en-GB"/>
        </w:rPr>
        <w:t xml:space="preserve"> Therefore, all </w:t>
      </w:r>
      <w:r w:rsidR="00E24C00" w:rsidRPr="00B70D50">
        <w:rPr>
          <w:rFonts w:asciiTheme="majorBidi" w:hAnsiTheme="majorBidi" w:cstheme="majorBidi"/>
          <w:sz w:val="24"/>
          <w:szCs w:val="24"/>
          <w:lang w:val="en-GB"/>
        </w:rPr>
        <w:t>recommendations</w:t>
      </w:r>
      <w:r w:rsidR="000745C8" w:rsidRPr="00B70D50">
        <w:rPr>
          <w:rFonts w:asciiTheme="majorBidi" w:hAnsiTheme="majorBidi" w:cstheme="majorBidi"/>
          <w:sz w:val="24"/>
          <w:szCs w:val="24"/>
          <w:lang w:val="en-GB"/>
        </w:rPr>
        <w:t xml:space="preserve"> under this section are </w:t>
      </w:r>
      <w:r w:rsidR="000745C8" w:rsidRPr="00B70D50">
        <w:rPr>
          <w:rFonts w:asciiTheme="majorBidi" w:hAnsiTheme="majorBidi" w:cstheme="majorBidi"/>
          <w:b/>
          <w:bCs/>
          <w:sz w:val="24"/>
          <w:szCs w:val="24"/>
          <w:lang w:val="en-GB"/>
        </w:rPr>
        <w:t>accepted</w:t>
      </w:r>
      <w:r w:rsidR="00E24C00" w:rsidRPr="00B70D50">
        <w:rPr>
          <w:rFonts w:asciiTheme="majorBidi" w:hAnsiTheme="majorBidi" w:cstheme="majorBidi"/>
          <w:sz w:val="24"/>
          <w:szCs w:val="24"/>
          <w:lang w:val="en-GB"/>
        </w:rPr>
        <w:t>:</w:t>
      </w:r>
    </w:p>
    <w:p w14:paraId="71FA44CB" w14:textId="0F7014F7" w:rsidR="004A13C2" w:rsidRPr="00B70D50" w:rsidRDefault="00E24C00" w:rsidP="00382F8A">
      <w:pPr>
        <w:pStyle w:val="ListParagraph"/>
        <w:bidi w:val="0"/>
        <w:spacing w:before="240" w:after="0" w:line="300" w:lineRule="exact"/>
        <w:ind w:left="0" w:right="51"/>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131-132-133-135-137-138-139</w:t>
      </w:r>
    </w:p>
    <w:p w14:paraId="34F5A0D2" w14:textId="28417F08" w:rsidR="00E24C00" w:rsidRPr="00B70D50" w:rsidRDefault="00E24C00" w:rsidP="00671925">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34CA323B" w14:textId="77777777" w:rsidR="009F2BC0" w:rsidRPr="00B70D50" w:rsidRDefault="009F2BC0" w:rsidP="009F2BC0">
      <w:pPr>
        <w:pStyle w:val="ListParagraph"/>
        <w:bidi w:val="0"/>
        <w:spacing w:after="0" w:line="300" w:lineRule="exact"/>
        <w:ind w:left="0" w:right="49"/>
        <w:contextualSpacing w:val="0"/>
        <w:jc w:val="lowKashida"/>
        <w:rPr>
          <w:rFonts w:asciiTheme="majorBidi" w:hAnsiTheme="majorBidi" w:cstheme="majorBidi"/>
          <w:sz w:val="24"/>
          <w:szCs w:val="24"/>
          <w:lang w:val="en-GB"/>
        </w:rPr>
      </w:pPr>
    </w:p>
    <w:p w14:paraId="3173F5E1" w14:textId="31DB8442" w:rsidR="00E24C00" w:rsidRPr="00B70D50" w:rsidRDefault="00553CC7" w:rsidP="00706286">
      <w:pPr>
        <w:pStyle w:val="ListParagraph"/>
        <w:numPr>
          <w:ilvl w:val="0"/>
          <w:numId w:val="41"/>
        </w:numPr>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b/>
          <w:bCs/>
          <w:sz w:val="24"/>
          <w:szCs w:val="24"/>
          <w:u w:val="single"/>
          <w:lang w:val="en-GB"/>
        </w:rPr>
        <w:t xml:space="preserve">Recommendations Irrelevant to </w:t>
      </w:r>
      <w:r w:rsidR="00706286" w:rsidRPr="00B70D50">
        <w:rPr>
          <w:rFonts w:asciiTheme="majorBidi" w:hAnsiTheme="majorBidi" w:cstheme="majorBidi"/>
          <w:b/>
          <w:bCs/>
          <w:sz w:val="24"/>
          <w:szCs w:val="24"/>
          <w:u w:val="single"/>
          <w:lang w:val="en-GB"/>
        </w:rPr>
        <w:t xml:space="preserve">the work of </w:t>
      </w:r>
      <w:r w:rsidRPr="00B70D50">
        <w:rPr>
          <w:rFonts w:asciiTheme="majorBidi" w:hAnsiTheme="majorBidi" w:cstheme="majorBidi"/>
          <w:b/>
          <w:bCs/>
          <w:sz w:val="24"/>
          <w:szCs w:val="24"/>
          <w:u w:val="single"/>
          <w:lang w:val="en-GB"/>
        </w:rPr>
        <w:t>UNHRC:</w:t>
      </w:r>
    </w:p>
    <w:p w14:paraId="22EBE8CA" w14:textId="0D014231" w:rsidR="00553CC7" w:rsidRPr="00B70D50" w:rsidRDefault="00553CC7" w:rsidP="00781C6F">
      <w:pPr>
        <w:pStyle w:val="ListParagraph"/>
        <w:numPr>
          <w:ilvl w:val="0"/>
          <w:numId w:val="39"/>
        </w:numPr>
        <w:bidi w:val="0"/>
        <w:spacing w:after="0" w:line="300" w:lineRule="exact"/>
        <w:ind w:left="0" w:right="49"/>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 xml:space="preserve">The </w:t>
      </w:r>
      <w:r w:rsidR="009F2BC0" w:rsidRPr="00B70D50">
        <w:rPr>
          <w:rFonts w:asciiTheme="majorBidi" w:hAnsiTheme="majorBidi" w:cstheme="majorBidi"/>
          <w:sz w:val="24"/>
          <w:szCs w:val="24"/>
          <w:lang w:val="en-GB"/>
        </w:rPr>
        <w:t>G</w:t>
      </w:r>
      <w:r w:rsidRPr="00B70D50">
        <w:rPr>
          <w:rFonts w:asciiTheme="majorBidi" w:hAnsiTheme="majorBidi" w:cstheme="majorBidi"/>
          <w:sz w:val="24"/>
          <w:szCs w:val="24"/>
          <w:lang w:val="en-GB"/>
        </w:rPr>
        <w:t xml:space="preserve">overnment only </w:t>
      </w:r>
      <w:r w:rsidR="00706286" w:rsidRPr="00B70D50">
        <w:rPr>
          <w:rFonts w:asciiTheme="majorBidi" w:hAnsiTheme="majorBidi" w:cstheme="majorBidi"/>
          <w:sz w:val="24"/>
          <w:szCs w:val="24"/>
          <w:lang w:val="en-GB"/>
        </w:rPr>
        <w:t xml:space="preserve">addressed </w:t>
      </w:r>
      <w:r w:rsidRPr="00B70D50">
        <w:rPr>
          <w:rFonts w:asciiTheme="majorBidi" w:hAnsiTheme="majorBidi" w:cstheme="majorBidi"/>
          <w:sz w:val="24"/>
          <w:szCs w:val="24"/>
          <w:lang w:val="en-GB"/>
        </w:rPr>
        <w:t>recommendation</w:t>
      </w:r>
      <w:r w:rsidR="00C74828" w:rsidRPr="00B70D50">
        <w:rPr>
          <w:rFonts w:asciiTheme="majorBidi" w:hAnsiTheme="majorBidi" w:cstheme="majorBidi"/>
          <w:sz w:val="24"/>
          <w:szCs w:val="24"/>
          <w:lang w:val="en-GB"/>
        </w:rPr>
        <w:t>s</w:t>
      </w:r>
      <w:r w:rsidRPr="00B70D50">
        <w:rPr>
          <w:rFonts w:asciiTheme="majorBidi" w:hAnsiTheme="majorBidi" w:cstheme="majorBidi"/>
          <w:sz w:val="24"/>
          <w:szCs w:val="24"/>
          <w:lang w:val="en-GB"/>
        </w:rPr>
        <w:t xml:space="preserve"> relevant to </w:t>
      </w:r>
      <w:r w:rsidR="008221C2" w:rsidRPr="00B70D50">
        <w:rPr>
          <w:rFonts w:asciiTheme="majorBidi" w:hAnsiTheme="majorBidi" w:cstheme="majorBidi"/>
          <w:sz w:val="24"/>
          <w:szCs w:val="24"/>
          <w:lang w:val="en-GB"/>
        </w:rPr>
        <w:t xml:space="preserve">UNHRC and </w:t>
      </w:r>
      <w:r w:rsidR="00706286" w:rsidRPr="00B70D50">
        <w:rPr>
          <w:rFonts w:asciiTheme="majorBidi" w:hAnsiTheme="majorBidi" w:cstheme="majorBidi"/>
          <w:sz w:val="24"/>
          <w:szCs w:val="24"/>
          <w:lang w:val="en-GB"/>
        </w:rPr>
        <w:t xml:space="preserve">international </w:t>
      </w:r>
      <w:r w:rsidR="008221C2" w:rsidRPr="00B70D50">
        <w:rPr>
          <w:rFonts w:asciiTheme="majorBidi" w:hAnsiTheme="majorBidi" w:cstheme="majorBidi"/>
          <w:sz w:val="24"/>
          <w:szCs w:val="24"/>
          <w:lang w:val="en-GB"/>
        </w:rPr>
        <w:t>human rights</w:t>
      </w:r>
      <w:r w:rsidR="00706286" w:rsidRPr="00B70D50">
        <w:rPr>
          <w:rFonts w:asciiTheme="majorBidi" w:hAnsiTheme="majorBidi" w:cstheme="majorBidi"/>
          <w:sz w:val="24"/>
          <w:szCs w:val="24"/>
          <w:lang w:val="en-GB"/>
        </w:rPr>
        <w:t xml:space="preserve"> treaties</w:t>
      </w:r>
      <w:r w:rsidR="008221C2" w:rsidRPr="00B70D50">
        <w:rPr>
          <w:rFonts w:asciiTheme="majorBidi" w:hAnsiTheme="majorBidi" w:cstheme="majorBidi"/>
          <w:sz w:val="24"/>
          <w:szCs w:val="24"/>
          <w:lang w:val="en-GB"/>
        </w:rPr>
        <w:t xml:space="preserve">. Therefore, the following two </w:t>
      </w:r>
      <w:r w:rsidR="00B17779" w:rsidRPr="00B70D50">
        <w:rPr>
          <w:rFonts w:asciiTheme="majorBidi" w:hAnsiTheme="majorBidi" w:cstheme="majorBidi"/>
          <w:sz w:val="24"/>
          <w:szCs w:val="24"/>
          <w:lang w:val="en-GB"/>
        </w:rPr>
        <w:t>recommendations</w:t>
      </w:r>
      <w:r w:rsidR="008221C2" w:rsidRPr="00B70D50">
        <w:rPr>
          <w:rFonts w:asciiTheme="majorBidi" w:hAnsiTheme="majorBidi" w:cstheme="majorBidi"/>
          <w:sz w:val="24"/>
          <w:szCs w:val="24"/>
          <w:lang w:val="en-GB"/>
        </w:rPr>
        <w:t xml:space="preserve"> are </w:t>
      </w:r>
      <w:r w:rsidR="005E5F65" w:rsidRPr="00B70D50">
        <w:rPr>
          <w:rFonts w:asciiTheme="majorBidi" w:hAnsiTheme="majorBidi" w:cstheme="majorBidi"/>
          <w:b/>
          <w:bCs/>
          <w:sz w:val="24"/>
          <w:szCs w:val="24"/>
          <w:lang w:val="en-GB"/>
        </w:rPr>
        <w:t>un</w:t>
      </w:r>
      <w:r w:rsidR="008221C2" w:rsidRPr="00B70D50">
        <w:rPr>
          <w:rFonts w:asciiTheme="majorBidi" w:hAnsiTheme="majorBidi" w:cstheme="majorBidi"/>
          <w:b/>
          <w:bCs/>
          <w:sz w:val="24"/>
          <w:szCs w:val="24"/>
          <w:lang w:val="en-GB"/>
        </w:rPr>
        <w:t>accepted</w:t>
      </w:r>
      <w:r w:rsidR="00B17779" w:rsidRPr="00B70D50">
        <w:rPr>
          <w:rFonts w:asciiTheme="majorBidi" w:hAnsiTheme="majorBidi" w:cstheme="majorBidi"/>
          <w:sz w:val="24"/>
          <w:szCs w:val="24"/>
          <w:lang w:val="en-GB"/>
        </w:rPr>
        <w:t>:</w:t>
      </w:r>
    </w:p>
    <w:p w14:paraId="0689BA9F" w14:textId="68E540F5" w:rsidR="00D76BB6" w:rsidRPr="00B70D50" w:rsidRDefault="001537D4" w:rsidP="00382F8A">
      <w:pPr>
        <w:pStyle w:val="ListParagraph"/>
        <w:bidi w:val="0"/>
        <w:spacing w:before="240" w:after="0" w:line="300" w:lineRule="exact"/>
        <w:ind w:left="0" w:right="51"/>
        <w:contextualSpacing w:val="0"/>
        <w:jc w:val="lowKashida"/>
        <w:rPr>
          <w:rFonts w:asciiTheme="majorBidi" w:hAnsiTheme="majorBidi" w:cstheme="majorBidi"/>
          <w:sz w:val="24"/>
          <w:szCs w:val="24"/>
          <w:lang w:val="en-GB"/>
        </w:rPr>
      </w:pPr>
      <w:r w:rsidRPr="00B70D50">
        <w:rPr>
          <w:rFonts w:asciiTheme="majorBidi" w:hAnsiTheme="majorBidi" w:cstheme="majorBidi"/>
          <w:sz w:val="24"/>
          <w:szCs w:val="24"/>
          <w:lang w:val="en-GB"/>
        </w:rPr>
        <w:t>15</w:t>
      </w:r>
      <w:r w:rsidR="00A07D85" w:rsidRPr="00B70D50">
        <w:rPr>
          <w:rStyle w:val="FootnoteReference"/>
          <w:rFonts w:asciiTheme="majorBidi" w:hAnsiTheme="majorBidi" w:cstheme="majorBidi"/>
          <w:sz w:val="24"/>
          <w:szCs w:val="24"/>
          <w:lang w:val="en-GB"/>
        </w:rPr>
        <w:footnoteReference w:id="78"/>
      </w:r>
      <w:r w:rsidRPr="00B70D50">
        <w:rPr>
          <w:rFonts w:asciiTheme="majorBidi" w:hAnsiTheme="majorBidi" w:cstheme="majorBidi"/>
          <w:sz w:val="24"/>
          <w:szCs w:val="24"/>
          <w:lang w:val="en-GB"/>
        </w:rPr>
        <w:t>-36</w:t>
      </w:r>
      <w:r w:rsidR="00A324F7" w:rsidRPr="00B70D50">
        <w:rPr>
          <w:rStyle w:val="FootnoteReference"/>
          <w:rFonts w:asciiTheme="majorBidi" w:hAnsiTheme="majorBidi" w:cstheme="majorBidi"/>
          <w:sz w:val="24"/>
          <w:szCs w:val="24"/>
          <w:lang w:val="en-GB"/>
        </w:rPr>
        <w:footnoteReference w:id="79"/>
      </w:r>
    </w:p>
    <w:p w14:paraId="1E86019A" w14:textId="77777777" w:rsidR="00661BB0" w:rsidRPr="00B70D50" w:rsidRDefault="00661BB0" w:rsidP="0008161E">
      <w:pPr>
        <w:bidi w:val="0"/>
        <w:spacing w:after="160" w:line="300" w:lineRule="exact"/>
        <w:ind w:right="51"/>
        <w:jc w:val="center"/>
        <w:rPr>
          <w:rFonts w:asciiTheme="majorBidi" w:eastAsiaTheme="minorHAnsi" w:hAnsiTheme="majorBidi" w:cstheme="majorBidi"/>
          <w:b/>
          <w:bCs/>
          <w:sz w:val="28"/>
          <w:szCs w:val="28"/>
          <w:lang w:val="en-GB"/>
        </w:rPr>
      </w:pPr>
    </w:p>
    <w:p w14:paraId="009F0C62" w14:textId="77777777" w:rsidR="0008161E" w:rsidRPr="00B70D50" w:rsidRDefault="0008161E" w:rsidP="0008161E">
      <w:pPr>
        <w:bidi w:val="0"/>
        <w:spacing w:after="160" w:line="300" w:lineRule="exact"/>
        <w:ind w:right="51"/>
        <w:jc w:val="center"/>
        <w:rPr>
          <w:rFonts w:asciiTheme="majorBidi" w:eastAsiaTheme="minorHAnsi" w:hAnsiTheme="majorBidi" w:cstheme="majorBidi"/>
          <w:b/>
          <w:bCs/>
          <w:sz w:val="28"/>
          <w:szCs w:val="28"/>
          <w:lang w:val="en-GB"/>
        </w:rPr>
      </w:pPr>
    </w:p>
    <w:p w14:paraId="6C774640" w14:textId="410AA1C0" w:rsidR="00661BB0" w:rsidRPr="00B70D50" w:rsidRDefault="00706286" w:rsidP="0008161E">
      <w:pPr>
        <w:pStyle w:val="ListParagraph"/>
        <w:numPr>
          <w:ilvl w:val="0"/>
          <w:numId w:val="38"/>
        </w:numPr>
        <w:bidi w:val="0"/>
        <w:spacing w:after="0" w:line="300" w:lineRule="exact"/>
        <w:ind w:left="0" w:right="49" w:hanging="398"/>
        <w:contextualSpacing w:val="0"/>
        <w:jc w:val="both"/>
        <w:rPr>
          <w:rFonts w:asciiTheme="majorBidi" w:eastAsiaTheme="minorHAnsi" w:hAnsiTheme="majorBidi" w:cstheme="majorBidi"/>
          <w:b/>
          <w:bCs/>
          <w:sz w:val="28"/>
          <w:szCs w:val="28"/>
          <w:lang w:val="en-GB"/>
        </w:rPr>
      </w:pPr>
      <w:r w:rsidRPr="00B70D50">
        <w:rPr>
          <w:rFonts w:asciiTheme="majorBidi" w:eastAsiaTheme="minorHAnsi" w:hAnsiTheme="majorBidi" w:cstheme="majorBidi"/>
          <w:b/>
          <w:bCs/>
          <w:sz w:val="28"/>
          <w:szCs w:val="28"/>
          <w:lang w:val="en-GB"/>
        </w:rPr>
        <w:t>Explanation</w:t>
      </w:r>
      <w:r w:rsidR="00661BB0" w:rsidRPr="00B70D50">
        <w:rPr>
          <w:rFonts w:asciiTheme="majorBidi" w:eastAsiaTheme="minorHAnsi" w:hAnsiTheme="majorBidi" w:cstheme="majorBidi"/>
          <w:b/>
          <w:bCs/>
          <w:sz w:val="28"/>
          <w:szCs w:val="28"/>
          <w:lang w:val="en-GB"/>
        </w:rPr>
        <w:t xml:space="preserve"> of</w:t>
      </w:r>
      <w:r w:rsidRPr="00B70D50">
        <w:rPr>
          <w:rFonts w:asciiTheme="majorBidi" w:eastAsiaTheme="minorHAnsi" w:hAnsiTheme="majorBidi" w:cstheme="majorBidi"/>
          <w:b/>
          <w:bCs/>
          <w:sz w:val="28"/>
          <w:szCs w:val="28"/>
          <w:lang w:val="en-GB"/>
        </w:rPr>
        <w:t xml:space="preserve"> Position </w:t>
      </w:r>
      <w:r w:rsidR="00661BB0" w:rsidRPr="00B70D50">
        <w:rPr>
          <w:rFonts w:asciiTheme="majorBidi" w:eastAsiaTheme="minorHAnsi" w:hAnsiTheme="majorBidi" w:cstheme="majorBidi"/>
          <w:b/>
          <w:bCs/>
          <w:sz w:val="28"/>
          <w:szCs w:val="28"/>
          <w:lang w:val="en-GB"/>
        </w:rPr>
        <w:t xml:space="preserve">on </w:t>
      </w:r>
      <w:r w:rsidRPr="00B70D50">
        <w:rPr>
          <w:rFonts w:asciiTheme="majorBidi" w:eastAsiaTheme="minorHAnsi" w:hAnsiTheme="majorBidi" w:cstheme="majorBidi"/>
          <w:b/>
          <w:bCs/>
          <w:sz w:val="28"/>
          <w:szCs w:val="28"/>
          <w:lang w:val="en-GB"/>
        </w:rPr>
        <w:t>Partially Accepted Recommendations</w:t>
      </w:r>
    </w:p>
    <w:p w14:paraId="2935841A" w14:textId="77777777" w:rsidR="006403B4" w:rsidRPr="00B70D50" w:rsidRDefault="006403B4" w:rsidP="0008161E">
      <w:pPr>
        <w:bidi w:val="0"/>
        <w:spacing w:after="0" w:line="300" w:lineRule="exact"/>
        <w:ind w:right="49"/>
        <w:jc w:val="center"/>
        <w:rPr>
          <w:rFonts w:asciiTheme="majorBidi" w:eastAsiaTheme="minorHAnsi" w:hAnsiTheme="majorBidi" w:cstheme="majorBidi"/>
          <w:b/>
          <w:bCs/>
          <w:sz w:val="28"/>
          <w:szCs w:val="28"/>
          <w:lang w:val="en-GB"/>
        </w:rPr>
      </w:pPr>
    </w:p>
    <w:p w14:paraId="3D5938C0" w14:textId="77777777"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4:</w:t>
      </w:r>
    </w:p>
    <w:p w14:paraId="22E2EF6D"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Ensure that detainees can have access to medical care, their lawyers and their relatives.</w:t>
      </w:r>
    </w:p>
    <w:p w14:paraId="7407F363"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7707DB9F" w14:textId="77777777"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5:</w:t>
      </w:r>
    </w:p>
    <w:p w14:paraId="0381575B"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Cooperate with the Special Rapporteur on torture and other cruel, inhuman or degrading treatment or punishment.</w:t>
      </w:r>
    </w:p>
    <w:p w14:paraId="7011035A"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347C4FDB" w14:textId="77777777" w:rsidR="00382F8A" w:rsidRPr="00B70D50" w:rsidRDefault="00382F8A" w:rsidP="00382F8A">
      <w:pPr>
        <w:bidi w:val="0"/>
        <w:spacing w:after="0" w:line="300" w:lineRule="exact"/>
        <w:ind w:right="49"/>
        <w:contextualSpacing/>
        <w:jc w:val="both"/>
        <w:rPr>
          <w:rFonts w:asciiTheme="majorBidi" w:eastAsiaTheme="minorHAnsi" w:hAnsiTheme="majorBidi" w:cstheme="majorBidi"/>
          <w:sz w:val="24"/>
          <w:szCs w:val="24"/>
          <w:lang w:val="en-GB"/>
        </w:rPr>
      </w:pPr>
    </w:p>
    <w:p w14:paraId="1400E373" w14:textId="77777777"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lastRenderedPageBreak/>
        <w:t>Recommendation No. 11:</w:t>
      </w:r>
    </w:p>
    <w:p w14:paraId="01227EC2"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Ensure that competent authorities have the right to visit places of detention unexpectedly.</w:t>
      </w:r>
    </w:p>
    <w:p w14:paraId="57BA88CF"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236592FF" w14:textId="77777777"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20:</w:t>
      </w:r>
    </w:p>
    <w:p w14:paraId="0AC51529"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Criminalize all forms of violence against women.</w:t>
      </w:r>
    </w:p>
    <w:p w14:paraId="2A1F4371"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45C980AD" w14:textId="6F9DB1E6"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23:</w:t>
      </w:r>
      <w:r w:rsidR="00B63638" w:rsidRPr="00B70D50">
        <w:rPr>
          <w:rStyle w:val="FootnoteReference"/>
          <w:rFonts w:asciiTheme="majorBidi" w:eastAsiaTheme="minorHAnsi" w:hAnsiTheme="majorBidi" w:cstheme="majorBidi"/>
          <w:b/>
          <w:bCs/>
          <w:sz w:val="24"/>
          <w:szCs w:val="24"/>
          <w:lang w:val="en-GB"/>
        </w:rPr>
        <w:footnoteReference w:id="80"/>
      </w:r>
    </w:p>
    <w:p w14:paraId="5E5A4693" w14:textId="77777777" w:rsidR="00661BB0" w:rsidRPr="00B70D50" w:rsidRDefault="00661BB0" w:rsidP="0008161E">
      <w:pPr>
        <w:bidi w:val="0"/>
        <w:spacing w:after="0" w:line="300" w:lineRule="exact"/>
        <w:ind w:right="49"/>
        <w:contextualSpacing/>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Consider extending a standing invitation to all special procedure mandate holders.</w:t>
      </w:r>
    </w:p>
    <w:p w14:paraId="0C6B2284" w14:textId="77777777" w:rsidR="00B63638" w:rsidRPr="00B70D50" w:rsidRDefault="00B63638" w:rsidP="0008161E">
      <w:pPr>
        <w:bidi w:val="0"/>
        <w:spacing w:after="0" w:line="300" w:lineRule="exact"/>
        <w:ind w:right="49"/>
        <w:contextualSpacing/>
        <w:rPr>
          <w:rFonts w:asciiTheme="majorBidi" w:eastAsiaTheme="minorHAnsi" w:hAnsiTheme="majorBidi" w:cstheme="majorBidi"/>
          <w:sz w:val="24"/>
          <w:szCs w:val="24"/>
          <w:lang w:val="en-GB"/>
        </w:rPr>
      </w:pPr>
    </w:p>
    <w:p w14:paraId="48524FC4" w14:textId="254CCFB1"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62</w:t>
      </w:r>
      <w:r w:rsidR="00B63638" w:rsidRPr="00B70D50">
        <w:rPr>
          <w:rFonts w:asciiTheme="majorBidi" w:eastAsiaTheme="minorHAnsi" w:hAnsiTheme="majorBidi" w:cstheme="majorBidi"/>
          <w:b/>
          <w:bCs/>
          <w:sz w:val="24"/>
          <w:szCs w:val="24"/>
          <w:u w:val="single"/>
          <w:lang w:val="en-GB"/>
        </w:rPr>
        <w:t>:</w:t>
      </w:r>
      <w:r w:rsidR="00EB3169" w:rsidRPr="00B70D50">
        <w:rPr>
          <w:rStyle w:val="FootnoteReference"/>
          <w:rFonts w:asciiTheme="majorBidi" w:eastAsiaTheme="minorHAnsi" w:hAnsiTheme="majorBidi" w:cstheme="majorBidi"/>
          <w:b/>
          <w:bCs/>
          <w:sz w:val="24"/>
          <w:szCs w:val="24"/>
          <w:lang w:val="en-GB"/>
        </w:rPr>
        <w:footnoteReference w:id="81"/>
      </w:r>
    </w:p>
    <w:p w14:paraId="18CAEE4B" w14:textId="77777777" w:rsidR="00661BB0" w:rsidRPr="00B70D50" w:rsidRDefault="00661BB0" w:rsidP="0008161E">
      <w:pPr>
        <w:bidi w:val="0"/>
        <w:spacing w:after="0" w:line="300" w:lineRule="exact"/>
        <w:ind w:right="49"/>
        <w:contextualSpacing/>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Take steps to protect the rights of individuals and ensure that they are not subject to discriminatory arrest or prosecution.</w:t>
      </w:r>
    </w:p>
    <w:p w14:paraId="0517DAFA" w14:textId="77777777" w:rsidR="00B63638" w:rsidRPr="00B70D50" w:rsidRDefault="00B63638" w:rsidP="0008161E">
      <w:pPr>
        <w:bidi w:val="0"/>
        <w:spacing w:after="0" w:line="300" w:lineRule="exact"/>
        <w:ind w:right="49"/>
        <w:contextualSpacing/>
        <w:rPr>
          <w:rFonts w:asciiTheme="majorBidi" w:eastAsiaTheme="minorHAnsi" w:hAnsiTheme="majorBidi" w:cstheme="majorBidi"/>
          <w:sz w:val="24"/>
          <w:szCs w:val="24"/>
          <w:lang w:val="en-GB"/>
        </w:rPr>
      </w:pPr>
    </w:p>
    <w:p w14:paraId="3C246FCA" w14:textId="77777777"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73:</w:t>
      </w:r>
    </w:p>
    <w:p w14:paraId="5CE1693B" w14:textId="77777777" w:rsidR="00661BB0" w:rsidRPr="00B70D50" w:rsidRDefault="00661BB0" w:rsidP="0008161E">
      <w:pPr>
        <w:bidi w:val="0"/>
        <w:spacing w:after="0" w:line="300" w:lineRule="exact"/>
        <w:ind w:right="49"/>
        <w:contextualSpacing/>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Consider ratifying the Optional Protocol to the Convention against Torture.</w:t>
      </w:r>
    </w:p>
    <w:p w14:paraId="7F38650F" w14:textId="77777777" w:rsidR="00B63638" w:rsidRPr="00B70D50" w:rsidRDefault="00B63638" w:rsidP="0008161E">
      <w:pPr>
        <w:bidi w:val="0"/>
        <w:spacing w:after="0" w:line="300" w:lineRule="exact"/>
        <w:ind w:right="49"/>
        <w:contextualSpacing/>
        <w:rPr>
          <w:rFonts w:asciiTheme="majorBidi" w:eastAsiaTheme="minorHAnsi" w:hAnsiTheme="majorBidi" w:cstheme="majorBidi"/>
          <w:sz w:val="24"/>
          <w:szCs w:val="24"/>
          <w:lang w:val="en-GB"/>
        </w:rPr>
      </w:pPr>
    </w:p>
    <w:p w14:paraId="4E8ED5E6" w14:textId="3A77BAAA"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79</w:t>
      </w:r>
      <w:r w:rsidR="00B63638" w:rsidRPr="00B70D50">
        <w:rPr>
          <w:rFonts w:asciiTheme="majorBidi" w:eastAsiaTheme="minorHAnsi" w:hAnsiTheme="majorBidi" w:cstheme="majorBidi"/>
          <w:b/>
          <w:bCs/>
          <w:sz w:val="24"/>
          <w:szCs w:val="24"/>
          <w:u w:val="single"/>
          <w:lang w:val="en-GB"/>
        </w:rPr>
        <w:t>:</w:t>
      </w:r>
      <w:r w:rsidR="00317909" w:rsidRPr="00B70D50">
        <w:rPr>
          <w:rStyle w:val="FootnoteReference"/>
          <w:rFonts w:asciiTheme="majorBidi" w:eastAsiaTheme="minorHAnsi" w:hAnsiTheme="majorBidi" w:cstheme="majorBidi"/>
          <w:b/>
          <w:bCs/>
          <w:sz w:val="24"/>
          <w:szCs w:val="24"/>
          <w:lang w:val="en-GB"/>
        </w:rPr>
        <w:footnoteReference w:id="82"/>
      </w:r>
    </w:p>
    <w:p w14:paraId="58B0ADBF"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Conduct investigations, in accordance with international standards, into excessive violence committed by security forces during demonstrations and to bring those responsible to justice.</w:t>
      </w:r>
    </w:p>
    <w:p w14:paraId="3189F227"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0D066663" w14:textId="77777777"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lastRenderedPageBreak/>
        <w:t>Recommendation No. 96:</w:t>
      </w:r>
    </w:p>
    <w:p w14:paraId="499289F4"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Guarantee fair trial, particularly for those accused of crimes punishable by death.</w:t>
      </w:r>
    </w:p>
    <w:p w14:paraId="141B85D5"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15C33301" w14:textId="3850ABCD"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116</w:t>
      </w:r>
      <w:r w:rsidR="00B63638" w:rsidRPr="00B70D50">
        <w:rPr>
          <w:rFonts w:asciiTheme="majorBidi" w:eastAsiaTheme="minorHAnsi" w:hAnsiTheme="majorBidi" w:cstheme="majorBidi"/>
          <w:b/>
          <w:bCs/>
          <w:sz w:val="24"/>
          <w:szCs w:val="24"/>
          <w:u w:val="single"/>
          <w:lang w:val="en-GB"/>
        </w:rPr>
        <w:t>:</w:t>
      </w:r>
      <w:r w:rsidR="000862A0" w:rsidRPr="00B70D50">
        <w:rPr>
          <w:rStyle w:val="FootnoteReference"/>
          <w:rFonts w:asciiTheme="majorBidi" w:eastAsiaTheme="minorHAnsi" w:hAnsiTheme="majorBidi" w:cstheme="majorBidi"/>
          <w:b/>
          <w:bCs/>
          <w:sz w:val="24"/>
          <w:szCs w:val="24"/>
          <w:lang w:val="en-GB"/>
        </w:rPr>
        <w:footnoteReference w:id="83"/>
      </w:r>
    </w:p>
    <w:p w14:paraId="7C886D46"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Ensure that no person who was a minor at the time of the crime is sentenced to death.</w:t>
      </w:r>
    </w:p>
    <w:p w14:paraId="7EE9F0AD"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18D51450" w14:textId="4B6D8466"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128</w:t>
      </w:r>
      <w:r w:rsidR="00B63638" w:rsidRPr="00B70D50">
        <w:rPr>
          <w:rFonts w:asciiTheme="majorBidi" w:eastAsiaTheme="minorHAnsi" w:hAnsiTheme="majorBidi" w:cstheme="majorBidi"/>
          <w:b/>
          <w:bCs/>
          <w:sz w:val="24"/>
          <w:szCs w:val="24"/>
          <w:u w:val="single"/>
          <w:lang w:val="en-GB"/>
        </w:rPr>
        <w:t>:</w:t>
      </w:r>
      <w:r w:rsidR="00C00C93" w:rsidRPr="00B70D50">
        <w:rPr>
          <w:rStyle w:val="FootnoteReference"/>
          <w:rFonts w:asciiTheme="majorBidi" w:eastAsiaTheme="minorHAnsi" w:hAnsiTheme="majorBidi" w:cstheme="majorBidi"/>
          <w:b/>
          <w:bCs/>
          <w:sz w:val="24"/>
          <w:szCs w:val="24"/>
          <w:lang w:val="en-GB"/>
        </w:rPr>
        <w:footnoteReference w:id="84"/>
      </w:r>
    </w:p>
    <w:p w14:paraId="4178FA88"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Ensure fair trial guarantees for those remaining in detention.</w:t>
      </w:r>
    </w:p>
    <w:p w14:paraId="4A7A0EB6"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59301975" w14:textId="31F53494"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142</w:t>
      </w:r>
      <w:r w:rsidR="00B63638" w:rsidRPr="00B70D50">
        <w:rPr>
          <w:rFonts w:asciiTheme="majorBidi" w:eastAsiaTheme="minorHAnsi" w:hAnsiTheme="majorBidi" w:cstheme="majorBidi"/>
          <w:b/>
          <w:bCs/>
          <w:sz w:val="24"/>
          <w:szCs w:val="24"/>
          <w:u w:val="single"/>
          <w:lang w:val="en-GB"/>
        </w:rPr>
        <w:t>:</w:t>
      </w:r>
      <w:r w:rsidR="003F7743" w:rsidRPr="00B70D50">
        <w:rPr>
          <w:rStyle w:val="FootnoteReference"/>
          <w:rFonts w:asciiTheme="majorBidi" w:eastAsiaTheme="minorHAnsi" w:hAnsiTheme="majorBidi" w:cstheme="majorBidi"/>
          <w:b/>
          <w:bCs/>
          <w:sz w:val="24"/>
          <w:szCs w:val="24"/>
          <w:lang w:val="en-GB"/>
        </w:rPr>
        <w:footnoteReference w:id="85"/>
      </w:r>
    </w:p>
    <w:p w14:paraId="254D867B"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Guarantee the right to a fair trial.</w:t>
      </w:r>
    </w:p>
    <w:p w14:paraId="4793271F"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2A2CE285" w14:textId="35925956"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146</w:t>
      </w:r>
      <w:r w:rsidR="00B63638" w:rsidRPr="00B70D50">
        <w:rPr>
          <w:rFonts w:asciiTheme="majorBidi" w:eastAsiaTheme="minorHAnsi" w:hAnsiTheme="majorBidi" w:cstheme="majorBidi"/>
          <w:b/>
          <w:bCs/>
          <w:sz w:val="24"/>
          <w:szCs w:val="24"/>
          <w:u w:val="single"/>
          <w:lang w:val="en-GB"/>
        </w:rPr>
        <w:t>:</w:t>
      </w:r>
      <w:r w:rsidR="008A5C3C" w:rsidRPr="00B70D50">
        <w:rPr>
          <w:rStyle w:val="FootnoteReference"/>
          <w:rFonts w:asciiTheme="majorBidi" w:eastAsiaTheme="minorHAnsi" w:hAnsiTheme="majorBidi" w:cstheme="majorBidi"/>
          <w:b/>
          <w:bCs/>
          <w:sz w:val="24"/>
          <w:szCs w:val="24"/>
          <w:lang w:val="en-GB"/>
        </w:rPr>
        <w:footnoteReference w:id="86"/>
      </w:r>
    </w:p>
    <w:p w14:paraId="16FAC6E2" w14:textId="0DAE62C8"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Ensure that pre</w:t>
      </w:r>
      <w:r w:rsidR="00005BBB" w:rsidRPr="00B70D50">
        <w:rPr>
          <w:rFonts w:asciiTheme="majorBidi" w:eastAsiaTheme="minorHAnsi" w:hAnsiTheme="majorBidi" w:cstheme="majorBidi"/>
          <w:sz w:val="24"/>
          <w:szCs w:val="24"/>
          <w:lang w:val="en-GB"/>
        </w:rPr>
        <w:t>-</w:t>
      </w:r>
      <w:r w:rsidRPr="00B70D50">
        <w:rPr>
          <w:rFonts w:asciiTheme="majorBidi" w:eastAsiaTheme="minorHAnsi" w:hAnsiTheme="majorBidi" w:cstheme="majorBidi"/>
          <w:sz w:val="24"/>
          <w:szCs w:val="24"/>
          <w:lang w:val="en-GB"/>
        </w:rPr>
        <w:t>trial detention and</w:t>
      </w:r>
      <w:r w:rsidRPr="00B70D50">
        <w:rPr>
          <w:rFonts w:asciiTheme="majorBidi" w:eastAsiaTheme="minorHAnsi" w:hAnsiTheme="majorBidi" w:cstheme="majorBidi"/>
          <w:b/>
          <w:bCs/>
          <w:sz w:val="24"/>
          <w:szCs w:val="24"/>
          <w:lang w:val="en-GB"/>
        </w:rPr>
        <w:t xml:space="preserve"> </w:t>
      </w:r>
      <w:r w:rsidRPr="00B70D50">
        <w:rPr>
          <w:rFonts w:asciiTheme="majorBidi" w:eastAsiaTheme="minorHAnsi" w:hAnsiTheme="majorBidi" w:cstheme="majorBidi"/>
          <w:sz w:val="24"/>
          <w:szCs w:val="24"/>
          <w:lang w:val="en-GB"/>
        </w:rPr>
        <w:t>all court proceedings fully comply with article 14 of International Covenant on Civil and Political Rights.</w:t>
      </w:r>
    </w:p>
    <w:p w14:paraId="7350A348"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6038DC93" w14:textId="77777777"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148:</w:t>
      </w:r>
    </w:p>
    <w:p w14:paraId="0072CF0B" w14:textId="3D257245"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Guarantee the right to a fair trial in accordance with international obligations.</w:t>
      </w:r>
    </w:p>
    <w:p w14:paraId="7794E4E2"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18247547" w14:textId="7A2E6101" w:rsidR="0027241A" w:rsidRPr="00B70D50" w:rsidRDefault="0027241A"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163</w:t>
      </w:r>
      <w:r w:rsidR="00B63638" w:rsidRPr="00B70D50">
        <w:rPr>
          <w:rFonts w:asciiTheme="majorBidi" w:eastAsiaTheme="minorHAnsi" w:hAnsiTheme="majorBidi" w:cstheme="majorBidi"/>
          <w:b/>
          <w:bCs/>
          <w:sz w:val="24"/>
          <w:szCs w:val="24"/>
          <w:u w:val="single"/>
          <w:lang w:val="en-GB"/>
        </w:rPr>
        <w:t>:</w:t>
      </w:r>
      <w:r w:rsidR="009737F6" w:rsidRPr="00B70D50">
        <w:rPr>
          <w:rStyle w:val="FootnoteReference"/>
          <w:rFonts w:asciiTheme="majorBidi" w:eastAsiaTheme="minorHAnsi" w:hAnsiTheme="majorBidi" w:cstheme="majorBidi"/>
          <w:b/>
          <w:bCs/>
          <w:sz w:val="24"/>
          <w:szCs w:val="24"/>
          <w:lang w:val="en-GB"/>
        </w:rPr>
        <w:footnoteReference w:id="87"/>
      </w:r>
    </w:p>
    <w:p w14:paraId="609D9330" w14:textId="51247B3A" w:rsidR="0027241A" w:rsidRPr="00B70D50" w:rsidRDefault="0027241A"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Abolish or amend all laws and policies which limit the activities carried out by civil society.</w:t>
      </w:r>
    </w:p>
    <w:p w14:paraId="261DA950" w14:textId="77777777" w:rsidR="00B63638" w:rsidRPr="00B70D50" w:rsidRDefault="00B63638" w:rsidP="0008161E">
      <w:pPr>
        <w:bidi w:val="0"/>
        <w:spacing w:after="0" w:line="300" w:lineRule="exact"/>
        <w:ind w:right="49"/>
        <w:contextualSpacing/>
        <w:rPr>
          <w:rFonts w:asciiTheme="majorBidi" w:eastAsiaTheme="minorHAnsi" w:hAnsiTheme="majorBidi" w:cstheme="majorBidi"/>
          <w:b/>
          <w:bCs/>
          <w:sz w:val="24"/>
          <w:szCs w:val="24"/>
          <w:lang w:val="en-GB"/>
        </w:rPr>
      </w:pPr>
    </w:p>
    <w:p w14:paraId="4F7D9217" w14:textId="77777777"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166:</w:t>
      </w:r>
    </w:p>
    <w:p w14:paraId="1F5A65EF"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Respect the right to access information.</w:t>
      </w:r>
    </w:p>
    <w:p w14:paraId="5AF53B9A"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6A053E24" w14:textId="6A69E7E4"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175</w:t>
      </w:r>
      <w:r w:rsidR="00B63638" w:rsidRPr="00B70D50">
        <w:rPr>
          <w:rFonts w:asciiTheme="majorBidi" w:eastAsiaTheme="minorHAnsi" w:hAnsiTheme="majorBidi" w:cstheme="majorBidi"/>
          <w:b/>
          <w:bCs/>
          <w:sz w:val="24"/>
          <w:szCs w:val="24"/>
          <w:u w:val="single"/>
          <w:lang w:val="en-GB"/>
        </w:rPr>
        <w:t>:</w:t>
      </w:r>
      <w:r w:rsidR="00E1667D" w:rsidRPr="00B70D50">
        <w:rPr>
          <w:rStyle w:val="FootnoteReference"/>
          <w:rFonts w:asciiTheme="majorBidi" w:eastAsiaTheme="minorHAnsi" w:hAnsiTheme="majorBidi" w:cstheme="majorBidi"/>
          <w:b/>
          <w:bCs/>
          <w:sz w:val="24"/>
          <w:szCs w:val="24"/>
          <w:lang w:val="en-GB"/>
        </w:rPr>
        <w:footnoteReference w:id="88"/>
      </w:r>
    </w:p>
    <w:p w14:paraId="662DCD62"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Commit to supporting a free and active civil society.</w:t>
      </w:r>
    </w:p>
    <w:p w14:paraId="0CFC5F1C"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062D0E6F" w14:textId="0E2D8625"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193</w:t>
      </w:r>
      <w:r w:rsidR="00B63638" w:rsidRPr="00B70D50">
        <w:rPr>
          <w:rFonts w:asciiTheme="majorBidi" w:eastAsiaTheme="minorHAnsi" w:hAnsiTheme="majorBidi" w:cstheme="majorBidi"/>
          <w:b/>
          <w:bCs/>
          <w:sz w:val="24"/>
          <w:szCs w:val="24"/>
          <w:u w:val="single"/>
          <w:lang w:val="en-GB"/>
        </w:rPr>
        <w:t>:</w:t>
      </w:r>
      <w:r w:rsidR="00E1667D" w:rsidRPr="00B70D50">
        <w:rPr>
          <w:rStyle w:val="FootnoteReference"/>
          <w:rFonts w:asciiTheme="majorBidi" w:eastAsiaTheme="minorHAnsi" w:hAnsiTheme="majorBidi" w:cstheme="majorBidi"/>
          <w:b/>
          <w:bCs/>
          <w:sz w:val="24"/>
          <w:szCs w:val="24"/>
          <w:lang w:val="en-GB"/>
        </w:rPr>
        <w:footnoteReference w:id="89"/>
      </w:r>
    </w:p>
    <w:p w14:paraId="098F6609"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Foster an environment conducive to an active civil society.</w:t>
      </w:r>
    </w:p>
    <w:p w14:paraId="48D978AF"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5D4A131A" w14:textId="6C1FBF2A"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197:</w:t>
      </w:r>
      <w:r w:rsidR="00217613" w:rsidRPr="00B70D50">
        <w:rPr>
          <w:rStyle w:val="FootnoteReference"/>
          <w:rFonts w:asciiTheme="majorBidi" w:eastAsiaTheme="minorHAnsi" w:hAnsiTheme="majorBidi" w:cstheme="majorBidi"/>
          <w:b/>
          <w:bCs/>
          <w:sz w:val="24"/>
          <w:szCs w:val="24"/>
          <w:lang w:val="en-GB"/>
        </w:rPr>
        <w:footnoteReference w:id="90"/>
      </w:r>
    </w:p>
    <w:p w14:paraId="7DCBB03F"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Refrain from all forms of reprisal against human rights defenders.</w:t>
      </w:r>
    </w:p>
    <w:p w14:paraId="59F79E4D"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0A355EFF" w14:textId="60BEA1DD"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277</w:t>
      </w:r>
      <w:r w:rsidR="00B63638" w:rsidRPr="00B70D50">
        <w:rPr>
          <w:rFonts w:asciiTheme="majorBidi" w:eastAsiaTheme="minorHAnsi" w:hAnsiTheme="majorBidi" w:cstheme="majorBidi"/>
          <w:b/>
          <w:bCs/>
          <w:sz w:val="24"/>
          <w:szCs w:val="24"/>
          <w:u w:val="single"/>
          <w:lang w:val="en-GB"/>
        </w:rPr>
        <w:t>:</w:t>
      </w:r>
      <w:r w:rsidR="00FD638A" w:rsidRPr="00B70D50">
        <w:rPr>
          <w:rStyle w:val="FootnoteReference"/>
          <w:rFonts w:asciiTheme="majorBidi" w:eastAsiaTheme="minorHAnsi" w:hAnsiTheme="majorBidi" w:cstheme="majorBidi"/>
          <w:b/>
          <w:bCs/>
          <w:sz w:val="24"/>
          <w:szCs w:val="24"/>
          <w:lang w:val="en-GB"/>
        </w:rPr>
        <w:footnoteReference w:id="91"/>
      </w:r>
    </w:p>
    <w:p w14:paraId="3C8A04B9" w14:textId="7F9852DB" w:rsidR="00661BB0" w:rsidRPr="00B70D50" w:rsidRDefault="00661BB0" w:rsidP="0008161E">
      <w:pPr>
        <w:bidi w:val="0"/>
        <w:spacing w:after="0" w:line="300" w:lineRule="exact"/>
        <w:ind w:right="49"/>
        <w:contextualSpacing/>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Ensure adequate access to education.</w:t>
      </w:r>
    </w:p>
    <w:p w14:paraId="0B80C9D1" w14:textId="77777777" w:rsidR="00B63638" w:rsidRPr="00B70D50" w:rsidRDefault="00B63638" w:rsidP="0008161E">
      <w:pPr>
        <w:bidi w:val="0"/>
        <w:spacing w:after="0" w:line="300" w:lineRule="exact"/>
        <w:ind w:right="49"/>
        <w:contextualSpacing/>
        <w:rPr>
          <w:rFonts w:asciiTheme="majorBidi" w:eastAsiaTheme="minorHAnsi" w:hAnsiTheme="majorBidi" w:cstheme="majorBidi"/>
          <w:sz w:val="24"/>
          <w:szCs w:val="24"/>
          <w:lang w:val="en-GB"/>
        </w:rPr>
      </w:pPr>
    </w:p>
    <w:p w14:paraId="23E4B91A" w14:textId="238AAB58" w:rsidR="0027241A" w:rsidRPr="00B70D50" w:rsidRDefault="0027241A"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279</w:t>
      </w:r>
      <w:r w:rsidR="00B63638" w:rsidRPr="00B70D50">
        <w:rPr>
          <w:rFonts w:asciiTheme="majorBidi" w:eastAsiaTheme="minorHAnsi" w:hAnsiTheme="majorBidi" w:cstheme="majorBidi"/>
          <w:b/>
          <w:bCs/>
          <w:sz w:val="24"/>
          <w:szCs w:val="24"/>
          <w:u w:val="single"/>
          <w:lang w:val="en-GB"/>
        </w:rPr>
        <w:t>:</w:t>
      </w:r>
      <w:r w:rsidR="005422F5" w:rsidRPr="00B70D50">
        <w:rPr>
          <w:rStyle w:val="FootnoteReference"/>
          <w:rFonts w:asciiTheme="majorBidi" w:eastAsiaTheme="minorHAnsi" w:hAnsiTheme="majorBidi" w:cstheme="majorBidi"/>
          <w:b/>
          <w:bCs/>
          <w:sz w:val="24"/>
          <w:szCs w:val="24"/>
          <w:lang w:val="en-GB"/>
        </w:rPr>
        <w:footnoteReference w:id="92"/>
      </w:r>
    </w:p>
    <w:p w14:paraId="68F4BD43" w14:textId="3D6AD4D9" w:rsidR="00661BB0" w:rsidRDefault="0027241A" w:rsidP="0008161E">
      <w:pPr>
        <w:bidi w:val="0"/>
        <w:spacing w:after="0" w:line="300" w:lineRule="exact"/>
        <w:ind w:right="49"/>
        <w:contextualSpacing/>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Continue to increase the number of educational opportunities for women and girls, the elderly</w:t>
      </w:r>
      <w:r w:rsidR="00502A8A" w:rsidRPr="00B70D50">
        <w:rPr>
          <w:rFonts w:asciiTheme="majorBidi" w:eastAsiaTheme="minorHAnsi" w:hAnsiTheme="majorBidi" w:cstheme="majorBidi"/>
          <w:sz w:val="24"/>
          <w:szCs w:val="24"/>
          <w:lang w:val="en-GB"/>
        </w:rPr>
        <w:t xml:space="preserve"> and</w:t>
      </w:r>
      <w:r w:rsidRPr="00B70D50">
        <w:rPr>
          <w:rFonts w:asciiTheme="majorBidi" w:eastAsiaTheme="minorHAnsi" w:hAnsiTheme="majorBidi" w:cstheme="majorBidi"/>
          <w:sz w:val="24"/>
          <w:szCs w:val="24"/>
          <w:lang w:val="en-GB"/>
        </w:rPr>
        <w:t xml:space="preserve"> persons with disabilities.</w:t>
      </w:r>
    </w:p>
    <w:p w14:paraId="3D863092" w14:textId="77777777" w:rsidR="000A038C" w:rsidRDefault="000A038C" w:rsidP="000A038C">
      <w:pPr>
        <w:bidi w:val="0"/>
        <w:spacing w:after="0" w:line="300" w:lineRule="exact"/>
        <w:ind w:right="49"/>
        <w:contextualSpacing/>
        <w:rPr>
          <w:rFonts w:asciiTheme="majorBidi" w:eastAsiaTheme="minorHAnsi" w:hAnsiTheme="majorBidi" w:cstheme="majorBidi"/>
          <w:sz w:val="24"/>
          <w:szCs w:val="24"/>
          <w:lang w:val="en-GB"/>
        </w:rPr>
      </w:pPr>
    </w:p>
    <w:p w14:paraId="7D590576" w14:textId="77777777" w:rsidR="000A038C" w:rsidRDefault="000A038C" w:rsidP="000A038C">
      <w:pPr>
        <w:bidi w:val="0"/>
        <w:spacing w:after="0" w:line="300" w:lineRule="exact"/>
        <w:ind w:right="49"/>
        <w:contextualSpacing/>
        <w:rPr>
          <w:rFonts w:asciiTheme="majorBidi" w:eastAsiaTheme="minorHAnsi" w:hAnsiTheme="majorBidi" w:cstheme="majorBidi"/>
          <w:sz w:val="24"/>
          <w:szCs w:val="24"/>
          <w:lang w:val="en-GB"/>
        </w:rPr>
      </w:pPr>
    </w:p>
    <w:p w14:paraId="5B336BC3" w14:textId="77777777" w:rsidR="000A038C" w:rsidRDefault="000A038C" w:rsidP="000A038C">
      <w:pPr>
        <w:bidi w:val="0"/>
        <w:spacing w:after="0" w:line="300" w:lineRule="exact"/>
        <w:ind w:right="49"/>
        <w:contextualSpacing/>
        <w:rPr>
          <w:rFonts w:asciiTheme="majorBidi" w:eastAsiaTheme="minorHAnsi" w:hAnsiTheme="majorBidi" w:cstheme="majorBidi"/>
          <w:sz w:val="24"/>
          <w:szCs w:val="24"/>
          <w:lang w:val="en-GB"/>
        </w:rPr>
      </w:pPr>
    </w:p>
    <w:p w14:paraId="5EBA0742" w14:textId="77777777" w:rsidR="000A038C" w:rsidRPr="00B70D50" w:rsidRDefault="000A038C" w:rsidP="000A038C">
      <w:pPr>
        <w:bidi w:val="0"/>
        <w:spacing w:after="0" w:line="300" w:lineRule="exact"/>
        <w:ind w:right="49"/>
        <w:contextualSpacing/>
        <w:rPr>
          <w:rFonts w:asciiTheme="majorBidi" w:eastAsiaTheme="minorHAnsi" w:hAnsiTheme="majorBidi" w:cstheme="majorBidi"/>
          <w:sz w:val="24"/>
          <w:szCs w:val="24"/>
          <w:lang w:val="en-GB"/>
        </w:rPr>
      </w:pPr>
    </w:p>
    <w:p w14:paraId="100D9559" w14:textId="2C27F51E" w:rsidR="00661BB0" w:rsidRPr="00B70D50" w:rsidRDefault="00661BB0" w:rsidP="000A038C">
      <w:pPr>
        <w:numPr>
          <w:ilvl w:val="0"/>
          <w:numId w:val="43"/>
        </w:numPr>
        <w:bidi w:val="0"/>
        <w:spacing w:after="0" w:line="300" w:lineRule="exact"/>
        <w:ind w:left="0" w:right="51" w:hanging="357"/>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w:t>
      </w:r>
      <w:r w:rsidR="009F1E20" w:rsidRPr="00B70D50">
        <w:rPr>
          <w:rFonts w:asciiTheme="majorBidi" w:eastAsiaTheme="minorHAnsi" w:hAnsiTheme="majorBidi" w:cstheme="majorBidi"/>
          <w:b/>
          <w:bCs/>
          <w:sz w:val="24"/>
          <w:szCs w:val="24"/>
          <w:u w:val="single"/>
          <w:lang w:val="en-GB"/>
        </w:rPr>
        <w:t xml:space="preserve"> No.</w:t>
      </w:r>
      <w:r w:rsidRPr="00B70D50">
        <w:rPr>
          <w:rFonts w:asciiTheme="majorBidi" w:eastAsiaTheme="minorHAnsi" w:hAnsiTheme="majorBidi" w:cstheme="majorBidi"/>
          <w:b/>
          <w:bCs/>
          <w:sz w:val="24"/>
          <w:szCs w:val="24"/>
          <w:u w:val="single"/>
          <w:lang w:val="en-GB"/>
        </w:rPr>
        <w:t xml:space="preserve"> 305</w:t>
      </w:r>
      <w:r w:rsidR="00B63638" w:rsidRPr="00B70D50">
        <w:rPr>
          <w:rFonts w:asciiTheme="majorBidi" w:eastAsiaTheme="minorHAnsi" w:hAnsiTheme="majorBidi" w:cstheme="majorBidi"/>
          <w:b/>
          <w:bCs/>
          <w:sz w:val="24"/>
          <w:szCs w:val="24"/>
          <w:u w:val="single"/>
          <w:lang w:val="en-GB"/>
        </w:rPr>
        <w:t>:</w:t>
      </w:r>
      <w:r w:rsidR="005422F5" w:rsidRPr="00B70D50">
        <w:rPr>
          <w:rStyle w:val="FootnoteReference"/>
          <w:rFonts w:asciiTheme="majorBidi" w:eastAsiaTheme="minorHAnsi" w:hAnsiTheme="majorBidi" w:cstheme="majorBidi"/>
          <w:b/>
          <w:bCs/>
          <w:sz w:val="24"/>
          <w:szCs w:val="24"/>
          <w:lang w:val="en-GB"/>
        </w:rPr>
        <w:footnoteReference w:id="93"/>
      </w:r>
    </w:p>
    <w:p w14:paraId="74274149" w14:textId="77777777" w:rsidR="00661BB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Take decisive actions to eradicate discrimination against women and girls and prevent sexual exploitation and trafficking in persons.</w:t>
      </w:r>
    </w:p>
    <w:p w14:paraId="21B54CA4" w14:textId="77777777" w:rsidR="000A038C" w:rsidRPr="00B70D50" w:rsidRDefault="000A038C" w:rsidP="000A038C">
      <w:pPr>
        <w:bidi w:val="0"/>
        <w:spacing w:after="0" w:line="300" w:lineRule="exact"/>
        <w:ind w:right="49"/>
        <w:contextualSpacing/>
        <w:jc w:val="both"/>
        <w:rPr>
          <w:rFonts w:asciiTheme="majorBidi" w:eastAsiaTheme="minorHAnsi" w:hAnsiTheme="majorBidi" w:cstheme="majorBidi"/>
          <w:sz w:val="24"/>
          <w:szCs w:val="24"/>
          <w:lang w:val="en-GB"/>
        </w:rPr>
      </w:pPr>
    </w:p>
    <w:p w14:paraId="21007213" w14:textId="76B2DCC4"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312</w:t>
      </w:r>
      <w:r w:rsidR="00B63638" w:rsidRPr="00B70D50">
        <w:rPr>
          <w:rFonts w:asciiTheme="majorBidi" w:eastAsiaTheme="minorHAnsi" w:hAnsiTheme="majorBidi" w:cstheme="majorBidi"/>
          <w:b/>
          <w:bCs/>
          <w:sz w:val="24"/>
          <w:szCs w:val="24"/>
          <w:u w:val="single"/>
          <w:lang w:val="en-GB"/>
        </w:rPr>
        <w:t>:</w:t>
      </w:r>
      <w:r w:rsidR="005422F5" w:rsidRPr="00B70D50">
        <w:rPr>
          <w:rStyle w:val="FootnoteReference"/>
          <w:rFonts w:asciiTheme="majorBidi" w:eastAsiaTheme="minorHAnsi" w:hAnsiTheme="majorBidi" w:cstheme="majorBidi"/>
          <w:b/>
          <w:bCs/>
          <w:sz w:val="24"/>
          <w:szCs w:val="24"/>
          <w:lang w:val="en-GB"/>
        </w:rPr>
        <w:footnoteReference w:id="94"/>
      </w:r>
    </w:p>
    <w:p w14:paraId="292513C0"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Review the personal status legislation and the Penal Code in order to further modify or delete articles that discriminate against women.</w:t>
      </w:r>
    </w:p>
    <w:p w14:paraId="15219130"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0E738638" w14:textId="2322CCD0"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326</w:t>
      </w:r>
      <w:r w:rsidR="00B63638" w:rsidRPr="00B70D50">
        <w:rPr>
          <w:rFonts w:asciiTheme="majorBidi" w:eastAsiaTheme="minorHAnsi" w:hAnsiTheme="majorBidi" w:cstheme="majorBidi"/>
          <w:b/>
          <w:bCs/>
          <w:sz w:val="24"/>
          <w:szCs w:val="24"/>
          <w:u w:val="single"/>
          <w:lang w:val="en-GB"/>
        </w:rPr>
        <w:t>:</w:t>
      </w:r>
      <w:r w:rsidR="005422F5" w:rsidRPr="00B70D50">
        <w:rPr>
          <w:rStyle w:val="FootnoteReference"/>
          <w:rFonts w:asciiTheme="majorBidi" w:eastAsiaTheme="minorHAnsi" w:hAnsiTheme="majorBidi" w:cstheme="majorBidi"/>
          <w:b/>
          <w:bCs/>
          <w:sz w:val="24"/>
          <w:szCs w:val="24"/>
          <w:lang w:val="en-GB"/>
        </w:rPr>
        <w:footnoteReference w:id="95"/>
      </w:r>
    </w:p>
    <w:p w14:paraId="00F0C12E"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Put in place programmes for men and boys to increase their knowledge of sexual-based violence against women and girls, seeking to extend such programmes to the whole country.</w:t>
      </w:r>
    </w:p>
    <w:p w14:paraId="43CBACAA"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2F2FA2FB" w14:textId="77D5A280"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327</w:t>
      </w:r>
      <w:r w:rsidR="00B63638" w:rsidRPr="00B70D50">
        <w:rPr>
          <w:rFonts w:asciiTheme="majorBidi" w:eastAsiaTheme="minorHAnsi" w:hAnsiTheme="majorBidi" w:cstheme="majorBidi"/>
          <w:b/>
          <w:bCs/>
          <w:sz w:val="24"/>
          <w:szCs w:val="24"/>
          <w:u w:val="single"/>
          <w:lang w:val="en-GB"/>
        </w:rPr>
        <w:t>:</w:t>
      </w:r>
      <w:r w:rsidR="005422F5" w:rsidRPr="00B70D50">
        <w:rPr>
          <w:rStyle w:val="FootnoteReference"/>
          <w:rFonts w:asciiTheme="majorBidi" w:eastAsiaTheme="minorHAnsi" w:hAnsiTheme="majorBidi" w:cstheme="majorBidi"/>
          <w:b/>
          <w:bCs/>
          <w:sz w:val="24"/>
          <w:szCs w:val="24"/>
          <w:lang w:val="en-GB"/>
        </w:rPr>
        <w:footnoteReference w:id="96"/>
      </w:r>
    </w:p>
    <w:p w14:paraId="518C4389"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Introduce legal provisions to combat rape and other forms of sexual-based violence, in line with international law and standards.</w:t>
      </w:r>
    </w:p>
    <w:p w14:paraId="77ABC182"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0D07C7A3" w14:textId="68F19F59"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330</w:t>
      </w:r>
      <w:r w:rsidR="00B63638" w:rsidRPr="00B70D50">
        <w:rPr>
          <w:rFonts w:asciiTheme="majorBidi" w:eastAsiaTheme="minorHAnsi" w:hAnsiTheme="majorBidi" w:cstheme="majorBidi"/>
          <w:b/>
          <w:bCs/>
          <w:sz w:val="24"/>
          <w:szCs w:val="24"/>
          <w:u w:val="single"/>
          <w:lang w:val="en-GB"/>
        </w:rPr>
        <w:t>:</w:t>
      </w:r>
      <w:r w:rsidR="005422F5" w:rsidRPr="00B70D50">
        <w:rPr>
          <w:rStyle w:val="FootnoteReference"/>
          <w:rFonts w:asciiTheme="majorBidi" w:eastAsiaTheme="minorHAnsi" w:hAnsiTheme="majorBidi" w:cstheme="majorBidi"/>
          <w:b/>
          <w:bCs/>
          <w:sz w:val="24"/>
          <w:szCs w:val="24"/>
          <w:lang w:val="en-GB"/>
        </w:rPr>
        <w:footnoteReference w:id="97"/>
      </w:r>
    </w:p>
    <w:p w14:paraId="7E82605F"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Introduce legal provisions to combat rape and other forms of sexual-based violence, in accordance with international standards.</w:t>
      </w:r>
    </w:p>
    <w:p w14:paraId="132B8A92"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6AB82A80" w14:textId="40EC43DA"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332</w:t>
      </w:r>
      <w:r w:rsidR="00B63638" w:rsidRPr="00B70D50">
        <w:rPr>
          <w:rFonts w:asciiTheme="majorBidi" w:eastAsiaTheme="minorHAnsi" w:hAnsiTheme="majorBidi" w:cstheme="majorBidi"/>
          <w:b/>
          <w:bCs/>
          <w:sz w:val="24"/>
          <w:szCs w:val="24"/>
          <w:u w:val="single"/>
          <w:lang w:val="en-GB"/>
        </w:rPr>
        <w:t>:</w:t>
      </w:r>
      <w:r w:rsidR="005422F5" w:rsidRPr="00B70D50">
        <w:rPr>
          <w:rStyle w:val="FootnoteReference"/>
          <w:rFonts w:asciiTheme="majorBidi" w:eastAsiaTheme="minorHAnsi" w:hAnsiTheme="majorBidi" w:cstheme="majorBidi"/>
          <w:b/>
          <w:bCs/>
          <w:sz w:val="24"/>
          <w:szCs w:val="24"/>
          <w:lang w:val="en-GB"/>
        </w:rPr>
        <w:footnoteReference w:id="98"/>
      </w:r>
    </w:p>
    <w:p w14:paraId="3643526F"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Introduce legal provisions to combat rape and other forms of sexual-based violence, in accordance with international law and standards.</w:t>
      </w:r>
    </w:p>
    <w:p w14:paraId="086FBD90"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4FBE2F4F" w14:textId="22555F89"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340</w:t>
      </w:r>
      <w:r w:rsidR="00B63638" w:rsidRPr="00B70D50">
        <w:rPr>
          <w:rFonts w:asciiTheme="majorBidi" w:eastAsiaTheme="minorHAnsi" w:hAnsiTheme="majorBidi" w:cstheme="majorBidi"/>
          <w:b/>
          <w:bCs/>
          <w:sz w:val="24"/>
          <w:szCs w:val="24"/>
          <w:u w:val="single"/>
          <w:lang w:val="en-GB"/>
        </w:rPr>
        <w:t>:</w:t>
      </w:r>
      <w:r w:rsidR="005422F5" w:rsidRPr="00B70D50">
        <w:rPr>
          <w:rStyle w:val="FootnoteReference"/>
          <w:rFonts w:asciiTheme="majorBidi" w:eastAsiaTheme="minorHAnsi" w:hAnsiTheme="majorBidi" w:cstheme="majorBidi"/>
          <w:b/>
          <w:bCs/>
          <w:sz w:val="24"/>
          <w:szCs w:val="24"/>
          <w:lang w:val="en-GB"/>
        </w:rPr>
        <w:footnoteReference w:id="99"/>
      </w:r>
    </w:p>
    <w:p w14:paraId="4E29D260" w14:textId="77777777" w:rsidR="00661BB0" w:rsidRPr="00B70D50" w:rsidRDefault="00661BB0" w:rsidP="0008161E">
      <w:pPr>
        <w:bidi w:val="0"/>
        <w:spacing w:after="0" w:line="300" w:lineRule="exact"/>
        <w:ind w:right="49"/>
        <w:contextualSpacing/>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Criminalize all forms of sexual violence against women.</w:t>
      </w:r>
    </w:p>
    <w:p w14:paraId="41C7EB78" w14:textId="77777777" w:rsidR="00B63638" w:rsidRPr="00B70D50" w:rsidRDefault="00B63638" w:rsidP="0008161E">
      <w:pPr>
        <w:bidi w:val="0"/>
        <w:spacing w:after="0" w:line="300" w:lineRule="exact"/>
        <w:ind w:right="49"/>
        <w:contextualSpacing/>
        <w:rPr>
          <w:rFonts w:asciiTheme="majorBidi" w:eastAsiaTheme="minorHAnsi" w:hAnsiTheme="majorBidi" w:cstheme="majorBidi"/>
          <w:sz w:val="24"/>
          <w:szCs w:val="24"/>
          <w:lang w:val="en-GB"/>
        </w:rPr>
      </w:pPr>
    </w:p>
    <w:p w14:paraId="35787D33" w14:textId="4537447A"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345</w:t>
      </w:r>
      <w:r w:rsidR="00B63638" w:rsidRPr="00B70D50">
        <w:rPr>
          <w:rFonts w:asciiTheme="majorBidi" w:eastAsiaTheme="minorHAnsi" w:hAnsiTheme="majorBidi" w:cstheme="majorBidi"/>
          <w:b/>
          <w:bCs/>
          <w:sz w:val="24"/>
          <w:szCs w:val="24"/>
          <w:u w:val="single"/>
          <w:lang w:val="en-GB"/>
        </w:rPr>
        <w:t>:</w:t>
      </w:r>
      <w:r w:rsidR="005422F5" w:rsidRPr="00B70D50">
        <w:rPr>
          <w:rStyle w:val="FootnoteReference"/>
          <w:rFonts w:asciiTheme="majorBidi" w:eastAsiaTheme="minorHAnsi" w:hAnsiTheme="majorBidi" w:cstheme="majorBidi"/>
          <w:b/>
          <w:bCs/>
          <w:sz w:val="24"/>
          <w:szCs w:val="24"/>
          <w:lang w:val="en-GB"/>
        </w:rPr>
        <w:footnoteReference w:id="100"/>
      </w:r>
    </w:p>
    <w:p w14:paraId="6A67DC93"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Introduce legal provisions to combat rape and other forms of sexual-based violence, in line with international law and standards.</w:t>
      </w:r>
    </w:p>
    <w:p w14:paraId="2DA1303D" w14:textId="77777777" w:rsidR="00B63638" w:rsidRPr="00B70D50" w:rsidRDefault="00B63638" w:rsidP="0008161E">
      <w:pPr>
        <w:bidi w:val="0"/>
        <w:spacing w:after="0" w:line="300" w:lineRule="exact"/>
        <w:ind w:right="49"/>
        <w:contextualSpacing/>
        <w:jc w:val="both"/>
        <w:rPr>
          <w:rFonts w:asciiTheme="majorBidi" w:eastAsiaTheme="minorHAnsi" w:hAnsiTheme="majorBidi" w:cstheme="majorBidi"/>
          <w:sz w:val="24"/>
          <w:szCs w:val="24"/>
          <w:lang w:val="en-GB"/>
        </w:rPr>
      </w:pPr>
    </w:p>
    <w:p w14:paraId="2D85E572" w14:textId="76209366"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359</w:t>
      </w:r>
      <w:r w:rsidR="00B63638" w:rsidRPr="00B70D50">
        <w:rPr>
          <w:rFonts w:asciiTheme="majorBidi" w:eastAsiaTheme="minorHAnsi" w:hAnsiTheme="majorBidi" w:cstheme="majorBidi"/>
          <w:b/>
          <w:bCs/>
          <w:sz w:val="24"/>
          <w:szCs w:val="24"/>
          <w:u w:val="single"/>
          <w:lang w:val="en-GB"/>
        </w:rPr>
        <w:t>:</w:t>
      </w:r>
      <w:r w:rsidR="005422F5" w:rsidRPr="00B70D50">
        <w:rPr>
          <w:rStyle w:val="FootnoteReference"/>
          <w:rFonts w:asciiTheme="majorBidi" w:eastAsiaTheme="minorHAnsi" w:hAnsiTheme="majorBidi" w:cstheme="majorBidi"/>
          <w:b/>
          <w:bCs/>
          <w:sz w:val="24"/>
          <w:szCs w:val="24"/>
          <w:lang w:val="en-GB"/>
        </w:rPr>
        <w:footnoteReference w:id="101"/>
      </w:r>
    </w:p>
    <w:p w14:paraId="04C00B6D"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Prohibit all corporal punishment of children in all settings.</w:t>
      </w:r>
    </w:p>
    <w:p w14:paraId="1B19638E" w14:textId="77777777" w:rsidR="00AF17AA" w:rsidRPr="00B70D50" w:rsidRDefault="00AF17AA" w:rsidP="00AF17AA">
      <w:pPr>
        <w:bidi w:val="0"/>
        <w:spacing w:after="0" w:line="300" w:lineRule="exact"/>
        <w:ind w:right="49"/>
        <w:contextualSpacing/>
        <w:jc w:val="both"/>
        <w:rPr>
          <w:rFonts w:asciiTheme="majorBidi" w:eastAsiaTheme="minorHAnsi" w:hAnsiTheme="majorBidi" w:cstheme="majorBidi"/>
          <w:sz w:val="24"/>
          <w:szCs w:val="24"/>
          <w:lang w:val="en-GB"/>
        </w:rPr>
      </w:pPr>
    </w:p>
    <w:p w14:paraId="5683133D" w14:textId="2070242C" w:rsidR="00661BB0" w:rsidRPr="00B70D50" w:rsidRDefault="00661BB0" w:rsidP="0008161E">
      <w:pPr>
        <w:numPr>
          <w:ilvl w:val="0"/>
          <w:numId w:val="43"/>
        </w:numPr>
        <w:bidi w:val="0"/>
        <w:spacing w:after="0" w:line="300" w:lineRule="exact"/>
        <w:ind w:left="0" w:right="49"/>
        <w:contextualSpacing/>
        <w:rPr>
          <w:rFonts w:asciiTheme="majorBidi" w:eastAsiaTheme="minorHAnsi" w:hAnsiTheme="majorBidi" w:cstheme="majorBidi"/>
          <w:b/>
          <w:bCs/>
          <w:sz w:val="24"/>
          <w:szCs w:val="24"/>
          <w:u w:val="single"/>
          <w:lang w:val="en-GB"/>
        </w:rPr>
      </w:pPr>
      <w:r w:rsidRPr="00B70D50">
        <w:rPr>
          <w:rFonts w:asciiTheme="majorBidi" w:eastAsiaTheme="minorHAnsi" w:hAnsiTheme="majorBidi" w:cstheme="majorBidi"/>
          <w:b/>
          <w:bCs/>
          <w:sz w:val="24"/>
          <w:szCs w:val="24"/>
          <w:u w:val="single"/>
          <w:lang w:val="en-GB"/>
        </w:rPr>
        <w:t>Recommendation No. 361</w:t>
      </w:r>
      <w:r w:rsidR="00B63638" w:rsidRPr="00B70D50">
        <w:rPr>
          <w:rFonts w:asciiTheme="majorBidi" w:eastAsiaTheme="minorHAnsi" w:hAnsiTheme="majorBidi" w:cstheme="majorBidi"/>
          <w:b/>
          <w:bCs/>
          <w:sz w:val="24"/>
          <w:szCs w:val="24"/>
          <w:u w:val="single"/>
          <w:lang w:val="en-GB"/>
        </w:rPr>
        <w:t>:</w:t>
      </w:r>
      <w:r w:rsidR="005422F5" w:rsidRPr="00B70D50">
        <w:rPr>
          <w:rStyle w:val="FootnoteReference"/>
          <w:rFonts w:asciiTheme="majorBidi" w:eastAsiaTheme="minorHAnsi" w:hAnsiTheme="majorBidi" w:cstheme="majorBidi"/>
          <w:b/>
          <w:bCs/>
          <w:sz w:val="24"/>
          <w:szCs w:val="24"/>
          <w:lang w:val="en-GB"/>
        </w:rPr>
        <w:footnoteReference w:id="102"/>
      </w:r>
    </w:p>
    <w:p w14:paraId="7D85DF4D" w14:textId="77777777" w:rsidR="00661BB0" w:rsidRPr="00B70D50" w:rsidRDefault="00661BB0" w:rsidP="0008161E">
      <w:pPr>
        <w:bidi w:val="0"/>
        <w:spacing w:after="0" w:line="300" w:lineRule="exact"/>
        <w:ind w:right="49"/>
        <w:contextualSpacing/>
        <w:jc w:val="both"/>
        <w:rPr>
          <w:rFonts w:asciiTheme="majorBidi" w:eastAsiaTheme="minorHAnsi" w:hAnsiTheme="majorBidi" w:cstheme="majorBidi"/>
          <w:sz w:val="24"/>
          <w:szCs w:val="24"/>
          <w:lang w:val="en-GB"/>
        </w:rPr>
      </w:pPr>
      <w:r w:rsidRPr="00B70D50">
        <w:rPr>
          <w:rFonts w:asciiTheme="majorBidi" w:eastAsiaTheme="minorHAnsi" w:hAnsiTheme="majorBidi" w:cstheme="majorBidi"/>
          <w:sz w:val="24"/>
          <w:szCs w:val="24"/>
          <w:lang w:val="en-GB"/>
        </w:rPr>
        <w:t>Adopt measures to ensure economic, social and cultural rights.</w:t>
      </w:r>
    </w:p>
    <w:p w14:paraId="53704F19" w14:textId="77777777" w:rsidR="0008161E" w:rsidRPr="00B70D50" w:rsidRDefault="0008161E" w:rsidP="0008161E">
      <w:pPr>
        <w:bidi w:val="0"/>
        <w:spacing w:before="200" w:after="0" w:line="300" w:lineRule="exact"/>
        <w:ind w:right="51"/>
        <w:jc w:val="both"/>
        <w:rPr>
          <w:rFonts w:asciiTheme="majorBidi" w:eastAsiaTheme="minorHAnsi" w:hAnsiTheme="majorBidi" w:cstheme="majorBidi"/>
          <w:sz w:val="24"/>
          <w:szCs w:val="24"/>
          <w:lang w:val="en-GB"/>
        </w:rPr>
      </w:pPr>
    </w:p>
    <w:sectPr w:rsidR="0008161E" w:rsidRPr="00B70D50" w:rsidSect="00671925">
      <w:headerReference w:type="default" r:id="rId8"/>
      <w:footerReference w:type="default" r:id="rId9"/>
      <w:endnotePr>
        <w:numFmt w:val="decimal"/>
      </w:endnotePr>
      <w:pgSz w:w="12240" w:h="15840"/>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06706" w14:textId="77777777" w:rsidR="008C61C3" w:rsidRDefault="008C61C3" w:rsidP="00E11DBA">
      <w:pPr>
        <w:spacing w:after="0" w:line="240" w:lineRule="auto"/>
      </w:pPr>
      <w:r>
        <w:separator/>
      </w:r>
    </w:p>
  </w:endnote>
  <w:endnote w:type="continuationSeparator" w:id="0">
    <w:p w14:paraId="09234A4D" w14:textId="77777777" w:rsidR="008C61C3" w:rsidRDefault="008C61C3" w:rsidP="00E11DBA">
      <w:pPr>
        <w:spacing w:after="0" w:line="240" w:lineRule="auto"/>
      </w:pPr>
      <w:r>
        <w:continuationSeparator/>
      </w:r>
    </w:p>
  </w:endnote>
  <w:endnote w:id="1">
    <w:p w14:paraId="0D9A2DBC" w14:textId="77777777" w:rsidR="008C61C3" w:rsidRPr="008C61C3" w:rsidRDefault="008C61C3" w:rsidP="008C61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43595425"/>
      <w:docPartObj>
        <w:docPartGallery w:val="Page Numbers (Bottom of Page)"/>
        <w:docPartUnique/>
      </w:docPartObj>
    </w:sdtPr>
    <w:sdtEndPr>
      <w:rPr>
        <w:noProof/>
        <w:sz w:val="18"/>
        <w:szCs w:val="18"/>
      </w:rPr>
    </w:sdtEndPr>
    <w:sdtContent>
      <w:p w14:paraId="70221335" w14:textId="5E17D297" w:rsidR="008C61C3" w:rsidRPr="00E17D66" w:rsidRDefault="008C61C3">
        <w:pPr>
          <w:pStyle w:val="Footer"/>
          <w:jc w:val="center"/>
          <w:rPr>
            <w:sz w:val="18"/>
            <w:szCs w:val="18"/>
          </w:rPr>
        </w:pPr>
        <w:r w:rsidRPr="00E17D66">
          <w:rPr>
            <w:sz w:val="18"/>
            <w:szCs w:val="18"/>
          </w:rPr>
          <w:fldChar w:fldCharType="begin"/>
        </w:r>
        <w:r w:rsidRPr="00E17D66">
          <w:rPr>
            <w:sz w:val="18"/>
            <w:szCs w:val="18"/>
          </w:rPr>
          <w:instrText xml:space="preserve"> PAGE   \* MERGEFORMAT </w:instrText>
        </w:r>
        <w:r w:rsidRPr="00E17D66">
          <w:rPr>
            <w:sz w:val="18"/>
            <w:szCs w:val="18"/>
          </w:rPr>
          <w:fldChar w:fldCharType="separate"/>
        </w:r>
        <w:r w:rsidR="00387A7B">
          <w:rPr>
            <w:noProof/>
            <w:sz w:val="18"/>
            <w:szCs w:val="18"/>
          </w:rPr>
          <w:t>1</w:t>
        </w:r>
        <w:r w:rsidRPr="00E17D66">
          <w:rPr>
            <w:noProof/>
            <w:sz w:val="18"/>
            <w:szCs w:val="18"/>
          </w:rPr>
          <w:fldChar w:fldCharType="end"/>
        </w:r>
      </w:p>
    </w:sdtContent>
  </w:sdt>
  <w:p w14:paraId="6EF766F3" w14:textId="77777777" w:rsidR="008C61C3" w:rsidRDefault="008C61C3">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73857" w14:textId="77777777" w:rsidR="008C61C3" w:rsidRDefault="008C61C3" w:rsidP="00E11DBA">
      <w:pPr>
        <w:spacing w:after="0" w:line="240" w:lineRule="auto"/>
      </w:pPr>
      <w:r>
        <w:separator/>
      </w:r>
    </w:p>
  </w:footnote>
  <w:footnote w:type="continuationSeparator" w:id="0">
    <w:p w14:paraId="4763C919" w14:textId="77777777" w:rsidR="008C61C3" w:rsidRDefault="008C61C3" w:rsidP="00E11DBA">
      <w:pPr>
        <w:spacing w:after="0" w:line="240" w:lineRule="auto"/>
      </w:pPr>
      <w:r>
        <w:continuationSeparator/>
      </w:r>
    </w:p>
  </w:footnote>
  <w:footnote w:id="1">
    <w:p w14:paraId="6909979F" w14:textId="3DB49EF8" w:rsidR="008C61C3" w:rsidRPr="008D34F7" w:rsidRDefault="008C61C3" w:rsidP="008C61C3">
      <w:pPr>
        <w:pStyle w:val="FootnoteText"/>
        <w:bidi w:val="0"/>
        <w:rPr>
          <w:lang w:val="en-GB"/>
        </w:rPr>
      </w:pPr>
      <w:r w:rsidRPr="00C4195E">
        <w:rPr>
          <w:rStyle w:val="FootnoteReference"/>
        </w:rPr>
        <w:footnoteRef/>
      </w:r>
      <w:r w:rsidRPr="00C4195E">
        <w:rPr>
          <w:rtl/>
        </w:rPr>
        <w:t xml:space="preserve"> </w:t>
      </w:r>
      <w:r w:rsidRPr="008D34F7">
        <w:rPr>
          <w:lang w:val="en-GB"/>
        </w:rPr>
        <w:t>According to what was read out during UPR session</w:t>
      </w:r>
      <w:r>
        <w:rPr>
          <w:lang w:val="en-GB"/>
        </w:rPr>
        <w:t>,</w:t>
      </w:r>
      <w:r w:rsidRPr="008D34F7">
        <w:rPr>
          <w:lang w:val="en-GB"/>
        </w:rPr>
        <w:t xml:space="preserve"> and adopted in the report by the Working Group on 15 November 2019, this recommendation is deemed factually incorrect. A Note Verbale No. CHAN/2020/070, dated 13 February 2020, was transmitted by the Permanent Mission of the Arab Republic of Egypt to the United Nations Office in Geneva to the Office of the High Commissioner for Human Rights, requesting to correct the recommendation according to the text that was read out and adopted, which was as follows:</w:t>
      </w:r>
    </w:p>
    <w:p w14:paraId="0F40F03C" w14:textId="3B939FCA" w:rsidR="008C61C3" w:rsidRPr="008D34F7" w:rsidRDefault="008C61C3" w:rsidP="000E535B">
      <w:pPr>
        <w:pStyle w:val="EndnoteText"/>
        <w:bidi w:val="0"/>
        <w:ind w:left="-426" w:firstLine="426"/>
        <w:jc w:val="both"/>
        <w:rPr>
          <w:rFonts w:asciiTheme="majorBidi" w:hAnsiTheme="majorBidi" w:cstheme="majorBidi"/>
          <w:lang w:val="en-GB" w:bidi="ar-EG"/>
        </w:rPr>
      </w:pPr>
      <w:r w:rsidRPr="008D34F7">
        <w:rPr>
          <w:rFonts w:asciiTheme="majorBidi" w:hAnsiTheme="majorBidi" w:cstheme="majorBidi"/>
          <w:lang w:val="en-GB"/>
        </w:rPr>
        <w:t>“Accede to the African Charter on Human and People’s Rights on the Rights of Women in Africa.”</w:t>
      </w:r>
    </w:p>
  </w:footnote>
  <w:footnote w:id="2">
    <w:p w14:paraId="0C7FC8BA" w14:textId="516C0788" w:rsidR="008C61C3" w:rsidRPr="008D34F7" w:rsidRDefault="008C61C3" w:rsidP="008C61C3">
      <w:pPr>
        <w:pStyle w:val="FootnoteText"/>
        <w:bidi w:val="0"/>
        <w:rPr>
          <w:lang w:val="en-GB"/>
        </w:rPr>
      </w:pPr>
      <w:r w:rsidRPr="008D34F7">
        <w:rPr>
          <w:rStyle w:val="FootnoteReference"/>
          <w:lang w:val="en-GB"/>
        </w:rPr>
        <w:footnoteRef/>
      </w:r>
      <w:r w:rsidRPr="008D34F7">
        <w:rPr>
          <w:rtl/>
          <w:lang w:val="en-GB"/>
        </w:rPr>
        <w:t xml:space="preserve"> </w:t>
      </w:r>
      <w:r w:rsidRPr="008D34F7">
        <w:rPr>
          <w:lang w:val="en-GB"/>
        </w:rPr>
        <w:t>Egypt’s position on this recommendation is based on document A/73/1004, dated 16 September 2019.</w:t>
      </w:r>
    </w:p>
  </w:footnote>
  <w:footnote w:id="3">
    <w:p w14:paraId="3EB0576A" w14:textId="66650298" w:rsidR="008C61C3" w:rsidRPr="008D34F7" w:rsidRDefault="008C61C3" w:rsidP="002A290B">
      <w:pPr>
        <w:pStyle w:val="FootnoteText"/>
        <w:bidi w:val="0"/>
        <w:spacing w:before="80"/>
        <w:rPr>
          <w:lang w:val="en-GB"/>
        </w:rPr>
      </w:pPr>
      <w:r w:rsidRPr="008D34F7">
        <w:rPr>
          <w:rStyle w:val="FootnoteReference"/>
          <w:lang w:val="en-GB"/>
        </w:rPr>
        <w:footnoteRef/>
      </w:r>
      <w:r w:rsidRPr="008D34F7">
        <w:rPr>
          <w:lang w:val="en-GB"/>
        </w:rPr>
        <w:t>Ibid.</w:t>
      </w:r>
    </w:p>
  </w:footnote>
  <w:footnote w:id="4">
    <w:p w14:paraId="015545D8" w14:textId="4C216685"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Ibid.</w:t>
      </w:r>
    </w:p>
  </w:footnote>
  <w:footnote w:id="5">
    <w:p w14:paraId="5469661C" w14:textId="3866EC56"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Ibid.</w:t>
      </w:r>
    </w:p>
  </w:footnote>
  <w:footnote w:id="6">
    <w:p w14:paraId="603C0EA7" w14:textId="5F8567EC"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Ibid.</w:t>
      </w:r>
    </w:p>
  </w:footnote>
  <w:footnote w:id="7">
    <w:p w14:paraId="6BF4B0F5" w14:textId="25A741BB" w:rsidR="008C61C3" w:rsidRPr="008D34F7" w:rsidRDefault="008C61C3" w:rsidP="00BF1CDB">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The Government welcomes cooperation with the mechanisms of the United Nations and regional organi</w:t>
      </w:r>
      <w:r>
        <w:rPr>
          <w:lang w:val="en-GB"/>
        </w:rPr>
        <w:t>s</w:t>
      </w:r>
      <w:r w:rsidRPr="008D34F7">
        <w:rPr>
          <w:lang w:val="en-GB"/>
        </w:rPr>
        <w:t>ations on human rights. The Public Prosecution, being an independent judicial body, investigates any claim of intimidation or reprisal, and holds the perpetrators accountable, in application of the rule of law.</w:t>
      </w:r>
    </w:p>
  </w:footnote>
  <w:footnote w:id="8">
    <w:p w14:paraId="5D01CBD2" w14:textId="1C91725C"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Ibid.</w:t>
      </w:r>
    </w:p>
  </w:footnote>
  <w:footnote w:id="9">
    <w:p w14:paraId="221870B6" w14:textId="7DCDF5D3" w:rsidR="008C61C3" w:rsidRPr="008D34F7" w:rsidRDefault="008C61C3" w:rsidP="006403B4">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 xml:space="preserve">Egypt adopts </w:t>
      </w:r>
      <w:r>
        <w:rPr>
          <w:lang w:val="en-GB"/>
        </w:rPr>
        <w:t xml:space="preserve">contents </w:t>
      </w:r>
      <w:r w:rsidRPr="008D34F7">
        <w:rPr>
          <w:lang w:val="en-GB"/>
        </w:rPr>
        <w:t>of the “Declaration on the Right and Responsibility of Individuals, Groups and Organs of Society to Promote and Protect Universally Recogni</w:t>
      </w:r>
      <w:r>
        <w:rPr>
          <w:lang w:val="en-GB"/>
        </w:rPr>
        <w:t>s</w:t>
      </w:r>
      <w:r w:rsidRPr="008D34F7">
        <w:rPr>
          <w:lang w:val="en-GB"/>
        </w:rPr>
        <w:t xml:space="preserve">ed Human Rights and Fundamental Freedoms”, issued by the General Assembly of the United Nations in its resolution 53/144 of 1998. The Government makes reference to article 2 thereof, whereby domestic laws constitute the legal framework </w:t>
      </w:r>
      <w:r>
        <w:rPr>
          <w:lang w:val="en-GB"/>
        </w:rPr>
        <w:t xml:space="preserve">that regulate </w:t>
      </w:r>
      <w:r w:rsidRPr="008D34F7">
        <w:rPr>
          <w:lang w:val="en-GB"/>
        </w:rPr>
        <w:t xml:space="preserve">the realisation of human rights and fundamental </w:t>
      </w:r>
      <w:r>
        <w:rPr>
          <w:lang w:val="en-GB"/>
        </w:rPr>
        <w:t>freedoms, and the enjoyment thereof</w:t>
      </w:r>
      <w:r w:rsidRPr="008D34F7">
        <w:rPr>
          <w:lang w:val="en-GB"/>
        </w:rPr>
        <w:t xml:space="preserve">. </w:t>
      </w:r>
      <w:r>
        <w:rPr>
          <w:lang w:val="en-GB"/>
        </w:rPr>
        <w:t>T</w:t>
      </w:r>
      <w:r w:rsidRPr="008D34F7">
        <w:rPr>
          <w:lang w:val="en-GB"/>
        </w:rPr>
        <w:t xml:space="preserve">he </w:t>
      </w:r>
      <w:r>
        <w:rPr>
          <w:lang w:val="en-GB"/>
        </w:rPr>
        <w:t>G</w:t>
      </w:r>
      <w:r w:rsidRPr="008D34F7">
        <w:rPr>
          <w:lang w:val="en-GB"/>
        </w:rPr>
        <w:t>overnment further stresses that all citizens are equal before</w:t>
      </w:r>
      <w:r>
        <w:rPr>
          <w:lang w:val="en-GB"/>
        </w:rPr>
        <w:t xml:space="preserve"> the law</w:t>
      </w:r>
      <w:r w:rsidRPr="008D34F7">
        <w:rPr>
          <w:lang w:val="en-GB"/>
        </w:rPr>
        <w:t xml:space="preserve">, and </w:t>
      </w:r>
      <w:r>
        <w:rPr>
          <w:lang w:val="en-GB"/>
        </w:rPr>
        <w:t xml:space="preserve">according to the Declaration, there is a responsibility parallel to the enjoyments of the </w:t>
      </w:r>
      <w:r w:rsidRPr="008D34F7">
        <w:rPr>
          <w:lang w:val="en-GB"/>
        </w:rPr>
        <w:t xml:space="preserve">rights contained </w:t>
      </w:r>
      <w:r w:rsidR="00B70D50" w:rsidRPr="008D34F7">
        <w:rPr>
          <w:lang w:val="en-GB"/>
        </w:rPr>
        <w:t>therein.</w:t>
      </w:r>
    </w:p>
  </w:footnote>
  <w:footnote w:id="10">
    <w:p w14:paraId="59976F14" w14:textId="193D3C5A" w:rsidR="008C61C3" w:rsidRPr="008D34F7" w:rsidRDefault="008C61C3" w:rsidP="008C61C3">
      <w:pPr>
        <w:pStyle w:val="FootnoteText"/>
        <w:bidi w:val="0"/>
        <w:rPr>
          <w:lang w:val="en-GB" w:bidi="ar-EG"/>
        </w:rPr>
      </w:pPr>
      <w:r w:rsidRPr="008D34F7">
        <w:rPr>
          <w:rStyle w:val="FootnoteReference"/>
          <w:lang w:val="en-GB"/>
        </w:rPr>
        <w:footnoteRef/>
      </w:r>
      <w:r w:rsidRPr="008D34F7">
        <w:rPr>
          <w:rtl/>
          <w:lang w:val="en-GB"/>
        </w:rPr>
        <w:t xml:space="preserve"> </w:t>
      </w:r>
      <w:r>
        <w:rPr>
          <w:lang w:val="en-GB"/>
        </w:rPr>
        <w:t xml:space="preserve">The </w:t>
      </w:r>
      <w:r w:rsidRPr="008D34F7">
        <w:rPr>
          <w:lang w:val="en-GB"/>
        </w:rPr>
        <w:t xml:space="preserve">position of </w:t>
      </w:r>
      <w:r>
        <w:rPr>
          <w:lang w:val="en-GB"/>
        </w:rPr>
        <w:t>the A</w:t>
      </w:r>
      <w:r w:rsidRPr="008D34F7">
        <w:rPr>
          <w:lang w:val="en-GB"/>
        </w:rPr>
        <w:t xml:space="preserve">dvisor </w:t>
      </w:r>
      <w:r>
        <w:rPr>
          <w:lang w:val="en-GB"/>
        </w:rPr>
        <w:t xml:space="preserve">to </w:t>
      </w:r>
      <w:r w:rsidRPr="008D34F7">
        <w:rPr>
          <w:lang w:val="en-GB"/>
        </w:rPr>
        <w:t xml:space="preserve">the President </w:t>
      </w:r>
      <w:r>
        <w:rPr>
          <w:lang w:val="en-GB"/>
        </w:rPr>
        <w:t>on C</w:t>
      </w:r>
      <w:r w:rsidRPr="008D34F7">
        <w:rPr>
          <w:lang w:val="en-GB"/>
        </w:rPr>
        <w:t xml:space="preserve">ombatting </w:t>
      </w:r>
      <w:r>
        <w:rPr>
          <w:lang w:val="en-GB"/>
        </w:rPr>
        <w:t>C</w:t>
      </w:r>
      <w:r w:rsidRPr="008D34F7">
        <w:rPr>
          <w:lang w:val="en-GB"/>
        </w:rPr>
        <w:t>orruption was established in 2015.</w:t>
      </w:r>
      <w:r>
        <w:rPr>
          <w:lang w:val="en-GB"/>
        </w:rPr>
        <w:t xml:space="preserve"> </w:t>
      </w:r>
      <w:r w:rsidRPr="00BE0D72">
        <w:rPr>
          <w:i/>
          <w:iCs/>
          <w:lang w:val="en-GB"/>
        </w:rPr>
        <w:t>See</w:t>
      </w:r>
      <w:r w:rsidRPr="008D34F7">
        <w:rPr>
          <w:lang w:val="en-GB"/>
        </w:rPr>
        <w:t xml:space="preserve"> para</w:t>
      </w:r>
      <w:r>
        <w:rPr>
          <w:lang w:val="en-GB"/>
        </w:rPr>
        <w:t>.</w:t>
      </w:r>
      <w:r w:rsidRPr="008D34F7">
        <w:rPr>
          <w:lang w:val="en-GB"/>
        </w:rPr>
        <w:t xml:space="preserve"> 69</w:t>
      </w:r>
      <w:r>
        <w:rPr>
          <w:lang w:val="en-GB"/>
        </w:rPr>
        <w:t>(</w:t>
      </w:r>
      <w:r w:rsidRPr="008D34F7">
        <w:rPr>
          <w:lang w:val="en-GB"/>
        </w:rPr>
        <w:t>C</w:t>
      </w:r>
      <w:r>
        <w:rPr>
          <w:lang w:val="en-GB"/>
        </w:rPr>
        <w:t>)</w:t>
      </w:r>
      <w:r w:rsidRPr="008D34F7">
        <w:rPr>
          <w:lang w:val="en-GB"/>
        </w:rPr>
        <w:t xml:space="preserve"> of doc</w:t>
      </w:r>
      <w:r>
        <w:rPr>
          <w:lang w:val="en-GB"/>
        </w:rPr>
        <w:t>ument</w:t>
      </w:r>
      <w:r w:rsidRPr="008D34F7">
        <w:rPr>
          <w:lang w:val="en-GB"/>
        </w:rPr>
        <w:t xml:space="preserve"> A/HRC/WG.6/34/EGY/1.</w:t>
      </w:r>
    </w:p>
  </w:footnote>
  <w:footnote w:id="11">
    <w:p w14:paraId="59073096" w14:textId="0B875B54"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 xml:space="preserve">The definition provided in Article 1 of the </w:t>
      </w:r>
      <w:r>
        <w:rPr>
          <w:lang w:val="en-GB"/>
        </w:rPr>
        <w:t xml:space="preserve">International </w:t>
      </w:r>
      <w:r w:rsidRPr="008D34F7">
        <w:rPr>
          <w:lang w:val="en-GB"/>
        </w:rPr>
        <w:t xml:space="preserve">Convention against Racial Discrimination is already </w:t>
      </w:r>
      <w:r>
        <w:rPr>
          <w:lang w:val="en-GB"/>
        </w:rPr>
        <w:t xml:space="preserve">embodied </w:t>
      </w:r>
      <w:r w:rsidRPr="008D34F7">
        <w:rPr>
          <w:lang w:val="en-GB"/>
        </w:rPr>
        <w:t>in the Egyptian Legislature, in</w:t>
      </w:r>
      <w:r>
        <w:rPr>
          <w:lang w:val="en-GB"/>
        </w:rPr>
        <w:t xml:space="preserve"> light of</w:t>
      </w:r>
      <w:r w:rsidRPr="008D34F7">
        <w:rPr>
          <w:lang w:val="en-GB"/>
        </w:rPr>
        <w:t xml:space="preserve"> </w:t>
      </w:r>
      <w:r>
        <w:rPr>
          <w:lang w:val="en-GB"/>
        </w:rPr>
        <w:t>A</w:t>
      </w:r>
      <w:r w:rsidRPr="008D34F7">
        <w:rPr>
          <w:lang w:val="en-GB"/>
        </w:rPr>
        <w:t xml:space="preserve">rticles 93 and 151 of the Constitution. </w:t>
      </w:r>
      <w:r w:rsidRPr="00BE0D72">
        <w:rPr>
          <w:i/>
          <w:iCs/>
          <w:lang w:val="en-GB"/>
        </w:rPr>
        <w:t>See also</w:t>
      </w:r>
      <w:r>
        <w:rPr>
          <w:lang w:val="en-GB"/>
        </w:rPr>
        <w:t xml:space="preserve"> </w:t>
      </w:r>
      <w:r w:rsidRPr="008D34F7">
        <w:rPr>
          <w:lang w:val="en-GB"/>
        </w:rPr>
        <w:t>para. 6 of doc</w:t>
      </w:r>
      <w:r>
        <w:rPr>
          <w:lang w:val="en-GB"/>
        </w:rPr>
        <w:t>ument</w:t>
      </w:r>
      <w:r w:rsidRPr="008D34F7">
        <w:rPr>
          <w:lang w:val="en-GB"/>
        </w:rPr>
        <w:t xml:space="preserve"> A/HRC/WG.6/34/EGY/1.</w:t>
      </w:r>
    </w:p>
  </w:footnote>
  <w:footnote w:id="12">
    <w:p w14:paraId="42659457" w14:textId="0D7B7023" w:rsidR="008C61C3" w:rsidRPr="008D34F7" w:rsidRDefault="008C61C3" w:rsidP="0029706E">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The Egyptian criminal legislat</w:t>
      </w:r>
      <w:r>
        <w:rPr>
          <w:lang w:val="en-GB"/>
        </w:rPr>
        <w:t>ure</w:t>
      </w:r>
      <w:r w:rsidRPr="008D34F7">
        <w:rPr>
          <w:lang w:val="en-GB"/>
        </w:rPr>
        <w:t xml:space="preserve"> </w:t>
      </w:r>
      <w:r>
        <w:rPr>
          <w:lang w:val="en-GB"/>
        </w:rPr>
        <w:t xml:space="preserve">adopts the principles of </w:t>
      </w:r>
      <w:r w:rsidRPr="008D34F7">
        <w:rPr>
          <w:lang w:val="en-GB"/>
        </w:rPr>
        <w:t>gradualism and proportion</w:t>
      </w:r>
      <w:r>
        <w:rPr>
          <w:lang w:val="en-GB"/>
        </w:rPr>
        <w:t>ality</w:t>
      </w:r>
      <w:r w:rsidRPr="008D34F7">
        <w:rPr>
          <w:lang w:val="en-GB"/>
        </w:rPr>
        <w:t xml:space="preserve"> with regard to crimina</w:t>
      </w:r>
      <w:r>
        <w:rPr>
          <w:lang w:val="en-GB"/>
        </w:rPr>
        <w:t>lisa</w:t>
      </w:r>
      <w:r w:rsidRPr="008D34F7">
        <w:rPr>
          <w:lang w:val="en-GB"/>
        </w:rPr>
        <w:t xml:space="preserve">tion and punishment, by means of setting </w:t>
      </w:r>
      <w:r>
        <w:rPr>
          <w:lang w:val="en-GB"/>
        </w:rPr>
        <w:t xml:space="preserve">out </w:t>
      </w:r>
      <w:r w:rsidRPr="008D34F7">
        <w:rPr>
          <w:lang w:val="en-GB"/>
        </w:rPr>
        <w:t>various descriptions and punishments for crimes</w:t>
      </w:r>
      <w:r>
        <w:rPr>
          <w:lang w:val="en-GB"/>
        </w:rPr>
        <w:t xml:space="preserve">, and is </w:t>
      </w:r>
      <w:r w:rsidRPr="008D34F7">
        <w:rPr>
          <w:lang w:val="en-GB"/>
        </w:rPr>
        <w:t xml:space="preserve">not restricted to a single description or punishment. </w:t>
      </w:r>
      <w:r>
        <w:rPr>
          <w:lang w:val="en-GB"/>
        </w:rPr>
        <w:t xml:space="preserve">It determines </w:t>
      </w:r>
      <w:r w:rsidRPr="008D34F7">
        <w:rPr>
          <w:lang w:val="en-GB"/>
        </w:rPr>
        <w:t>different penalties for each act</w:t>
      </w:r>
      <w:r>
        <w:rPr>
          <w:lang w:val="en-GB"/>
        </w:rPr>
        <w:t>, so that the penalties correspond to the severity</w:t>
      </w:r>
      <w:r w:rsidRPr="008D34F7">
        <w:rPr>
          <w:lang w:val="en-GB"/>
        </w:rPr>
        <w:t xml:space="preserve"> of each aggression against </w:t>
      </w:r>
      <w:r>
        <w:rPr>
          <w:lang w:val="en-GB"/>
        </w:rPr>
        <w:t xml:space="preserve">a </w:t>
      </w:r>
      <w:r w:rsidRPr="008D34F7">
        <w:rPr>
          <w:lang w:val="en-GB"/>
        </w:rPr>
        <w:t xml:space="preserve">right under protection. </w:t>
      </w:r>
      <w:r>
        <w:rPr>
          <w:i/>
          <w:iCs/>
          <w:lang w:val="en-GB"/>
        </w:rPr>
        <w:t>Review</w:t>
      </w:r>
      <w:r w:rsidRPr="008D34F7">
        <w:rPr>
          <w:lang w:val="en-GB"/>
        </w:rPr>
        <w:t xml:space="preserve"> para. 25 of doc</w:t>
      </w:r>
      <w:r>
        <w:rPr>
          <w:lang w:val="en-GB"/>
        </w:rPr>
        <w:t>ument</w:t>
      </w:r>
      <w:r w:rsidRPr="008D34F7">
        <w:rPr>
          <w:lang w:val="en-GB"/>
        </w:rPr>
        <w:t xml:space="preserve"> A/HRC/WG.6/34/EGY/1. On another note, </w:t>
      </w:r>
      <w:r>
        <w:rPr>
          <w:lang w:val="en-GB"/>
        </w:rPr>
        <w:t>A</w:t>
      </w:r>
      <w:r w:rsidRPr="008D34F7">
        <w:rPr>
          <w:lang w:val="en-GB"/>
        </w:rPr>
        <w:t xml:space="preserve">rticle 189 of the Constitution provides that “the Pubic Prosecution is an integral part of the judiciary, and shall be in charge of investigation, prosecution and initiation of criminal proceedings.” Thus, </w:t>
      </w:r>
      <w:r>
        <w:rPr>
          <w:lang w:val="en-GB"/>
        </w:rPr>
        <w:t xml:space="preserve">the </w:t>
      </w:r>
      <w:r w:rsidRPr="008D34F7">
        <w:rPr>
          <w:lang w:val="en-GB"/>
        </w:rPr>
        <w:t xml:space="preserve">criminal investigation is an exclusive </w:t>
      </w:r>
      <w:r>
        <w:rPr>
          <w:lang w:val="en-GB"/>
        </w:rPr>
        <w:t xml:space="preserve">jurisdiction </w:t>
      </w:r>
      <w:r w:rsidRPr="008D34F7">
        <w:rPr>
          <w:lang w:val="en-GB"/>
        </w:rPr>
        <w:t>of the Public Prosecut</w:t>
      </w:r>
      <w:r>
        <w:rPr>
          <w:lang w:val="en-GB"/>
        </w:rPr>
        <w:t>i</w:t>
      </w:r>
      <w:r w:rsidRPr="008D34F7">
        <w:rPr>
          <w:lang w:val="en-GB"/>
        </w:rPr>
        <w:t>o</w:t>
      </w:r>
      <w:r>
        <w:rPr>
          <w:lang w:val="en-GB"/>
        </w:rPr>
        <w:t>n, which</w:t>
      </w:r>
      <w:r w:rsidRPr="005E1880">
        <w:rPr>
          <w:lang w:val="en-GB"/>
        </w:rPr>
        <w:t xml:space="preserve"> </w:t>
      </w:r>
      <w:r w:rsidRPr="008D34F7">
        <w:rPr>
          <w:lang w:val="en-GB"/>
        </w:rPr>
        <w:t xml:space="preserve">is </w:t>
      </w:r>
      <w:r w:rsidR="00B70D50" w:rsidRPr="008D34F7">
        <w:rPr>
          <w:lang w:val="en-GB"/>
        </w:rPr>
        <w:t xml:space="preserve">already </w:t>
      </w:r>
      <w:r w:rsidR="00B70D50">
        <w:rPr>
          <w:lang w:val="en-GB"/>
        </w:rPr>
        <w:t>fulfilling</w:t>
      </w:r>
      <w:r w:rsidRPr="008D34F7">
        <w:rPr>
          <w:lang w:val="en-GB"/>
        </w:rPr>
        <w:t xml:space="preserve"> </w:t>
      </w:r>
      <w:r>
        <w:rPr>
          <w:lang w:val="en-GB"/>
        </w:rPr>
        <w:t>this role</w:t>
      </w:r>
      <w:r w:rsidRPr="008D34F7">
        <w:rPr>
          <w:lang w:val="en-GB"/>
        </w:rPr>
        <w:t xml:space="preserve">. </w:t>
      </w:r>
      <w:r>
        <w:rPr>
          <w:lang w:val="en-GB"/>
        </w:rPr>
        <w:t>Hence, t</w:t>
      </w:r>
      <w:r w:rsidRPr="008D34F7">
        <w:rPr>
          <w:lang w:val="en-GB"/>
        </w:rPr>
        <w:t>here is no need for devising additional mechanisms.</w:t>
      </w:r>
    </w:p>
  </w:footnote>
  <w:footnote w:id="13">
    <w:p w14:paraId="173ADE76" w14:textId="6F2C46A3"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This matter ha</w:t>
      </w:r>
      <w:r>
        <w:rPr>
          <w:lang w:val="en-GB"/>
        </w:rPr>
        <w:t>d</w:t>
      </w:r>
      <w:r w:rsidRPr="008D34F7">
        <w:rPr>
          <w:lang w:val="en-GB"/>
        </w:rPr>
        <w:t xml:space="preserve"> been </w:t>
      </w:r>
      <w:r w:rsidR="00B70D50">
        <w:rPr>
          <w:lang w:val="en-GB"/>
        </w:rPr>
        <w:t xml:space="preserve">previously </w:t>
      </w:r>
      <w:r w:rsidRPr="008D34F7">
        <w:rPr>
          <w:lang w:val="en-GB"/>
        </w:rPr>
        <w:t>considered</w:t>
      </w:r>
      <w:r>
        <w:rPr>
          <w:lang w:val="en-GB"/>
        </w:rPr>
        <w:t>, and</w:t>
      </w:r>
      <w:r w:rsidRPr="008D34F7">
        <w:rPr>
          <w:lang w:val="en-GB"/>
        </w:rPr>
        <w:t xml:space="preserve"> Egypt</w:t>
      </w:r>
      <w:r w:rsidR="00B70D50">
        <w:rPr>
          <w:lang w:val="en-GB"/>
        </w:rPr>
        <w:t xml:space="preserve"> </w:t>
      </w:r>
      <w:r>
        <w:rPr>
          <w:lang w:val="en-GB"/>
        </w:rPr>
        <w:t xml:space="preserve">reached the </w:t>
      </w:r>
      <w:r w:rsidRPr="008D34F7">
        <w:rPr>
          <w:lang w:val="en-GB"/>
        </w:rPr>
        <w:t>position contained in footnote 2.</w:t>
      </w:r>
    </w:p>
  </w:footnote>
  <w:footnote w:id="14">
    <w:p w14:paraId="070BB4A1" w14:textId="0348CA2A" w:rsidR="008C61C3" w:rsidRPr="008D34F7" w:rsidRDefault="008C61C3" w:rsidP="002A290B">
      <w:pPr>
        <w:pStyle w:val="FootnoteText"/>
        <w:bidi w:val="0"/>
        <w:spacing w:before="80"/>
        <w:rPr>
          <w:lang w:val="en-GB"/>
        </w:rPr>
      </w:pPr>
      <w:r w:rsidRPr="008D34F7">
        <w:rPr>
          <w:rStyle w:val="FootnoteReference"/>
          <w:lang w:val="en-GB"/>
        </w:rPr>
        <w:footnoteRef/>
      </w:r>
      <w:r>
        <w:rPr>
          <w:lang w:val="en-GB"/>
        </w:rPr>
        <w:t xml:space="preserve"> </w:t>
      </w:r>
      <w:r w:rsidRPr="008D34F7">
        <w:rPr>
          <w:lang w:val="en-GB"/>
        </w:rPr>
        <w:t>Ibid.</w:t>
      </w:r>
    </w:p>
  </w:footnote>
  <w:footnote w:id="15">
    <w:p w14:paraId="7CE8AEFB" w14:textId="4DB71260" w:rsidR="008C61C3" w:rsidRPr="008D34F7" w:rsidRDefault="008C61C3" w:rsidP="00382F8A">
      <w:pPr>
        <w:pStyle w:val="FootnoteText"/>
        <w:bidi w:val="0"/>
        <w:spacing w:before="80"/>
        <w:rPr>
          <w:lang w:val="en-GB"/>
        </w:rPr>
      </w:pPr>
      <w:r w:rsidRPr="008D34F7">
        <w:rPr>
          <w:rStyle w:val="FootnoteReference"/>
          <w:lang w:val="en-GB"/>
        </w:rPr>
        <w:footnoteRef/>
      </w:r>
      <w:r>
        <w:rPr>
          <w:lang w:val="en-GB"/>
        </w:rPr>
        <w:t xml:space="preserve"> </w:t>
      </w:r>
      <w:r w:rsidRPr="008D34F7">
        <w:rPr>
          <w:lang w:val="en-GB"/>
        </w:rPr>
        <w:t>Ibid.</w:t>
      </w:r>
    </w:p>
  </w:footnote>
  <w:footnote w:id="16">
    <w:p w14:paraId="3C9B3382" w14:textId="02342458"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Ibid.</w:t>
      </w:r>
    </w:p>
  </w:footnote>
  <w:footnote w:id="17">
    <w:p w14:paraId="5BEA379D" w14:textId="558440CE" w:rsidR="008C61C3" w:rsidRPr="008D34F7" w:rsidRDefault="008C61C3" w:rsidP="002A290B">
      <w:pPr>
        <w:pStyle w:val="FootnoteText"/>
        <w:bidi w:val="0"/>
        <w:spacing w:before="80"/>
        <w:rPr>
          <w:lang w:val="en-GB"/>
        </w:rPr>
      </w:pPr>
      <w:r w:rsidRPr="008D34F7">
        <w:rPr>
          <w:rStyle w:val="FootnoteReference"/>
          <w:lang w:val="en-GB"/>
        </w:rPr>
        <w:footnoteRef/>
      </w:r>
      <w:r>
        <w:rPr>
          <w:lang w:val="en-GB"/>
        </w:rPr>
        <w:t xml:space="preserve"> </w:t>
      </w:r>
      <w:r w:rsidRPr="008D34F7">
        <w:rPr>
          <w:lang w:val="en-GB"/>
        </w:rPr>
        <w:t>Ibid.</w:t>
      </w:r>
    </w:p>
  </w:footnote>
  <w:footnote w:id="18">
    <w:p w14:paraId="6585F711" w14:textId="0DC0A380" w:rsidR="008C61C3" w:rsidRPr="008D34F7" w:rsidRDefault="008C61C3" w:rsidP="002A290B">
      <w:pPr>
        <w:pStyle w:val="FootnoteText"/>
        <w:bidi w:val="0"/>
        <w:spacing w:before="80"/>
        <w:rPr>
          <w:lang w:val="en-GB"/>
        </w:rPr>
      </w:pPr>
      <w:r w:rsidRPr="008D34F7">
        <w:rPr>
          <w:rStyle w:val="FootnoteReference"/>
          <w:lang w:val="en-GB"/>
        </w:rPr>
        <w:footnoteRef/>
      </w:r>
      <w:r>
        <w:rPr>
          <w:lang w:val="en-GB"/>
        </w:rPr>
        <w:t xml:space="preserve"> </w:t>
      </w:r>
      <w:r w:rsidRPr="008D34F7">
        <w:rPr>
          <w:lang w:val="en-GB"/>
        </w:rPr>
        <w:t>Ibid.</w:t>
      </w:r>
    </w:p>
  </w:footnote>
  <w:footnote w:id="19">
    <w:p w14:paraId="0BD8D7FE" w14:textId="7DF3D889" w:rsidR="008C61C3" w:rsidRPr="008D34F7" w:rsidRDefault="008C61C3" w:rsidP="0029706E">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 xml:space="preserve">The </w:t>
      </w:r>
      <w:r>
        <w:rPr>
          <w:lang w:val="en-GB"/>
        </w:rPr>
        <w:t>A</w:t>
      </w:r>
      <w:r w:rsidRPr="008D34F7">
        <w:rPr>
          <w:lang w:val="en-GB"/>
        </w:rPr>
        <w:t>nti-</w:t>
      </w:r>
      <w:r>
        <w:rPr>
          <w:lang w:val="en-GB"/>
        </w:rPr>
        <w:t>T</w:t>
      </w:r>
      <w:r w:rsidRPr="008D34F7">
        <w:rPr>
          <w:lang w:val="en-GB"/>
        </w:rPr>
        <w:t xml:space="preserve">errorism </w:t>
      </w:r>
      <w:r>
        <w:rPr>
          <w:lang w:val="en-GB"/>
        </w:rPr>
        <w:t>L</w:t>
      </w:r>
      <w:r w:rsidRPr="008D34F7">
        <w:rPr>
          <w:lang w:val="en-GB"/>
        </w:rPr>
        <w:t>aw ha</w:t>
      </w:r>
      <w:r>
        <w:rPr>
          <w:lang w:val="en-GB"/>
        </w:rPr>
        <w:t>d</w:t>
      </w:r>
      <w:r w:rsidRPr="008D34F7">
        <w:rPr>
          <w:lang w:val="en-GB"/>
        </w:rPr>
        <w:t xml:space="preserve"> been revised and amended in compatibility with international human rights standards</w:t>
      </w:r>
      <w:r>
        <w:rPr>
          <w:lang w:val="en-GB"/>
        </w:rPr>
        <w:t>. It</w:t>
      </w:r>
      <w:r w:rsidRPr="008D34F7">
        <w:rPr>
          <w:lang w:val="en-GB"/>
        </w:rPr>
        <w:t xml:space="preserve"> ensure</w:t>
      </w:r>
      <w:r>
        <w:rPr>
          <w:lang w:val="en-GB"/>
        </w:rPr>
        <w:t>s</w:t>
      </w:r>
      <w:r w:rsidRPr="008D34F7">
        <w:rPr>
          <w:lang w:val="en-GB"/>
        </w:rPr>
        <w:t xml:space="preserve"> that all the constitutionally and legally inviolable human rights are upheld without</w:t>
      </w:r>
      <w:r>
        <w:rPr>
          <w:lang w:val="en-GB"/>
        </w:rPr>
        <w:t xml:space="preserve"> derogation</w:t>
      </w:r>
      <w:r w:rsidRPr="008D34F7">
        <w:rPr>
          <w:lang w:val="en-GB"/>
        </w:rPr>
        <w:t xml:space="preserve">. </w:t>
      </w:r>
      <w:r>
        <w:rPr>
          <w:lang w:val="en-GB"/>
        </w:rPr>
        <w:t>T</w:t>
      </w:r>
      <w:r w:rsidRPr="008D34F7">
        <w:rPr>
          <w:lang w:val="en-GB"/>
        </w:rPr>
        <w:t>he Criminal Procedure</w:t>
      </w:r>
      <w:r>
        <w:rPr>
          <w:lang w:val="en-GB"/>
        </w:rPr>
        <w:t>s Code</w:t>
      </w:r>
      <w:r w:rsidRPr="008D34F7">
        <w:rPr>
          <w:lang w:val="en-GB"/>
        </w:rPr>
        <w:t xml:space="preserve">, </w:t>
      </w:r>
      <w:r>
        <w:rPr>
          <w:lang w:val="en-GB"/>
        </w:rPr>
        <w:t xml:space="preserve">being </w:t>
      </w:r>
      <w:r w:rsidRPr="008D34F7">
        <w:rPr>
          <w:lang w:val="en-GB"/>
        </w:rPr>
        <w:t>the general law regulating criminal proceedings, appl</w:t>
      </w:r>
      <w:r>
        <w:rPr>
          <w:lang w:val="en-GB"/>
        </w:rPr>
        <w:t>ies in case of accusation of</w:t>
      </w:r>
      <w:r w:rsidRPr="008D34F7">
        <w:rPr>
          <w:lang w:val="en-GB"/>
        </w:rPr>
        <w:t xml:space="preserve"> </w:t>
      </w:r>
      <w:r>
        <w:rPr>
          <w:lang w:val="en-GB"/>
        </w:rPr>
        <w:t xml:space="preserve">a crime </w:t>
      </w:r>
      <w:r w:rsidRPr="008D34F7">
        <w:rPr>
          <w:lang w:val="en-GB"/>
        </w:rPr>
        <w:t xml:space="preserve">of a terrorist nature.  </w:t>
      </w:r>
      <w:r>
        <w:rPr>
          <w:i/>
          <w:iCs/>
          <w:lang w:val="en-GB"/>
        </w:rPr>
        <w:t>Review</w:t>
      </w:r>
      <w:r w:rsidRPr="008D34F7">
        <w:rPr>
          <w:lang w:val="en-GB"/>
        </w:rPr>
        <w:t xml:space="preserve"> para. 81 of doc</w:t>
      </w:r>
      <w:r>
        <w:rPr>
          <w:lang w:val="en-GB"/>
        </w:rPr>
        <w:t>ument</w:t>
      </w:r>
      <w:r w:rsidRPr="008D34F7">
        <w:rPr>
          <w:lang w:val="en-GB"/>
        </w:rPr>
        <w:t xml:space="preserve"> A/HRC/WG.6/34/EGY/1.</w:t>
      </w:r>
    </w:p>
  </w:footnote>
  <w:footnote w:id="20">
    <w:p w14:paraId="2B5127A9" w14:textId="324D2B56" w:rsidR="008C61C3" w:rsidRPr="008D34F7" w:rsidRDefault="008C61C3" w:rsidP="002A290B">
      <w:pPr>
        <w:pStyle w:val="FootnoteText"/>
        <w:bidi w:val="0"/>
        <w:spacing w:before="80"/>
        <w:rPr>
          <w:lang w:val="en-GB"/>
        </w:rPr>
      </w:pPr>
      <w:r w:rsidRPr="008D34F7">
        <w:rPr>
          <w:rStyle w:val="FootnoteReference"/>
          <w:lang w:val="en-GB"/>
        </w:rPr>
        <w:footnoteRef/>
      </w:r>
      <w:r>
        <w:rPr>
          <w:lang w:val="en-GB"/>
        </w:rPr>
        <w:t xml:space="preserve"> Ibid</w:t>
      </w:r>
      <w:r w:rsidRPr="008D34F7">
        <w:rPr>
          <w:lang w:val="en-GB"/>
        </w:rPr>
        <w:t>.</w:t>
      </w:r>
    </w:p>
  </w:footnote>
  <w:footnote w:id="21">
    <w:p w14:paraId="64D0C21D" w14:textId="64957B80"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Pr>
          <w:lang w:val="en-GB"/>
        </w:rPr>
        <w:t xml:space="preserve">The law prohibits the </w:t>
      </w:r>
      <w:r w:rsidRPr="008D34F7">
        <w:rPr>
          <w:lang w:val="en-GB"/>
        </w:rPr>
        <w:t>attestation of marriage contracts of</w:t>
      </w:r>
      <w:r>
        <w:rPr>
          <w:lang w:val="en-GB"/>
        </w:rPr>
        <w:t xml:space="preserve"> anyone </w:t>
      </w:r>
      <w:r w:rsidRPr="008D34F7">
        <w:rPr>
          <w:lang w:val="en-GB"/>
        </w:rPr>
        <w:t>less than 18 calendar years of age</w:t>
      </w:r>
      <w:r w:rsidRPr="001A356B">
        <w:rPr>
          <w:lang w:val="en-GB"/>
        </w:rPr>
        <w:t xml:space="preserve"> </w:t>
      </w:r>
      <w:r>
        <w:rPr>
          <w:lang w:val="en-GB"/>
        </w:rPr>
        <w:t>from both sexes</w:t>
      </w:r>
      <w:r w:rsidRPr="008D34F7">
        <w:rPr>
          <w:lang w:val="en-GB"/>
        </w:rPr>
        <w:t>.</w:t>
      </w:r>
    </w:p>
  </w:footnote>
  <w:footnote w:id="22">
    <w:p w14:paraId="0C4A9677" w14:textId="55AFC5CD"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Pr>
          <w:lang w:val="en-GB"/>
        </w:rPr>
        <w:t>N</w:t>
      </w:r>
      <w:r w:rsidRPr="008D34F7">
        <w:rPr>
          <w:lang w:val="en-GB"/>
        </w:rPr>
        <w:t>o mass sentences</w:t>
      </w:r>
      <w:r w:rsidRPr="008D34F7">
        <w:rPr>
          <w:rtl/>
          <w:lang w:val="en-GB"/>
        </w:rPr>
        <w:t xml:space="preserve"> </w:t>
      </w:r>
      <w:r w:rsidRPr="008D34F7">
        <w:rPr>
          <w:lang w:val="en-GB"/>
        </w:rPr>
        <w:t>are passed; nevertheless, culprits of the same crime stand trial in the same proceedings.</w:t>
      </w:r>
    </w:p>
  </w:footnote>
  <w:footnote w:id="23">
    <w:p w14:paraId="08AFF1BE" w14:textId="21CAE0CF" w:rsidR="008C61C3" w:rsidRPr="008D34F7" w:rsidRDefault="008C61C3" w:rsidP="0029706E">
      <w:pPr>
        <w:pStyle w:val="FootnoteText"/>
        <w:bidi w:val="0"/>
        <w:spacing w:before="80"/>
        <w:rPr>
          <w:lang w:val="en-GB"/>
        </w:rPr>
      </w:pPr>
      <w:r w:rsidRPr="008D34F7">
        <w:rPr>
          <w:rStyle w:val="FootnoteReference"/>
          <w:lang w:val="en-GB"/>
        </w:rPr>
        <w:footnoteRef/>
      </w:r>
      <w:r w:rsidRPr="008D34F7">
        <w:rPr>
          <w:rtl/>
          <w:lang w:val="en-GB"/>
        </w:rPr>
        <w:t xml:space="preserve"> </w:t>
      </w:r>
      <w:r>
        <w:rPr>
          <w:lang w:val="en-GB"/>
        </w:rPr>
        <w:t>No one faces imprisonment i</w:t>
      </w:r>
      <w:r w:rsidRPr="008D34F7">
        <w:rPr>
          <w:lang w:val="en-GB"/>
        </w:rPr>
        <w:t xml:space="preserve">n Egypt </w:t>
      </w:r>
      <w:r>
        <w:rPr>
          <w:lang w:val="en-GB"/>
        </w:rPr>
        <w:t xml:space="preserve">for </w:t>
      </w:r>
      <w:r w:rsidRPr="008D34F7">
        <w:rPr>
          <w:lang w:val="en-GB"/>
        </w:rPr>
        <w:t xml:space="preserve">exercising the </w:t>
      </w:r>
      <w:r>
        <w:rPr>
          <w:lang w:val="en-GB"/>
        </w:rPr>
        <w:t xml:space="preserve">right to </w:t>
      </w:r>
      <w:r w:rsidRPr="008D34F7">
        <w:rPr>
          <w:lang w:val="en-GB"/>
        </w:rPr>
        <w:t xml:space="preserve">freedom of expression or the right to </w:t>
      </w:r>
      <w:r>
        <w:rPr>
          <w:lang w:val="en-GB"/>
        </w:rPr>
        <w:t xml:space="preserve">freedom of </w:t>
      </w:r>
      <w:r w:rsidRPr="008D34F7">
        <w:rPr>
          <w:lang w:val="en-GB"/>
        </w:rPr>
        <w:t>associations or peaceful assembly. However</w:t>
      </w:r>
      <w:r w:rsidR="00B70D50" w:rsidRPr="008D34F7">
        <w:rPr>
          <w:lang w:val="en-GB"/>
        </w:rPr>
        <w:t xml:space="preserve">, </w:t>
      </w:r>
      <w:r w:rsidR="00B70D50">
        <w:rPr>
          <w:lang w:val="en-GB"/>
        </w:rPr>
        <w:t>violating</w:t>
      </w:r>
      <w:r w:rsidRPr="008D34F7">
        <w:rPr>
          <w:lang w:val="en-GB"/>
        </w:rPr>
        <w:t xml:space="preserve"> </w:t>
      </w:r>
      <w:r>
        <w:rPr>
          <w:lang w:val="en-GB"/>
        </w:rPr>
        <w:t>the</w:t>
      </w:r>
      <w:r w:rsidRPr="008D34F7">
        <w:rPr>
          <w:lang w:val="en-GB"/>
        </w:rPr>
        <w:t xml:space="preserve"> law entails punishment. </w:t>
      </w:r>
      <w:r>
        <w:rPr>
          <w:i/>
          <w:iCs/>
          <w:lang w:val="en-GB"/>
        </w:rPr>
        <w:t>Review</w:t>
      </w:r>
      <w:r w:rsidRPr="008D34F7">
        <w:rPr>
          <w:lang w:val="en-GB"/>
        </w:rPr>
        <w:t xml:space="preserve"> </w:t>
      </w:r>
      <w:r>
        <w:rPr>
          <w:lang w:val="en-GB"/>
        </w:rPr>
        <w:t xml:space="preserve">paras. 12-15 of </w:t>
      </w:r>
      <w:r w:rsidRPr="008D34F7">
        <w:rPr>
          <w:lang w:val="en-GB"/>
        </w:rPr>
        <w:t>doc</w:t>
      </w:r>
      <w:r>
        <w:rPr>
          <w:lang w:val="en-GB"/>
        </w:rPr>
        <w:t>ument</w:t>
      </w:r>
      <w:r w:rsidRPr="008D34F7">
        <w:rPr>
          <w:lang w:val="en-GB"/>
        </w:rPr>
        <w:t xml:space="preserve"> A/HRC/WG.6/34/EGY/1.</w:t>
      </w:r>
    </w:p>
  </w:footnote>
  <w:footnote w:id="24">
    <w:p w14:paraId="650BCAE9" w14:textId="3CCC3CEF"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sidRPr="00496142">
        <w:rPr>
          <w:i/>
          <w:iCs/>
          <w:lang w:val="en-GB"/>
        </w:rPr>
        <w:t>See</w:t>
      </w:r>
      <w:r>
        <w:rPr>
          <w:lang w:val="en-GB"/>
        </w:rPr>
        <w:t xml:space="preserve"> </w:t>
      </w:r>
      <w:r w:rsidRPr="008D34F7">
        <w:rPr>
          <w:lang w:val="en-GB"/>
        </w:rPr>
        <w:t xml:space="preserve">footnote 48. Recently, the remaining laws </w:t>
      </w:r>
      <w:r>
        <w:rPr>
          <w:lang w:val="en-GB"/>
        </w:rPr>
        <w:t xml:space="preserve">referred to </w:t>
      </w:r>
      <w:r w:rsidRPr="008D34F7">
        <w:rPr>
          <w:lang w:val="en-GB"/>
        </w:rPr>
        <w:t>have been either enacted or amended</w:t>
      </w:r>
      <w:r>
        <w:rPr>
          <w:lang w:val="en-GB"/>
        </w:rPr>
        <w:t xml:space="preserve"> in accordance with International Human Rights Law</w:t>
      </w:r>
      <w:r w:rsidRPr="008D34F7">
        <w:rPr>
          <w:lang w:val="en-GB"/>
        </w:rPr>
        <w:t xml:space="preserve">. </w:t>
      </w:r>
      <w:r>
        <w:rPr>
          <w:lang w:val="en-GB"/>
        </w:rPr>
        <w:t xml:space="preserve">Practical implementation will </w:t>
      </w:r>
      <w:r w:rsidR="00B70D50">
        <w:rPr>
          <w:lang w:val="en-GB"/>
        </w:rPr>
        <w:t xml:space="preserve">demonstrate </w:t>
      </w:r>
      <w:r w:rsidR="00B70D50" w:rsidRPr="008D34F7">
        <w:rPr>
          <w:lang w:val="en-GB"/>
        </w:rPr>
        <w:t>whether</w:t>
      </w:r>
      <w:r w:rsidRPr="008D34F7">
        <w:rPr>
          <w:lang w:val="en-GB"/>
        </w:rPr>
        <w:t xml:space="preserve"> </w:t>
      </w:r>
      <w:r>
        <w:rPr>
          <w:lang w:val="en-GB"/>
        </w:rPr>
        <w:t xml:space="preserve">further </w:t>
      </w:r>
      <w:r w:rsidRPr="008D34F7">
        <w:rPr>
          <w:lang w:val="en-GB"/>
        </w:rPr>
        <w:t xml:space="preserve">amendments </w:t>
      </w:r>
      <w:r>
        <w:rPr>
          <w:lang w:val="en-GB"/>
        </w:rPr>
        <w:t xml:space="preserve">need to </w:t>
      </w:r>
      <w:r w:rsidRPr="008D34F7">
        <w:rPr>
          <w:lang w:val="en-GB"/>
        </w:rPr>
        <w:t>be introduced.</w:t>
      </w:r>
    </w:p>
  </w:footnote>
  <w:footnote w:id="25">
    <w:p w14:paraId="175AF527" w14:textId="1C254CF1"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sidRPr="00496142">
        <w:rPr>
          <w:i/>
          <w:iCs/>
          <w:lang w:val="en-GB"/>
        </w:rPr>
        <w:t>See</w:t>
      </w:r>
      <w:r>
        <w:rPr>
          <w:lang w:val="en-GB"/>
        </w:rPr>
        <w:t xml:space="preserve"> </w:t>
      </w:r>
      <w:r w:rsidRPr="008D34F7">
        <w:rPr>
          <w:lang w:val="en-GB"/>
        </w:rPr>
        <w:t xml:space="preserve">footnote 48. Pursuant to article 184 of the Constitution, any interference in matters of justice or </w:t>
      </w:r>
      <w:r>
        <w:rPr>
          <w:lang w:val="en-GB"/>
        </w:rPr>
        <w:t xml:space="preserve">judicial </w:t>
      </w:r>
      <w:r w:rsidRPr="008D34F7">
        <w:rPr>
          <w:lang w:val="en-GB"/>
        </w:rPr>
        <w:t>proceedings is an imprescriptible</w:t>
      </w:r>
      <w:r>
        <w:rPr>
          <w:lang w:val="en-GB"/>
        </w:rPr>
        <w:t xml:space="preserve"> crime</w:t>
      </w:r>
      <w:r w:rsidRPr="008D34F7">
        <w:rPr>
          <w:lang w:val="en-GB"/>
        </w:rPr>
        <w:t>.</w:t>
      </w:r>
    </w:p>
  </w:footnote>
  <w:footnote w:id="26">
    <w:p w14:paraId="3A3656A2" w14:textId="5E057066" w:rsidR="008C61C3" w:rsidRPr="008D34F7" w:rsidRDefault="008C61C3" w:rsidP="00B70D50">
      <w:pPr>
        <w:pStyle w:val="FootnoteText"/>
        <w:bidi w:val="0"/>
        <w:rPr>
          <w:lang w:val="en-GB"/>
        </w:rPr>
      </w:pPr>
      <w:r w:rsidRPr="008D34F7">
        <w:rPr>
          <w:rStyle w:val="FootnoteReference"/>
          <w:lang w:val="en-GB"/>
        </w:rPr>
        <w:footnoteRef/>
      </w:r>
      <w:r w:rsidRPr="008D34F7">
        <w:rPr>
          <w:rtl/>
          <w:lang w:val="en-GB"/>
        </w:rPr>
        <w:t xml:space="preserve"> </w:t>
      </w:r>
      <w:r w:rsidRPr="00496142">
        <w:rPr>
          <w:i/>
          <w:iCs/>
          <w:lang w:val="en-GB"/>
        </w:rPr>
        <w:t>See</w:t>
      </w:r>
      <w:r w:rsidRPr="008D34F7">
        <w:rPr>
          <w:lang w:val="en-GB"/>
        </w:rPr>
        <w:t xml:space="preserve"> footnote 2.</w:t>
      </w:r>
    </w:p>
  </w:footnote>
  <w:footnote w:id="27">
    <w:p w14:paraId="45CB5CA9" w14:textId="04036BA5" w:rsidR="008C61C3" w:rsidRPr="008D34F7" w:rsidRDefault="008C61C3" w:rsidP="00977825">
      <w:pPr>
        <w:pStyle w:val="FootnoteText"/>
        <w:bidi w:val="0"/>
        <w:spacing w:before="80"/>
        <w:rPr>
          <w:lang w:val="en-GB"/>
        </w:rPr>
      </w:pPr>
      <w:r w:rsidRPr="008D34F7">
        <w:rPr>
          <w:rStyle w:val="FootnoteReference"/>
          <w:lang w:val="en-GB"/>
        </w:rPr>
        <w:footnoteRef/>
      </w:r>
      <w:r w:rsidR="00382F8A">
        <w:rPr>
          <w:lang w:val="en-GB"/>
        </w:rPr>
        <w:t xml:space="preserve"> </w:t>
      </w:r>
      <w:r>
        <w:rPr>
          <w:lang w:val="en-GB"/>
        </w:rPr>
        <w:t>Ibid</w:t>
      </w:r>
      <w:r w:rsidRPr="008D34F7">
        <w:rPr>
          <w:lang w:val="en-GB"/>
        </w:rPr>
        <w:t>.</w:t>
      </w:r>
    </w:p>
  </w:footnote>
  <w:footnote w:id="28">
    <w:p w14:paraId="63AD14C3" w14:textId="4750DB8C" w:rsidR="008C61C3" w:rsidRPr="008D34F7" w:rsidRDefault="008C61C3" w:rsidP="00977825">
      <w:pPr>
        <w:pStyle w:val="FootnoteText"/>
        <w:bidi w:val="0"/>
        <w:spacing w:before="80"/>
        <w:rPr>
          <w:lang w:val="en-GB"/>
        </w:rPr>
      </w:pPr>
      <w:r w:rsidRPr="008D34F7">
        <w:rPr>
          <w:rStyle w:val="FootnoteReference"/>
          <w:lang w:val="en-GB"/>
        </w:rPr>
        <w:footnoteRef/>
      </w:r>
      <w:r w:rsidR="00382F8A">
        <w:rPr>
          <w:lang w:val="en-GB"/>
        </w:rPr>
        <w:t xml:space="preserve"> </w:t>
      </w:r>
      <w:r>
        <w:rPr>
          <w:lang w:val="en-GB"/>
        </w:rPr>
        <w:t>Ibid</w:t>
      </w:r>
      <w:r w:rsidRPr="008D34F7">
        <w:rPr>
          <w:lang w:val="en-GB"/>
        </w:rPr>
        <w:t>.</w:t>
      </w:r>
    </w:p>
  </w:footnote>
  <w:footnote w:id="29">
    <w:p w14:paraId="763C6C71" w14:textId="49DD3BED" w:rsidR="008C61C3" w:rsidRPr="008D34F7" w:rsidRDefault="008C61C3" w:rsidP="00977825">
      <w:pPr>
        <w:pStyle w:val="FootnoteText"/>
        <w:bidi w:val="0"/>
        <w:spacing w:before="80"/>
        <w:rPr>
          <w:lang w:val="en-GB"/>
        </w:rPr>
      </w:pPr>
      <w:r w:rsidRPr="008D34F7">
        <w:rPr>
          <w:rStyle w:val="FootnoteReference"/>
          <w:lang w:val="en-GB"/>
        </w:rPr>
        <w:footnoteRef/>
      </w:r>
      <w:r w:rsidR="00382F8A">
        <w:rPr>
          <w:lang w:val="en-GB"/>
        </w:rPr>
        <w:t xml:space="preserve"> </w:t>
      </w:r>
      <w:r>
        <w:rPr>
          <w:lang w:val="en-GB"/>
        </w:rPr>
        <w:t>Ibid</w:t>
      </w:r>
      <w:r w:rsidRPr="008D34F7">
        <w:rPr>
          <w:lang w:val="en-GB"/>
        </w:rPr>
        <w:t>.</w:t>
      </w:r>
    </w:p>
  </w:footnote>
  <w:footnote w:id="30">
    <w:p w14:paraId="07F16CAA" w14:textId="1148AD86" w:rsidR="008C61C3" w:rsidRPr="008D34F7" w:rsidRDefault="008C61C3" w:rsidP="00977825">
      <w:pPr>
        <w:pStyle w:val="FootnoteText"/>
        <w:bidi w:val="0"/>
        <w:spacing w:before="80"/>
        <w:rPr>
          <w:lang w:val="en-GB"/>
        </w:rPr>
      </w:pPr>
      <w:r w:rsidRPr="008D34F7">
        <w:rPr>
          <w:rStyle w:val="FootnoteReference"/>
          <w:lang w:val="en-GB"/>
        </w:rPr>
        <w:footnoteRef/>
      </w:r>
      <w:r w:rsidRPr="008D34F7">
        <w:rPr>
          <w:rtl/>
          <w:lang w:val="en-GB"/>
        </w:rPr>
        <w:t xml:space="preserve"> </w:t>
      </w:r>
      <w:r>
        <w:rPr>
          <w:lang w:val="en-GB"/>
        </w:rPr>
        <w:t>Ibid</w:t>
      </w:r>
      <w:r w:rsidRPr="008D34F7">
        <w:rPr>
          <w:lang w:val="en-GB"/>
        </w:rPr>
        <w:t>.</w:t>
      </w:r>
    </w:p>
  </w:footnote>
  <w:footnote w:id="31">
    <w:p w14:paraId="3835A457" w14:textId="12454DFE" w:rsidR="008C61C3" w:rsidRPr="008D34F7" w:rsidRDefault="008C61C3" w:rsidP="00977825">
      <w:pPr>
        <w:pStyle w:val="FootnoteText"/>
        <w:bidi w:val="0"/>
        <w:spacing w:before="80"/>
        <w:rPr>
          <w:lang w:val="en-GB"/>
        </w:rPr>
      </w:pPr>
      <w:r w:rsidRPr="008D34F7">
        <w:rPr>
          <w:rStyle w:val="FootnoteReference"/>
          <w:lang w:val="en-GB"/>
        </w:rPr>
        <w:footnoteRef/>
      </w:r>
      <w:r w:rsidR="00382F8A">
        <w:rPr>
          <w:lang w:val="en-GB"/>
        </w:rPr>
        <w:t xml:space="preserve"> </w:t>
      </w:r>
      <w:r>
        <w:rPr>
          <w:lang w:val="en-GB"/>
        </w:rPr>
        <w:t>Ibid</w:t>
      </w:r>
      <w:r w:rsidRPr="008D34F7">
        <w:rPr>
          <w:lang w:val="en-GB"/>
        </w:rPr>
        <w:t>.</w:t>
      </w:r>
    </w:p>
  </w:footnote>
  <w:footnote w:id="32">
    <w:p w14:paraId="18DC7CB3" w14:textId="07CDD3D5" w:rsidR="008C61C3" w:rsidRPr="008D34F7" w:rsidRDefault="008C61C3" w:rsidP="00977825">
      <w:pPr>
        <w:pStyle w:val="FootnoteText"/>
        <w:bidi w:val="0"/>
        <w:spacing w:before="80"/>
        <w:rPr>
          <w:lang w:val="en-GB"/>
        </w:rPr>
      </w:pPr>
      <w:r w:rsidRPr="008D34F7">
        <w:rPr>
          <w:rStyle w:val="FootnoteReference"/>
          <w:lang w:val="en-GB"/>
        </w:rPr>
        <w:footnoteRef/>
      </w:r>
      <w:r w:rsidR="00382F8A">
        <w:rPr>
          <w:lang w:val="en-GB"/>
        </w:rPr>
        <w:t xml:space="preserve"> </w:t>
      </w:r>
      <w:r>
        <w:rPr>
          <w:lang w:val="en-GB"/>
        </w:rPr>
        <w:t>Ibid</w:t>
      </w:r>
      <w:r w:rsidRPr="008D34F7">
        <w:rPr>
          <w:lang w:val="en-GB"/>
        </w:rPr>
        <w:t>.</w:t>
      </w:r>
    </w:p>
  </w:footnote>
  <w:footnote w:id="33">
    <w:p w14:paraId="24845FE4" w14:textId="7E443B96" w:rsidR="008C61C3" w:rsidRPr="008D34F7" w:rsidRDefault="008C61C3" w:rsidP="00977825">
      <w:pPr>
        <w:pStyle w:val="FootnoteText"/>
        <w:bidi w:val="0"/>
        <w:spacing w:before="80"/>
        <w:rPr>
          <w:lang w:val="en-GB"/>
        </w:rPr>
      </w:pPr>
      <w:r w:rsidRPr="008D34F7">
        <w:rPr>
          <w:rStyle w:val="FootnoteReference"/>
          <w:lang w:val="en-GB"/>
        </w:rPr>
        <w:footnoteRef/>
      </w:r>
      <w:r w:rsidR="00382F8A">
        <w:rPr>
          <w:lang w:val="en-GB"/>
        </w:rPr>
        <w:t xml:space="preserve"> </w:t>
      </w:r>
      <w:r>
        <w:rPr>
          <w:lang w:val="en-GB"/>
        </w:rPr>
        <w:t>Ibid</w:t>
      </w:r>
      <w:r w:rsidRPr="008D34F7">
        <w:rPr>
          <w:lang w:val="en-GB"/>
        </w:rPr>
        <w:t>.</w:t>
      </w:r>
    </w:p>
  </w:footnote>
  <w:footnote w:id="34">
    <w:p w14:paraId="352E9DE1" w14:textId="63EB30D4" w:rsidR="008C61C3" w:rsidRPr="008D34F7" w:rsidRDefault="008C61C3" w:rsidP="008C61C3">
      <w:pPr>
        <w:pStyle w:val="FootnoteText"/>
        <w:bidi w:val="0"/>
        <w:spacing w:before="80"/>
        <w:rPr>
          <w:lang w:val="en-GB"/>
        </w:rPr>
      </w:pPr>
      <w:r w:rsidRPr="008D34F7">
        <w:rPr>
          <w:rStyle w:val="FootnoteReference"/>
          <w:lang w:val="en-GB"/>
        </w:rPr>
        <w:footnoteRef/>
      </w:r>
      <w:r w:rsidRPr="008D34F7">
        <w:rPr>
          <w:rtl/>
          <w:lang w:val="en-GB"/>
        </w:rPr>
        <w:t xml:space="preserve"> </w:t>
      </w:r>
      <w:r>
        <w:rPr>
          <w:lang w:val="en-GB"/>
        </w:rPr>
        <w:t xml:space="preserve">The </w:t>
      </w:r>
      <w:r w:rsidRPr="008D34F7">
        <w:rPr>
          <w:lang w:val="en-GB"/>
        </w:rPr>
        <w:t xml:space="preserve">law </w:t>
      </w:r>
      <w:r>
        <w:rPr>
          <w:lang w:val="en-GB"/>
        </w:rPr>
        <w:t>allows for the imposition of the death penalty for the most serious crimes, similar to many countries worldwide, in accordance with A</w:t>
      </w:r>
      <w:r w:rsidRPr="008D34F7">
        <w:rPr>
          <w:lang w:val="en-GB"/>
        </w:rPr>
        <w:t xml:space="preserve">rticle 6 of ICCPR. However, the law has </w:t>
      </w:r>
      <w:r>
        <w:rPr>
          <w:lang w:val="en-GB"/>
        </w:rPr>
        <w:t xml:space="preserve">restricted </w:t>
      </w:r>
      <w:r w:rsidRPr="008D34F7">
        <w:rPr>
          <w:lang w:val="en-GB"/>
        </w:rPr>
        <w:t xml:space="preserve">such punishment </w:t>
      </w:r>
      <w:r>
        <w:rPr>
          <w:lang w:val="en-GB"/>
        </w:rPr>
        <w:t>by</w:t>
      </w:r>
      <w:r w:rsidRPr="008D34F7">
        <w:rPr>
          <w:lang w:val="en-GB"/>
        </w:rPr>
        <w:t xml:space="preserve"> guarantees that strike a balance between the </w:t>
      </w:r>
      <w:r>
        <w:rPr>
          <w:lang w:val="en-GB"/>
        </w:rPr>
        <w:t xml:space="preserve">society’s </w:t>
      </w:r>
      <w:r w:rsidRPr="008D34F7">
        <w:rPr>
          <w:lang w:val="en-GB"/>
        </w:rPr>
        <w:t xml:space="preserve">right to general deterrence and the </w:t>
      </w:r>
      <w:r>
        <w:rPr>
          <w:lang w:val="en-GB"/>
        </w:rPr>
        <w:t xml:space="preserve">individual’s </w:t>
      </w:r>
      <w:r w:rsidRPr="008D34F7">
        <w:rPr>
          <w:lang w:val="en-GB"/>
        </w:rPr>
        <w:t>right to life.</w:t>
      </w:r>
      <w:r>
        <w:rPr>
          <w:lang w:val="en-GB"/>
        </w:rPr>
        <w:t xml:space="preserve"> Meanwhile</w:t>
      </w:r>
      <w:r w:rsidRPr="008D34F7">
        <w:rPr>
          <w:lang w:val="en-GB"/>
        </w:rPr>
        <w:t xml:space="preserve">, </w:t>
      </w:r>
      <w:r>
        <w:rPr>
          <w:lang w:val="en-GB"/>
        </w:rPr>
        <w:t xml:space="preserve">the law ordains the application of </w:t>
      </w:r>
      <w:r w:rsidRPr="008D34F7">
        <w:rPr>
          <w:lang w:val="en-GB"/>
        </w:rPr>
        <w:t xml:space="preserve">all </w:t>
      </w:r>
      <w:r>
        <w:rPr>
          <w:lang w:val="en-GB"/>
        </w:rPr>
        <w:t xml:space="preserve">fair trial </w:t>
      </w:r>
      <w:r w:rsidRPr="008D34F7">
        <w:rPr>
          <w:lang w:val="en-GB"/>
        </w:rPr>
        <w:t xml:space="preserve">standards, and </w:t>
      </w:r>
      <w:r>
        <w:rPr>
          <w:lang w:val="en-GB"/>
        </w:rPr>
        <w:t xml:space="preserve">that </w:t>
      </w:r>
      <w:r w:rsidRPr="008D34F7">
        <w:rPr>
          <w:lang w:val="en-GB"/>
        </w:rPr>
        <w:t xml:space="preserve">the convicted shall not be subject to any kind of violation or cruelty.  </w:t>
      </w:r>
      <w:r>
        <w:rPr>
          <w:lang w:val="en-GB"/>
        </w:rPr>
        <w:t>Death sentences are</w:t>
      </w:r>
      <w:r w:rsidRPr="008D34F7">
        <w:rPr>
          <w:lang w:val="en-GB"/>
        </w:rPr>
        <w:t xml:space="preserve"> </w:t>
      </w:r>
      <w:r>
        <w:rPr>
          <w:lang w:val="en-GB"/>
        </w:rPr>
        <w:t xml:space="preserve">subject to review </w:t>
      </w:r>
      <w:r w:rsidRPr="008D34F7">
        <w:rPr>
          <w:lang w:val="en-GB"/>
        </w:rPr>
        <w:t>by the higher court, pursuant to the provisions of the Constitution and the law.</w:t>
      </w:r>
    </w:p>
  </w:footnote>
  <w:footnote w:id="35">
    <w:p w14:paraId="5AE3C9F1" w14:textId="51C08164" w:rsidR="008C61C3" w:rsidRPr="008D34F7" w:rsidRDefault="008C61C3" w:rsidP="0029706E">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The legislative, judicial and executive system</w:t>
      </w:r>
      <w:r>
        <w:rPr>
          <w:lang w:val="en-GB"/>
        </w:rPr>
        <w:t>s</w:t>
      </w:r>
      <w:r w:rsidRPr="008D34F7">
        <w:rPr>
          <w:lang w:val="en-GB"/>
        </w:rPr>
        <w:t xml:space="preserve"> </w:t>
      </w:r>
      <w:r>
        <w:rPr>
          <w:lang w:val="en-GB"/>
        </w:rPr>
        <w:t xml:space="preserve">encompass </w:t>
      </w:r>
      <w:r w:rsidRPr="008D34F7">
        <w:rPr>
          <w:lang w:val="en-GB"/>
        </w:rPr>
        <w:t xml:space="preserve">a number of controls that prevent </w:t>
      </w:r>
      <w:r>
        <w:rPr>
          <w:lang w:val="en-GB"/>
        </w:rPr>
        <w:t xml:space="preserve">the practices of </w:t>
      </w:r>
      <w:r w:rsidRPr="008D34F7">
        <w:rPr>
          <w:lang w:val="en-GB"/>
        </w:rPr>
        <w:t xml:space="preserve">torture and </w:t>
      </w:r>
      <w:r>
        <w:rPr>
          <w:lang w:val="en-GB"/>
        </w:rPr>
        <w:t xml:space="preserve">other </w:t>
      </w:r>
      <w:r w:rsidRPr="008D34F7">
        <w:rPr>
          <w:lang w:val="en-GB"/>
        </w:rPr>
        <w:t xml:space="preserve">cruel, inhuman and degrading treatment. Such </w:t>
      </w:r>
      <w:r w:rsidR="00B70D50" w:rsidRPr="008D34F7">
        <w:rPr>
          <w:lang w:val="en-GB"/>
        </w:rPr>
        <w:t>controls ensure</w:t>
      </w:r>
      <w:r>
        <w:rPr>
          <w:lang w:val="en-GB"/>
        </w:rPr>
        <w:t xml:space="preserve"> </w:t>
      </w:r>
      <w:r w:rsidRPr="008D34F7">
        <w:rPr>
          <w:lang w:val="en-GB"/>
        </w:rPr>
        <w:t>monitor</w:t>
      </w:r>
      <w:r>
        <w:rPr>
          <w:lang w:val="en-GB"/>
        </w:rPr>
        <w:t>ing</w:t>
      </w:r>
      <w:r w:rsidRPr="008D34F7">
        <w:rPr>
          <w:lang w:val="en-GB"/>
        </w:rPr>
        <w:t xml:space="preserve"> prisons and detention facilities, </w:t>
      </w:r>
      <w:r>
        <w:rPr>
          <w:lang w:val="en-GB"/>
        </w:rPr>
        <w:t xml:space="preserve">and </w:t>
      </w:r>
      <w:r w:rsidRPr="008D34F7">
        <w:rPr>
          <w:lang w:val="en-GB"/>
        </w:rPr>
        <w:t>safeguarding the rights of detainees and persons held in pre-trial detention. Immediate investigat</w:t>
      </w:r>
      <w:r>
        <w:rPr>
          <w:lang w:val="en-GB"/>
        </w:rPr>
        <w:t>ions in torture allegations are carried out</w:t>
      </w:r>
      <w:r w:rsidRPr="008D34F7">
        <w:rPr>
          <w:lang w:val="en-GB"/>
        </w:rPr>
        <w:t xml:space="preserve"> </w:t>
      </w:r>
      <w:r>
        <w:rPr>
          <w:lang w:val="en-GB"/>
        </w:rPr>
        <w:t>by the c</w:t>
      </w:r>
      <w:r w:rsidRPr="008D34F7">
        <w:rPr>
          <w:lang w:val="en-GB"/>
        </w:rPr>
        <w:t xml:space="preserve">ompetent judicial authorities, to verify them and ensure that </w:t>
      </w:r>
      <w:r>
        <w:rPr>
          <w:lang w:val="en-GB"/>
        </w:rPr>
        <w:t xml:space="preserve">the perpetrators of </w:t>
      </w:r>
      <w:r w:rsidRPr="008D34F7">
        <w:rPr>
          <w:lang w:val="en-GB"/>
        </w:rPr>
        <w:t xml:space="preserve">individual violations are duly punished </w:t>
      </w:r>
      <w:r>
        <w:rPr>
          <w:lang w:val="en-GB"/>
        </w:rPr>
        <w:t xml:space="preserve">and do not enjoy </w:t>
      </w:r>
      <w:r w:rsidRPr="008D34F7">
        <w:rPr>
          <w:lang w:val="en-GB"/>
        </w:rPr>
        <w:t>impunity, and that the rights of victims are</w:t>
      </w:r>
      <w:r>
        <w:rPr>
          <w:lang w:val="en-GB"/>
        </w:rPr>
        <w:t xml:space="preserve"> safeguarded</w:t>
      </w:r>
      <w:r w:rsidRPr="008D34F7">
        <w:rPr>
          <w:lang w:val="en-GB"/>
        </w:rPr>
        <w:t xml:space="preserve">. </w:t>
      </w:r>
      <w:r>
        <w:rPr>
          <w:i/>
          <w:iCs/>
          <w:lang w:val="en-GB"/>
        </w:rPr>
        <w:t>Review</w:t>
      </w:r>
      <w:r w:rsidRPr="00027B13">
        <w:rPr>
          <w:i/>
          <w:iCs/>
          <w:lang w:val="en-GB"/>
        </w:rPr>
        <w:t xml:space="preserve"> </w:t>
      </w:r>
      <w:r w:rsidRPr="008D34F7">
        <w:rPr>
          <w:lang w:val="en-GB"/>
        </w:rPr>
        <w:t>paras. 25 and 26 of doc</w:t>
      </w:r>
      <w:r>
        <w:rPr>
          <w:lang w:val="en-GB"/>
        </w:rPr>
        <w:t>ument</w:t>
      </w:r>
      <w:r w:rsidRPr="008D34F7">
        <w:rPr>
          <w:lang w:val="en-GB"/>
        </w:rPr>
        <w:t xml:space="preserve"> A/HRC/WG.6/34/EGY/1.</w:t>
      </w:r>
    </w:p>
  </w:footnote>
  <w:footnote w:id="36">
    <w:p w14:paraId="2EFDB185" w14:textId="36765F07"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sidRPr="00027B13">
        <w:rPr>
          <w:i/>
          <w:iCs/>
          <w:lang w:val="en-GB"/>
        </w:rPr>
        <w:t>See</w:t>
      </w:r>
      <w:r>
        <w:rPr>
          <w:lang w:val="en-GB"/>
        </w:rPr>
        <w:t xml:space="preserve"> </w:t>
      </w:r>
      <w:r w:rsidRPr="008D34F7">
        <w:rPr>
          <w:lang w:val="en-GB"/>
        </w:rPr>
        <w:t>footnote 12.</w:t>
      </w:r>
    </w:p>
  </w:footnote>
  <w:footnote w:id="37">
    <w:p w14:paraId="34A608B5" w14:textId="76285D9E"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sidRPr="00027B13">
        <w:rPr>
          <w:i/>
          <w:iCs/>
          <w:lang w:val="en-GB"/>
        </w:rPr>
        <w:t>See</w:t>
      </w:r>
      <w:r>
        <w:rPr>
          <w:lang w:val="en-GB"/>
        </w:rPr>
        <w:t xml:space="preserve"> </w:t>
      </w:r>
      <w:r w:rsidRPr="008D34F7">
        <w:rPr>
          <w:lang w:val="en-GB"/>
        </w:rPr>
        <w:t>footnotes 12, 23 and 35.</w:t>
      </w:r>
    </w:p>
  </w:footnote>
  <w:footnote w:id="38">
    <w:p w14:paraId="3086B588" w14:textId="059C5A95"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sidRPr="00027B13">
        <w:rPr>
          <w:i/>
          <w:iCs/>
          <w:lang w:val="en-GB"/>
        </w:rPr>
        <w:t>See</w:t>
      </w:r>
      <w:r>
        <w:rPr>
          <w:lang w:val="en-GB"/>
        </w:rPr>
        <w:t xml:space="preserve"> </w:t>
      </w:r>
      <w:r w:rsidRPr="008D34F7">
        <w:rPr>
          <w:lang w:val="en-GB"/>
        </w:rPr>
        <w:t>footnotes 23 and 25.</w:t>
      </w:r>
    </w:p>
  </w:footnote>
  <w:footnote w:id="39">
    <w:p w14:paraId="44AEB411" w14:textId="5A4BB40F" w:rsidR="008C61C3" w:rsidRPr="008D34F7" w:rsidRDefault="008C61C3" w:rsidP="00977825">
      <w:pPr>
        <w:pStyle w:val="FootnoteText"/>
        <w:bidi w:val="0"/>
        <w:spacing w:before="80"/>
        <w:rPr>
          <w:lang w:val="en-GB"/>
        </w:rPr>
      </w:pPr>
      <w:r w:rsidRPr="008D34F7">
        <w:rPr>
          <w:rStyle w:val="FootnoteReference"/>
          <w:lang w:val="en-GB"/>
        </w:rPr>
        <w:footnoteRef/>
      </w:r>
      <w:r w:rsidRPr="008D34F7">
        <w:rPr>
          <w:rtl/>
          <w:lang w:val="en-GB"/>
        </w:rPr>
        <w:t xml:space="preserve"> </w:t>
      </w:r>
      <w:r>
        <w:rPr>
          <w:lang w:val="en-GB"/>
        </w:rPr>
        <w:t>Ibid</w:t>
      </w:r>
      <w:r w:rsidRPr="008D34F7">
        <w:rPr>
          <w:lang w:val="en-GB"/>
        </w:rPr>
        <w:t>.</w:t>
      </w:r>
    </w:p>
  </w:footnote>
  <w:footnote w:id="40">
    <w:p w14:paraId="4B5CC0F6" w14:textId="0D5AC4A0" w:rsidR="008C61C3" w:rsidRPr="008D34F7" w:rsidRDefault="008C61C3" w:rsidP="008C61C3">
      <w:pPr>
        <w:pStyle w:val="FootnoteText"/>
        <w:bidi w:val="0"/>
        <w:rPr>
          <w:lang w:val="en-GB"/>
        </w:rPr>
      </w:pPr>
      <w:r w:rsidRPr="008D34F7">
        <w:rPr>
          <w:rStyle w:val="FootnoteReference"/>
          <w:lang w:val="en-GB"/>
        </w:rPr>
        <w:footnoteRef/>
      </w:r>
      <w:r w:rsidRPr="008D34F7">
        <w:rPr>
          <w:rtl/>
          <w:lang w:val="en-GB"/>
        </w:rPr>
        <w:t xml:space="preserve"> </w:t>
      </w:r>
      <w:r>
        <w:rPr>
          <w:lang w:val="en-GB"/>
        </w:rPr>
        <w:t>The correct wording of the accepted recommendation, as it was read out during the</w:t>
      </w:r>
      <w:r w:rsidRPr="008D34F7">
        <w:rPr>
          <w:lang w:val="en-GB"/>
        </w:rPr>
        <w:t xml:space="preserve"> UPR session</w:t>
      </w:r>
      <w:r>
        <w:rPr>
          <w:lang w:val="en-GB"/>
        </w:rPr>
        <w:t>,</w:t>
      </w:r>
      <w:r w:rsidRPr="008D34F7">
        <w:rPr>
          <w:lang w:val="en-GB"/>
        </w:rPr>
        <w:t xml:space="preserve"> and </w:t>
      </w:r>
      <w:r>
        <w:rPr>
          <w:lang w:val="en-GB"/>
        </w:rPr>
        <w:t xml:space="preserve">adopted </w:t>
      </w:r>
      <w:r w:rsidRPr="008D34F7">
        <w:rPr>
          <w:lang w:val="en-GB"/>
        </w:rPr>
        <w:t>in the report by the working Group on 15 November 2019</w:t>
      </w:r>
      <w:r>
        <w:rPr>
          <w:lang w:val="en-GB"/>
        </w:rPr>
        <w:t>, is</w:t>
      </w:r>
      <w:r w:rsidRPr="008D34F7">
        <w:rPr>
          <w:lang w:val="en-GB"/>
        </w:rPr>
        <w:t>:</w:t>
      </w:r>
    </w:p>
    <w:p w14:paraId="604913B5" w14:textId="3B5D11B9" w:rsidR="008C61C3" w:rsidRPr="008C703A" w:rsidRDefault="008C61C3" w:rsidP="008C703A">
      <w:pPr>
        <w:pStyle w:val="FootnoteText"/>
        <w:bidi w:val="0"/>
        <w:rPr>
          <w:lang w:val="en-GB"/>
        </w:rPr>
      </w:pPr>
      <w:r w:rsidRPr="008C703A">
        <w:rPr>
          <w:lang w:val="en-GB"/>
        </w:rPr>
        <w:t>“Implement the 2030 Strategy for Women adopted by Egypt in 2017.”</w:t>
      </w:r>
    </w:p>
  </w:footnote>
  <w:footnote w:id="41">
    <w:p w14:paraId="486F5341" w14:textId="2689B06D" w:rsidR="008C61C3" w:rsidRPr="008D34F7" w:rsidRDefault="008C61C3" w:rsidP="002A290B">
      <w:pPr>
        <w:pStyle w:val="FootnoteText"/>
        <w:bidi w:val="0"/>
        <w:spacing w:before="80"/>
        <w:rPr>
          <w:lang w:val="en-GB"/>
        </w:rPr>
      </w:pPr>
      <w:r w:rsidRPr="008D34F7">
        <w:rPr>
          <w:rStyle w:val="FootnoteReference"/>
          <w:lang w:val="en-GB"/>
        </w:rPr>
        <w:footnoteRef/>
      </w:r>
      <w:r w:rsidRPr="008D34F7">
        <w:rPr>
          <w:rtl/>
          <w:lang w:val="en-GB"/>
        </w:rPr>
        <w:t xml:space="preserve"> </w:t>
      </w:r>
      <w:r>
        <w:rPr>
          <w:lang w:val="en-GB"/>
        </w:rPr>
        <w:t>T</w:t>
      </w:r>
      <w:r w:rsidRPr="008D34F7">
        <w:rPr>
          <w:lang w:val="en-GB"/>
        </w:rPr>
        <w:t xml:space="preserve">he Penal Code and the </w:t>
      </w:r>
      <w:r>
        <w:rPr>
          <w:lang w:val="en-GB"/>
        </w:rPr>
        <w:t xml:space="preserve">Law of the </w:t>
      </w:r>
      <w:r w:rsidRPr="008D34F7">
        <w:rPr>
          <w:lang w:val="en-GB"/>
        </w:rPr>
        <w:t>Child</w:t>
      </w:r>
      <w:r>
        <w:rPr>
          <w:lang w:val="en-GB"/>
        </w:rPr>
        <w:t xml:space="preserve"> are void of any</w:t>
      </w:r>
      <w:r w:rsidRPr="008D34F7">
        <w:rPr>
          <w:lang w:val="en-GB"/>
        </w:rPr>
        <w:t xml:space="preserve"> cruel or inhuman punishment upon</w:t>
      </w:r>
      <w:r>
        <w:rPr>
          <w:lang w:val="en-GB"/>
        </w:rPr>
        <w:t xml:space="preserve"> the child</w:t>
      </w:r>
      <w:r w:rsidRPr="008D34F7">
        <w:rPr>
          <w:lang w:val="en-GB"/>
        </w:rPr>
        <w:t xml:space="preserve">. </w:t>
      </w:r>
      <w:r>
        <w:rPr>
          <w:lang w:val="en-GB"/>
        </w:rPr>
        <w:t>A</w:t>
      </w:r>
      <w:r w:rsidRPr="008D34F7">
        <w:rPr>
          <w:lang w:val="en-GB"/>
        </w:rPr>
        <w:t xml:space="preserve">rticle 111 of the </w:t>
      </w:r>
      <w:r>
        <w:rPr>
          <w:lang w:val="en-GB"/>
        </w:rPr>
        <w:t xml:space="preserve">Law of the </w:t>
      </w:r>
      <w:r w:rsidRPr="008D34F7">
        <w:rPr>
          <w:lang w:val="en-GB"/>
        </w:rPr>
        <w:t xml:space="preserve">Child </w:t>
      </w:r>
      <w:r>
        <w:rPr>
          <w:lang w:val="en-GB"/>
        </w:rPr>
        <w:t xml:space="preserve">ordains that </w:t>
      </w:r>
      <w:r w:rsidRPr="008D34F7">
        <w:rPr>
          <w:lang w:val="en-GB"/>
        </w:rPr>
        <w:t>penalties</w:t>
      </w:r>
      <w:r>
        <w:rPr>
          <w:lang w:val="en-GB"/>
        </w:rPr>
        <w:t xml:space="preserve"> for crimes are reduced when committed by a child</w:t>
      </w:r>
      <w:r w:rsidRPr="008D34F7">
        <w:rPr>
          <w:lang w:val="en-GB"/>
        </w:rPr>
        <w:t xml:space="preserve">, and </w:t>
      </w:r>
      <w:r>
        <w:rPr>
          <w:lang w:val="en-GB"/>
        </w:rPr>
        <w:t xml:space="preserve">prohibits the imposition of </w:t>
      </w:r>
      <w:r w:rsidRPr="008D34F7">
        <w:rPr>
          <w:lang w:val="en-GB"/>
        </w:rPr>
        <w:t xml:space="preserve">capital punishment, life imprisonment and </w:t>
      </w:r>
      <w:r>
        <w:rPr>
          <w:lang w:val="en-GB"/>
        </w:rPr>
        <w:t xml:space="preserve">aggravated </w:t>
      </w:r>
      <w:r w:rsidRPr="008D34F7">
        <w:rPr>
          <w:lang w:val="en-GB"/>
        </w:rPr>
        <w:t>imprisonment.</w:t>
      </w:r>
    </w:p>
  </w:footnote>
  <w:footnote w:id="42">
    <w:p w14:paraId="2F2DEF68" w14:textId="0B4202BE" w:rsidR="008C61C3" w:rsidRPr="008D34F7" w:rsidRDefault="008C61C3" w:rsidP="00B70D50">
      <w:pPr>
        <w:pStyle w:val="FootnoteText"/>
        <w:bidi w:val="0"/>
        <w:rPr>
          <w:rtl/>
          <w:lang w:val="en-GB" w:bidi="ar-EG"/>
        </w:rPr>
      </w:pPr>
      <w:r w:rsidRPr="008D34F7">
        <w:rPr>
          <w:rStyle w:val="FootnoteReference"/>
          <w:lang w:val="en-GB"/>
        </w:rPr>
        <w:footnoteRef/>
      </w:r>
      <w:r w:rsidRPr="008D34F7">
        <w:rPr>
          <w:rtl/>
          <w:lang w:val="en-GB"/>
        </w:rPr>
        <w:t xml:space="preserve"> </w:t>
      </w:r>
      <w:r w:rsidRPr="008D34F7">
        <w:rPr>
          <w:lang w:val="en-GB"/>
        </w:rPr>
        <w:t>Ibid.</w:t>
      </w:r>
    </w:p>
  </w:footnote>
  <w:footnote w:id="43">
    <w:p w14:paraId="0C6EA435" w14:textId="09AD615C" w:rsidR="008C61C3" w:rsidRPr="008D34F7" w:rsidRDefault="008C61C3" w:rsidP="000A038C">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rFonts w:cs="Calibri"/>
          <w:lang w:val="en-GB"/>
        </w:rPr>
        <w:t xml:space="preserve">A </w:t>
      </w:r>
      <w:r w:rsidRPr="000A038C">
        <w:rPr>
          <w:rFonts w:asciiTheme="majorBidi" w:hAnsiTheme="majorBidi" w:cstheme="majorBidi"/>
          <w:lang w:val="en-GB"/>
        </w:rPr>
        <w:t>number</w:t>
      </w:r>
      <w:r w:rsidRPr="008D34F7">
        <w:rPr>
          <w:rFonts w:cs="Calibri"/>
          <w:lang w:val="en-GB"/>
        </w:rPr>
        <w:t xml:space="preserve"> of </w:t>
      </w:r>
      <w:r w:rsidR="00B70D50" w:rsidRPr="008D34F7">
        <w:rPr>
          <w:rFonts w:cs="Calibri"/>
          <w:lang w:val="en-GB"/>
        </w:rPr>
        <w:t xml:space="preserve">national </w:t>
      </w:r>
      <w:r w:rsidR="00B70D50">
        <w:rPr>
          <w:rFonts w:cs="Calibri"/>
          <w:lang w:val="en-GB"/>
        </w:rPr>
        <w:t>laws</w:t>
      </w:r>
      <w:r w:rsidRPr="008D34F7">
        <w:rPr>
          <w:rFonts w:cs="Calibri"/>
          <w:lang w:val="en-GB"/>
        </w:rPr>
        <w:t xml:space="preserve"> have been introduced to ensure equitable rights for both men and women.</w:t>
      </w:r>
      <w:r w:rsidRPr="008D34F7">
        <w:rPr>
          <w:lang w:val="en-GB"/>
        </w:rPr>
        <w:t xml:space="preserve"> A draft law to amend the Law of </w:t>
      </w:r>
      <w:r>
        <w:rPr>
          <w:lang w:val="en-GB"/>
        </w:rPr>
        <w:t>P</w:t>
      </w:r>
      <w:r w:rsidRPr="008D34F7">
        <w:rPr>
          <w:lang w:val="en-GB"/>
        </w:rPr>
        <w:t xml:space="preserve">ersonal </w:t>
      </w:r>
      <w:r>
        <w:rPr>
          <w:lang w:val="en-GB"/>
        </w:rPr>
        <w:t>S</w:t>
      </w:r>
      <w:r w:rsidRPr="008D34F7">
        <w:rPr>
          <w:lang w:val="en-GB"/>
        </w:rPr>
        <w:t xml:space="preserve">tatus is being deliberated at the </w:t>
      </w:r>
      <w:r>
        <w:rPr>
          <w:lang w:val="en-GB"/>
        </w:rPr>
        <w:t xml:space="preserve">House of Representatives, </w:t>
      </w:r>
      <w:r w:rsidRPr="008D34F7">
        <w:rPr>
          <w:lang w:val="en-GB"/>
        </w:rPr>
        <w:t xml:space="preserve">in conformity with the provisions of the Constitution, </w:t>
      </w:r>
      <w:r>
        <w:rPr>
          <w:lang w:val="en-GB"/>
        </w:rPr>
        <w:t xml:space="preserve">the principles of </w:t>
      </w:r>
      <w:r w:rsidRPr="008D34F7">
        <w:rPr>
          <w:lang w:val="en-GB"/>
        </w:rPr>
        <w:t xml:space="preserve">Islamic </w:t>
      </w:r>
      <w:r>
        <w:rPr>
          <w:lang w:val="en-GB"/>
        </w:rPr>
        <w:t xml:space="preserve">Sharia </w:t>
      </w:r>
      <w:r w:rsidRPr="008D34F7">
        <w:rPr>
          <w:lang w:val="en-GB"/>
        </w:rPr>
        <w:t>and Egypt’s international commitments.</w:t>
      </w:r>
    </w:p>
  </w:footnote>
  <w:footnote w:id="44">
    <w:p w14:paraId="47878A09" w14:textId="5AE61EDF" w:rsidR="008C61C3" w:rsidRPr="008D34F7" w:rsidRDefault="008C61C3" w:rsidP="00382F8A">
      <w:pPr>
        <w:pStyle w:val="FootnoteText"/>
        <w:bidi w:val="0"/>
        <w:spacing w:before="80"/>
        <w:rPr>
          <w:lang w:val="en-GB" w:bidi="ar-EG"/>
        </w:rPr>
      </w:pPr>
      <w:r w:rsidRPr="008D34F7">
        <w:rPr>
          <w:rStyle w:val="FootnoteReference"/>
          <w:lang w:val="en-GB"/>
        </w:rPr>
        <w:footnoteRef/>
      </w:r>
      <w:r w:rsidRPr="008D34F7">
        <w:rPr>
          <w:rtl/>
          <w:lang w:val="en-GB"/>
        </w:rPr>
        <w:t xml:space="preserve"> </w:t>
      </w:r>
      <w:r w:rsidRPr="008D34F7">
        <w:rPr>
          <w:rFonts w:asciiTheme="majorBidi" w:hAnsiTheme="majorBidi" w:cstheme="majorBidi"/>
          <w:lang w:val="en-GB"/>
        </w:rPr>
        <w:t xml:space="preserve">Minors no </w:t>
      </w:r>
      <w:r w:rsidRPr="002A290B">
        <w:rPr>
          <w:lang w:val="en-GB"/>
        </w:rPr>
        <w:t>more</w:t>
      </w:r>
      <w:r w:rsidRPr="008D34F7">
        <w:rPr>
          <w:rFonts w:asciiTheme="majorBidi" w:hAnsiTheme="majorBidi" w:cstheme="majorBidi"/>
          <w:lang w:val="en-GB"/>
        </w:rPr>
        <w:t xml:space="preserve"> than 15 years old are tried in criminal cases before </w:t>
      </w:r>
      <w:r>
        <w:rPr>
          <w:rFonts w:asciiTheme="majorBidi" w:hAnsiTheme="majorBidi" w:cstheme="majorBidi"/>
          <w:lang w:val="en-GB"/>
        </w:rPr>
        <w:t xml:space="preserve">the </w:t>
      </w:r>
      <w:r w:rsidRPr="008D34F7">
        <w:rPr>
          <w:rFonts w:asciiTheme="majorBidi" w:hAnsiTheme="majorBidi" w:cstheme="majorBidi"/>
          <w:lang w:val="en-GB"/>
        </w:rPr>
        <w:t xml:space="preserve">Juvenile Court, whereas those over 15 years old are tried alongside adults only if they partake in the same criminal offence. In the latter case, the safeguards included in the Child </w:t>
      </w:r>
      <w:r w:rsidRPr="00382F8A">
        <w:rPr>
          <w:lang w:val="en-GB"/>
        </w:rPr>
        <w:t>Law</w:t>
      </w:r>
      <w:r w:rsidRPr="008D34F7">
        <w:rPr>
          <w:rFonts w:asciiTheme="majorBidi" w:hAnsiTheme="majorBidi" w:cstheme="majorBidi"/>
          <w:lang w:val="en-GB"/>
        </w:rPr>
        <w:t xml:space="preserve"> are applied to them</w:t>
      </w:r>
      <w:r>
        <w:rPr>
          <w:rFonts w:asciiTheme="majorBidi" w:hAnsiTheme="majorBidi" w:cstheme="majorBidi"/>
          <w:lang w:val="en-GB"/>
        </w:rPr>
        <w:t>. They</w:t>
      </w:r>
      <w:r w:rsidRPr="008D34F7">
        <w:rPr>
          <w:rFonts w:asciiTheme="majorBidi" w:hAnsiTheme="majorBidi" w:cstheme="majorBidi"/>
          <w:lang w:val="en-GB"/>
        </w:rPr>
        <w:t xml:space="preserve"> include commutation of </w:t>
      </w:r>
      <w:r w:rsidR="00B70D50" w:rsidRPr="008D34F7">
        <w:rPr>
          <w:rFonts w:asciiTheme="majorBidi" w:hAnsiTheme="majorBidi" w:cstheme="majorBidi"/>
          <w:lang w:val="en-GB"/>
        </w:rPr>
        <w:t>sentences</w:t>
      </w:r>
      <w:r w:rsidRPr="008D34F7">
        <w:rPr>
          <w:rFonts w:asciiTheme="majorBidi" w:hAnsiTheme="majorBidi" w:cstheme="majorBidi"/>
          <w:lang w:val="en-GB"/>
        </w:rPr>
        <w:t xml:space="preserve"> and </w:t>
      </w:r>
      <w:r>
        <w:rPr>
          <w:rFonts w:asciiTheme="majorBidi" w:hAnsiTheme="majorBidi" w:cstheme="majorBidi"/>
          <w:lang w:val="en-GB"/>
        </w:rPr>
        <w:t xml:space="preserve">the </w:t>
      </w:r>
      <w:r w:rsidRPr="008D34F7">
        <w:rPr>
          <w:rFonts w:asciiTheme="majorBidi" w:hAnsiTheme="majorBidi" w:cstheme="majorBidi"/>
          <w:lang w:val="en-GB"/>
        </w:rPr>
        <w:t>prohibit</w:t>
      </w:r>
      <w:r>
        <w:rPr>
          <w:rFonts w:asciiTheme="majorBidi" w:hAnsiTheme="majorBidi" w:cstheme="majorBidi"/>
          <w:lang w:val="en-GB"/>
        </w:rPr>
        <w:t>ion of</w:t>
      </w:r>
      <w:r w:rsidRPr="008D34F7">
        <w:rPr>
          <w:rFonts w:asciiTheme="majorBidi" w:hAnsiTheme="majorBidi" w:cstheme="majorBidi"/>
          <w:lang w:val="en-GB"/>
        </w:rPr>
        <w:t xml:space="preserve"> the imposition of the death penalty, life imprisonment and aggravated imprisonment on the child. Sentences of the court of the first instance may be appealed through the judicial course before the higher court.</w:t>
      </w:r>
    </w:p>
  </w:footnote>
  <w:footnote w:id="45">
    <w:p w14:paraId="388F5095" w14:textId="097D9767" w:rsidR="008C61C3" w:rsidRPr="008D34F7" w:rsidRDefault="008C61C3" w:rsidP="008C61C3">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Article 22 is not relevant to the prosecution of juveniles.</w:t>
      </w:r>
    </w:p>
  </w:footnote>
  <w:footnote w:id="46">
    <w:p w14:paraId="0BB0C719" w14:textId="7EADA866" w:rsidR="008C61C3" w:rsidRPr="008D34F7" w:rsidRDefault="008C61C3" w:rsidP="0029706E">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All forms and manifestations of torture constitute an imprescriptible</w:t>
      </w:r>
      <w:r>
        <w:rPr>
          <w:lang w:val="en-GB"/>
        </w:rPr>
        <w:t xml:space="preserve"> crime</w:t>
      </w:r>
      <w:r w:rsidRPr="008D34F7">
        <w:rPr>
          <w:lang w:val="en-GB"/>
        </w:rPr>
        <w:t xml:space="preserve">. Further, international standards </w:t>
      </w:r>
      <w:r>
        <w:rPr>
          <w:lang w:val="en-GB"/>
        </w:rPr>
        <w:t xml:space="preserve">are </w:t>
      </w:r>
      <w:r w:rsidRPr="008D34F7">
        <w:rPr>
          <w:lang w:val="en-GB"/>
        </w:rPr>
        <w:t>observed with regard to the treatment of prisoners. Immediate investigat</w:t>
      </w:r>
      <w:r>
        <w:rPr>
          <w:lang w:val="en-GB"/>
        </w:rPr>
        <w:t>ions of</w:t>
      </w:r>
      <w:r w:rsidRPr="008D34F7">
        <w:rPr>
          <w:lang w:val="en-GB"/>
        </w:rPr>
        <w:t xml:space="preserve"> any torture allegations </w:t>
      </w:r>
      <w:r>
        <w:rPr>
          <w:lang w:val="en-GB"/>
        </w:rPr>
        <w:t>are carried out by the c</w:t>
      </w:r>
      <w:r w:rsidRPr="008D34F7">
        <w:rPr>
          <w:lang w:val="en-GB"/>
        </w:rPr>
        <w:t xml:space="preserve">ompetent judicial </w:t>
      </w:r>
      <w:r w:rsidR="00B70D50" w:rsidRPr="008D34F7">
        <w:rPr>
          <w:lang w:val="en-GB"/>
        </w:rPr>
        <w:t>authorit</w:t>
      </w:r>
      <w:r w:rsidR="00B70D50">
        <w:rPr>
          <w:lang w:val="en-GB"/>
        </w:rPr>
        <w:t>y</w:t>
      </w:r>
      <w:r w:rsidR="00B70D50" w:rsidRPr="008D34F7">
        <w:rPr>
          <w:lang w:val="en-GB"/>
        </w:rPr>
        <w:t>,</w:t>
      </w:r>
      <w:r w:rsidRPr="008D34F7">
        <w:rPr>
          <w:lang w:val="en-GB"/>
        </w:rPr>
        <w:t xml:space="preserve"> to ensure that </w:t>
      </w:r>
      <w:r>
        <w:rPr>
          <w:lang w:val="en-GB"/>
        </w:rPr>
        <w:t xml:space="preserve">the perpetrators of </w:t>
      </w:r>
      <w:r w:rsidRPr="008D34F7">
        <w:rPr>
          <w:lang w:val="en-GB"/>
        </w:rPr>
        <w:t xml:space="preserve">individual violations are duly punished, and </w:t>
      </w:r>
      <w:r>
        <w:rPr>
          <w:lang w:val="en-GB"/>
        </w:rPr>
        <w:t xml:space="preserve">do not enjoy </w:t>
      </w:r>
      <w:r w:rsidRPr="008D34F7">
        <w:rPr>
          <w:lang w:val="en-GB"/>
        </w:rPr>
        <w:t xml:space="preserve">impunity. </w:t>
      </w:r>
      <w:r>
        <w:rPr>
          <w:i/>
          <w:iCs/>
          <w:lang w:val="en-GB"/>
        </w:rPr>
        <w:t>Review</w:t>
      </w:r>
      <w:r w:rsidRPr="008D34F7">
        <w:rPr>
          <w:lang w:val="en-GB"/>
        </w:rPr>
        <w:t xml:space="preserve"> paras. 22-26 of doc</w:t>
      </w:r>
      <w:r>
        <w:rPr>
          <w:lang w:val="en-GB"/>
        </w:rPr>
        <w:t>ument</w:t>
      </w:r>
      <w:r w:rsidRPr="008D34F7">
        <w:rPr>
          <w:lang w:val="en-GB"/>
        </w:rPr>
        <w:t xml:space="preserve"> A/HRC/WG.6/34/EGY/1.</w:t>
      </w:r>
    </w:p>
  </w:footnote>
  <w:footnote w:id="47">
    <w:p w14:paraId="39431ABE" w14:textId="1CFCE6D8" w:rsidR="008C61C3" w:rsidRPr="00321DDB" w:rsidRDefault="008C61C3" w:rsidP="0029706E">
      <w:pPr>
        <w:pStyle w:val="FootnoteText"/>
        <w:bidi w:val="0"/>
        <w:spacing w:before="80"/>
        <w:rPr>
          <w:rFonts w:asciiTheme="majorBidi" w:hAnsiTheme="majorBidi" w:cstheme="majorBidi"/>
          <w:lang w:val="en-GB"/>
        </w:rPr>
      </w:pPr>
      <w:r w:rsidRPr="008D34F7">
        <w:rPr>
          <w:rStyle w:val="FootnoteReference"/>
          <w:lang w:val="en-GB"/>
        </w:rPr>
        <w:footnoteRef/>
      </w:r>
      <w:r w:rsidRPr="008D34F7">
        <w:rPr>
          <w:rtl/>
          <w:lang w:val="en-GB"/>
        </w:rPr>
        <w:t xml:space="preserve"> </w:t>
      </w:r>
      <w:r w:rsidRPr="008D34F7">
        <w:rPr>
          <w:lang w:val="en-GB"/>
        </w:rPr>
        <w:t xml:space="preserve">Law No. 80 of 2016 </w:t>
      </w:r>
      <w:r>
        <w:rPr>
          <w:lang w:val="en-GB"/>
        </w:rPr>
        <w:t xml:space="preserve">regulating </w:t>
      </w:r>
      <w:r w:rsidRPr="008D34F7">
        <w:rPr>
          <w:lang w:val="en-GB"/>
        </w:rPr>
        <w:t>the building and renovation of churches and associated propert</w:t>
      </w:r>
      <w:r>
        <w:rPr>
          <w:lang w:val="en-GB"/>
        </w:rPr>
        <w:t>ies</w:t>
      </w:r>
      <w:r w:rsidRPr="008D34F7">
        <w:rPr>
          <w:lang w:val="en-GB"/>
        </w:rPr>
        <w:t xml:space="preserve"> </w:t>
      </w:r>
      <w:r>
        <w:rPr>
          <w:lang w:val="en-GB"/>
        </w:rPr>
        <w:t xml:space="preserve">has already been </w:t>
      </w:r>
      <w:r w:rsidRPr="008D34F7">
        <w:rPr>
          <w:lang w:val="en-GB"/>
        </w:rPr>
        <w:t>enacted</w:t>
      </w:r>
      <w:r>
        <w:rPr>
          <w:lang w:val="en-GB"/>
        </w:rPr>
        <w:t xml:space="preserve">, as well as </w:t>
      </w:r>
      <w:r w:rsidRPr="008D34F7">
        <w:rPr>
          <w:lang w:val="en-GB"/>
        </w:rPr>
        <w:t>Prime Minister</w:t>
      </w:r>
      <w:r>
        <w:rPr>
          <w:lang w:val="en-GB"/>
        </w:rPr>
        <w:t>’s</w:t>
      </w:r>
      <w:r w:rsidRPr="008D34F7">
        <w:rPr>
          <w:lang w:val="en-GB"/>
        </w:rPr>
        <w:t xml:space="preserve"> Decision No. 199 of 2017 to establish </w:t>
      </w:r>
      <w:r>
        <w:rPr>
          <w:lang w:val="en-GB"/>
        </w:rPr>
        <w:t xml:space="preserve">a </w:t>
      </w:r>
      <w:r w:rsidRPr="008D34F7">
        <w:rPr>
          <w:lang w:val="en-GB"/>
        </w:rPr>
        <w:t xml:space="preserve">committee </w:t>
      </w:r>
      <w:r>
        <w:rPr>
          <w:lang w:val="en-GB"/>
        </w:rPr>
        <w:t xml:space="preserve">encompassing </w:t>
      </w:r>
      <w:r w:rsidRPr="008D34F7">
        <w:rPr>
          <w:lang w:val="en-GB"/>
        </w:rPr>
        <w:t>competent ministries</w:t>
      </w:r>
      <w:r>
        <w:rPr>
          <w:lang w:val="en-GB"/>
        </w:rPr>
        <w:t>,</w:t>
      </w:r>
      <w:r w:rsidRPr="008D34F7">
        <w:rPr>
          <w:lang w:val="en-GB"/>
        </w:rPr>
        <w:t xml:space="preserve"> </w:t>
      </w:r>
      <w:r>
        <w:rPr>
          <w:lang w:val="en-GB"/>
        </w:rPr>
        <w:t xml:space="preserve">relevant authorities and </w:t>
      </w:r>
      <w:r w:rsidRPr="008D34F7">
        <w:rPr>
          <w:lang w:val="en-GB"/>
        </w:rPr>
        <w:t xml:space="preserve">a representative of the concerned </w:t>
      </w:r>
      <w:r>
        <w:rPr>
          <w:lang w:val="en-GB"/>
        </w:rPr>
        <w:t xml:space="preserve">Christian denomination, </w:t>
      </w:r>
      <w:r>
        <w:rPr>
          <w:rFonts w:asciiTheme="majorBidi" w:hAnsiTheme="majorBidi" w:cstheme="majorBidi"/>
          <w:lang w:val="en-GB"/>
        </w:rPr>
        <w:t xml:space="preserve">in order to consider </w:t>
      </w:r>
      <w:r w:rsidRPr="00321DDB">
        <w:rPr>
          <w:rFonts w:asciiTheme="majorBidi" w:hAnsiTheme="majorBidi" w:cstheme="majorBidi"/>
          <w:lang w:val="en-GB"/>
        </w:rPr>
        <w:t>the status of buildings and propose solutions for regularizing</w:t>
      </w:r>
      <w:r>
        <w:rPr>
          <w:rFonts w:asciiTheme="majorBidi" w:hAnsiTheme="majorBidi" w:cstheme="majorBidi"/>
          <w:lang w:val="en-GB"/>
        </w:rPr>
        <w:t xml:space="preserve"> them</w:t>
      </w:r>
      <w:r w:rsidRPr="00321DDB">
        <w:rPr>
          <w:rFonts w:asciiTheme="majorBidi" w:hAnsiTheme="majorBidi" w:cstheme="majorBidi"/>
          <w:lang w:val="en-GB"/>
        </w:rPr>
        <w:t xml:space="preserve">. </w:t>
      </w:r>
      <w:r>
        <w:rPr>
          <w:rFonts w:asciiTheme="majorBidi" w:hAnsiTheme="majorBidi" w:cstheme="majorBidi"/>
          <w:i/>
          <w:iCs/>
          <w:lang w:val="en-GB"/>
        </w:rPr>
        <w:t>Review</w:t>
      </w:r>
      <w:r w:rsidRPr="00321DDB">
        <w:rPr>
          <w:rFonts w:asciiTheme="majorBidi" w:hAnsiTheme="majorBidi" w:cstheme="majorBidi"/>
          <w:lang w:val="en-GB"/>
        </w:rPr>
        <w:t xml:space="preserve"> para. 16 of doc</w:t>
      </w:r>
      <w:r>
        <w:rPr>
          <w:rFonts w:asciiTheme="majorBidi" w:hAnsiTheme="majorBidi" w:cstheme="majorBidi"/>
          <w:lang w:val="en-GB"/>
        </w:rPr>
        <w:t>ument</w:t>
      </w:r>
      <w:r w:rsidRPr="00321DDB">
        <w:rPr>
          <w:rFonts w:asciiTheme="majorBidi" w:hAnsiTheme="majorBidi" w:cstheme="majorBidi"/>
          <w:lang w:val="en-GB"/>
        </w:rPr>
        <w:t xml:space="preserve"> A/HRC/WG.6/34/EGY/1.</w:t>
      </w:r>
    </w:p>
  </w:footnote>
  <w:footnote w:id="48">
    <w:p w14:paraId="53945B69" w14:textId="41D0B91D" w:rsidR="008C61C3" w:rsidRPr="008D34F7" w:rsidRDefault="008C61C3" w:rsidP="0029706E">
      <w:pPr>
        <w:pStyle w:val="FootnoteText"/>
        <w:bidi w:val="0"/>
        <w:spacing w:before="80"/>
        <w:rPr>
          <w:lang w:val="en-GB"/>
        </w:rPr>
      </w:pPr>
      <w:r w:rsidRPr="00470CA0">
        <w:rPr>
          <w:rStyle w:val="FootnoteReference"/>
          <w:lang w:val="en-GB"/>
        </w:rPr>
        <w:footnoteRef/>
      </w:r>
      <w:r w:rsidRPr="00321DDB">
        <w:rPr>
          <w:rFonts w:asciiTheme="majorBidi" w:hAnsiTheme="majorBidi" w:cstheme="majorBidi"/>
          <w:rtl/>
          <w:lang w:val="en-GB"/>
        </w:rPr>
        <w:t xml:space="preserve"> </w:t>
      </w:r>
      <w:r w:rsidRPr="00321DDB">
        <w:rPr>
          <w:rFonts w:asciiTheme="majorBidi" w:hAnsiTheme="majorBidi" w:cstheme="majorBidi"/>
          <w:lang w:val="en-GB"/>
        </w:rPr>
        <w:t>Law No. 14</w:t>
      </w:r>
      <w:r w:rsidRPr="008D34F7">
        <w:rPr>
          <w:lang w:val="en-GB"/>
        </w:rPr>
        <w:t xml:space="preserve">9 of 2019 </w:t>
      </w:r>
      <w:r>
        <w:rPr>
          <w:lang w:val="en-GB"/>
        </w:rPr>
        <w:t>r</w:t>
      </w:r>
      <w:r w:rsidRPr="008D34F7">
        <w:rPr>
          <w:lang w:val="en-GB"/>
        </w:rPr>
        <w:t>egulating the Exercise of Civil Work (NGOs Law) has been enacted</w:t>
      </w:r>
      <w:r>
        <w:rPr>
          <w:lang w:val="en-GB"/>
        </w:rPr>
        <w:t>,</w:t>
      </w:r>
      <w:r w:rsidRPr="008D34F7">
        <w:rPr>
          <w:lang w:val="en-GB"/>
        </w:rPr>
        <w:t xml:space="preserve"> to supersede Law No. 70 of 2017. Its executive regulations are currently being finalized. </w:t>
      </w:r>
      <w:r>
        <w:rPr>
          <w:i/>
          <w:iCs/>
          <w:lang w:val="en-GB"/>
        </w:rPr>
        <w:t>See</w:t>
      </w:r>
      <w:r w:rsidRPr="008D34F7">
        <w:rPr>
          <w:lang w:val="en-GB"/>
        </w:rPr>
        <w:t xml:space="preserve"> footnotes 9 and 58</w:t>
      </w:r>
      <w:r>
        <w:rPr>
          <w:lang w:val="en-GB"/>
        </w:rPr>
        <w:t>.</w:t>
      </w:r>
      <w:r w:rsidRPr="008D34F7">
        <w:rPr>
          <w:lang w:val="en-GB"/>
        </w:rPr>
        <w:t xml:space="preserve"> </w:t>
      </w:r>
      <w:r w:rsidRPr="0029706E">
        <w:rPr>
          <w:i/>
          <w:iCs/>
          <w:lang w:val="en-GB"/>
        </w:rPr>
        <w:t>Review</w:t>
      </w:r>
      <w:r>
        <w:rPr>
          <w:i/>
          <w:iCs/>
          <w:lang w:val="en-GB"/>
        </w:rPr>
        <w:t xml:space="preserve"> also</w:t>
      </w:r>
      <w:r>
        <w:rPr>
          <w:lang w:val="en-GB"/>
        </w:rPr>
        <w:t xml:space="preserve"> </w:t>
      </w:r>
      <w:r w:rsidRPr="008D34F7">
        <w:rPr>
          <w:lang w:val="en-GB"/>
        </w:rPr>
        <w:t>para. 12 of doc</w:t>
      </w:r>
      <w:r>
        <w:rPr>
          <w:lang w:val="en-GB"/>
        </w:rPr>
        <w:t>ument</w:t>
      </w:r>
      <w:r w:rsidRPr="008D34F7">
        <w:rPr>
          <w:lang w:val="en-GB"/>
        </w:rPr>
        <w:t xml:space="preserve"> A/HRC/WG.6/34/EGY/1.</w:t>
      </w:r>
    </w:p>
  </w:footnote>
  <w:footnote w:id="49">
    <w:p w14:paraId="03C1DDAB" w14:textId="7F5A765B" w:rsidR="008C61C3" w:rsidRPr="008D34F7" w:rsidRDefault="008C61C3" w:rsidP="00321DDB">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Ibid.</w:t>
      </w:r>
    </w:p>
  </w:footnote>
  <w:footnote w:id="50">
    <w:p w14:paraId="64E40066" w14:textId="4C7B85AE" w:rsidR="008C61C3" w:rsidRPr="008D34F7" w:rsidRDefault="008C61C3" w:rsidP="00321DDB">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Ibid.</w:t>
      </w:r>
    </w:p>
  </w:footnote>
  <w:footnote w:id="51">
    <w:p w14:paraId="1354F870" w14:textId="39C45162" w:rsidR="008C61C3" w:rsidRPr="008D34F7" w:rsidRDefault="008C61C3" w:rsidP="00321DDB">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Ibid.</w:t>
      </w:r>
    </w:p>
  </w:footnote>
  <w:footnote w:id="52">
    <w:p w14:paraId="7A27B447" w14:textId="3B72E907" w:rsidR="008C61C3" w:rsidRPr="008D34F7" w:rsidRDefault="008C61C3" w:rsidP="00751A75">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Ibid.</w:t>
      </w:r>
    </w:p>
  </w:footnote>
  <w:footnote w:id="53">
    <w:p w14:paraId="565E5BBC" w14:textId="54B52F3C" w:rsidR="008C61C3" w:rsidRPr="008D34F7" w:rsidRDefault="008C61C3" w:rsidP="002D5C51">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 xml:space="preserve">In all cases, </w:t>
      </w:r>
      <w:r>
        <w:rPr>
          <w:lang w:val="en-GB"/>
        </w:rPr>
        <w:t xml:space="preserve">the imposition of corporal </w:t>
      </w:r>
      <w:r w:rsidRPr="008D34F7">
        <w:rPr>
          <w:lang w:val="en-GB"/>
        </w:rPr>
        <w:t>punishment upon children is prohibited by law. Moreover, Law No. 152 of 2001 abolishe</w:t>
      </w:r>
      <w:r>
        <w:rPr>
          <w:lang w:val="en-GB"/>
        </w:rPr>
        <w:t>d</w:t>
      </w:r>
      <w:r w:rsidRPr="008D34F7">
        <w:rPr>
          <w:lang w:val="en-GB"/>
        </w:rPr>
        <w:t xml:space="preserve"> the punishment of whipping, being the last </w:t>
      </w:r>
      <w:r>
        <w:rPr>
          <w:lang w:val="en-GB"/>
        </w:rPr>
        <w:t xml:space="preserve">corporal </w:t>
      </w:r>
      <w:r w:rsidRPr="008D34F7">
        <w:rPr>
          <w:lang w:val="en-GB"/>
        </w:rPr>
        <w:t xml:space="preserve">punishment </w:t>
      </w:r>
      <w:r w:rsidR="00B70D50" w:rsidRPr="008D34F7">
        <w:rPr>
          <w:lang w:val="en-GB"/>
        </w:rPr>
        <w:t xml:space="preserve">that </w:t>
      </w:r>
      <w:r w:rsidR="00B70D50">
        <w:rPr>
          <w:lang w:val="en-GB"/>
        </w:rPr>
        <w:t>existed</w:t>
      </w:r>
      <w:r>
        <w:rPr>
          <w:lang w:val="en-GB"/>
        </w:rPr>
        <w:t xml:space="preserve"> hitherto</w:t>
      </w:r>
      <w:r w:rsidRPr="008D34F7">
        <w:rPr>
          <w:lang w:val="en-GB"/>
        </w:rPr>
        <w:t>.</w:t>
      </w:r>
    </w:p>
  </w:footnote>
  <w:footnote w:id="54">
    <w:p w14:paraId="04360E24" w14:textId="7EAA96EE" w:rsidR="008C61C3" w:rsidRPr="008D34F7" w:rsidRDefault="008C61C3" w:rsidP="002D5C51">
      <w:pPr>
        <w:pStyle w:val="FootnoteText"/>
        <w:bidi w:val="0"/>
        <w:spacing w:before="80"/>
        <w:rPr>
          <w:lang w:val="en-GB"/>
        </w:rPr>
      </w:pPr>
      <w:r w:rsidRPr="008D34F7">
        <w:rPr>
          <w:rStyle w:val="FootnoteReference"/>
          <w:lang w:val="en-GB"/>
        </w:rPr>
        <w:footnoteRef/>
      </w:r>
      <w:r w:rsidRPr="008D34F7">
        <w:rPr>
          <w:rtl/>
          <w:lang w:val="en-GB"/>
        </w:rPr>
        <w:t xml:space="preserve"> </w:t>
      </w:r>
      <w:r>
        <w:rPr>
          <w:lang w:val="en-GB"/>
        </w:rPr>
        <w:t>Egypt understands the term</w:t>
      </w:r>
      <w:r w:rsidRPr="008D34F7">
        <w:rPr>
          <w:lang w:val="en-GB"/>
        </w:rPr>
        <w:t xml:space="preserve"> “minorities” to </w:t>
      </w:r>
      <w:r>
        <w:rPr>
          <w:lang w:val="en-GB"/>
        </w:rPr>
        <w:t xml:space="preserve">refer to individuals arriving in </w:t>
      </w:r>
      <w:r w:rsidRPr="008D34F7">
        <w:rPr>
          <w:lang w:val="en-GB"/>
        </w:rPr>
        <w:t xml:space="preserve">Egypt </w:t>
      </w:r>
      <w:r>
        <w:rPr>
          <w:lang w:val="en-GB"/>
        </w:rPr>
        <w:t xml:space="preserve">who belong to recognised minorities </w:t>
      </w:r>
      <w:r w:rsidRPr="008D34F7">
        <w:rPr>
          <w:lang w:val="en-GB"/>
        </w:rPr>
        <w:t>in their countries of origin</w:t>
      </w:r>
      <w:r>
        <w:rPr>
          <w:lang w:val="en-GB"/>
        </w:rPr>
        <w:t>,</w:t>
      </w:r>
      <w:r w:rsidRPr="008D34F7">
        <w:rPr>
          <w:lang w:val="en-GB"/>
        </w:rPr>
        <w:t xml:space="preserve"> according to the </w:t>
      </w:r>
      <w:r>
        <w:rPr>
          <w:lang w:val="en-GB"/>
        </w:rPr>
        <w:t>D</w:t>
      </w:r>
      <w:r w:rsidRPr="008D34F7">
        <w:rPr>
          <w:lang w:val="en-GB"/>
        </w:rPr>
        <w:t xml:space="preserve">eclaration adopted by UNGA resolution 47/135 </w:t>
      </w:r>
      <w:r>
        <w:rPr>
          <w:lang w:val="en-GB"/>
        </w:rPr>
        <w:t>of</w:t>
      </w:r>
      <w:r w:rsidRPr="008D34F7">
        <w:rPr>
          <w:lang w:val="en-GB"/>
        </w:rPr>
        <w:t xml:space="preserve"> 18 December 1992.</w:t>
      </w:r>
    </w:p>
  </w:footnote>
  <w:footnote w:id="55">
    <w:p w14:paraId="006B092A" w14:textId="44E06F5A" w:rsidR="008C61C3" w:rsidRPr="008D34F7" w:rsidRDefault="008C61C3" w:rsidP="0008161E">
      <w:pPr>
        <w:pStyle w:val="FootnoteText"/>
        <w:bidi w:val="0"/>
        <w:rPr>
          <w:lang w:val="en-GB"/>
        </w:rPr>
      </w:pPr>
      <w:r w:rsidRPr="008D34F7">
        <w:rPr>
          <w:rStyle w:val="FootnoteReference"/>
          <w:lang w:val="en-GB"/>
        </w:rPr>
        <w:footnoteRef/>
      </w:r>
      <w:r w:rsidRPr="008D34F7">
        <w:rPr>
          <w:rtl/>
          <w:lang w:val="en-GB"/>
        </w:rPr>
        <w:t xml:space="preserve"> </w:t>
      </w:r>
      <w:r>
        <w:rPr>
          <w:lang w:val="en-GB"/>
        </w:rPr>
        <w:t xml:space="preserve">According to the Egyptian legislature, the protection of the rights of all individuals is afforded without distinction. There is no need to enact a law to protect certain individuals. </w:t>
      </w:r>
      <w:r w:rsidRPr="002D5C51">
        <w:rPr>
          <w:i/>
          <w:iCs/>
          <w:lang w:val="en-GB"/>
        </w:rPr>
        <w:t>See</w:t>
      </w:r>
      <w:r w:rsidRPr="008D34F7">
        <w:rPr>
          <w:lang w:val="en-GB"/>
        </w:rPr>
        <w:t xml:space="preserve"> footnotes 9 and 48.</w:t>
      </w:r>
    </w:p>
  </w:footnote>
  <w:footnote w:id="56">
    <w:p w14:paraId="7728E1B9" w14:textId="46325EAA" w:rsidR="008C61C3" w:rsidRPr="008D34F7" w:rsidRDefault="008C61C3" w:rsidP="007C7DD0">
      <w:pPr>
        <w:pStyle w:val="FootnoteText"/>
        <w:bidi w:val="0"/>
        <w:spacing w:before="80"/>
        <w:rPr>
          <w:lang w:val="en-GB"/>
        </w:rPr>
      </w:pPr>
      <w:r w:rsidRPr="008D34F7">
        <w:rPr>
          <w:rStyle w:val="FootnoteReference"/>
          <w:lang w:val="en-GB"/>
        </w:rPr>
        <w:footnoteRef/>
      </w:r>
      <w:r w:rsidRPr="008D34F7">
        <w:rPr>
          <w:rtl/>
          <w:lang w:val="en-GB"/>
        </w:rPr>
        <w:t xml:space="preserve"> </w:t>
      </w:r>
      <w:r w:rsidRPr="002D5C51">
        <w:rPr>
          <w:i/>
          <w:iCs/>
          <w:lang w:val="en-GB"/>
        </w:rPr>
        <w:t>See</w:t>
      </w:r>
      <w:r>
        <w:rPr>
          <w:lang w:val="en-GB"/>
        </w:rPr>
        <w:t xml:space="preserve"> </w:t>
      </w:r>
      <w:r w:rsidRPr="008D34F7">
        <w:rPr>
          <w:lang w:val="en-GB"/>
        </w:rPr>
        <w:t>footnote</w:t>
      </w:r>
      <w:r>
        <w:rPr>
          <w:lang w:val="en-GB"/>
        </w:rPr>
        <w:t>s</w:t>
      </w:r>
      <w:r w:rsidRPr="008D34F7">
        <w:rPr>
          <w:lang w:val="en-GB"/>
        </w:rPr>
        <w:t xml:space="preserve"> 9</w:t>
      </w:r>
      <w:r>
        <w:rPr>
          <w:lang w:val="en-GB"/>
        </w:rPr>
        <w:t>, 25, 48 and 58</w:t>
      </w:r>
      <w:r w:rsidRPr="008D34F7">
        <w:rPr>
          <w:lang w:val="en-GB"/>
        </w:rPr>
        <w:t>.</w:t>
      </w:r>
    </w:p>
  </w:footnote>
  <w:footnote w:id="57">
    <w:p w14:paraId="5ECFDCF1" w14:textId="30E916D5" w:rsidR="008C61C3" w:rsidRPr="008D34F7" w:rsidRDefault="008C61C3" w:rsidP="007C7DD0">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Article 201 of the Criminal Procedure</w:t>
      </w:r>
      <w:r>
        <w:rPr>
          <w:lang w:val="en-GB"/>
        </w:rPr>
        <w:t>s Code</w:t>
      </w:r>
      <w:r w:rsidRPr="008D34F7">
        <w:rPr>
          <w:lang w:val="en-GB"/>
        </w:rPr>
        <w:t xml:space="preserve">, amended as per Law No. 145 of 2006, </w:t>
      </w:r>
      <w:r>
        <w:rPr>
          <w:lang w:val="en-GB"/>
        </w:rPr>
        <w:t xml:space="preserve">already </w:t>
      </w:r>
      <w:r w:rsidRPr="008D34F7">
        <w:rPr>
          <w:lang w:val="en-GB"/>
        </w:rPr>
        <w:t xml:space="preserve">provides alternatives for pre-trial detention. </w:t>
      </w:r>
      <w:r>
        <w:rPr>
          <w:lang w:val="en-GB"/>
        </w:rPr>
        <w:t>Accordingly, the i</w:t>
      </w:r>
      <w:r w:rsidRPr="008D34F7">
        <w:rPr>
          <w:lang w:val="en-GB"/>
        </w:rPr>
        <w:t>nvestigati</w:t>
      </w:r>
      <w:r>
        <w:rPr>
          <w:lang w:val="en-GB"/>
        </w:rPr>
        <w:t>o</w:t>
      </w:r>
      <w:r w:rsidRPr="008D34F7">
        <w:rPr>
          <w:lang w:val="en-GB"/>
        </w:rPr>
        <w:t>n authorities may replace pre-trial detention orders with one of the following measures: (a confin</w:t>
      </w:r>
      <w:r>
        <w:rPr>
          <w:lang w:val="en-GB"/>
        </w:rPr>
        <w:t>ing the accused to his/her home or district</w:t>
      </w:r>
      <w:r w:rsidRPr="008D34F7">
        <w:rPr>
          <w:lang w:val="en-GB"/>
        </w:rPr>
        <w:t>; (b order</w:t>
      </w:r>
      <w:r>
        <w:rPr>
          <w:lang w:val="en-GB"/>
        </w:rPr>
        <w:t>ing the accused</w:t>
      </w:r>
      <w:r w:rsidRPr="008D34F7">
        <w:rPr>
          <w:lang w:val="en-GB"/>
        </w:rPr>
        <w:t xml:space="preserve"> to </w:t>
      </w:r>
      <w:r>
        <w:rPr>
          <w:lang w:val="en-GB"/>
        </w:rPr>
        <w:t xml:space="preserve">present himself/herself </w:t>
      </w:r>
      <w:r w:rsidRPr="008D34F7">
        <w:rPr>
          <w:lang w:val="en-GB"/>
        </w:rPr>
        <w:t xml:space="preserve">to police headquarters at set times; or (c </w:t>
      </w:r>
      <w:r>
        <w:rPr>
          <w:lang w:val="en-GB"/>
        </w:rPr>
        <w:t xml:space="preserve">prohibiting the accused from </w:t>
      </w:r>
      <w:r w:rsidRPr="008D34F7">
        <w:rPr>
          <w:lang w:val="en-GB"/>
        </w:rPr>
        <w:t xml:space="preserve">frequenting certain places. As an alternative to criminal proceedings that might result in custodial sentences, Law No. 74 of 2007 introduces a restorative justice scheme that </w:t>
      </w:r>
      <w:r>
        <w:rPr>
          <w:lang w:val="en-GB"/>
        </w:rPr>
        <w:t xml:space="preserve">endorses </w:t>
      </w:r>
      <w:r w:rsidRPr="008D34F7">
        <w:rPr>
          <w:lang w:val="en-GB"/>
        </w:rPr>
        <w:t xml:space="preserve">reconciliation for </w:t>
      </w:r>
      <w:r w:rsidR="00B70D50" w:rsidRPr="008D34F7">
        <w:rPr>
          <w:lang w:val="en-GB"/>
        </w:rPr>
        <w:t xml:space="preserve">certain </w:t>
      </w:r>
      <w:r w:rsidR="00B70D50">
        <w:rPr>
          <w:lang w:val="en-GB"/>
        </w:rPr>
        <w:t>through</w:t>
      </w:r>
      <w:r>
        <w:rPr>
          <w:lang w:val="en-GB"/>
        </w:rPr>
        <w:t xml:space="preserve"> </w:t>
      </w:r>
      <w:r w:rsidRPr="008D34F7">
        <w:rPr>
          <w:lang w:val="en-GB"/>
        </w:rPr>
        <w:t xml:space="preserve">a consideration </w:t>
      </w:r>
      <w:r>
        <w:rPr>
          <w:lang w:val="en-GB"/>
        </w:rPr>
        <w:t>paid</w:t>
      </w:r>
      <w:r w:rsidRPr="008D34F7">
        <w:rPr>
          <w:lang w:val="en-GB"/>
        </w:rPr>
        <w:t xml:space="preserve"> by the convicted.</w:t>
      </w:r>
    </w:p>
  </w:footnote>
  <w:footnote w:id="58">
    <w:p w14:paraId="2CD3ED62" w14:textId="05B017B1" w:rsidR="008C61C3" w:rsidRPr="008D34F7" w:rsidRDefault="008C61C3" w:rsidP="0029706E">
      <w:pPr>
        <w:pStyle w:val="FootnoteText"/>
        <w:bidi w:val="0"/>
        <w:spacing w:before="80"/>
        <w:rPr>
          <w:lang w:val="en-GB"/>
        </w:rPr>
      </w:pPr>
      <w:r w:rsidRPr="008D34F7">
        <w:rPr>
          <w:rStyle w:val="FootnoteReference"/>
          <w:lang w:val="en-GB"/>
        </w:rPr>
        <w:footnoteRef/>
      </w:r>
      <w:r w:rsidRPr="008D34F7">
        <w:rPr>
          <w:rtl/>
          <w:lang w:val="en-GB"/>
        </w:rPr>
        <w:t xml:space="preserve"> </w:t>
      </w:r>
      <w:r>
        <w:rPr>
          <w:lang w:val="en-GB"/>
        </w:rPr>
        <w:t>According to t</w:t>
      </w:r>
      <w:r w:rsidRPr="008D34F7">
        <w:rPr>
          <w:lang w:val="en-GB"/>
        </w:rPr>
        <w:t>he Egyptian legislature</w:t>
      </w:r>
      <w:r>
        <w:rPr>
          <w:lang w:val="en-GB"/>
        </w:rPr>
        <w:t>,</w:t>
      </w:r>
      <w:r w:rsidRPr="008D34F7">
        <w:rPr>
          <w:lang w:val="en-GB"/>
        </w:rPr>
        <w:t xml:space="preserve"> </w:t>
      </w:r>
      <w:r>
        <w:rPr>
          <w:lang w:val="en-GB"/>
        </w:rPr>
        <w:t xml:space="preserve">the protection of the </w:t>
      </w:r>
      <w:r w:rsidRPr="008D34F7">
        <w:rPr>
          <w:lang w:val="en-GB"/>
        </w:rPr>
        <w:t xml:space="preserve">rights </w:t>
      </w:r>
      <w:r>
        <w:rPr>
          <w:lang w:val="en-GB"/>
        </w:rPr>
        <w:t xml:space="preserve">of all </w:t>
      </w:r>
      <w:r w:rsidRPr="008D34F7">
        <w:rPr>
          <w:lang w:val="en-GB"/>
        </w:rPr>
        <w:t xml:space="preserve">individuals </w:t>
      </w:r>
      <w:r>
        <w:rPr>
          <w:lang w:val="en-GB"/>
        </w:rPr>
        <w:t xml:space="preserve">afforded </w:t>
      </w:r>
      <w:r w:rsidRPr="008D34F7">
        <w:rPr>
          <w:lang w:val="en-GB"/>
        </w:rPr>
        <w:t>without</w:t>
      </w:r>
      <w:r>
        <w:rPr>
          <w:lang w:val="en-GB"/>
        </w:rPr>
        <w:t xml:space="preserve"> distinction</w:t>
      </w:r>
      <w:r w:rsidRPr="008D34F7">
        <w:rPr>
          <w:lang w:val="en-GB"/>
        </w:rPr>
        <w:t>. The Public Prosecut</w:t>
      </w:r>
      <w:r>
        <w:rPr>
          <w:lang w:val="en-GB"/>
        </w:rPr>
        <w:t>i</w:t>
      </w:r>
      <w:r w:rsidRPr="008D34F7">
        <w:rPr>
          <w:lang w:val="en-GB"/>
        </w:rPr>
        <w:t>o</w:t>
      </w:r>
      <w:r>
        <w:rPr>
          <w:lang w:val="en-GB"/>
        </w:rPr>
        <w:t>n</w:t>
      </w:r>
      <w:r w:rsidR="00B70D50">
        <w:rPr>
          <w:lang w:val="en-GB"/>
        </w:rPr>
        <w:t xml:space="preserve"> </w:t>
      </w:r>
      <w:r w:rsidRPr="008D34F7">
        <w:rPr>
          <w:lang w:val="en-GB"/>
        </w:rPr>
        <w:t>immediately investigate</w:t>
      </w:r>
      <w:r>
        <w:rPr>
          <w:lang w:val="en-GB"/>
        </w:rPr>
        <w:t>s</w:t>
      </w:r>
      <w:r w:rsidRPr="008D34F7">
        <w:rPr>
          <w:lang w:val="en-GB"/>
        </w:rPr>
        <w:t xml:space="preserve"> any claims of intimidation or reprisal. </w:t>
      </w:r>
      <w:r w:rsidRPr="00886C79">
        <w:rPr>
          <w:i/>
          <w:iCs/>
          <w:lang w:val="en-GB"/>
        </w:rPr>
        <w:t>See</w:t>
      </w:r>
      <w:r>
        <w:rPr>
          <w:lang w:val="en-GB"/>
        </w:rPr>
        <w:t xml:space="preserve"> </w:t>
      </w:r>
      <w:r w:rsidRPr="008D34F7">
        <w:rPr>
          <w:lang w:val="en-GB"/>
        </w:rPr>
        <w:t>footnote 23</w:t>
      </w:r>
      <w:r>
        <w:rPr>
          <w:lang w:val="en-GB"/>
        </w:rPr>
        <w:t>.</w:t>
      </w:r>
      <w:r w:rsidR="00B70D50">
        <w:rPr>
          <w:lang w:val="en-GB"/>
        </w:rPr>
        <w:t xml:space="preserve"> </w:t>
      </w:r>
      <w:r w:rsidRPr="00886C79">
        <w:rPr>
          <w:i/>
          <w:iCs/>
          <w:lang w:val="en-GB"/>
        </w:rPr>
        <w:t>Re</w:t>
      </w:r>
      <w:r>
        <w:rPr>
          <w:i/>
          <w:iCs/>
          <w:lang w:val="en-GB"/>
        </w:rPr>
        <w:t>view also</w:t>
      </w:r>
      <w:r>
        <w:rPr>
          <w:lang w:val="en-GB"/>
        </w:rPr>
        <w:t xml:space="preserve"> </w:t>
      </w:r>
      <w:r w:rsidRPr="008D34F7">
        <w:rPr>
          <w:lang w:val="en-GB"/>
        </w:rPr>
        <w:t>para. 12 of doc</w:t>
      </w:r>
      <w:r>
        <w:rPr>
          <w:lang w:val="en-GB"/>
        </w:rPr>
        <w:t>ument</w:t>
      </w:r>
      <w:r w:rsidRPr="008D34F7">
        <w:rPr>
          <w:lang w:val="en-GB"/>
        </w:rPr>
        <w:t xml:space="preserve"> A/HRC/WG.6/34/EGY/1.</w:t>
      </w:r>
    </w:p>
  </w:footnote>
  <w:footnote w:id="59">
    <w:p w14:paraId="62DE67C5" w14:textId="1EE4A6D1" w:rsidR="008C61C3" w:rsidRPr="008D34F7" w:rsidRDefault="008C61C3" w:rsidP="008C61C3">
      <w:pPr>
        <w:pStyle w:val="FootnoteText"/>
        <w:bidi w:val="0"/>
        <w:spacing w:before="80"/>
        <w:rPr>
          <w:lang w:val="en-GB"/>
        </w:rPr>
      </w:pPr>
      <w:r w:rsidRPr="008D34F7">
        <w:rPr>
          <w:rStyle w:val="FootnoteReference"/>
          <w:lang w:val="en-GB"/>
        </w:rPr>
        <w:footnoteRef/>
      </w:r>
      <w:r w:rsidRPr="008D34F7">
        <w:rPr>
          <w:rtl/>
          <w:lang w:val="en-GB"/>
        </w:rPr>
        <w:t xml:space="preserve"> </w:t>
      </w:r>
      <w:r w:rsidRPr="00886C79">
        <w:rPr>
          <w:i/>
          <w:iCs/>
          <w:lang w:val="en-GB"/>
        </w:rPr>
        <w:t>See</w:t>
      </w:r>
      <w:r>
        <w:rPr>
          <w:lang w:val="en-GB"/>
        </w:rPr>
        <w:t xml:space="preserve"> </w:t>
      </w:r>
      <w:r w:rsidRPr="008D34F7">
        <w:rPr>
          <w:lang w:val="en-GB"/>
        </w:rPr>
        <w:t>footnote 48.</w:t>
      </w:r>
    </w:p>
  </w:footnote>
  <w:footnote w:id="60">
    <w:p w14:paraId="2BFA6CF6" w14:textId="269F8EFD" w:rsidR="008C61C3" w:rsidRPr="008D34F7" w:rsidRDefault="008C61C3" w:rsidP="0029706E">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The National Election</w:t>
      </w:r>
      <w:r>
        <w:rPr>
          <w:lang w:val="en-GB"/>
        </w:rPr>
        <w:t>s</w:t>
      </w:r>
      <w:r w:rsidRPr="008D34F7">
        <w:rPr>
          <w:lang w:val="en-GB"/>
        </w:rPr>
        <w:t xml:space="preserve"> Authority </w:t>
      </w:r>
      <w:r>
        <w:rPr>
          <w:lang w:val="en-GB"/>
        </w:rPr>
        <w:t xml:space="preserve">is </w:t>
      </w:r>
      <w:r w:rsidRPr="008D34F7">
        <w:rPr>
          <w:lang w:val="en-GB"/>
        </w:rPr>
        <w:t xml:space="preserve">currently </w:t>
      </w:r>
      <w:r>
        <w:rPr>
          <w:lang w:val="en-GB"/>
        </w:rPr>
        <w:t xml:space="preserve">working on </w:t>
      </w:r>
      <w:r w:rsidRPr="008D34F7">
        <w:rPr>
          <w:lang w:val="en-GB"/>
        </w:rPr>
        <w:t>improv</w:t>
      </w:r>
      <w:r>
        <w:rPr>
          <w:lang w:val="en-GB"/>
        </w:rPr>
        <w:t>ing the</w:t>
      </w:r>
      <w:r w:rsidRPr="008D34F7">
        <w:rPr>
          <w:lang w:val="en-GB"/>
        </w:rPr>
        <w:t xml:space="preserve"> monitoring of elections. </w:t>
      </w:r>
      <w:r>
        <w:rPr>
          <w:lang w:val="en-GB"/>
        </w:rPr>
        <w:t>R</w:t>
      </w:r>
      <w:r w:rsidRPr="008D34F7">
        <w:rPr>
          <w:lang w:val="en-GB"/>
        </w:rPr>
        <w:t xml:space="preserve">elevant laws have been amended in conformity with the International Human Rights Law. </w:t>
      </w:r>
      <w:r>
        <w:rPr>
          <w:i/>
          <w:iCs/>
          <w:lang w:val="en-GB"/>
        </w:rPr>
        <w:t>Review</w:t>
      </w:r>
      <w:r w:rsidRPr="008D34F7">
        <w:rPr>
          <w:lang w:val="en-GB"/>
        </w:rPr>
        <w:t xml:space="preserve"> paras. 11 and 13-15 of doc</w:t>
      </w:r>
      <w:r>
        <w:rPr>
          <w:lang w:val="en-GB"/>
        </w:rPr>
        <w:t>ument</w:t>
      </w:r>
      <w:r w:rsidRPr="008D34F7">
        <w:rPr>
          <w:lang w:val="en-GB"/>
        </w:rPr>
        <w:t xml:space="preserve"> A/HRC/WG.6/34/EGY/1</w:t>
      </w:r>
      <w:r>
        <w:rPr>
          <w:lang w:val="en-GB"/>
        </w:rPr>
        <w:t xml:space="preserve">. </w:t>
      </w:r>
      <w:r w:rsidRPr="001A048E">
        <w:rPr>
          <w:i/>
          <w:iCs/>
          <w:lang w:val="en-GB"/>
        </w:rPr>
        <w:t>See</w:t>
      </w:r>
      <w:r>
        <w:rPr>
          <w:i/>
          <w:iCs/>
          <w:lang w:val="en-GB"/>
        </w:rPr>
        <w:t xml:space="preserve"> also</w:t>
      </w:r>
      <w:r>
        <w:rPr>
          <w:lang w:val="en-GB"/>
        </w:rPr>
        <w:t xml:space="preserve"> </w:t>
      </w:r>
      <w:r w:rsidRPr="008D34F7">
        <w:rPr>
          <w:lang w:val="en-GB"/>
        </w:rPr>
        <w:t>footnote 24.</w:t>
      </w:r>
    </w:p>
  </w:footnote>
  <w:footnote w:id="61">
    <w:p w14:paraId="03DB408B" w14:textId="1658700C" w:rsidR="008C61C3" w:rsidRPr="008D34F7" w:rsidRDefault="008C61C3" w:rsidP="0029706E">
      <w:pPr>
        <w:pStyle w:val="FootnoteText"/>
        <w:bidi w:val="0"/>
        <w:spacing w:before="80"/>
        <w:rPr>
          <w:lang w:val="en-GB"/>
        </w:rPr>
      </w:pPr>
      <w:r w:rsidRPr="008D34F7">
        <w:rPr>
          <w:rStyle w:val="FootnoteReference"/>
          <w:lang w:val="en-GB"/>
        </w:rPr>
        <w:footnoteRef/>
      </w:r>
      <w:r w:rsidRPr="008D34F7">
        <w:rPr>
          <w:rtl/>
          <w:lang w:val="en-GB"/>
        </w:rPr>
        <w:t xml:space="preserve"> </w:t>
      </w:r>
      <w:r w:rsidRPr="001A048E">
        <w:rPr>
          <w:i/>
          <w:iCs/>
          <w:lang w:val="en-GB"/>
        </w:rPr>
        <w:t>See</w:t>
      </w:r>
      <w:r>
        <w:rPr>
          <w:lang w:val="en-GB"/>
        </w:rPr>
        <w:t xml:space="preserve"> </w:t>
      </w:r>
      <w:r w:rsidRPr="008D34F7">
        <w:rPr>
          <w:lang w:val="en-GB"/>
        </w:rPr>
        <w:t>footnote 24</w:t>
      </w:r>
      <w:r>
        <w:rPr>
          <w:lang w:val="en-GB"/>
        </w:rPr>
        <w:t>.</w:t>
      </w:r>
      <w:r w:rsidRPr="008D34F7">
        <w:rPr>
          <w:lang w:val="en-GB"/>
        </w:rPr>
        <w:t xml:space="preserve"> </w:t>
      </w:r>
      <w:r w:rsidRPr="0029706E">
        <w:rPr>
          <w:i/>
          <w:iCs/>
          <w:lang w:val="en-GB"/>
        </w:rPr>
        <w:t xml:space="preserve">Review also </w:t>
      </w:r>
      <w:r w:rsidRPr="008D34F7">
        <w:rPr>
          <w:lang w:val="en-GB"/>
        </w:rPr>
        <w:t>paras. 12 and 13 of doc</w:t>
      </w:r>
      <w:r>
        <w:rPr>
          <w:lang w:val="en-GB"/>
        </w:rPr>
        <w:t>ument</w:t>
      </w:r>
      <w:r w:rsidRPr="008D34F7">
        <w:rPr>
          <w:lang w:val="en-GB"/>
        </w:rPr>
        <w:t xml:space="preserve"> A/HRC/WG.6/34/EGY/1.</w:t>
      </w:r>
    </w:p>
  </w:footnote>
  <w:footnote w:id="62">
    <w:p w14:paraId="4F240903" w14:textId="7C6536AB" w:rsidR="008C61C3" w:rsidRPr="008D34F7" w:rsidRDefault="008C61C3" w:rsidP="001A048E">
      <w:pPr>
        <w:pStyle w:val="FootnoteText"/>
        <w:bidi w:val="0"/>
        <w:spacing w:before="80"/>
        <w:rPr>
          <w:lang w:val="en-GB"/>
        </w:rPr>
      </w:pPr>
      <w:r w:rsidRPr="008D34F7">
        <w:rPr>
          <w:rStyle w:val="FootnoteReference"/>
          <w:lang w:val="en-GB"/>
        </w:rPr>
        <w:footnoteRef/>
      </w:r>
      <w:r w:rsidRPr="008D34F7">
        <w:rPr>
          <w:rtl/>
          <w:lang w:val="en-GB"/>
        </w:rPr>
        <w:t xml:space="preserve"> </w:t>
      </w:r>
      <w:r w:rsidRPr="001A048E">
        <w:rPr>
          <w:i/>
          <w:iCs/>
          <w:lang w:val="en-GB"/>
        </w:rPr>
        <w:t>See</w:t>
      </w:r>
      <w:r w:rsidRPr="008D34F7">
        <w:rPr>
          <w:lang w:val="en-GB"/>
        </w:rPr>
        <w:t xml:space="preserve"> footnotes 9 and 58.</w:t>
      </w:r>
    </w:p>
  </w:footnote>
  <w:footnote w:id="63">
    <w:p w14:paraId="519D00B0" w14:textId="6361BA73" w:rsidR="008C61C3" w:rsidRPr="008D34F7" w:rsidRDefault="008C61C3" w:rsidP="001A048E">
      <w:pPr>
        <w:pStyle w:val="FootnoteText"/>
        <w:bidi w:val="0"/>
        <w:spacing w:before="80"/>
        <w:rPr>
          <w:lang w:val="en-GB"/>
        </w:rPr>
      </w:pPr>
      <w:r w:rsidRPr="008D34F7">
        <w:rPr>
          <w:rStyle w:val="FootnoteReference"/>
          <w:lang w:val="en-GB"/>
        </w:rPr>
        <w:footnoteRef/>
      </w:r>
      <w:r w:rsidRPr="008D34F7">
        <w:rPr>
          <w:rtl/>
          <w:lang w:val="en-GB"/>
        </w:rPr>
        <w:t xml:space="preserve"> </w:t>
      </w:r>
      <w:r w:rsidRPr="001A048E">
        <w:rPr>
          <w:i/>
          <w:iCs/>
          <w:lang w:val="en-GB"/>
        </w:rPr>
        <w:t>See</w:t>
      </w:r>
      <w:r w:rsidRPr="008D34F7">
        <w:rPr>
          <w:lang w:val="en-GB"/>
        </w:rPr>
        <w:t xml:space="preserve"> footnotes 9 and 24</w:t>
      </w:r>
      <w:r w:rsidRPr="008D34F7">
        <w:rPr>
          <w:lang w:val="en-GB" w:bidi="ar-EG"/>
        </w:rPr>
        <w:t>.</w:t>
      </w:r>
    </w:p>
  </w:footnote>
  <w:footnote w:id="64">
    <w:p w14:paraId="3CD2A299" w14:textId="373AA78B" w:rsidR="008C61C3" w:rsidRPr="008D34F7" w:rsidRDefault="008C61C3" w:rsidP="001A048E">
      <w:pPr>
        <w:pStyle w:val="FootnoteText"/>
        <w:bidi w:val="0"/>
        <w:spacing w:before="80"/>
        <w:rPr>
          <w:lang w:val="en-GB"/>
        </w:rPr>
      </w:pPr>
      <w:r w:rsidRPr="008D34F7">
        <w:rPr>
          <w:rStyle w:val="FootnoteReference"/>
          <w:lang w:val="en-GB"/>
        </w:rPr>
        <w:footnoteRef/>
      </w:r>
      <w:r w:rsidRPr="008D34F7">
        <w:rPr>
          <w:rtl/>
          <w:lang w:val="en-GB"/>
        </w:rPr>
        <w:t xml:space="preserve"> </w:t>
      </w:r>
      <w:r w:rsidRPr="001A048E">
        <w:rPr>
          <w:i/>
          <w:iCs/>
          <w:lang w:val="en-GB"/>
        </w:rPr>
        <w:t>See</w:t>
      </w:r>
      <w:r>
        <w:rPr>
          <w:lang w:val="en-GB"/>
        </w:rPr>
        <w:t xml:space="preserve"> </w:t>
      </w:r>
      <w:r w:rsidRPr="008D34F7">
        <w:rPr>
          <w:lang w:val="en-GB"/>
        </w:rPr>
        <w:t>footnote 23.</w:t>
      </w:r>
    </w:p>
  </w:footnote>
  <w:footnote w:id="65">
    <w:p w14:paraId="23551ED1" w14:textId="603A4A33" w:rsidR="008C61C3" w:rsidRPr="008D34F7" w:rsidRDefault="008C61C3" w:rsidP="001A048E">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 xml:space="preserve">Ibid. </w:t>
      </w:r>
      <w:r w:rsidRPr="008D34F7">
        <w:rPr>
          <w:rFonts w:asciiTheme="majorBidi" w:hAnsiTheme="majorBidi" w:cstheme="majorBidi"/>
          <w:lang w:val="en-GB"/>
        </w:rPr>
        <w:t xml:space="preserve">The Government does not block websites on its own. According to Law 175 of 2018, blocking of websites may only take place according to a justified injunction, in line with Article 19 of ICCPR. It may be appealed </w:t>
      </w:r>
      <w:r>
        <w:rPr>
          <w:rFonts w:asciiTheme="majorBidi" w:hAnsiTheme="majorBidi" w:cstheme="majorBidi"/>
          <w:lang w:val="en-GB"/>
        </w:rPr>
        <w:t xml:space="preserve">by those harmed </w:t>
      </w:r>
      <w:r w:rsidRPr="008D34F7">
        <w:rPr>
          <w:rFonts w:asciiTheme="majorBidi" w:hAnsiTheme="majorBidi" w:cstheme="majorBidi"/>
          <w:lang w:val="en-GB"/>
        </w:rPr>
        <w:t>before the relevant criminal court according to Article 8 of the</w:t>
      </w:r>
      <w:r>
        <w:rPr>
          <w:rFonts w:asciiTheme="majorBidi" w:hAnsiTheme="majorBidi" w:cstheme="majorBidi"/>
          <w:lang w:val="en-GB"/>
        </w:rPr>
        <w:t xml:space="preserve"> said</w:t>
      </w:r>
      <w:r w:rsidRPr="008D34F7">
        <w:rPr>
          <w:rFonts w:asciiTheme="majorBidi" w:hAnsiTheme="majorBidi" w:cstheme="majorBidi"/>
          <w:lang w:val="en-GB"/>
        </w:rPr>
        <w:t xml:space="preserve"> Law</w:t>
      </w:r>
      <w:r w:rsidRPr="008D34F7">
        <w:rPr>
          <w:lang w:val="en-GB"/>
        </w:rPr>
        <w:t xml:space="preserve">. </w:t>
      </w:r>
    </w:p>
  </w:footnote>
  <w:footnote w:id="66">
    <w:p w14:paraId="5297186F" w14:textId="4933A17C" w:rsidR="008C61C3" w:rsidRPr="008D34F7" w:rsidRDefault="008C61C3" w:rsidP="001A048E">
      <w:pPr>
        <w:pStyle w:val="FootnoteText"/>
        <w:bidi w:val="0"/>
        <w:spacing w:before="80"/>
        <w:rPr>
          <w:lang w:val="en-GB" w:bidi="ar-EG"/>
        </w:rPr>
      </w:pPr>
      <w:r w:rsidRPr="008D34F7">
        <w:rPr>
          <w:rStyle w:val="FootnoteReference"/>
          <w:lang w:val="en-GB"/>
        </w:rPr>
        <w:footnoteRef/>
      </w:r>
      <w:r>
        <w:rPr>
          <w:lang w:val="en-GB"/>
        </w:rPr>
        <w:t>Ibid</w:t>
      </w:r>
      <w:r w:rsidRPr="008D34F7">
        <w:rPr>
          <w:lang w:val="en-GB"/>
        </w:rPr>
        <w:t>.</w:t>
      </w:r>
    </w:p>
  </w:footnote>
  <w:footnote w:id="67">
    <w:p w14:paraId="7E6FA03F" w14:textId="76EC98FE" w:rsidR="008C61C3" w:rsidRPr="008D34F7" w:rsidRDefault="008C61C3" w:rsidP="0070655C">
      <w:pPr>
        <w:pStyle w:val="FootnoteText"/>
        <w:bidi w:val="0"/>
        <w:spacing w:before="80"/>
        <w:rPr>
          <w:lang w:val="en-GB"/>
        </w:rPr>
      </w:pPr>
      <w:r w:rsidRPr="008D34F7">
        <w:rPr>
          <w:rStyle w:val="FootnoteReference"/>
          <w:lang w:val="en-GB"/>
        </w:rPr>
        <w:footnoteRef/>
      </w:r>
      <w:r w:rsidRPr="008D34F7">
        <w:rPr>
          <w:lang w:val="en-GB"/>
        </w:rPr>
        <w:t xml:space="preserve"> </w:t>
      </w:r>
      <w:r>
        <w:rPr>
          <w:lang w:val="en-GB"/>
        </w:rPr>
        <w:t>The w</w:t>
      </w:r>
      <w:r w:rsidRPr="008D34F7">
        <w:rPr>
          <w:lang w:val="en-GB"/>
        </w:rPr>
        <w:t xml:space="preserve">ork of politicians and civil society </w:t>
      </w:r>
      <w:r>
        <w:rPr>
          <w:lang w:val="en-GB"/>
        </w:rPr>
        <w:t xml:space="preserve">is </w:t>
      </w:r>
      <w:r w:rsidRPr="008D34F7">
        <w:rPr>
          <w:lang w:val="en-GB"/>
        </w:rPr>
        <w:t xml:space="preserve">not criminalized. </w:t>
      </w:r>
      <w:r w:rsidRPr="001A048E">
        <w:rPr>
          <w:i/>
          <w:iCs/>
          <w:lang w:val="en-GB"/>
        </w:rPr>
        <w:t>See</w:t>
      </w:r>
      <w:r>
        <w:rPr>
          <w:lang w:val="en-GB"/>
        </w:rPr>
        <w:t xml:space="preserve"> </w:t>
      </w:r>
      <w:r w:rsidRPr="008D34F7">
        <w:rPr>
          <w:lang w:val="en-GB"/>
        </w:rPr>
        <w:t xml:space="preserve">footnotes </w:t>
      </w:r>
      <w:r>
        <w:rPr>
          <w:lang w:val="en-GB"/>
        </w:rPr>
        <w:t xml:space="preserve">9 </w:t>
      </w:r>
      <w:r w:rsidRPr="008D34F7">
        <w:rPr>
          <w:lang w:val="en-GB"/>
        </w:rPr>
        <w:t xml:space="preserve">and </w:t>
      </w:r>
      <w:r>
        <w:rPr>
          <w:lang w:val="en-GB"/>
        </w:rPr>
        <w:t>58</w:t>
      </w:r>
      <w:r w:rsidRPr="008D34F7">
        <w:rPr>
          <w:lang w:val="en-GB"/>
        </w:rPr>
        <w:t>.</w:t>
      </w:r>
    </w:p>
  </w:footnote>
  <w:footnote w:id="68">
    <w:p w14:paraId="0E2F5497" w14:textId="785C1E97" w:rsidR="008C61C3" w:rsidRDefault="008C61C3" w:rsidP="0029706E">
      <w:pPr>
        <w:pStyle w:val="FootnoteText"/>
        <w:bidi w:val="0"/>
        <w:spacing w:before="80"/>
        <w:rPr>
          <w:lang w:val="en-GB"/>
        </w:rPr>
      </w:pPr>
      <w:r w:rsidRPr="008D34F7">
        <w:rPr>
          <w:rStyle w:val="FootnoteReference"/>
          <w:lang w:val="en-GB"/>
        </w:rPr>
        <w:footnoteRef/>
      </w:r>
      <w:r w:rsidRPr="008D34F7">
        <w:rPr>
          <w:rtl/>
          <w:lang w:val="en-GB"/>
        </w:rPr>
        <w:t xml:space="preserve"> </w:t>
      </w:r>
      <w:r>
        <w:rPr>
          <w:lang w:val="en-GB"/>
        </w:rPr>
        <w:t xml:space="preserve">The </w:t>
      </w:r>
      <w:r w:rsidRPr="008D34F7">
        <w:rPr>
          <w:lang w:val="en-GB"/>
        </w:rPr>
        <w:t xml:space="preserve">Military </w:t>
      </w:r>
      <w:r>
        <w:rPr>
          <w:lang w:val="en-GB"/>
        </w:rPr>
        <w:t>Court</w:t>
      </w:r>
      <w:r w:rsidR="00382F8A">
        <w:rPr>
          <w:lang w:val="en-GB"/>
        </w:rPr>
        <w:t>s</w:t>
      </w:r>
      <w:r>
        <w:rPr>
          <w:lang w:val="en-GB"/>
        </w:rPr>
        <w:t xml:space="preserve"> System </w:t>
      </w:r>
      <w:r w:rsidRPr="008D34F7">
        <w:rPr>
          <w:lang w:val="en-GB"/>
        </w:rPr>
        <w:t xml:space="preserve">is independent by virtue of the Constitution and the </w:t>
      </w:r>
      <w:r>
        <w:rPr>
          <w:lang w:val="en-GB"/>
        </w:rPr>
        <w:t>l</w:t>
      </w:r>
      <w:r w:rsidRPr="008D34F7">
        <w:rPr>
          <w:lang w:val="en-GB"/>
        </w:rPr>
        <w:t xml:space="preserve">aw. It applies the same fair trial </w:t>
      </w:r>
      <w:r>
        <w:rPr>
          <w:lang w:val="en-GB"/>
        </w:rPr>
        <w:t xml:space="preserve">guarantees </w:t>
      </w:r>
      <w:r w:rsidRPr="008D34F7">
        <w:rPr>
          <w:lang w:val="en-GB"/>
        </w:rPr>
        <w:t xml:space="preserve">set </w:t>
      </w:r>
      <w:r>
        <w:rPr>
          <w:lang w:val="en-GB"/>
        </w:rPr>
        <w:t xml:space="preserve">out </w:t>
      </w:r>
      <w:r w:rsidRPr="008D34F7">
        <w:rPr>
          <w:lang w:val="en-GB"/>
        </w:rPr>
        <w:t xml:space="preserve">in civil courts. </w:t>
      </w:r>
      <w:r>
        <w:rPr>
          <w:i/>
          <w:iCs/>
          <w:lang w:val="en-GB"/>
        </w:rPr>
        <w:t>Review</w:t>
      </w:r>
      <w:r w:rsidRPr="008D34F7">
        <w:rPr>
          <w:lang w:val="en-GB"/>
        </w:rPr>
        <w:t xml:space="preserve"> para. 21 of doc</w:t>
      </w:r>
      <w:r>
        <w:rPr>
          <w:lang w:val="en-GB"/>
        </w:rPr>
        <w:t>ument</w:t>
      </w:r>
      <w:r w:rsidRPr="008D34F7">
        <w:rPr>
          <w:lang w:val="en-GB"/>
        </w:rPr>
        <w:t xml:space="preserve"> A/HRC/WG.6/34/EGY/1. Pursuant to article 184 of the Constitution, any interference in matters of justice or </w:t>
      </w:r>
      <w:r>
        <w:rPr>
          <w:lang w:val="en-GB"/>
        </w:rPr>
        <w:t xml:space="preserve">judicial </w:t>
      </w:r>
      <w:r w:rsidRPr="008D34F7">
        <w:rPr>
          <w:lang w:val="en-GB"/>
        </w:rPr>
        <w:t>proceedings is an imprescriptible</w:t>
      </w:r>
      <w:r>
        <w:rPr>
          <w:lang w:val="en-GB"/>
        </w:rPr>
        <w:t xml:space="preserve"> crime</w:t>
      </w:r>
      <w:r w:rsidRPr="008D34F7">
        <w:rPr>
          <w:lang w:val="en-GB"/>
        </w:rPr>
        <w:t>.</w:t>
      </w:r>
    </w:p>
    <w:p w14:paraId="48EFB72D" w14:textId="77777777" w:rsidR="008C61C3" w:rsidRPr="008D34F7" w:rsidRDefault="008C61C3" w:rsidP="0070655C">
      <w:pPr>
        <w:pStyle w:val="FootnoteText"/>
        <w:bidi w:val="0"/>
        <w:spacing w:before="80"/>
        <w:rPr>
          <w:lang w:val="en-GB"/>
        </w:rPr>
      </w:pPr>
    </w:p>
  </w:footnote>
  <w:footnote w:id="69">
    <w:p w14:paraId="133AE736" w14:textId="2BF98692" w:rsidR="008C61C3" w:rsidRPr="008D34F7" w:rsidRDefault="008C61C3" w:rsidP="000A038C">
      <w:pPr>
        <w:pStyle w:val="FootnoteText"/>
        <w:bidi w:val="0"/>
        <w:rPr>
          <w:lang w:val="en-GB"/>
        </w:rPr>
      </w:pPr>
      <w:r w:rsidRPr="008D34F7">
        <w:rPr>
          <w:rStyle w:val="FootnoteReference"/>
          <w:lang w:val="en-GB"/>
        </w:rPr>
        <w:footnoteRef/>
      </w:r>
      <w:r w:rsidRPr="008D34F7">
        <w:rPr>
          <w:rtl/>
          <w:lang w:val="en-GB"/>
        </w:rPr>
        <w:t xml:space="preserve"> </w:t>
      </w:r>
      <w:r w:rsidRPr="008D34F7">
        <w:rPr>
          <w:lang w:val="en-GB"/>
        </w:rPr>
        <w:t xml:space="preserve">The </w:t>
      </w:r>
      <w:r>
        <w:rPr>
          <w:lang w:val="en-GB"/>
        </w:rPr>
        <w:t>G</w:t>
      </w:r>
      <w:r w:rsidRPr="008D34F7">
        <w:rPr>
          <w:lang w:val="en-GB"/>
        </w:rPr>
        <w:t xml:space="preserve">overnment considers </w:t>
      </w:r>
      <w:r>
        <w:rPr>
          <w:lang w:val="en-GB"/>
        </w:rPr>
        <w:t xml:space="preserve">the term </w:t>
      </w:r>
      <w:r w:rsidRPr="008D34F7">
        <w:rPr>
          <w:lang w:val="en-GB"/>
        </w:rPr>
        <w:t xml:space="preserve">“vulnerable groups” to </w:t>
      </w:r>
      <w:r>
        <w:rPr>
          <w:lang w:val="en-GB"/>
        </w:rPr>
        <w:t xml:space="preserve">mean </w:t>
      </w:r>
      <w:r w:rsidRPr="008D34F7">
        <w:rPr>
          <w:lang w:val="en-GB"/>
        </w:rPr>
        <w:t>women, children, senior citizens, persons with disabilities and inhabitants of remote areas.</w:t>
      </w:r>
    </w:p>
  </w:footnote>
  <w:footnote w:id="70">
    <w:p w14:paraId="57763FF3" w14:textId="1EAC68CE" w:rsidR="008C61C3" w:rsidRPr="008D34F7" w:rsidRDefault="008C61C3" w:rsidP="0070655C">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Ibid.</w:t>
      </w:r>
    </w:p>
  </w:footnote>
  <w:footnote w:id="71">
    <w:p w14:paraId="04455C3D" w14:textId="1BA1BFCB" w:rsidR="008C61C3" w:rsidRPr="008D34F7" w:rsidRDefault="008C61C3" w:rsidP="00845C93">
      <w:pPr>
        <w:pStyle w:val="FootnoteText"/>
        <w:bidi w:val="0"/>
        <w:spacing w:before="80"/>
        <w:rPr>
          <w:lang w:val="en-GB"/>
        </w:rPr>
      </w:pPr>
      <w:r w:rsidRPr="008D34F7">
        <w:rPr>
          <w:rStyle w:val="FootnoteReference"/>
          <w:lang w:val="en-GB"/>
        </w:rPr>
        <w:footnoteRef/>
      </w:r>
      <w:r w:rsidRPr="008D34F7">
        <w:rPr>
          <w:rtl/>
          <w:lang w:val="en-GB"/>
        </w:rPr>
        <w:t xml:space="preserve"> </w:t>
      </w:r>
      <w:r>
        <w:rPr>
          <w:lang w:val="en-GB"/>
        </w:rPr>
        <w:t xml:space="preserve">Issues of </w:t>
      </w:r>
      <w:r w:rsidRPr="008D34F7">
        <w:rPr>
          <w:lang w:val="en-GB"/>
        </w:rPr>
        <w:t xml:space="preserve">sexual health are taught in Egyptian </w:t>
      </w:r>
      <w:r>
        <w:rPr>
          <w:lang w:val="en-GB"/>
        </w:rPr>
        <w:t>academic curricula</w:t>
      </w:r>
      <w:r w:rsidRPr="008D34F7">
        <w:rPr>
          <w:lang w:val="en-GB"/>
        </w:rPr>
        <w:t xml:space="preserve"> within </w:t>
      </w:r>
      <w:r>
        <w:rPr>
          <w:lang w:val="en-GB"/>
        </w:rPr>
        <w:t xml:space="preserve">the framework of </w:t>
      </w:r>
      <w:r w:rsidRPr="008D34F7">
        <w:rPr>
          <w:lang w:val="en-GB"/>
        </w:rPr>
        <w:t>reproductive health.</w:t>
      </w:r>
    </w:p>
  </w:footnote>
  <w:footnote w:id="72">
    <w:p w14:paraId="66E6600E" w14:textId="0188E646" w:rsidR="008C61C3" w:rsidRPr="008D34F7" w:rsidRDefault="008C61C3" w:rsidP="0029706E">
      <w:pPr>
        <w:pStyle w:val="FootnoteText"/>
        <w:bidi w:val="0"/>
        <w:spacing w:before="80"/>
        <w:rPr>
          <w:lang w:val="en-GB"/>
        </w:rPr>
      </w:pPr>
      <w:r w:rsidRPr="008D34F7">
        <w:rPr>
          <w:rStyle w:val="FootnoteReference"/>
          <w:lang w:val="en-GB"/>
        </w:rPr>
        <w:footnoteRef/>
      </w:r>
      <w:r w:rsidRPr="008D34F7">
        <w:rPr>
          <w:rtl/>
          <w:lang w:val="en-GB"/>
        </w:rPr>
        <w:t xml:space="preserve"> </w:t>
      </w:r>
      <w:r w:rsidRPr="0029706E">
        <w:rPr>
          <w:i/>
          <w:iCs/>
          <w:lang w:val="en-GB"/>
        </w:rPr>
        <w:t>See</w:t>
      </w:r>
      <w:r w:rsidRPr="008D34F7">
        <w:rPr>
          <w:lang w:val="en-GB"/>
        </w:rPr>
        <w:t xml:space="preserve"> footnote 69.</w:t>
      </w:r>
    </w:p>
  </w:footnote>
  <w:footnote w:id="73">
    <w:p w14:paraId="7EF27E19" w14:textId="7BF6BFF3" w:rsidR="008C61C3" w:rsidRPr="008D34F7" w:rsidRDefault="008C61C3" w:rsidP="0070655C">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Ibid.</w:t>
      </w:r>
    </w:p>
  </w:footnote>
  <w:footnote w:id="74">
    <w:p w14:paraId="6039464C" w14:textId="256B565F" w:rsidR="008C61C3" w:rsidRDefault="008C61C3" w:rsidP="008C61C3">
      <w:pPr>
        <w:pStyle w:val="FootnoteText"/>
        <w:bidi w:val="0"/>
        <w:spacing w:before="80"/>
        <w:rPr>
          <w:lang w:val="en-GB"/>
        </w:rPr>
      </w:pPr>
      <w:r w:rsidRPr="008D34F7">
        <w:rPr>
          <w:rStyle w:val="FootnoteReference"/>
          <w:lang w:val="en-GB"/>
        </w:rPr>
        <w:footnoteRef/>
      </w:r>
      <w:r>
        <w:rPr>
          <w:lang w:val="en-GB"/>
        </w:rPr>
        <w:t xml:space="preserve"> </w:t>
      </w:r>
      <w:r w:rsidRPr="008C61C3">
        <w:rPr>
          <w:lang w:val="en-GB"/>
        </w:rPr>
        <w:t>The correct wording of the accepted recommendation, as it was read out during the UPR session, and adopted in the report by the working Group on 15 November 2019, is:</w:t>
      </w:r>
      <w:r w:rsidRPr="008C61C3" w:rsidDel="00845C93">
        <w:rPr>
          <w:lang w:val="en-GB"/>
        </w:rPr>
        <w:t xml:space="preserve"> </w:t>
      </w:r>
    </w:p>
    <w:p w14:paraId="267D0732" w14:textId="104AC141" w:rsidR="008C61C3" w:rsidRPr="00845C93" w:rsidRDefault="008C61C3" w:rsidP="008C61C3">
      <w:pPr>
        <w:pStyle w:val="EndnoteText"/>
        <w:bidi w:val="0"/>
        <w:jc w:val="both"/>
        <w:rPr>
          <w:rFonts w:asciiTheme="majorBidi" w:hAnsiTheme="majorBidi" w:cstheme="majorBidi"/>
          <w:lang w:val="en-GB"/>
        </w:rPr>
      </w:pPr>
      <w:r w:rsidRPr="008C61C3">
        <w:rPr>
          <w:rFonts w:ascii="Times New Roman" w:hAnsi="Times New Roman" w:cs="Traditional Arabic"/>
          <w:lang w:val="en-GB"/>
        </w:rPr>
        <w:t>“Continue to implement its national strategy to empower Egyptian</w:t>
      </w:r>
      <w:r w:rsidRPr="00845C93">
        <w:rPr>
          <w:rFonts w:asciiTheme="majorBidi" w:hAnsiTheme="majorBidi" w:cstheme="majorBidi"/>
          <w:lang w:val="en-GB"/>
        </w:rPr>
        <w:t xml:space="preserve"> women 2030, in line with its Constitution and the United Nations Sustainable Development Goals.”</w:t>
      </w:r>
    </w:p>
  </w:footnote>
  <w:footnote w:id="75">
    <w:p w14:paraId="17816DA1" w14:textId="08771DC4" w:rsidR="008C61C3" w:rsidRPr="008D34F7" w:rsidRDefault="008C61C3" w:rsidP="006403B4">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 xml:space="preserve">Egypt does not </w:t>
      </w:r>
      <w:r>
        <w:rPr>
          <w:lang w:val="en-GB"/>
        </w:rPr>
        <w:t xml:space="preserve">recognise the </w:t>
      </w:r>
      <w:r w:rsidRPr="008D34F7">
        <w:rPr>
          <w:lang w:val="en-GB"/>
        </w:rPr>
        <w:t>term</w:t>
      </w:r>
      <w:r>
        <w:rPr>
          <w:lang w:val="en-GB"/>
        </w:rPr>
        <w:t>inology</w:t>
      </w:r>
      <w:r w:rsidRPr="008D34F7">
        <w:rPr>
          <w:lang w:val="en-GB"/>
        </w:rPr>
        <w:t xml:space="preserve"> contained in this recommendation.</w:t>
      </w:r>
    </w:p>
  </w:footnote>
  <w:footnote w:id="76">
    <w:p w14:paraId="741D947F" w14:textId="5CBD8CD7" w:rsidR="008C61C3" w:rsidRPr="008D34F7" w:rsidRDefault="008C61C3" w:rsidP="0070655C">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Ibid.</w:t>
      </w:r>
    </w:p>
  </w:footnote>
  <w:footnote w:id="77">
    <w:p w14:paraId="3EEA5D17" w14:textId="6ED10D7D" w:rsidR="008C61C3" w:rsidRPr="008D34F7" w:rsidRDefault="008C61C3" w:rsidP="00AF17AA">
      <w:pPr>
        <w:pStyle w:val="FootnoteText"/>
        <w:bidi w:val="0"/>
        <w:rPr>
          <w:lang w:val="en-GB"/>
        </w:rPr>
      </w:pPr>
      <w:r w:rsidRPr="008D34F7">
        <w:rPr>
          <w:rStyle w:val="FootnoteReference"/>
          <w:lang w:val="en-GB"/>
        </w:rPr>
        <w:footnoteRef/>
      </w:r>
      <w:r w:rsidRPr="008D34F7">
        <w:rPr>
          <w:rtl/>
          <w:lang w:val="en-GB"/>
        </w:rPr>
        <w:t xml:space="preserve"> </w:t>
      </w:r>
      <w:r w:rsidRPr="00845C93">
        <w:rPr>
          <w:i/>
          <w:iCs/>
          <w:lang w:val="en-GB"/>
        </w:rPr>
        <w:t>See</w:t>
      </w:r>
      <w:r>
        <w:rPr>
          <w:lang w:val="en-GB"/>
        </w:rPr>
        <w:t xml:space="preserve"> </w:t>
      </w:r>
      <w:r w:rsidRPr="008D34F7">
        <w:rPr>
          <w:lang w:val="en-GB"/>
        </w:rPr>
        <w:t>footnote 69.</w:t>
      </w:r>
    </w:p>
  </w:footnote>
  <w:footnote w:id="78">
    <w:p w14:paraId="69DF3C63" w14:textId="220759A1" w:rsidR="008C61C3" w:rsidRPr="008D34F7" w:rsidRDefault="008C61C3" w:rsidP="00F744AE">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 xml:space="preserve">Egypt has </w:t>
      </w:r>
      <w:r>
        <w:rPr>
          <w:lang w:val="en-GB"/>
        </w:rPr>
        <w:t xml:space="preserve">a </w:t>
      </w:r>
      <w:r w:rsidRPr="008D34F7">
        <w:rPr>
          <w:lang w:val="en-GB"/>
        </w:rPr>
        <w:t>reservation with regard to incurring additional</w:t>
      </w:r>
      <w:r>
        <w:rPr>
          <w:lang w:val="en-GB"/>
        </w:rPr>
        <w:t xml:space="preserve"> obligations</w:t>
      </w:r>
      <w:r w:rsidRPr="008D34F7">
        <w:rPr>
          <w:lang w:val="en-GB"/>
        </w:rPr>
        <w:t xml:space="preserve"> in this</w:t>
      </w:r>
      <w:r>
        <w:rPr>
          <w:lang w:val="en-GB"/>
        </w:rPr>
        <w:t xml:space="preserve"> area</w:t>
      </w:r>
      <w:r w:rsidRPr="008D34F7">
        <w:rPr>
          <w:lang w:val="en-GB"/>
        </w:rPr>
        <w:t xml:space="preserve">, without </w:t>
      </w:r>
      <w:r w:rsidR="00B70D50" w:rsidRPr="008D34F7">
        <w:rPr>
          <w:lang w:val="en-GB"/>
        </w:rPr>
        <w:t>corresponding measures</w:t>
      </w:r>
      <w:r>
        <w:rPr>
          <w:lang w:val="en-GB"/>
        </w:rPr>
        <w:t xml:space="preserve"> </w:t>
      </w:r>
      <w:r w:rsidRPr="008D34F7">
        <w:rPr>
          <w:lang w:val="en-GB"/>
        </w:rPr>
        <w:t xml:space="preserve">to </w:t>
      </w:r>
      <w:r>
        <w:rPr>
          <w:lang w:val="en-GB"/>
        </w:rPr>
        <w:t xml:space="preserve">achieve the universality of </w:t>
      </w:r>
      <w:r w:rsidRPr="008D34F7">
        <w:rPr>
          <w:lang w:val="en-GB"/>
        </w:rPr>
        <w:t xml:space="preserve">the Treaty </w:t>
      </w:r>
      <w:r>
        <w:rPr>
          <w:lang w:val="en-GB"/>
        </w:rPr>
        <w:t xml:space="preserve">on the </w:t>
      </w:r>
      <w:r w:rsidRPr="008D34F7">
        <w:rPr>
          <w:lang w:val="en-GB"/>
        </w:rPr>
        <w:t>Non-Proliferation of Nuclear Weapons</w:t>
      </w:r>
      <w:r>
        <w:rPr>
          <w:lang w:val="en-GB"/>
        </w:rPr>
        <w:t xml:space="preserve"> (NPT)</w:t>
      </w:r>
      <w:r w:rsidRPr="008D34F7">
        <w:rPr>
          <w:lang w:val="en-GB"/>
        </w:rPr>
        <w:t>.</w:t>
      </w:r>
    </w:p>
  </w:footnote>
  <w:footnote w:id="79">
    <w:p w14:paraId="1E9D08BF" w14:textId="53CA663E" w:rsidR="008C61C3" w:rsidRPr="008D34F7" w:rsidRDefault="008C61C3" w:rsidP="00F744AE">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lang w:val="en-GB"/>
        </w:rPr>
        <w:t xml:space="preserve">Egypt </w:t>
      </w:r>
      <w:r>
        <w:rPr>
          <w:lang w:val="en-GB"/>
        </w:rPr>
        <w:t>agrees with</w:t>
      </w:r>
      <w:r w:rsidRPr="008D34F7">
        <w:rPr>
          <w:lang w:val="en-GB"/>
        </w:rPr>
        <w:t xml:space="preserve"> the content of the Code of Conduct</w:t>
      </w:r>
      <w:r>
        <w:rPr>
          <w:lang w:val="en-GB"/>
        </w:rPr>
        <w:t>, but</w:t>
      </w:r>
      <w:r w:rsidRPr="008D34F7">
        <w:rPr>
          <w:lang w:val="en-GB"/>
        </w:rPr>
        <w:t xml:space="preserve"> rejects partial solutions for Security Council reform, </w:t>
      </w:r>
      <w:r>
        <w:rPr>
          <w:lang w:val="en-GB"/>
        </w:rPr>
        <w:t xml:space="preserve">bearing in mind </w:t>
      </w:r>
      <w:r w:rsidRPr="008D34F7">
        <w:rPr>
          <w:lang w:val="en-GB"/>
        </w:rPr>
        <w:t>UNGA</w:t>
      </w:r>
      <w:r>
        <w:rPr>
          <w:lang w:val="en-GB"/>
        </w:rPr>
        <w:t xml:space="preserve"> decision </w:t>
      </w:r>
      <w:r w:rsidRPr="008D34F7">
        <w:rPr>
          <w:lang w:val="en-GB"/>
        </w:rPr>
        <w:t>62/557 and the Ezulwini Consensus.</w:t>
      </w:r>
    </w:p>
  </w:footnote>
  <w:footnote w:id="80">
    <w:p w14:paraId="5FDC1361" w14:textId="13966028" w:rsidR="008C61C3" w:rsidRPr="008D34F7" w:rsidRDefault="008C61C3" w:rsidP="008C61C3">
      <w:pPr>
        <w:pStyle w:val="FootnoteText"/>
        <w:bidi w:val="0"/>
        <w:rPr>
          <w:rtl/>
          <w:lang w:val="en-GB"/>
        </w:rPr>
      </w:pPr>
      <w:r w:rsidRPr="008D34F7">
        <w:rPr>
          <w:rStyle w:val="FootnoteReference"/>
          <w:lang w:val="en-GB"/>
        </w:rPr>
        <w:footnoteRef/>
      </w:r>
      <w:r w:rsidRPr="008D34F7">
        <w:rPr>
          <w:rtl/>
          <w:lang w:val="en-GB"/>
        </w:rPr>
        <w:t xml:space="preserve"> </w:t>
      </w:r>
      <w:r w:rsidRPr="008D34F7">
        <w:rPr>
          <w:lang w:val="en-GB"/>
        </w:rPr>
        <w:t>The Government extended invitations to 6 mandate holder to visit</w:t>
      </w:r>
      <w:r>
        <w:rPr>
          <w:lang w:val="en-GB"/>
        </w:rPr>
        <w:t xml:space="preserve"> Egypt</w:t>
      </w:r>
      <w:r w:rsidRPr="008D34F7">
        <w:rPr>
          <w:lang w:val="en-GB"/>
        </w:rPr>
        <w:t>, and is awaiting the confirmation of the exact dates for the visits. Consecutively, it will consider other visit requests to ensure good preparation</w:t>
      </w:r>
      <w:r>
        <w:rPr>
          <w:lang w:val="en-GB"/>
        </w:rPr>
        <w:t>s</w:t>
      </w:r>
      <w:r w:rsidRPr="008D34F7">
        <w:rPr>
          <w:lang w:val="en-GB"/>
        </w:rPr>
        <w:t xml:space="preserve">. </w:t>
      </w:r>
      <w:r w:rsidRPr="006403B4">
        <w:rPr>
          <w:i/>
          <w:iCs/>
          <w:lang w:val="en-GB"/>
        </w:rPr>
        <w:t>See</w:t>
      </w:r>
      <w:r w:rsidRPr="008D34F7">
        <w:rPr>
          <w:lang w:val="en-GB"/>
        </w:rPr>
        <w:t xml:space="preserve"> para</w:t>
      </w:r>
      <w:r>
        <w:rPr>
          <w:lang w:val="en-GB"/>
        </w:rPr>
        <w:t>.</w:t>
      </w:r>
      <w:r w:rsidRPr="008D34F7">
        <w:rPr>
          <w:lang w:val="en-GB"/>
        </w:rPr>
        <w:t xml:space="preserve"> 89 of document A/HRC/WG.6/34/EGY/1 and para</w:t>
      </w:r>
      <w:r>
        <w:rPr>
          <w:lang w:val="en-GB"/>
        </w:rPr>
        <w:t>.</w:t>
      </w:r>
      <w:r w:rsidRPr="008D34F7">
        <w:rPr>
          <w:lang w:val="en-GB"/>
        </w:rPr>
        <w:t xml:space="preserve"> 15 of document A/HRC/43/16.</w:t>
      </w:r>
    </w:p>
  </w:footnote>
  <w:footnote w:id="81">
    <w:p w14:paraId="18A3AA50" w14:textId="7ACBF8B5" w:rsidR="008C61C3" w:rsidRPr="008D34F7" w:rsidRDefault="008C61C3" w:rsidP="00E17D66">
      <w:pPr>
        <w:pStyle w:val="FootnoteText"/>
        <w:bidi w:val="0"/>
        <w:spacing w:before="80"/>
        <w:rPr>
          <w:lang w:val="en-GB"/>
        </w:rPr>
      </w:pPr>
      <w:r w:rsidRPr="008D34F7">
        <w:rPr>
          <w:rStyle w:val="FootnoteReference"/>
          <w:lang w:val="en-GB"/>
        </w:rPr>
        <w:footnoteRef/>
      </w:r>
      <w:r w:rsidRPr="008D34F7">
        <w:rPr>
          <w:rStyle w:val="FootnoteReference"/>
          <w:rtl/>
          <w:lang w:val="en-GB"/>
        </w:rPr>
        <w:t xml:space="preserve"> </w:t>
      </w:r>
      <w:r w:rsidRPr="008D34F7">
        <w:rPr>
          <w:rStyle w:val="FootnoteReference"/>
          <w:lang w:val="en-GB"/>
        </w:rPr>
        <w:t xml:space="preserve"> </w:t>
      </w:r>
      <w:r w:rsidRPr="008D34F7">
        <w:rPr>
          <w:lang w:val="en-GB"/>
        </w:rPr>
        <w:t>Egypt does not recogni</w:t>
      </w:r>
      <w:r>
        <w:rPr>
          <w:lang w:val="en-GB"/>
        </w:rPr>
        <w:t>s</w:t>
      </w:r>
      <w:r w:rsidRPr="008D34F7">
        <w:rPr>
          <w:lang w:val="en-GB"/>
        </w:rPr>
        <w:t xml:space="preserve">e the terminology </w:t>
      </w:r>
      <w:r>
        <w:rPr>
          <w:lang w:val="en-GB"/>
        </w:rPr>
        <w:t xml:space="preserve">contained </w:t>
      </w:r>
      <w:r w:rsidRPr="008D34F7">
        <w:rPr>
          <w:lang w:val="en-GB"/>
        </w:rPr>
        <w:t>in this recommendation. According to the Constitution and Law, all citizens are equal before the law. The rights of all individuals are protected without distinction, regardless of the charges pressed against any individual.</w:t>
      </w:r>
    </w:p>
  </w:footnote>
  <w:footnote w:id="82">
    <w:p w14:paraId="6D821FA0" w14:textId="6BE6E2C4" w:rsidR="008C61C3" w:rsidRPr="008D34F7" w:rsidRDefault="008C61C3" w:rsidP="008C61C3">
      <w:pPr>
        <w:pStyle w:val="FootnoteText"/>
        <w:bidi w:val="0"/>
        <w:spacing w:before="80"/>
        <w:rPr>
          <w:lang w:val="en-GB" w:bidi="ar-EG"/>
        </w:rPr>
      </w:pPr>
      <w:r w:rsidRPr="008D34F7">
        <w:rPr>
          <w:rStyle w:val="FootnoteReference"/>
          <w:lang w:val="en-GB"/>
        </w:rPr>
        <w:footnoteRef/>
      </w:r>
      <w:r w:rsidRPr="008D34F7">
        <w:rPr>
          <w:rtl/>
          <w:lang w:val="en-GB"/>
        </w:rPr>
        <w:t xml:space="preserve"> </w:t>
      </w:r>
      <w:r w:rsidRPr="008D34F7">
        <w:rPr>
          <w:lang w:val="en-GB"/>
        </w:rPr>
        <w:t>Neither the Armed Forces, nor its personnel, have any role in dealing with demonstrations, or dispersing riots resulting thereof.</w:t>
      </w:r>
    </w:p>
  </w:footnote>
  <w:footnote w:id="83">
    <w:p w14:paraId="3D24AA36" w14:textId="7E113D6C" w:rsidR="008C61C3" w:rsidRPr="008D34F7" w:rsidRDefault="008C61C3" w:rsidP="00BF1CDB">
      <w:pPr>
        <w:pStyle w:val="FootnoteText"/>
        <w:bidi w:val="0"/>
        <w:spacing w:before="80"/>
        <w:rPr>
          <w:lang w:val="en-GB" w:bidi="ar-EG"/>
        </w:rPr>
      </w:pPr>
      <w:r w:rsidRPr="008D34F7">
        <w:rPr>
          <w:rStyle w:val="FootnoteReference"/>
          <w:lang w:val="en-GB"/>
        </w:rPr>
        <w:footnoteRef/>
      </w:r>
      <w:r w:rsidRPr="008D34F7">
        <w:rPr>
          <w:lang w:val="en-GB"/>
        </w:rPr>
        <w:t xml:space="preserve"> </w:t>
      </w:r>
      <w:r w:rsidRPr="00BF1CDB">
        <w:rPr>
          <w:i/>
          <w:iCs/>
          <w:lang w:val="en-GB"/>
        </w:rPr>
        <w:t>See</w:t>
      </w:r>
      <w:r>
        <w:rPr>
          <w:lang w:val="en-GB"/>
        </w:rPr>
        <w:t xml:space="preserve"> </w:t>
      </w:r>
      <w:r w:rsidRPr="008D34F7">
        <w:rPr>
          <w:lang w:val="en-GB"/>
        </w:rPr>
        <w:t>footnote 41.</w:t>
      </w:r>
    </w:p>
  </w:footnote>
  <w:footnote w:id="84">
    <w:p w14:paraId="1E19F75C" w14:textId="4C336CEF" w:rsidR="008C61C3" w:rsidRPr="008D34F7" w:rsidRDefault="008C61C3" w:rsidP="008C61C3">
      <w:pPr>
        <w:pStyle w:val="FootnoteText"/>
        <w:bidi w:val="0"/>
        <w:spacing w:before="80"/>
        <w:rPr>
          <w:lang w:val="en-GB"/>
        </w:rPr>
      </w:pPr>
      <w:r w:rsidRPr="008D34F7">
        <w:rPr>
          <w:vertAlign w:val="superscript"/>
          <w:lang w:val="en-GB"/>
        </w:rPr>
        <w:footnoteRef/>
      </w:r>
      <w:r w:rsidRPr="008D34F7">
        <w:rPr>
          <w:lang w:val="en-GB"/>
        </w:rPr>
        <w:t xml:space="preserve"> </w:t>
      </w:r>
      <w:r w:rsidRPr="00BF1CDB">
        <w:rPr>
          <w:i/>
          <w:iCs/>
          <w:lang w:val="en-GB"/>
        </w:rPr>
        <w:t>See</w:t>
      </w:r>
      <w:r>
        <w:rPr>
          <w:lang w:val="en-GB"/>
        </w:rPr>
        <w:t xml:space="preserve"> footnote 23. </w:t>
      </w:r>
      <w:r w:rsidRPr="008D34F7">
        <w:rPr>
          <w:lang w:val="en-GB"/>
        </w:rPr>
        <w:t>The law guarantees all fair trial safeguards, based on the Constitution</w:t>
      </w:r>
      <w:r w:rsidRPr="008D34F7">
        <w:rPr>
          <w:rtl/>
          <w:lang w:val="en-GB"/>
        </w:rPr>
        <w:t xml:space="preserve"> </w:t>
      </w:r>
      <w:r w:rsidRPr="008D34F7">
        <w:rPr>
          <w:lang w:val="en-GB"/>
        </w:rPr>
        <w:t xml:space="preserve">and international standards. </w:t>
      </w:r>
      <w:r w:rsidRPr="00BF1CDB">
        <w:rPr>
          <w:i/>
          <w:iCs/>
          <w:lang w:val="en-GB"/>
        </w:rPr>
        <w:t>See</w:t>
      </w:r>
      <w:r w:rsidRPr="008D34F7">
        <w:rPr>
          <w:lang w:val="en-GB"/>
        </w:rPr>
        <w:t xml:space="preserve"> para</w:t>
      </w:r>
      <w:r>
        <w:rPr>
          <w:lang w:val="en-GB"/>
        </w:rPr>
        <w:t>.</w:t>
      </w:r>
      <w:r w:rsidRPr="008D34F7">
        <w:rPr>
          <w:lang w:val="en-GB"/>
        </w:rPr>
        <w:t xml:space="preserve"> 20 of document A/HRC/WG.6/34/EGY/1. </w:t>
      </w:r>
    </w:p>
  </w:footnote>
  <w:footnote w:id="85">
    <w:p w14:paraId="7D07DB25" w14:textId="3B55232E" w:rsidR="008C61C3" w:rsidRPr="008D34F7" w:rsidRDefault="008C61C3" w:rsidP="008C61C3">
      <w:pPr>
        <w:pStyle w:val="FootnoteText"/>
        <w:bidi w:val="0"/>
        <w:spacing w:before="80"/>
        <w:rPr>
          <w:lang w:val="en-GB"/>
        </w:rPr>
      </w:pPr>
      <w:r w:rsidRPr="008D34F7">
        <w:rPr>
          <w:rStyle w:val="FootnoteReference"/>
          <w:lang w:val="en-GB"/>
        </w:rPr>
        <w:footnoteRef/>
      </w:r>
      <w:r w:rsidRPr="008D34F7">
        <w:rPr>
          <w:rtl/>
          <w:lang w:val="en-GB"/>
        </w:rPr>
        <w:t xml:space="preserve"> </w:t>
      </w:r>
      <w:r w:rsidRPr="008D34F7">
        <w:rPr>
          <w:rFonts w:asciiTheme="majorBidi" w:hAnsiTheme="majorBidi" w:cstheme="majorBidi"/>
          <w:szCs w:val="18"/>
          <w:lang w:val="en-GB"/>
        </w:rPr>
        <w:t>The Constitution and law do not allow for the prosecution of civilians before military courts except in cases of military nature</w:t>
      </w:r>
      <w:r w:rsidRPr="008D34F7">
        <w:rPr>
          <w:szCs w:val="18"/>
          <w:lang w:val="en-GB"/>
        </w:rPr>
        <w:t>.</w:t>
      </w:r>
      <w:r>
        <w:rPr>
          <w:szCs w:val="18"/>
          <w:lang w:val="en-GB"/>
        </w:rPr>
        <w:t xml:space="preserve"> </w:t>
      </w:r>
      <w:r w:rsidRPr="0029706E">
        <w:rPr>
          <w:i/>
          <w:iCs/>
          <w:szCs w:val="18"/>
          <w:lang w:val="en-GB"/>
        </w:rPr>
        <w:t>Review</w:t>
      </w:r>
      <w:r>
        <w:rPr>
          <w:szCs w:val="18"/>
          <w:lang w:val="en-GB"/>
        </w:rPr>
        <w:t xml:space="preserve"> para. 21 of document </w:t>
      </w:r>
      <w:r w:rsidRPr="008D34F7">
        <w:rPr>
          <w:lang w:val="en-GB"/>
        </w:rPr>
        <w:t>A/HRC/WG.6/34/EGY/1</w:t>
      </w:r>
      <w:r>
        <w:rPr>
          <w:szCs w:val="18"/>
          <w:lang w:val="en-GB"/>
        </w:rPr>
        <w:t>. See also footnote 68.</w:t>
      </w:r>
    </w:p>
  </w:footnote>
  <w:footnote w:id="86">
    <w:p w14:paraId="32E7DD68" w14:textId="29FBFDC6" w:rsidR="008C61C3" w:rsidRPr="008D34F7" w:rsidRDefault="008C61C3" w:rsidP="00AF17AA">
      <w:pPr>
        <w:pStyle w:val="FootnoteText"/>
        <w:bidi w:val="0"/>
        <w:rPr>
          <w:lang w:val="en-GB"/>
        </w:rPr>
      </w:pPr>
      <w:r w:rsidRPr="008D34F7">
        <w:rPr>
          <w:rStyle w:val="FootnoteReference"/>
          <w:lang w:val="en-GB"/>
        </w:rPr>
        <w:footnoteRef/>
      </w:r>
      <w:r>
        <w:rPr>
          <w:bCs/>
          <w:lang w:val="en-GB"/>
        </w:rPr>
        <w:t xml:space="preserve"> </w:t>
      </w:r>
      <w:r w:rsidRPr="008D34F7">
        <w:rPr>
          <w:bCs/>
          <w:lang w:val="en-GB"/>
        </w:rPr>
        <w:t>The Egyptian legislat</w:t>
      </w:r>
      <w:r>
        <w:rPr>
          <w:bCs/>
          <w:lang w:val="en-GB"/>
        </w:rPr>
        <w:t>ure</w:t>
      </w:r>
      <w:r w:rsidRPr="008D34F7">
        <w:rPr>
          <w:bCs/>
          <w:lang w:val="en-GB"/>
        </w:rPr>
        <w:t xml:space="preserve"> does not recogni</w:t>
      </w:r>
      <w:r>
        <w:rPr>
          <w:bCs/>
          <w:lang w:val="en-GB"/>
        </w:rPr>
        <w:t>s</w:t>
      </w:r>
      <w:r w:rsidRPr="008D34F7">
        <w:rPr>
          <w:bCs/>
          <w:lang w:val="en-GB"/>
        </w:rPr>
        <w:t xml:space="preserve">e mass trials. </w:t>
      </w:r>
      <w:r w:rsidRPr="00646CCF">
        <w:rPr>
          <w:bCs/>
          <w:i/>
          <w:iCs/>
          <w:lang w:val="en-GB"/>
        </w:rPr>
        <w:t>Review</w:t>
      </w:r>
      <w:r>
        <w:rPr>
          <w:bCs/>
          <w:lang w:val="en-GB"/>
        </w:rPr>
        <w:t xml:space="preserve"> </w:t>
      </w:r>
      <w:r w:rsidRPr="008D34F7">
        <w:rPr>
          <w:bCs/>
          <w:lang w:val="en-GB"/>
        </w:rPr>
        <w:t>para</w:t>
      </w:r>
      <w:r>
        <w:rPr>
          <w:bCs/>
          <w:lang w:val="en-GB"/>
        </w:rPr>
        <w:t>.</w:t>
      </w:r>
      <w:r w:rsidRPr="008D34F7">
        <w:rPr>
          <w:bCs/>
          <w:lang w:val="en-GB"/>
        </w:rPr>
        <w:t xml:space="preserve"> 20 of document A/HRC/WG.6/34/EGY/1 and para</w:t>
      </w:r>
      <w:r>
        <w:rPr>
          <w:bCs/>
          <w:lang w:val="en-GB"/>
        </w:rPr>
        <w:t>.</w:t>
      </w:r>
      <w:r w:rsidRPr="008D34F7">
        <w:rPr>
          <w:bCs/>
          <w:lang w:val="en-GB"/>
        </w:rPr>
        <w:t xml:space="preserve"> 7 of document A/HRC/43/16.</w:t>
      </w:r>
      <w:r w:rsidRPr="008D34F7">
        <w:rPr>
          <w:lang w:val="en-GB"/>
        </w:rPr>
        <w:t xml:space="preserve"> </w:t>
      </w:r>
    </w:p>
  </w:footnote>
  <w:footnote w:id="87">
    <w:p w14:paraId="003077AB" w14:textId="23F9A5AA" w:rsidR="008C61C3" w:rsidRPr="008D34F7" w:rsidRDefault="008C61C3" w:rsidP="00AF17AA">
      <w:pPr>
        <w:pStyle w:val="FootnoteText"/>
        <w:bidi w:val="0"/>
        <w:spacing w:before="80"/>
        <w:rPr>
          <w:lang w:val="en-GB"/>
        </w:rPr>
      </w:pPr>
      <w:r w:rsidRPr="008D34F7">
        <w:rPr>
          <w:rStyle w:val="FootnoteReference"/>
          <w:lang w:val="en-GB"/>
        </w:rPr>
        <w:footnoteRef/>
      </w:r>
      <w:r w:rsidRPr="008D34F7">
        <w:rPr>
          <w:bCs/>
          <w:lang w:val="en-GB"/>
        </w:rPr>
        <w:t xml:space="preserve"> </w:t>
      </w:r>
      <w:r w:rsidRPr="00646CCF">
        <w:rPr>
          <w:bCs/>
          <w:i/>
          <w:iCs/>
          <w:lang w:val="en-GB"/>
        </w:rPr>
        <w:t>See</w:t>
      </w:r>
      <w:r>
        <w:rPr>
          <w:bCs/>
          <w:lang w:val="en-GB"/>
        </w:rPr>
        <w:t xml:space="preserve"> footnote 55.</w:t>
      </w:r>
    </w:p>
  </w:footnote>
  <w:footnote w:id="88">
    <w:p w14:paraId="19990390" w14:textId="3DAE5A40" w:rsidR="008C61C3" w:rsidRPr="008D34F7" w:rsidRDefault="008C61C3" w:rsidP="00646CCF">
      <w:pPr>
        <w:pStyle w:val="FootnoteText"/>
        <w:bidi w:val="0"/>
        <w:spacing w:before="80"/>
        <w:rPr>
          <w:lang w:val="en-GB" w:bidi="ar-EG"/>
        </w:rPr>
      </w:pPr>
      <w:r w:rsidRPr="008D34F7">
        <w:rPr>
          <w:rStyle w:val="FootnoteReference"/>
          <w:lang w:val="en-GB"/>
        </w:rPr>
        <w:footnoteRef/>
      </w:r>
      <w:r w:rsidRPr="008D34F7">
        <w:rPr>
          <w:rtl/>
          <w:lang w:val="en-GB"/>
        </w:rPr>
        <w:t xml:space="preserve"> </w:t>
      </w:r>
      <w:r w:rsidRPr="00646CCF">
        <w:rPr>
          <w:rFonts w:asciiTheme="majorBidi" w:hAnsiTheme="majorBidi" w:cstheme="majorBidi"/>
          <w:i/>
          <w:iCs/>
          <w:lang w:val="en-GB"/>
        </w:rPr>
        <w:t>See</w:t>
      </w:r>
      <w:r>
        <w:rPr>
          <w:rFonts w:asciiTheme="majorBidi" w:hAnsiTheme="majorBidi" w:cstheme="majorBidi"/>
          <w:lang w:val="en-GB"/>
        </w:rPr>
        <w:t xml:space="preserve"> footnote 25</w:t>
      </w:r>
      <w:r w:rsidRPr="008D34F7">
        <w:rPr>
          <w:rFonts w:asciiTheme="majorBidi" w:hAnsiTheme="majorBidi" w:cstheme="majorBidi"/>
          <w:lang w:val="en-GB"/>
        </w:rPr>
        <w:t>.</w:t>
      </w:r>
      <w:r w:rsidRPr="008D34F7">
        <w:rPr>
          <w:rFonts w:asciiTheme="majorBidi" w:hAnsiTheme="majorBidi" w:cstheme="majorBidi"/>
          <w:rtl/>
          <w:lang w:val="en-GB"/>
        </w:rPr>
        <w:t xml:space="preserve"> </w:t>
      </w:r>
      <w:r w:rsidRPr="008D34F7">
        <w:rPr>
          <w:rFonts w:asciiTheme="majorBidi" w:hAnsiTheme="majorBidi" w:cstheme="majorBidi"/>
          <w:lang w:val="en-GB"/>
        </w:rPr>
        <w:t xml:space="preserve">Cases under investigation or being considered by the judiciary may only end through a decision by the competent judicial authority to dismiss the criminal charges, or a final judgment of </w:t>
      </w:r>
      <w:r w:rsidRPr="008D34F7">
        <w:rPr>
          <w:rFonts w:asciiTheme="majorBidi" w:hAnsiTheme="majorBidi" w:cstheme="majorBidi"/>
          <w:lang w:val="en-GB" w:bidi="ar-EG"/>
        </w:rPr>
        <w:t>acquittal</w:t>
      </w:r>
      <w:r w:rsidRPr="008D34F7">
        <w:rPr>
          <w:lang w:val="en-GB"/>
        </w:rPr>
        <w:t>.</w:t>
      </w:r>
    </w:p>
  </w:footnote>
  <w:footnote w:id="89">
    <w:p w14:paraId="36612403" w14:textId="64C92EB3" w:rsidR="008C61C3" w:rsidRPr="00BE0D72" w:rsidRDefault="008C61C3" w:rsidP="0029706E">
      <w:pPr>
        <w:pStyle w:val="FootnoteText"/>
        <w:bidi w:val="0"/>
        <w:spacing w:before="80"/>
        <w:rPr>
          <w:lang w:val="en-GB" w:bidi="ar-EG"/>
        </w:rPr>
      </w:pPr>
      <w:r w:rsidRPr="00BE0D72">
        <w:rPr>
          <w:rStyle w:val="FootnoteReference"/>
          <w:lang w:val="en-GB"/>
        </w:rPr>
        <w:footnoteRef/>
      </w:r>
      <w:r w:rsidRPr="00BE0D72">
        <w:rPr>
          <w:rtl/>
          <w:lang w:val="en-GB"/>
        </w:rPr>
        <w:t xml:space="preserve"> </w:t>
      </w:r>
      <w:r>
        <w:rPr>
          <w:rFonts w:asciiTheme="majorBidi" w:hAnsiTheme="majorBidi" w:cstheme="majorBidi"/>
          <w:i/>
          <w:iCs/>
          <w:lang w:val="en-GB"/>
        </w:rPr>
        <w:t>See</w:t>
      </w:r>
      <w:r>
        <w:rPr>
          <w:rFonts w:asciiTheme="majorBidi" w:hAnsiTheme="majorBidi" w:cstheme="majorBidi"/>
          <w:lang w:val="en-GB"/>
        </w:rPr>
        <w:t xml:space="preserve"> </w:t>
      </w:r>
      <w:r w:rsidRPr="00BE0D72">
        <w:rPr>
          <w:rFonts w:asciiTheme="majorBidi" w:hAnsiTheme="majorBidi" w:cstheme="majorBidi"/>
          <w:lang w:val="en-GB"/>
        </w:rPr>
        <w:t>footnote 65.</w:t>
      </w:r>
    </w:p>
  </w:footnote>
  <w:footnote w:id="90">
    <w:p w14:paraId="18F59549" w14:textId="39D10D57" w:rsidR="008C61C3" w:rsidRDefault="008C61C3" w:rsidP="008C61C3">
      <w:pPr>
        <w:pStyle w:val="FootnoteText"/>
        <w:bidi w:val="0"/>
        <w:spacing w:before="80"/>
      </w:pPr>
      <w:r>
        <w:rPr>
          <w:rStyle w:val="FootnoteReference"/>
        </w:rPr>
        <w:footnoteRef/>
      </w:r>
      <w:r>
        <w:rPr>
          <w:rtl/>
        </w:rPr>
        <w:t xml:space="preserve"> </w:t>
      </w:r>
      <w:r w:rsidRPr="00217613">
        <w:rPr>
          <w:rFonts w:asciiTheme="majorBidi" w:hAnsiTheme="majorBidi" w:cstheme="majorBidi"/>
          <w:i/>
          <w:iCs/>
          <w:lang w:val="en-GB"/>
        </w:rPr>
        <w:t>See</w:t>
      </w:r>
      <w:r>
        <w:t xml:space="preserve"> footnote 9.</w:t>
      </w:r>
    </w:p>
  </w:footnote>
  <w:footnote w:id="91">
    <w:p w14:paraId="0D1F0FFA" w14:textId="60EDA448" w:rsidR="008C61C3" w:rsidRPr="00BE0D72" w:rsidRDefault="008C61C3" w:rsidP="00E17D66">
      <w:pPr>
        <w:pStyle w:val="FootnoteText"/>
        <w:bidi w:val="0"/>
        <w:spacing w:before="80"/>
        <w:rPr>
          <w:lang w:val="en-GB" w:bidi="ar-EG"/>
        </w:rPr>
      </w:pPr>
      <w:r w:rsidRPr="00BE0D72">
        <w:rPr>
          <w:rStyle w:val="FootnoteReference"/>
          <w:lang w:val="en-GB"/>
        </w:rPr>
        <w:footnoteRef/>
      </w:r>
      <w:r w:rsidRPr="00BE0D72">
        <w:rPr>
          <w:rtl/>
          <w:lang w:val="en-GB"/>
        </w:rPr>
        <w:t xml:space="preserve"> </w:t>
      </w:r>
      <w:r w:rsidRPr="00BE0D72">
        <w:rPr>
          <w:rFonts w:asciiTheme="majorBidi" w:hAnsiTheme="majorBidi" w:cstheme="majorBidi"/>
          <w:lang w:val="en-GB"/>
        </w:rPr>
        <w:t>According to the Constitution, there are no minorities in Egypt, and all citizens are equal in terms of rights and duties and</w:t>
      </w:r>
      <w:r w:rsidRPr="00BE0D72">
        <w:rPr>
          <w:rFonts w:asciiTheme="majorBidi" w:hAnsiTheme="majorBidi" w:cstheme="majorBidi"/>
          <w:rtl/>
          <w:lang w:val="en-GB"/>
        </w:rPr>
        <w:t xml:space="preserve"> </w:t>
      </w:r>
      <w:r w:rsidRPr="00BE0D72">
        <w:rPr>
          <w:rFonts w:asciiTheme="majorBidi" w:hAnsiTheme="majorBidi" w:cstheme="majorBidi"/>
          <w:lang w:val="en-GB"/>
        </w:rPr>
        <w:t xml:space="preserve">before the law, without discrimination. Pre-university education is free </w:t>
      </w:r>
      <w:r>
        <w:rPr>
          <w:rFonts w:asciiTheme="majorBidi" w:hAnsiTheme="majorBidi" w:cstheme="majorBidi"/>
          <w:lang w:val="en-GB"/>
        </w:rPr>
        <w:t xml:space="preserve">of charge </w:t>
      </w:r>
      <w:r w:rsidRPr="00BE0D72">
        <w:rPr>
          <w:rFonts w:asciiTheme="majorBidi" w:hAnsiTheme="majorBidi" w:cstheme="majorBidi"/>
          <w:lang w:val="en-GB"/>
        </w:rPr>
        <w:t>for all citizens without distinction, as Article 19 of the Constitution stipulates</w:t>
      </w:r>
      <w:r w:rsidRPr="00BE0D72">
        <w:rPr>
          <w:bCs/>
          <w:lang w:val="en-GB"/>
        </w:rPr>
        <w:t>.</w:t>
      </w:r>
    </w:p>
  </w:footnote>
  <w:footnote w:id="92">
    <w:p w14:paraId="72DCB965" w14:textId="6228299B" w:rsidR="008C61C3" w:rsidRPr="00BE0D72" w:rsidRDefault="008C61C3" w:rsidP="00BF1CDB">
      <w:pPr>
        <w:pStyle w:val="FootnoteText"/>
        <w:bidi w:val="0"/>
        <w:spacing w:before="80"/>
        <w:rPr>
          <w:lang w:val="en-GB" w:bidi="ar-EG"/>
        </w:rPr>
      </w:pPr>
      <w:r w:rsidRPr="00BE0D72">
        <w:rPr>
          <w:rStyle w:val="FootnoteReference"/>
          <w:lang w:val="en-GB"/>
        </w:rPr>
        <w:footnoteRef/>
      </w:r>
      <w:r>
        <w:rPr>
          <w:lang w:val="en-GB"/>
        </w:rPr>
        <w:t xml:space="preserve"> </w:t>
      </w:r>
      <w:r w:rsidRPr="00BE0D72">
        <w:rPr>
          <w:lang w:val="en-GB"/>
        </w:rPr>
        <w:t>Ibid.</w:t>
      </w:r>
    </w:p>
  </w:footnote>
  <w:footnote w:id="93">
    <w:p w14:paraId="4D8B18C6" w14:textId="6F6A9BAB" w:rsidR="008C61C3" w:rsidRPr="00BE0D72" w:rsidRDefault="008C61C3" w:rsidP="000A038C">
      <w:pPr>
        <w:pStyle w:val="FootnoteText"/>
        <w:bidi w:val="0"/>
        <w:rPr>
          <w:lang w:val="en-GB" w:bidi="ar-EG"/>
        </w:rPr>
      </w:pPr>
      <w:r w:rsidRPr="00BE0D72">
        <w:rPr>
          <w:rStyle w:val="FootnoteReference"/>
          <w:lang w:val="en-GB"/>
        </w:rPr>
        <w:footnoteRef/>
      </w:r>
      <w:r w:rsidRPr="00BE0D72">
        <w:rPr>
          <w:rtl/>
          <w:lang w:val="en-GB"/>
        </w:rPr>
        <w:t xml:space="preserve"> </w:t>
      </w:r>
      <w:r w:rsidRPr="00BE0D72">
        <w:rPr>
          <w:rFonts w:asciiTheme="majorBidi" w:hAnsiTheme="majorBidi" w:cstheme="majorBidi"/>
          <w:lang w:val="en-GB"/>
        </w:rPr>
        <w:t>According to the Constitution, there are no minorities in Egypt, and all citizens are equal in terms of rights and duties and</w:t>
      </w:r>
      <w:r w:rsidRPr="00BE0D72">
        <w:rPr>
          <w:rFonts w:asciiTheme="majorBidi" w:hAnsiTheme="majorBidi" w:cstheme="majorBidi"/>
          <w:rtl/>
          <w:lang w:val="en-GB"/>
        </w:rPr>
        <w:t xml:space="preserve"> </w:t>
      </w:r>
      <w:r w:rsidRPr="00BE0D72">
        <w:rPr>
          <w:rFonts w:asciiTheme="majorBidi" w:hAnsiTheme="majorBidi" w:cstheme="majorBidi"/>
          <w:lang w:val="en-GB"/>
        </w:rPr>
        <w:t>before the law, without</w:t>
      </w:r>
      <w:r>
        <w:rPr>
          <w:rFonts w:asciiTheme="majorBidi" w:hAnsiTheme="majorBidi" w:cstheme="majorBidi"/>
          <w:lang w:val="en-GB"/>
        </w:rPr>
        <w:t xml:space="preserve"> distinction</w:t>
      </w:r>
      <w:r w:rsidRPr="00BE0D72">
        <w:rPr>
          <w:rFonts w:asciiTheme="majorBidi" w:hAnsiTheme="majorBidi" w:cstheme="majorBidi"/>
          <w:lang w:val="en-GB"/>
        </w:rPr>
        <w:t>.</w:t>
      </w:r>
    </w:p>
  </w:footnote>
  <w:footnote w:id="94">
    <w:p w14:paraId="665BF2CE" w14:textId="67E2D7CB" w:rsidR="008C61C3" w:rsidRPr="008D34F7" w:rsidRDefault="008C61C3" w:rsidP="000A038C">
      <w:pPr>
        <w:pStyle w:val="FootnoteText"/>
        <w:bidi w:val="0"/>
        <w:spacing w:before="80"/>
        <w:rPr>
          <w:lang w:val="en-GB" w:bidi="ar-EG"/>
        </w:rPr>
      </w:pPr>
      <w:r w:rsidRPr="008D34F7">
        <w:rPr>
          <w:rStyle w:val="FootnoteReference"/>
          <w:lang w:val="en-GB"/>
        </w:rPr>
        <w:footnoteRef/>
      </w:r>
      <w:r w:rsidRPr="008D34F7">
        <w:rPr>
          <w:rtl/>
          <w:lang w:val="en-GB"/>
        </w:rPr>
        <w:t xml:space="preserve"> </w:t>
      </w:r>
      <w:r w:rsidRPr="008D34F7">
        <w:rPr>
          <w:rFonts w:asciiTheme="majorBidi" w:hAnsiTheme="majorBidi" w:cstheme="majorBidi"/>
          <w:lang w:val="en-GB"/>
        </w:rPr>
        <w:t xml:space="preserve">Reviewing laws is </w:t>
      </w:r>
      <w:r>
        <w:rPr>
          <w:rFonts w:asciiTheme="majorBidi" w:hAnsiTheme="majorBidi" w:cstheme="majorBidi"/>
          <w:lang w:val="en-GB"/>
        </w:rPr>
        <w:t xml:space="preserve">conducted through </w:t>
      </w:r>
      <w:r w:rsidRPr="008D34F7">
        <w:rPr>
          <w:rFonts w:asciiTheme="majorBidi" w:hAnsiTheme="majorBidi" w:cstheme="majorBidi"/>
          <w:lang w:val="en-GB"/>
        </w:rPr>
        <w:t xml:space="preserve">a totally separate process from that for the reconsideration of reservations on international treaties. Egypt periodically revisits its position vis-à-vis human rights related international </w:t>
      </w:r>
      <w:r>
        <w:rPr>
          <w:rFonts w:asciiTheme="majorBidi" w:hAnsiTheme="majorBidi" w:cstheme="majorBidi"/>
          <w:lang w:val="en-GB"/>
        </w:rPr>
        <w:t xml:space="preserve">instruments </w:t>
      </w:r>
      <w:r w:rsidRPr="008D34F7">
        <w:rPr>
          <w:rFonts w:asciiTheme="majorBidi" w:hAnsiTheme="majorBidi" w:cstheme="majorBidi"/>
          <w:lang w:val="en-GB"/>
        </w:rPr>
        <w:t>and the reservations thereon.</w:t>
      </w:r>
    </w:p>
  </w:footnote>
  <w:footnote w:id="95">
    <w:p w14:paraId="795F9D70" w14:textId="5D44BA3E" w:rsidR="008C61C3" w:rsidRPr="008D34F7" w:rsidRDefault="008C61C3" w:rsidP="000A038C">
      <w:pPr>
        <w:pStyle w:val="FootnoteText"/>
        <w:bidi w:val="0"/>
        <w:spacing w:before="80"/>
        <w:rPr>
          <w:rFonts w:asciiTheme="majorBidi" w:hAnsiTheme="majorBidi" w:cstheme="majorBidi"/>
          <w:lang w:val="en-GB"/>
        </w:rPr>
      </w:pPr>
      <w:r w:rsidRPr="008D34F7">
        <w:rPr>
          <w:rStyle w:val="FootnoteReference"/>
          <w:lang w:val="en-GB"/>
        </w:rPr>
        <w:footnoteRef/>
      </w:r>
      <w:r w:rsidRPr="008D34F7">
        <w:rPr>
          <w:rStyle w:val="FootnoteReference"/>
          <w:rtl/>
          <w:lang w:val="en-GB"/>
        </w:rPr>
        <w:t xml:space="preserve"> </w:t>
      </w:r>
      <w:r w:rsidRPr="008D34F7">
        <w:rPr>
          <w:rFonts w:asciiTheme="majorBidi" w:hAnsiTheme="majorBidi" w:cstheme="majorBidi"/>
          <w:lang w:val="en-GB"/>
        </w:rPr>
        <w:t>Egypt understands the term “gender” as synonym</w:t>
      </w:r>
      <w:r>
        <w:rPr>
          <w:rFonts w:asciiTheme="majorBidi" w:hAnsiTheme="majorBidi" w:cstheme="majorBidi"/>
          <w:lang w:val="en-GB"/>
        </w:rPr>
        <w:t>ous</w:t>
      </w:r>
      <w:r w:rsidRPr="008D34F7">
        <w:rPr>
          <w:rFonts w:asciiTheme="majorBidi" w:hAnsiTheme="majorBidi" w:cstheme="majorBidi"/>
          <w:lang w:val="en-GB"/>
        </w:rPr>
        <w:t xml:space="preserve"> to “sex”, referring to the two sexes, male and female, in line with the definition included in Article 7</w:t>
      </w:r>
      <w:r>
        <w:rPr>
          <w:rFonts w:asciiTheme="majorBidi" w:hAnsiTheme="majorBidi" w:cstheme="majorBidi"/>
          <w:lang w:val="en-GB"/>
        </w:rPr>
        <w:t xml:space="preserve"> (</w:t>
      </w:r>
      <w:r w:rsidRPr="008D34F7">
        <w:rPr>
          <w:rFonts w:asciiTheme="majorBidi" w:hAnsiTheme="majorBidi" w:cstheme="majorBidi"/>
          <w:lang w:val="en-GB"/>
        </w:rPr>
        <w:t>3</w:t>
      </w:r>
      <w:r>
        <w:rPr>
          <w:rFonts w:asciiTheme="majorBidi" w:hAnsiTheme="majorBidi" w:cstheme="majorBidi"/>
          <w:lang w:val="en-GB"/>
        </w:rPr>
        <w:t>)</w:t>
      </w:r>
      <w:r w:rsidRPr="008D34F7">
        <w:rPr>
          <w:rFonts w:asciiTheme="majorBidi" w:hAnsiTheme="majorBidi" w:cstheme="majorBidi"/>
          <w:lang w:val="en-GB"/>
        </w:rPr>
        <w:t xml:space="preserve"> of the Rome Statute of the International Criminal Court.</w:t>
      </w:r>
    </w:p>
  </w:footnote>
  <w:footnote w:id="96">
    <w:p w14:paraId="4255D38D" w14:textId="380CFA4E" w:rsidR="008C61C3" w:rsidRPr="008D34F7" w:rsidRDefault="008C61C3" w:rsidP="00BF1CDB">
      <w:pPr>
        <w:pStyle w:val="FootnoteText"/>
        <w:bidi w:val="0"/>
        <w:spacing w:before="80"/>
        <w:rPr>
          <w:rFonts w:asciiTheme="majorBidi" w:hAnsiTheme="majorBidi" w:cstheme="majorBidi"/>
          <w:vertAlign w:val="superscript"/>
          <w:lang w:val="en-GB"/>
        </w:rPr>
      </w:pPr>
      <w:r w:rsidRPr="008D34F7">
        <w:rPr>
          <w:rFonts w:asciiTheme="majorBidi" w:hAnsiTheme="majorBidi" w:cstheme="majorBidi"/>
          <w:vertAlign w:val="superscript"/>
          <w:lang w:val="en-GB"/>
        </w:rPr>
        <w:footnoteRef/>
      </w:r>
      <w:r w:rsidR="00AF17AA">
        <w:rPr>
          <w:rFonts w:asciiTheme="majorBidi" w:hAnsiTheme="majorBidi" w:cstheme="majorBidi"/>
          <w:lang w:val="en-GB"/>
        </w:rPr>
        <w:t xml:space="preserve"> </w:t>
      </w:r>
      <w:r w:rsidRPr="008D34F7">
        <w:rPr>
          <w:rFonts w:asciiTheme="majorBidi" w:hAnsiTheme="majorBidi" w:cstheme="majorBidi"/>
          <w:lang w:val="en-GB"/>
        </w:rPr>
        <w:t>Ibid.</w:t>
      </w:r>
      <w:r w:rsidRPr="008D34F7">
        <w:rPr>
          <w:rFonts w:asciiTheme="majorBidi" w:hAnsiTheme="majorBidi" w:cstheme="majorBidi"/>
          <w:vertAlign w:val="superscript"/>
          <w:lang w:val="en-GB"/>
        </w:rPr>
        <w:t xml:space="preserve"> </w:t>
      </w:r>
      <w:r w:rsidRPr="008D34F7">
        <w:rPr>
          <w:rFonts w:asciiTheme="majorBidi" w:hAnsiTheme="majorBidi" w:cstheme="majorBidi"/>
          <w:lang w:val="en-GB"/>
        </w:rPr>
        <w:t>It is also worth noting that the Egyptian law criminalizes rape, and all forms of violence against women whatever its circumstances.</w:t>
      </w:r>
    </w:p>
  </w:footnote>
  <w:footnote w:id="97">
    <w:p w14:paraId="0CF6D398" w14:textId="28D13F98" w:rsidR="008C61C3" w:rsidRPr="008D34F7" w:rsidRDefault="008C61C3" w:rsidP="00BF1CDB">
      <w:pPr>
        <w:pStyle w:val="FootnoteText"/>
        <w:bidi w:val="0"/>
        <w:spacing w:before="80"/>
        <w:rPr>
          <w:lang w:val="en-GB" w:bidi="ar-EG"/>
        </w:rPr>
      </w:pPr>
      <w:r w:rsidRPr="008D34F7">
        <w:rPr>
          <w:rStyle w:val="FootnoteReference"/>
          <w:lang w:val="en-GB"/>
        </w:rPr>
        <w:footnoteRef/>
      </w:r>
      <w:r w:rsidRPr="008D34F7">
        <w:rPr>
          <w:rtl/>
          <w:lang w:val="en-GB"/>
        </w:rPr>
        <w:t xml:space="preserve"> </w:t>
      </w:r>
      <w:r w:rsidRPr="008D34F7">
        <w:rPr>
          <w:lang w:val="en-GB"/>
        </w:rPr>
        <w:t>Ibid.</w:t>
      </w:r>
    </w:p>
  </w:footnote>
  <w:footnote w:id="98">
    <w:p w14:paraId="07A1B711" w14:textId="0B3167A7" w:rsidR="008C61C3" w:rsidRPr="008D34F7" w:rsidRDefault="008C61C3" w:rsidP="00BF1CDB">
      <w:pPr>
        <w:pStyle w:val="FootnoteText"/>
        <w:bidi w:val="0"/>
        <w:spacing w:before="80"/>
        <w:rPr>
          <w:lang w:val="en-GB" w:bidi="ar-EG"/>
        </w:rPr>
      </w:pPr>
      <w:r w:rsidRPr="008D34F7">
        <w:rPr>
          <w:rStyle w:val="FootnoteReference"/>
          <w:lang w:val="en-GB"/>
        </w:rPr>
        <w:footnoteRef/>
      </w:r>
      <w:r>
        <w:rPr>
          <w:lang w:val="en-GB"/>
        </w:rPr>
        <w:t xml:space="preserve"> </w:t>
      </w:r>
      <w:r w:rsidRPr="008D34F7">
        <w:rPr>
          <w:lang w:val="en-GB"/>
        </w:rPr>
        <w:t>Ibid.</w:t>
      </w:r>
    </w:p>
  </w:footnote>
  <w:footnote w:id="99">
    <w:p w14:paraId="67C03396" w14:textId="0162388E" w:rsidR="008C61C3" w:rsidRPr="008D34F7" w:rsidRDefault="008C61C3" w:rsidP="00BF1CDB">
      <w:pPr>
        <w:pStyle w:val="FootnoteText"/>
        <w:bidi w:val="0"/>
        <w:spacing w:before="80"/>
        <w:rPr>
          <w:lang w:val="en-GB" w:bidi="ar-EG"/>
        </w:rPr>
      </w:pPr>
      <w:r w:rsidRPr="008D34F7">
        <w:rPr>
          <w:rStyle w:val="FootnoteReference"/>
          <w:lang w:val="en-GB"/>
        </w:rPr>
        <w:footnoteRef/>
      </w:r>
      <w:r>
        <w:rPr>
          <w:lang w:val="en-GB"/>
        </w:rPr>
        <w:t xml:space="preserve"> </w:t>
      </w:r>
      <w:r w:rsidRPr="008D34F7">
        <w:rPr>
          <w:lang w:val="en-GB"/>
        </w:rPr>
        <w:t>Ibid.</w:t>
      </w:r>
    </w:p>
  </w:footnote>
  <w:footnote w:id="100">
    <w:p w14:paraId="17D9761B" w14:textId="30204C9F" w:rsidR="008C61C3" w:rsidRPr="008D34F7" w:rsidRDefault="008C61C3" w:rsidP="00BF1CDB">
      <w:pPr>
        <w:pStyle w:val="FootnoteText"/>
        <w:bidi w:val="0"/>
        <w:spacing w:before="80"/>
        <w:rPr>
          <w:lang w:val="en-GB" w:bidi="ar-EG"/>
        </w:rPr>
      </w:pPr>
      <w:r w:rsidRPr="008D34F7">
        <w:rPr>
          <w:rStyle w:val="FootnoteReference"/>
          <w:lang w:val="en-GB"/>
        </w:rPr>
        <w:footnoteRef/>
      </w:r>
      <w:r>
        <w:rPr>
          <w:lang w:val="en-GB"/>
        </w:rPr>
        <w:t xml:space="preserve"> </w:t>
      </w:r>
      <w:r w:rsidRPr="008D34F7">
        <w:rPr>
          <w:lang w:val="en-GB"/>
        </w:rPr>
        <w:t>Ibid.</w:t>
      </w:r>
    </w:p>
  </w:footnote>
  <w:footnote w:id="101">
    <w:p w14:paraId="763B003C" w14:textId="126E7A22" w:rsidR="008C61C3" w:rsidRPr="008D34F7" w:rsidRDefault="008C61C3" w:rsidP="000A038C">
      <w:pPr>
        <w:pStyle w:val="FootnoteText"/>
        <w:bidi w:val="0"/>
        <w:rPr>
          <w:lang w:val="en-GB" w:bidi="ar-EG"/>
        </w:rPr>
      </w:pPr>
      <w:r w:rsidRPr="008D34F7">
        <w:rPr>
          <w:rStyle w:val="FootnoteReference"/>
          <w:lang w:val="en-GB"/>
        </w:rPr>
        <w:footnoteRef/>
      </w:r>
      <w:r w:rsidRPr="008D34F7">
        <w:rPr>
          <w:rFonts w:asciiTheme="majorBidi" w:hAnsiTheme="majorBidi" w:cstheme="majorBidi"/>
          <w:lang w:val="en-GB"/>
        </w:rPr>
        <w:t xml:space="preserve"> The law prohibits the application of corporal punishments on children in all settings.</w:t>
      </w:r>
    </w:p>
  </w:footnote>
  <w:footnote w:id="102">
    <w:p w14:paraId="52DA3F24" w14:textId="5EA57BAD" w:rsidR="008C61C3" w:rsidRPr="00C4195E" w:rsidRDefault="008C61C3" w:rsidP="00E17D66">
      <w:pPr>
        <w:pStyle w:val="FootnoteText"/>
        <w:bidi w:val="0"/>
        <w:spacing w:before="80"/>
        <w:rPr>
          <w:lang w:bidi="ar-EG"/>
        </w:rPr>
      </w:pPr>
      <w:r w:rsidRPr="008D34F7">
        <w:rPr>
          <w:rStyle w:val="FootnoteReference"/>
          <w:lang w:val="en-GB"/>
        </w:rPr>
        <w:footnoteRef/>
      </w:r>
      <w:r w:rsidRPr="008D34F7">
        <w:rPr>
          <w:rtl/>
          <w:lang w:val="en-GB"/>
        </w:rPr>
        <w:t xml:space="preserve"> </w:t>
      </w:r>
      <w:r w:rsidRPr="008D34F7">
        <w:rPr>
          <w:bCs/>
          <w:lang w:val="en-GB"/>
        </w:rPr>
        <w:t xml:space="preserve">The Constitution safeguards equal </w:t>
      </w:r>
      <w:r>
        <w:rPr>
          <w:bCs/>
          <w:lang w:val="en-GB"/>
        </w:rPr>
        <w:t>rights</w:t>
      </w:r>
      <w:r w:rsidRPr="00C4195E">
        <w:rPr>
          <w:bCs/>
        </w:rPr>
        <w:t xml:space="preserve"> for all citizens, without discrimination.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AA10" w14:textId="0AAEDF9C" w:rsidR="008C61C3" w:rsidRDefault="008C61C3" w:rsidP="001D3900">
    <w:pPr>
      <w:pStyle w:val="Header"/>
      <w:rPr>
        <w:rtl/>
      </w:rPr>
    </w:pPr>
  </w:p>
  <w:p w14:paraId="463B6955" w14:textId="77777777" w:rsidR="008C61C3" w:rsidRDefault="008C6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60E"/>
    <w:multiLevelType w:val="hybridMultilevel"/>
    <w:tmpl w:val="807A32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421CC"/>
    <w:multiLevelType w:val="hybridMultilevel"/>
    <w:tmpl w:val="592679FC"/>
    <w:lvl w:ilvl="0" w:tplc="C3202524">
      <w:numFmt w:val="bullet"/>
      <w:lvlText w:val=""/>
      <w:lvlJc w:val="left"/>
      <w:pPr>
        <w:ind w:left="794" w:hanging="360"/>
      </w:pPr>
      <w:rPr>
        <w:rFonts w:ascii="Symbol" w:eastAsia="Times New Roman" w:hAnsi="Symbol" w:hint="default"/>
      </w:rPr>
    </w:lvl>
    <w:lvl w:ilvl="1" w:tplc="04090003">
      <w:start w:val="1"/>
      <w:numFmt w:val="bullet"/>
      <w:lvlText w:val="o"/>
      <w:lvlJc w:val="left"/>
      <w:pPr>
        <w:ind w:left="1514" w:hanging="360"/>
      </w:pPr>
      <w:rPr>
        <w:rFonts w:ascii="Courier New" w:hAnsi="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 w15:restartNumberingAfterBreak="0">
    <w:nsid w:val="05A52E96"/>
    <w:multiLevelType w:val="hybridMultilevel"/>
    <w:tmpl w:val="B246BFC4"/>
    <w:lvl w:ilvl="0" w:tplc="60D435E4">
      <w:start w:val="1"/>
      <w:numFmt w:val="arabicAlpha"/>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060F0CAF"/>
    <w:multiLevelType w:val="hybridMultilevel"/>
    <w:tmpl w:val="4998D98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7BC6DCE"/>
    <w:multiLevelType w:val="hybridMultilevel"/>
    <w:tmpl w:val="E31C62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16A28"/>
    <w:multiLevelType w:val="hybridMultilevel"/>
    <w:tmpl w:val="62EEE400"/>
    <w:lvl w:ilvl="0" w:tplc="C7FCC9A6">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9C92490"/>
    <w:multiLevelType w:val="hybridMultilevel"/>
    <w:tmpl w:val="9D7ACCCE"/>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B5276"/>
    <w:multiLevelType w:val="hybridMultilevel"/>
    <w:tmpl w:val="ECCA8F3E"/>
    <w:lvl w:ilvl="0" w:tplc="04090017">
      <w:start w:val="1"/>
      <w:numFmt w:val="lowerLetter"/>
      <w:lvlText w:val="%1)"/>
      <w:lvlJc w:val="left"/>
      <w:pPr>
        <w:ind w:left="429" w:hanging="360"/>
      </w:pPr>
      <w:rPr>
        <w:rFonts w:hint="default"/>
        <w:lang w:val="en-US"/>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9" w15:restartNumberingAfterBreak="0">
    <w:nsid w:val="0DC618A0"/>
    <w:multiLevelType w:val="hybridMultilevel"/>
    <w:tmpl w:val="A6E04C2A"/>
    <w:lvl w:ilvl="0" w:tplc="04090017">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F52B9E"/>
    <w:multiLevelType w:val="hybridMultilevel"/>
    <w:tmpl w:val="70CEF1BE"/>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70082E"/>
    <w:multiLevelType w:val="hybridMultilevel"/>
    <w:tmpl w:val="F0465F54"/>
    <w:lvl w:ilvl="0" w:tplc="037611B4">
      <w:start w:val="5"/>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9302B"/>
    <w:multiLevelType w:val="hybridMultilevel"/>
    <w:tmpl w:val="CBCE19F4"/>
    <w:lvl w:ilvl="0" w:tplc="27C4CC64">
      <w:start w:val="1"/>
      <w:numFmt w:val="arabicAbjad"/>
      <w:lvlText w:val="%1."/>
      <w:lvlJc w:val="left"/>
      <w:pPr>
        <w:ind w:left="577" w:hanging="360"/>
      </w:pPr>
      <w:rPr>
        <w:rFonts w:ascii="Simplified Arabic" w:hAnsi="Simplified Arabic" w:cs="Simplified Arabic" w:hint="default"/>
      </w:rPr>
    </w:lvl>
    <w:lvl w:ilvl="1" w:tplc="08090019" w:tentative="1">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13" w15:restartNumberingAfterBreak="0">
    <w:nsid w:val="1B222FC1"/>
    <w:multiLevelType w:val="hybridMultilevel"/>
    <w:tmpl w:val="EC18F33E"/>
    <w:lvl w:ilvl="0" w:tplc="1D4080C0">
      <w:start w:val="1"/>
      <w:numFmt w:val="upperRoman"/>
      <w:lvlText w:val="%1-"/>
      <w:lvlJc w:val="left"/>
      <w:pPr>
        <w:ind w:left="-18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4" w15:restartNumberingAfterBreak="0">
    <w:nsid w:val="21A909D9"/>
    <w:multiLevelType w:val="hybridMultilevel"/>
    <w:tmpl w:val="3B22FC82"/>
    <w:lvl w:ilvl="0" w:tplc="DD28DEC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D437C"/>
    <w:multiLevelType w:val="hybridMultilevel"/>
    <w:tmpl w:val="9EB4D104"/>
    <w:lvl w:ilvl="0" w:tplc="60D435E4">
      <w:start w:val="1"/>
      <w:numFmt w:val="arabicAlpha"/>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23577E1A"/>
    <w:multiLevelType w:val="hybridMultilevel"/>
    <w:tmpl w:val="63B20B4C"/>
    <w:lvl w:ilvl="0" w:tplc="E16476D6">
      <w:start w:val="6"/>
      <w:numFmt w:val="upperRoman"/>
      <w:lvlText w:val="%1."/>
      <w:lvlJc w:val="left"/>
      <w:pPr>
        <w:ind w:left="571" w:hanging="720"/>
      </w:pPr>
      <w:rPr>
        <w:rFonts w:hint="default"/>
        <w:b/>
        <w:w w:val="100"/>
        <w:u w:val="single"/>
      </w:rPr>
    </w:lvl>
    <w:lvl w:ilvl="1" w:tplc="04090019" w:tentative="1">
      <w:start w:val="1"/>
      <w:numFmt w:val="lowerLetter"/>
      <w:lvlText w:val="%2."/>
      <w:lvlJc w:val="left"/>
      <w:pPr>
        <w:ind w:left="931" w:hanging="360"/>
      </w:pPr>
    </w:lvl>
    <w:lvl w:ilvl="2" w:tplc="0409001B" w:tentative="1">
      <w:start w:val="1"/>
      <w:numFmt w:val="lowerRoman"/>
      <w:lvlText w:val="%3."/>
      <w:lvlJc w:val="right"/>
      <w:pPr>
        <w:ind w:left="1651" w:hanging="180"/>
      </w:pPr>
    </w:lvl>
    <w:lvl w:ilvl="3" w:tplc="0409000F" w:tentative="1">
      <w:start w:val="1"/>
      <w:numFmt w:val="decimal"/>
      <w:lvlText w:val="%4."/>
      <w:lvlJc w:val="left"/>
      <w:pPr>
        <w:ind w:left="2371" w:hanging="360"/>
      </w:pPr>
    </w:lvl>
    <w:lvl w:ilvl="4" w:tplc="04090019" w:tentative="1">
      <w:start w:val="1"/>
      <w:numFmt w:val="lowerLetter"/>
      <w:lvlText w:val="%5."/>
      <w:lvlJc w:val="left"/>
      <w:pPr>
        <w:ind w:left="3091" w:hanging="360"/>
      </w:pPr>
    </w:lvl>
    <w:lvl w:ilvl="5" w:tplc="0409001B" w:tentative="1">
      <w:start w:val="1"/>
      <w:numFmt w:val="lowerRoman"/>
      <w:lvlText w:val="%6."/>
      <w:lvlJc w:val="right"/>
      <w:pPr>
        <w:ind w:left="3811" w:hanging="180"/>
      </w:pPr>
    </w:lvl>
    <w:lvl w:ilvl="6" w:tplc="0409000F" w:tentative="1">
      <w:start w:val="1"/>
      <w:numFmt w:val="decimal"/>
      <w:lvlText w:val="%7."/>
      <w:lvlJc w:val="left"/>
      <w:pPr>
        <w:ind w:left="4531" w:hanging="360"/>
      </w:pPr>
    </w:lvl>
    <w:lvl w:ilvl="7" w:tplc="04090019" w:tentative="1">
      <w:start w:val="1"/>
      <w:numFmt w:val="lowerLetter"/>
      <w:lvlText w:val="%8."/>
      <w:lvlJc w:val="left"/>
      <w:pPr>
        <w:ind w:left="5251" w:hanging="360"/>
      </w:pPr>
    </w:lvl>
    <w:lvl w:ilvl="8" w:tplc="0409001B" w:tentative="1">
      <w:start w:val="1"/>
      <w:numFmt w:val="lowerRoman"/>
      <w:lvlText w:val="%9."/>
      <w:lvlJc w:val="right"/>
      <w:pPr>
        <w:ind w:left="5971" w:hanging="180"/>
      </w:pPr>
    </w:lvl>
  </w:abstractNum>
  <w:abstractNum w:abstractNumId="17" w15:restartNumberingAfterBreak="0">
    <w:nsid w:val="2708115C"/>
    <w:multiLevelType w:val="hybridMultilevel"/>
    <w:tmpl w:val="590C9BFA"/>
    <w:lvl w:ilvl="0" w:tplc="73BC8496">
      <w:start w:val="1"/>
      <w:numFmt w:val="decimal"/>
      <w:lvlText w:val="%1-"/>
      <w:lvlJc w:val="left"/>
      <w:pPr>
        <w:ind w:left="434" w:hanging="360"/>
      </w:pPr>
      <w:rPr>
        <w:rFonts w:cs="Times New Roman" w:hint="default"/>
        <w:color w:val="auto"/>
        <w:lang w:val="en-US"/>
      </w:rPr>
    </w:lvl>
    <w:lvl w:ilvl="1" w:tplc="D46E3BA4">
      <w:numFmt w:val="bullet"/>
      <w:lvlText w:val="•"/>
      <w:lvlJc w:val="left"/>
      <w:pPr>
        <w:ind w:left="1514" w:hanging="720"/>
      </w:pPr>
      <w:rPr>
        <w:rFonts w:ascii="Times New Roman" w:eastAsia="Times New Roman" w:hAnsi="Times New Roman" w:hint="default"/>
      </w:rPr>
    </w:lvl>
    <w:lvl w:ilvl="2" w:tplc="0409001B" w:tentative="1">
      <w:start w:val="1"/>
      <w:numFmt w:val="lowerRoman"/>
      <w:lvlText w:val="%3."/>
      <w:lvlJc w:val="right"/>
      <w:pPr>
        <w:ind w:left="1874" w:hanging="180"/>
      </w:pPr>
      <w:rPr>
        <w:rFonts w:cs="Times New Roman"/>
      </w:rPr>
    </w:lvl>
    <w:lvl w:ilvl="3" w:tplc="0409000F" w:tentative="1">
      <w:start w:val="1"/>
      <w:numFmt w:val="decimal"/>
      <w:lvlText w:val="%4."/>
      <w:lvlJc w:val="left"/>
      <w:pPr>
        <w:ind w:left="2594" w:hanging="360"/>
      </w:pPr>
      <w:rPr>
        <w:rFonts w:cs="Times New Roman"/>
      </w:rPr>
    </w:lvl>
    <w:lvl w:ilvl="4" w:tplc="04090019" w:tentative="1">
      <w:start w:val="1"/>
      <w:numFmt w:val="lowerLetter"/>
      <w:lvlText w:val="%5."/>
      <w:lvlJc w:val="left"/>
      <w:pPr>
        <w:ind w:left="3314" w:hanging="360"/>
      </w:pPr>
      <w:rPr>
        <w:rFonts w:cs="Times New Roman"/>
      </w:rPr>
    </w:lvl>
    <w:lvl w:ilvl="5" w:tplc="0409001B" w:tentative="1">
      <w:start w:val="1"/>
      <w:numFmt w:val="lowerRoman"/>
      <w:lvlText w:val="%6."/>
      <w:lvlJc w:val="right"/>
      <w:pPr>
        <w:ind w:left="4034" w:hanging="180"/>
      </w:pPr>
      <w:rPr>
        <w:rFonts w:cs="Times New Roman"/>
      </w:rPr>
    </w:lvl>
    <w:lvl w:ilvl="6" w:tplc="0409000F" w:tentative="1">
      <w:start w:val="1"/>
      <w:numFmt w:val="decimal"/>
      <w:lvlText w:val="%7."/>
      <w:lvlJc w:val="left"/>
      <w:pPr>
        <w:ind w:left="4754" w:hanging="360"/>
      </w:pPr>
      <w:rPr>
        <w:rFonts w:cs="Times New Roman"/>
      </w:rPr>
    </w:lvl>
    <w:lvl w:ilvl="7" w:tplc="04090019" w:tentative="1">
      <w:start w:val="1"/>
      <w:numFmt w:val="lowerLetter"/>
      <w:lvlText w:val="%8."/>
      <w:lvlJc w:val="left"/>
      <w:pPr>
        <w:ind w:left="5474" w:hanging="360"/>
      </w:pPr>
      <w:rPr>
        <w:rFonts w:cs="Times New Roman"/>
      </w:rPr>
    </w:lvl>
    <w:lvl w:ilvl="8" w:tplc="0409001B" w:tentative="1">
      <w:start w:val="1"/>
      <w:numFmt w:val="lowerRoman"/>
      <w:lvlText w:val="%9."/>
      <w:lvlJc w:val="right"/>
      <w:pPr>
        <w:ind w:left="6194" w:hanging="180"/>
      </w:pPr>
      <w:rPr>
        <w:rFonts w:cs="Times New Roman"/>
      </w:rPr>
    </w:lvl>
  </w:abstractNum>
  <w:abstractNum w:abstractNumId="18" w15:restartNumberingAfterBreak="0">
    <w:nsid w:val="2CA61924"/>
    <w:multiLevelType w:val="hybridMultilevel"/>
    <w:tmpl w:val="57B04F30"/>
    <w:lvl w:ilvl="0" w:tplc="6C2C527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B56F7E"/>
    <w:multiLevelType w:val="hybridMultilevel"/>
    <w:tmpl w:val="85C8B362"/>
    <w:lvl w:ilvl="0" w:tplc="04090017">
      <w:start w:val="1"/>
      <w:numFmt w:val="lowerLetter"/>
      <w:lvlText w:val="%1)"/>
      <w:lvlJc w:val="left"/>
      <w:pPr>
        <w:ind w:left="450" w:hanging="360"/>
      </w:pPr>
      <w:rPr>
        <w:rFonts w:hint="default"/>
        <w:lang w:val="en-US" w:bidi="ar-EG"/>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87521B1"/>
    <w:multiLevelType w:val="hybridMultilevel"/>
    <w:tmpl w:val="1C3EC170"/>
    <w:lvl w:ilvl="0" w:tplc="A9CA1454">
      <w:start w:val="1"/>
      <w:numFmt w:val="decimal"/>
      <w:lvlText w:val="%1-"/>
      <w:lvlJc w:val="left"/>
      <w:pPr>
        <w:ind w:left="69" w:hanging="360"/>
      </w:pPr>
      <w:rPr>
        <w:rFonts w:hint="default"/>
      </w:rPr>
    </w:lvl>
    <w:lvl w:ilvl="1" w:tplc="04090019" w:tentative="1">
      <w:start w:val="1"/>
      <w:numFmt w:val="lowerLetter"/>
      <w:lvlText w:val="%2."/>
      <w:lvlJc w:val="left"/>
      <w:pPr>
        <w:ind w:left="789" w:hanging="360"/>
      </w:pPr>
    </w:lvl>
    <w:lvl w:ilvl="2" w:tplc="0409001B" w:tentative="1">
      <w:start w:val="1"/>
      <w:numFmt w:val="lowerRoman"/>
      <w:lvlText w:val="%3."/>
      <w:lvlJc w:val="right"/>
      <w:pPr>
        <w:ind w:left="1509" w:hanging="180"/>
      </w:pPr>
    </w:lvl>
    <w:lvl w:ilvl="3" w:tplc="0409000F" w:tentative="1">
      <w:start w:val="1"/>
      <w:numFmt w:val="decimal"/>
      <w:lvlText w:val="%4."/>
      <w:lvlJc w:val="left"/>
      <w:pPr>
        <w:ind w:left="2229" w:hanging="360"/>
      </w:pPr>
    </w:lvl>
    <w:lvl w:ilvl="4" w:tplc="04090019" w:tentative="1">
      <w:start w:val="1"/>
      <w:numFmt w:val="lowerLetter"/>
      <w:lvlText w:val="%5."/>
      <w:lvlJc w:val="left"/>
      <w:pPr>
        <w:ind w:left="2949" w:hanging="360"/>
      </w:pPr>
    </w:lvl>
    <w:lvl w:ilvl="5" w:tplc="0409001B" w:tentative="1">
      <w:start w:val="1"/>
      <w:numFmt w:val="lowerRoman"/>
      <w:lvlText w:val="%6."/>
      <w:lvlJc w:val="right"/>
      <w:pPr>
        <w:ind w:left="3669" w:hanging="180"/>
      </w:pPr>
    </w:lvl>
    <w:lvl w:ilvl="6" w:tplc="0409000F" w:tentative="1">
      <w:start w:val="1"/>
      <w:numFmt w:val="decimal"/>
      <w:lvlText w:val="%7."/>
      <w:lvlJc w:val="left"/>
      <w:pPr>
        <w:ind w:left="4389" w:hanging="360"/>
      </w:pPr>
    </w:lvl>
    <w:lvl w:ilvl="7" w:tplc="04090019" w:tentative="1">
      <w:start w:val="1"/>
      <w:numFmt w:val="lowerLetter"/>
      <w:lvlText w:val="%8."/>
      <w:lvlJc w:val="left"/>
      <w:pPr>
        <w:ind w:left="5109" w:hanging="360"/>
      </w:pPr>
    </w:lvl>
    <w:lvl w:ilvl="8" w:tplc="0409001B" w:tentative="1">
      <w:start w:val="1"/>
      <w:numFmt w:val="lowerRoman"/>
      <w:lvlText w:val="%9."/>
      <w:lvlJc w:val="right"/>
      <w:pPr>
        <w:ind w:left="5829" w:hanging="180"/>
      </w:pPr>
    </w:lvl>
  </w:abstractNum>
  <w:abstractNum w:abstractNumId="22" w15:restartNumberingAfterBreak="0">
    <w:nsid w:val="38AA0412"/>
    <w:multiLevelType w:val="hybridMultilevel"/>
    <w:tmpl w:val="9182AE16"/>
    <w:lvl w:ilvl="0" w:tplc="08365270">
      <w:start w:val="1"/>
      <w:numFmt w:val="arabicAbjad"/>
      <w:lvlText w:val="%1."/>
      <w:lvlJc w:val="left"/>
      <w:pPr>
        <w:ind w:left="794" w:hanging="360"/>
      </w:pPr>
      <w:rPr>
        <w:rFonts w:ascii="Simplified Arabic" w:hAnsi="Simplified Arabic" w:cs="Simplified Arabic" w:hint="default"/>
      </w:rPr>
    </w:lvl>
    <w:lvl w:ilvl="1" w:tplc="04090003">
      <w:start w:val="1"/>
      <w:numFmt w:val="bullet"/>
      <w:lvlText w:val="o"/>
      <w:lvlJc w:val="left"/>
      <w:pPr>
        <w:ind w:left="1514" w:hanging="360"/>
      </w:pPr>
      <w:rPr>
        <w:rFonts w:ascii="Courier New" w:hAnsi="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3" w15:restartNumberingAfterBreak="0">
    <w:nsid w:val="478F0E66"/>
    <w:multiLevelType w:val="hybridMultilevel"/>
    <w:tmpl w:val="4CCA372A"/>
    <w:lvl w:ilvl="0" w:tplc="04090017">
      <w:start w:val="1"/>
      <w:numFmt w:val="lowerLetter"/>
      <w:lvlText w:val="%1)"/>
      <w:lvlJc w:val="left"/>
      <w:pPr>
        <w:ind w:left="450" w:hanging="360"/>
      </w:pPr>
      <w:rPr>
        <w:rFonts w:hint="default"/>
        <w:lang w:bidi="ar-EG"/>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82F68CC"/>
    <w:multiLevelType w:val="hybridMultilevel"/>
    <w:tmpl w:val="E7DC7B5E"/>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15:restartNumberingAfterBreak="0">
    <w:nsid w:val="48441D5D"/>
    <w:multiLevelType w:val="hybridMultilevel"/>
    <w:tmpl w:val="BCD611EA"/>
    <w:lvl w:ilvl="0" w:tplc="ACF6CE90">
      <w:start w:val="1"/>
      <w:numFmt w:val="arabicAbjad"/>
      <w:lvlText w:val="%1."/>
      <w:lvlJc w:val="left"/>
      <w:pPr>
        <w:ind w:left="720" w:hanging="360"/>
      </w:pPr>
      <w:rPr>
        <w:rFonts w:ascii="Simplified Arabic" w:hAnsi="Simplified Arabic" w:cs="Simplified Arab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E33579"/>
    <w:multiLevelType w:val="hybridMultilevel"/>
    <w:tmpl w:val="5302E726"/>
    <w:lvl w:ilvl="0" w:tplc="60D435E4">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2C34B9D"/>
    <w:multiLevelType w:val="hybridMultilevel"/>
    <w:tmpl w:val="A07AF5B8"/>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15:restartNumberingAfterBreak="0">
    <w:nsid w:val="54E06BFB"/>
    <w:multiLevelType w:val="hybridMultilevel"/>
    <w:tmpl w:val="4A143068"/>
    <w:lvl w:ilvl="0" w:tplc="04090017">
      <w:start w:val="1"/>
      <w:numFmt w:val="lowerLetter"/>
      <w:lvlText w:val="%1)"/>
      <w:lvlJc w:val="left"/>
      <w:pPr>
        <w:ind w:left="450" w:hanging="360"/>
      </w:pPr>
      <w:rPr>
        <w:rFonts w:hint="default"/>
        <w:lang w:bidi="ar-EG"/>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72E5030"/>
    <w:multiLevelType w:val="hybridMultilevel"/>
    <w:tmpl w:val="29A8660E"/>
    <w:lvl w:ilvl="0" w:tplc="0409000B">
      <w:start w:val="1"/>
      <w:numFmt w:val="bullet"/>
      <w:lvlText w:val=""/>
      <w:lvlJc w:val="left"/>
      <w:pPr>
        <w:ind w:left="577" w:hanging="360"/>
      </w:pPr>
      <w:rPr>
        <w:rFonts w:ascii="Wingdings" w:hAnsi="Wingdings" w:hint="default"/>
      </w:rPr>
    </w:lvl>
    <w:lvl w:ilvl="1" w:tplc="08090019" w:tentative="1">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30" w15:restartNumberingAfterBreak="0">
    <w:nsid w:val="580C054D"/>
    <w:multiLevelType w:val="hybridMultilevel"/>
    <w:tmpl w:val="F8265AE4"/>
    <w:lvl w:ilvl="0" w:tplc="5D04DD98">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96D69"/>
    <w:multiLevelType w:val="hybridMultilevel"/>
    <w:tmpl w:val="B246BFC4"/>
    <w:lvl w:ilvl="0" w:tplc="60D435E4">
      <w:start w:val="1"/>
      <w:numFmt w:val="arabicAlpha"/>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15:restartNumberingAfterBreak="0">
    <w:nsid w:val="5D9A1FA4"/>
    <w:multiLevelType w:val="hybridMultilevel"/>
    <w:tmpl w:val="142E992E"/>
    <w:lvl w:ilvl="0" w:tplc="E99E094A">
      <w:start w:val="1"/>
      <w:numFmt w:val="arabicAlpha"/>
      <w:lvlText w:val="%1-"/>
      <w:lvlJc w:val="left"/>
      <w:pPr>
        <w:ind w:left="1080" w:hanging="360"/>
      </w:pPr>
      <w:rPr>
        <w:rFonts w:hint="default"/>
        <w:color w:val="00000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A2116B"/>
    <w:multiLevelType w:val="hybridMultilevel"/>
    <w:tmpl w:val="83E09048"/>
    <w:lvl w:ilvl="0" w:tplc="80A820CE">
      <w:start w:val="1"/>
      <w:numFmt w:val="arabicAlpha"/>
      <w:lvlText w:val="%1-"/>
      <w:lvlJc w:val="left"/>
      <w:pPr>
        <w:ind w:left="450" w:hanging="360"/>
      </w:pPr>
      <w:rPr>
        <w:rFonts w:hint="default"/>
        <w:lang w:bidi="ar-EG"/>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7CD740C"/>
    <w:multiLevelType w:val="hybridMultilevel"/>
    <w:tmpl w:val="924C052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69163F30"/>
    <w:multiLevelType w:val="hybridMultilevel"/>
    <w:tmpl w:val="D7D4A082"/>
    <w:lvl w:ilvl="0" w:tplc="04090017">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91AAC"/>
    <w:multiLevelType w:val="hybridMultilevel"/>
    <w:tmpl w:val="3AAEB96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D7A3892"/>
    <w:multiLevelType w:val="hybridMultilevel"/>
    <w:tmpl w:val="ED20A0D8"/>
    <w:lvl w:ilvl="0" w:tplc="0409000B">
      <w:start w:val="1"/>
      <w:numFmt w:val="bullet"/>
      <w:lvlText w:val=""/>
      <w:lvlJc w:val="left"/>
      <w:pPr>
        <w:ind w:left="794" w:hanging="360"/>
      </w:pPr>
      <w:rPr>
        <w:rFonts w:ascii="Wingdings" w:hAnsi="Wingdings" w:hint="default"/>
      </w:rPr>
    </w:lvl>
    <w:lvl w:ilvl="1" w:tplc="04090003">
      <w:start w:val="1"/>
      <w:numFmt w:val="bullet"/>
      <w:lvlText w:val="o"/>
      <w:lvlJc w:val="left"/>
      <w:pPr>
        <w:ind w:left="1514" w:hanging="360"/>
      </w:pPr>
      <w:rPr>
        <w:rFonts w:ascii="Courier New" w:hAnsi="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8" w15:restartNumberingAfterBreak="0">
    <w:nsid w:val="74372B8B"/>
    <w:multiLevelType w:val="hybridMultilevel"/>
    <w:tmpl w:val="00DE89BE"/>
    <w:lvl w:ilvl="0" w:tplc="B936F4B2">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9" w15:restartNumberingAfterBreak="0">
    <w:nsid w:val="75B86D58"/>
    <w:multiLevelType w:val="hybridMultilevel"/>
    <w:tmpl w:val="7780CCD2"/>
    <w:lvl w:ilvl="0" w:tplc="04090017">
      <w:start w:val="1"/>
      <w:numFmt w:val="lowerLetter"/>
      <w:lvlText w:val="%1)"/>
      <w:lvlJc w:val="left"/>
      <w:pPr>
        <w:ind w:left="450" w:hanging="360"/>
      </w:pPr>
      <w:rPr>
        <w:rFonts w:hint="default"/>
        <w:lang w:bidi="ar-EG"/>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69747D0"/>
    <w:multiLevelType w:val="hybridMultilevel"/>
    <w:tmpl w:val="872AD400"/>
    <w:lvl w:ilvl="0" w:tplc="037611B4">
      <w:start w:val="5"/>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1" w15:restartNumberingAfterBreak="0">
    <w:nsid w:val="76FA1B41"/>
    <w:multiLevelType w:val="hybridMultilevel"/>
    <w:tmpl w:val="28C217AC"/>
    <w:lvl w:ilvl="0" w:tplc="D3FC04B0">
      <w:start w:val="8"/>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2" w15:restartNumberingAfterBreak="0">
    <w:nsid w:val="770A09FD"/>
    <w:multiLevelType w:val="hybridMultilevel"/>
    <w:tmpl w:val="1C3EC170"/>
    <w:lvl w:ilvl="0" w:tplc="A9CA1454">
      <w:start w:val="1"/>
      <w:numFmt w:val="decimal"/>
      <w:lvlText w:val="%1-"/>
      <w:lvlJc w:val="left"/>
      <w:pPr>
        <w:ind w:left="69" w:hanging="360"/>
      </w:pPr>
      <w:rPr>
        <w:rFonts w:hint="default"/>
      </w:rPr>
    </w:lvl>
    <w:lvl w:ilvl="1" w:tplc="04090019" w:tentative="1">
      <w:start w:val="1"/>
      <w:numFmt w:val="lowerLetter"/>
      <w:lvlText w:val="%2."/>
      <w:lvlJc w:val="left"/>
      <w:pPr>
        <w:ind w:left="789" w:hanging="360"/>
      </w:pPr>
    </w:lvl>
    <w:lvl w:ilvl="2" w:tplc="0409001B" w:tentative="1">
      <w:start w:val="1"/>
      <w:numFmt w:val="lowerRoman"/>
      <w:lvlText w:val="%3."/>
      <w:lvlJc w:val="right"/>
      <w:pPr>
        <w:ind w:left="1509" w:hanging="180"/>
      </w:pPr>
    </w:lvl>
    <w:lvl w:ilvl="3" w:tplc="0409000F" w:tentative="1">
      <w:start w:val="1"/>
      <w:numFmt w:val="decimal"/>
      <w:lvlText w:val="%4."/>
      <w:lvlJc w:val="left"/>
      <w:pPr>
        <w:ind w:left="2229" w:hanging="360"/>
      </w:pPr>
    </w:lvl>
    <w:lvl w:ilvl="4" w:tplc="04090019" w:tentative="1">
      <w:start w:val="1"/>
      <w:numFmt w:val="lowerLetter"/>
      <w:lvlText w:val="%5."/>
      <w:lvlJc w:val="left"/>
      <w:pPr>
        <w:ind w:left="2949" w:hanging="360"/>
      </w:pPr>
    </w:lvl>
    <w:lvl w:ilvl="5" w:tplc="0409001B" w:tentative="1">
      <w:start w:val="1"/>
      <w:numFmt w:val="lowerRoman"/>
      <w:lvlText w:val="%6."/>
      <w:lvlJc w:val="right"/>
      <w:pPr>
        <w:ind w:left="3669" w:hanging="180"/>
      </w:pPr>
    </w:lvl>
    <w:lvl w:ilvl="6" w:tplc="0409000F" w:tentative="1">
      <w:start w:val="1"/>
      <w:numFmt w:val="decimal"/>
      <w:lvlText w:val="%7."/>
      <w:lvlJc w:val="left"/>
      <w:pPr>
        <w:ind w:left="4389" w:hanging="360"/>
      </w:pPr>
    </w:lvl>
    <w:lvl w:ilvl="7" w:tplc="04090019" w:tentative="1">
      <w:start w:val="1"/>
      <w:numFmt w:val="lowerLetter"/>
      <w:lvlText w:val="%8."/>
      <w:lvlJc w:val="left"/>
      <w:pPr>
        <w:ind w:left="5109" w:hanging="360"/>
      </w:pPr>
    </w:lvl>
    <w:lvl w:ilvl="8" w:tplc="0409001B" w:tentative="1">
      <w:start w:val="1"/>
      <w:numFmt w:val="lowerRoman"/>
      <w:lvlText w:val="%9."/>
      <w:lvlJc w:val="right"/>
      <w:pPr>
        <w:ind w:left="5829" w:hanging="180"/>
      </w:pPr>
    </w:lvl>
  </w:abstractNum>
  <w:abstractNum w:abstractNumId="43" w15:restartNumberingAfterBreak="0">
    <w:nsid w:val="7E9C7555"/>
    <w:multiLevelType w:val="hybridMultilevel"/>
    <w:tmpl w:val="DE608748"/>
    <w:lvl w:ilvl="0" w:tplc="72CA1AFE">
      <w:start w:val="1"/>
      <w:numFmt w:val="decimal"/>
      <w:lvlText w:val="%1."/>
      <w:lvlJc w:val="left"/>
      <w:pPr>
        <w:ind w:left="-180" w:hanging="360"/>
      </w:pPr>
      <w:rPr>
        <w:rFonts w:hint="default"/>
        <w:b w:val="0"/>
        <w:bCs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
  </w:num>
  <w:num w:numId="4">
    <w:abstractNumId w:val="25"/>
  </w:num>
  <w:num w:numId="5">
    <w:abstractNumId w:val="10"/>
  </w:num>
  <w:num w:numId="6">
    <w:abstractNumId w:val="8"/>
  </w:num>
  <w:num w:numId="7">
    <w:abstractNumId w:val="0"/>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27"/>
  </w:num>
  <w:num w:numId="13">
    <w:abstractNumId w:val="22"/>
  </w:num>
  <w:num w:numId="14">
    <w:abstractNumId w:val="37"/>
  </w:num>
  <w:num w:numId="15">
    <w:abstractNumId w:val="12"/>
  </w:num>
  <w:num w:numId="16">
    <w:abstractNumId w:val="29"/>
  </w:num>
  <w:num w:numId="17">
    <w:abstractNumId w:val="13"/>
  </w:num>
  <w:num w:numId="18">
    <w:abstractNumId w:val="41"/>
  </w:num>
  <w:num w:numId="19">
    <w:abstractNumId w:val="32"/>
  </w:num>
  <w:num w:numId="20">
    <w:abstractNumId w:val="3"/>
  </w:num>
  <w:num w:numId="21">
    <w:abstractNumId w:val="31"/>
  </w:num>
  <w:num w:numId="22">
    <w:abstractNumId w:val="2"/>
  </w:num>
  <w:num w:numId="23">
    <w:abstractNumId w:val="34"/>
  </w:num>
  <w:num w:numId="24">
    <w:abstractNumId w:val="6"/>
  </w:num>
  <w:num w:numId="25">
    <w:abstractNumId w:val="15"/>
  </w:num>
  <w:num w:numId="26">
    <w:abstractNumId w:val="36"/>
  </w:num>
  <w:num w:numId="27">
    <w:abstractNumId w:val="28"/>
  </w:num>
  <w:num w:numId="28">
    <w:abstractNumId w:val="26"/>
  </w:num>
  <w:num w:numId="29">
    <w:abstractNumId w:val="33"/>
  </w:num>
  <w:num w:numId="30">
    <w:abstractNumId w:val="20"/>
  </w:num>
  <w:num w:numId="31">
    <w:abstractNumId w:val="24"/>
  </w:num>
  <w:num w:numId="32">
    <w:abstractNumId w:val="23"/>
  </w:num>
  <w:num w:numId="33">
    <w:abstractNumId w:val="19"/>
  </w:num>
  <w:num w:numId="34">
    <w:abstractNumId w:val="39"/>
  </w:num>
  <w:num w:numId="35">
    <w:abstractNumId w:val="30"/>
  </w:num>
  <w:num w:numId="36">
    <w:abstractNumId w:val="16"/>
  </w:num>
  <w:num w:numId="37">
    <w:abstractNumId w:val="35"/>
  </w:num>
  <w:num w:numId="38">
    <w:abstractNumId w:val="38"/>
  </w:num>
  <w:num w:numId="39">
    <w:abstractNumId w:val="43"/>
  </w:num>
  <w:num w:numId="40">
    <w:abstractNumId w:val="40"/>
  </w:num>
  <w:num w:numId="41">
    <w:abstractNumId w:val="4"/>
  </w:num>
  <w:num w:numId="42">
    <w:abstractNumId w:val="11"/>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5"/>
    <w:rsid w:val="000003CA"/>
    <w:rsid w:val="00001C66"/>
    <w:rsid w:val="00005B10"/>
    <w:rsid w:val="00005BBB"/>
    <w:rsid w:val="00010243"/>
    <w:rsid w:val="000116C8"/>
    <w:rsid w:val="00014433"/>
    <w:rsid w:val="00015AD7"/>
    <w:rsid w:val="00015BC7"/>
    <w:rsid w:val="00020A44"/>
    <w:rsid w:val="000230B0"/>
    <w:rsid w:val="000230D3"/>
    <w:rsid w:val="00023B1C"/>
    <w:rsid w:val="000249FF"/>
    <w:rsid w:val="00026096"/>
    <w:rsid w:val="00027B13"/>
    <w:rsid w:val="0003144F"/>
    <w:rsid w:val="00032416"/>
    <w:rsid w:val="0003547E"/>
    <w:rsid w:val="00036268"/>
    <w:rsid w:val="00036F20"/>
    <w:rsid w:val="000379BF"/>
    <w:rsid w:val="000403D0"/>
    <w:rsid w:val="0004147D"/>
    <w:rsid w:val="0004644C"/>
    <w:rsid w:val="00047FA6"/>
    <w:rsid w:val="0005042A"/>
    <w:rsid w:val="000527E5"/>
    <w:rsid w:val="00052B18"/>
    <w:rsid w:val="000535DA"/>
    <w:rsid w:val="000558E6"/>
    <w:rsid w:val="00056266"/>
    <w:rsid w:val="000602CB"/>
    <w:rsid w:val="00061327"/>
    <w:rsid w:val="00063A11"/>
    <w:rsid w:val="00066306"/>
    <w:rsid w:val="00066340"/>
    <w:rsid w:val="000745C8"/>
    <w:rsid w:val="00074DE2"/>
    <w:rsid w:val="000779F4"/>
    <w:rsid w:val="0008161E"/>
    <w:rsid w:val="00081806"/>
    <w:rsid w:val="00082461"/>
    <w:rsid w:val="00083B28"/>
    <w:rsid w:val="00083EC4"/>
    <w:rsid w:val="000862A0"/>
    <w:rsid w:val="00086384"/>
    <w:rsid w:val="000866EF"/>
    <w:rsid w:val="00086B4D"/>
    <w:rsid w:val="00091061"/>
    <w:rsid w:val="0009539A"/>
    <w:rsid w:val="00095460"/>
    <w:rsid w:val="00095CDD"/>
    <w:rsid w:val="00096EB9"/>
    <w:rsid w:val="00097A8B"/>
    <w:rsid w:val="000A038C"/>
    <w:rsid w:val="000A40CA"/>
    <w:rsid w:val="000A4818"/>
    <w:rsid w:val="000B134A"/>
    <w:rsid w:val="000B21CA"/>
    <w:rsid w:val="000B234E"/>
    <w:rsid w:val="000B4F9E"/>
    <w:rsid w:val="000B5F5E"/>
    <w:rsid w:val="000B67C5"/>
    <w:rsid w:val="000C0E2C"/>
    <w:rsid w:val="000C1D32"/>
    <w:rsid w:val="000C242D"/>
    <w:rsid w:val="000C4C92"/>
    <w:rsid w:val="000C5A05"/>
    <w:rsid w:val="000C6039"/>
    <w:rsid w:val="000C7044"/>
    <w:rsid w:val="000C7332"/>
    <w:rsid w:val="000C7926"/>
    <w:rsid w:val="000D26F9"/>
    <w:rsid w:val="000D404B"/>
    <w:rsid w:val="000D4393"/>
    <w:rsid w:val="000D46F6"/>
    <w:rsid w:val="000D47B2"/>
    <w:rsid w:val="000D4D63"/>
    <w:rsid w:val="000D5471"/>
    <w:rsid w:val="000D743E"/>
    <w:rsid w:val="000E3329"/>
    <w:rsid w:val="000E3976"/>
    <w:rsid w:val="000E535B"/>
    <w:rsid w:val="000E58CD"/>
    <w:rsid w:val="000E6166"/>
    <w:rsid w:val="000E7923"/>
    <w:rsid w:val="000F11A6"/>
    <w:rsid w:val="000F3108"/>
    <w:rsid w:val="000F4643"/>
    <w:rsid w:val="000F6145"/>
    <w:rsid w:val="000F6A2C"/>
    <w:rsid w:val="000F70B7"/>
    <w:rsid w:val="000F76F3"/>
    <w:rsid w:val="00100730"/>
    <w:rsid w:val="001027F2"/>
    <w:rsid w:val="001047FD"/>
    <w:rsid w:val="0010480D"/>
    <w:rsid w:val="001070E8"/>
    <w:rsid w:val="0010714D"/>
    <w:rsid w:val="001079BF"/>
    <w:rsid w:val="00110AAD"/>
    <w:rsid w:val="00112AF5"/>
    <w:rsid w:val="00115401"/>
    <w:rsid w:val="00116C6B"/>
    <w:rsid w:val="001232CE"/>
    <w:rsid w:val="00125CF6"/>
    <w:rsid w:val="00126299"/>
    <w:rsid w:val="00126E51"/>
    <w:rsid w:val="0013119A"/>
    <w:rsid w:val="001330FD"/>
    <w:rsid w:val="00133F32"/>
    <w:rsid w:val="001354E5"/>
    <w:rsid w:val="00137AE0"/>
    <w:rsid w:val="001424F9"/>
    <w:rsid w:val="00142870"/>
    <w:rsid w:val="00147340"/>
    <w:rsid w:val="00147A5E"/>
    <w:rsid w:val="00150203"/>
    <w:rsid w:val="00150CE1"/>
    <w:rsid w:val="00150D9A"/>
    <w:rsid w:val="001514E2"/>
    <w:rsid w:val="00153552"/>
    <w:rsid w:val="001537D4"/>
    <w:rsid w:val="00162355"/>
    <w:rsid w:val="001627DA"/>
    <w:rsid w:val="00165D69"/>
    <w:rsid w:val="00166007"/>
    <w:rsid w:val="001672F2"/>
    <w:rsid w:val="001674EA"/>
    <w:rsid w:val="00167635"/>
    <w:rsid w:val="0017189F"/>
    <w:rsid w:val="00171A5D"/>
    <w:rsid w:val="00172FED"/>
    <w:rsid w:val="00173E36"/>
    <w:rsid w:val="001754F9"/>
    <w:rsid w:val="001755DF"/>
    <w:rsid w:val="00175878"/>
    <w:rsid w:val="00175A9B"/>
    <w:rsid w:val="00176597"/>
    <w:rsid w:val="001805E1"/>
    <w:rsid w:val="001807BD"/>
    <w:rsid w:val="00181A71"/>
    <w:rsid w:val="00184298"/>
    <w:rsid w:val="00184D6A"/>
    <w:rsid w:val="00186F1B"/>
    <w:rsid w:val="001918DC"/>
    <w:rsid w:val="0019289A"/>
    <w:rsid w:val="001929C6"/>
    <w:rsid w:val="0019421D"/>
    <w:rsid w:val="0019579A"/>
    <w:rsid w:val="00195907"/>
    <w:rsid w:val="0019605E"/>
    <w:rsid w:val="0019618C"/>
    <w:rsid w:val="001A048E"/>
    <w:rsid w:val="001A0D43"/>
    <w:rsid w:val="001A229C"/>
    <w:rsid w:val="001A356B"/>
    <w:rsid w:val="001A3B56"/>
    <w:rsid w:val="001A49F8"/>
    <w:rsid w:val="001A625D"/>
    <w:rsid w:val="001A6557"/>
    <w:rsid w:val="001A6EA7"/>
    <w:rsid w:val="001A78E6"/>
    <w:rsid w:val="001B08A6"/>
    <w:rsid w:val="001B09B6"/>
    <w:rsid w:val="001B27C7"/>
    <w:rsid w:val="001B3CEE"/>
    <w:rsid w:val="001B7D44"/>
    <w:rsid w:val="001B7F5B"/>
    <w:rsid w:val="001C01B9"/>
    <w:rsid w:val="001C1341"/>
    <w:rsid w:val="001C17BC"/>
    <w:rsid w:val="001C1FC6"/>
    <w:rsid w:val="001C3B3B"/>
    <w:rsid w:val="001D086E"/>
    <w:rsid w:val="001D0C1D"/>
    <w:rsid w:val="001D3900"/>
    <w:rsid w:val="001D59EB"/>
    <w:rsid w:val="001D5FFE"/>
    <w:rsid w:val="001D63A4"/>
    <w:rsid w:val="001E0277"/>
    <w:rsid w:val="001E419F"/>
    <w:rsid w:val="001E4CF9"/>
    <w:rsid w:val="001E61B6"/>
    <w:rsid w:val="001E6C2A"/>
    <w:rsid w:val="001F4E0B"/>
    <w:rsid w:val="001F53C6"/>
    <w:rsid w:val="001F6D24"/>
    <w:rsid w:val="00200DAB"/>
    <w:rsid w:val="00201B67"/>
    <w:rsid w:val="00201EB0"/>
    <w:rsid w:val="00202571"/>
    <w:rsid w:val="002034CE"/>
    <w:rsid w:val="00203EBC"/>
    <w:rsid w:val="00210A35"/>
    <w:rsid w:val="002111B8"/>
    <w:rsid w:val="002118FD"/>
    <w:rsid w:val="00211B7D"/>
    <w:rsid w:val="00212BCE"/>
    <w:rsid w:val="0021608F"/>
    <w:rsid w:val="00216504"/>
    <w:rsid w:val="002167B2"/>
    <w:rsid w:val="00216B8D"/>
    <w:rsid w:val="00217613"/>
    <w:rsid w:val="00224AD1"/>
    <w:rsid w:val="0022543E"/>
    <w:rsid w:val="00226985"/>
    <w:rsid w:val="00227393"/>
    <w:rsid w:val="00234EBD"/>
    <w:rsid w:val="00235E1D"/>
    <w:rsid w:val="00236AE7"/>
    <w:rsid w:val="00237D89"/>
    <w:rsid w:val="00241343"/>
    <w:rsid w:val="00243409"/>
    <w:rsid w:val="0024356F"/>
    <w:rsid w:val="00246149"/>
    <w:rsid w:val="00246655"/>
    <w:rsid w:val="002474AA"/>
    <w:rsid w:val="0025288B"/>
    <w:rsid w:val="0025306F"/>
    <w:rsid w:val="00253213"/>
    <w:rsid w:val="002537FF"/>
    <w:rsid w:val="00253851"/>
    <w:rsid w:val="00254FF6"/>
    <w:rsid w:val="00255D0B"/>
    <w:rsid w:val="00261A2A"/>
    <w:rsid w:val="002624A3"/>
    <w:rsid w:val="00265150"/>
    <w:rsid w:val="002657B7"/>
    <w:rsid w:val="00265893"/>
    <w:rsid w:val="00265D20"/>
    <w:rsid w:val="0026662E"/>
    <w:rsid w:val="0027241A"/>
    <w:rsid w:val="002726C0"/>
    <w:rsid w:val="002756D6"/>
    <w:rsid w:val="00276BC8"/>
    <w:rsid w:val="00280AD9"/>
    <w:rsid w:val="00283FC1"/>
    <w:rsid w:val="002840ED"/>
    <w:rsid w:val="0028571E"/>
    <w:rsid w:val="002862C6"/>
    <w:rsid w:val="0028654B"/>
    <w:rsid w:val="00286A79"/>
    <w:rsid w:val="00286DC6"/>
    <w:rsid w:val="00290B6D"/>
    <w:rsid w:val="00292C18"/>
    <w:rsid w:val="002932FF"/>
    <w:rsid w:val="00293330"/>
    <w:rsid w:val="00295F7C"/>
    <w:rsid w:val="00296AFF"/>
    <w:rsid w:val="0029706E"/>
    <w:rsid w:val="002A117A"/>
    <w:rsid w:val="002A2133"/>
    <w:rsid w:val="002A22C0"/>
    <w:rsid w:val="002A290B"/>
    <w:rsid w:val="002A45A1"/>
    <w:rsid w:val="002A45C6"/>
    <w:rsid w:val="002A48D3"/>
    <w:rsid w:val="002A5F49"/>
    <w:rsid w:val="002A7B70"/>
    <w:rsid w:val="002B06B6"/>
    <w:rsid w:val="002B40E4"/>
    <w:rsid w:val="002B434F"/>
    <w:rsid w:val="002B498D"/>
    <w:rsid w:val="002B50B1"/>
    <w:rsid w:val="002C01C4"/>
    <w:rsid w:val="002C01E5"/>
    <w:rsid w:val="002D5C51"/>
    <w:rsid w:val="002D6479"/>
    <w:rsid w:val="002E0839"/>
    <w:rsid w:val="002E22F0"/>
    <w:rsid w:val="002E3416"/>
    <w:rsid w:val="002E3D56"/>
    <w:rsid w:val="002E60D6"/>
    <w:rsid w:val="002E7E90"/>
    <w:rsid w:val="002F1580"/>
    <w:rsid w:val="002F5D25"/>
    <w:rsid w:val="003033D1"/>
    <w:rsid w:val="00305BBC"/>
    <w:rsid w:val="00306562"/>
    <w:rsid w:val="00307441"/>
    <w:rsid w:val="00307C5E"/>
    <w:rsid w:val="00311F5F"/>
    <w:rsid w:val="00312AEC"/>
    <w:rsid w:val="00312C04"/>
    <w:rsid w:val="00313AD5"/>
    <w:rsid w:val="003141B1"/>
    <w:rsid w:val="003153B6"/>
    <w:rsid w:val="00317056"/>
    <w:rsid w:val="00317909"/>
    <w:rsid w:val="00317B63"/>
    <w:rsid w:val="00320032"/>
    <w:rsid w:val="00321785"/>
    <w:rsid w:val="00321DDB"/>
    <w:rsid w:val="00322B5F"/>
    <w:rsid w:val="003233D6"/>
    <w:rsid w:val="00323CE3"/>
    <w:rsid w:val="0032474B"/>
    <w:rsid w:val="003266EA"/>
    <w:rsid w:val="00326B07"/>
    <w:rsid w:val="00330261"/>
    <w:rsid w:val="0033145A"/>
    <w:rsid w:val="00333A50"/>
    <w:rsid w:val="00335474"/>
    <w:rsid w:val="0034190D"/>
    <w:rsid w:val="003419E4"/>
    <w:rsid w:val="00341A24"/>
    <w:rsid w:val="0034603B"/>
    <w:rsid w:val="00346D07"/>
    <w:rsid w:val="003505C7"/>
    <w:rsid w:val="003533BA"/>
    <w:rsid w:val="003539BD"/>
    <w:rsid w:val="00353A08"/>
    <w:rsid w:val="00363662"/>
    <w:rsid w:val="003661E8"/>
    <w:rsid w:val="003663E8"/>
    <w:rsid w:val="00370DC3"/>
    <w:rsid w:val="00372D98"/>
    <w:rsid w:val="00374999"/>
    <w:rsid w:val="00374D68"/>
    <w:rsid w:val="0038019E"/>
    <w:rsid w:val="00380486"/>
    <w:rsid w:val="00380F6F"/>
    <w:rsid w:val="00381302"/>
    <w:rsid w:val="00382081"/>
    <w:rsid w:val="00382B1B"/>
    <w:rsid w:val="00382F8A"/>
    <w:rsid w:val="00383742"/>
    <w:rsid w:val="00385092"/>
    <w:rsid w:val="00385461"/>
    <w:rsid w:val="00387A7B"/>
    <w:rsid w:val="00390581"/>
    <w:rsid w:val="00391467"/>
    <w:rsid w:val="003918AF"/>
    <w:rsid w:val="00392BF3"/>
    <w:rsid w:val="0039371B"/>
    <w:rsid w:val="00395781"/>
    <w:rsid w:val="003A0E41"/>
    <w:rsid w:val="003B0AD5"/>
    <w:rsid w:val="003B2494"/>
    <w:rsid w:val="003B6444"/>
    <w:rsid w:val="003C0C35"/>
    <w:rsid w:val="003C1560"/>
    <w:rsid w:val="003C23D7"/>
    <w:rsid w:val="003C34B8"/>
    <w:rsid w:val="003C3CEF"/>
    <w:rsid w:val="003C3D03"/>
    <w:rsid w:val="003C730B"/>
    <w:rsid w:val="003C7357"/>
    <w:rsid w:val="003D0152"/>
    <w:rsid w:val="003D6EBF"/>
    <w:rsid w:val="003D7427"/>
    <w:rsid w:val="003D774B"/>
    <w:rsid w:val="003D7C9B"/>
    <w:rsid w:val="003E1997"/>
    <w:rsid w:val="003E20BB"/>
    <w:rsid w:val="003E279C"/>
    <w:rsid w:val="003E347A"/>
    <w:rsid w:val="003E3491"/>
    <w:rsid w:val="003E591D"/>
    <w:rsid w:val="003E6CC0"/>
    <w:rsid w:val="003E74C9"/>
    <w:rsid w:val="003F0787"/>
    <w:rsid w:val="003F08BC"/>
    <w:rsid w:val="003F0FFA"/>
    <w:rsid w:val="003F1B6E"/>
    <w:rsid w:val="003F299B"/>
    <w:rsid w:val="003F7743"/>
    <w:rsid w:val="00400C1C"/>
    <w:rsid w:val="00402BAC"/>
    <w:rsid w:val="00404408"/>
    <w:rsid w:val="0040469F"/>
    <w:rsid w:val="00407677"/>
    <w:rsid w:val="00410501"/>
    <w:rsid w:val="00412349"/>
    <w:rsid w:val="00415D36"/>
    <w:rsid w:val="004162E1"/>
    <w:rsid w:val="004166BE"/>
    <w:rsid w:val="004168D2"/>
    <w:rsid w:val="004173AD"/>
    <w:rsid w:val="00420F84"/>
    <w:rsid w:val="004214CC"/>
    <w:rsid w:val="00421B81"/>
    <w:rsid w:val="0042242D"/>
    <w:rsid w:val="00422B10"/>
    <w:rsid w:val="004231D3"/>
    <w:rsid w:val="00423ED6"/>
    <w:rsid w:val="00424AE0"/>
    <w:rsid w:val="00424D28"/>
    <w:rsid w:val="00434495"/>
    <w:rsid w:val="0043613F"/>
    <w:rsid w:val="00437917"/>
    <w:rsid w:val="00437F8C"/>
    <w:rsid w:val="00442698"/>
    <w:rsid w:val="0044318A"/>
    <w:rsid w:val="00446731"/>
    <w:rsid w:val="00447FBF"/>
    <w:rsid w:val="00450026"/>
    <w:rsid w:val="00452615"/>
    <w:rsid w:val="00453ECC"/>
    <w:rsid w:val="00454D0F"/>
    <w:rsid w:val="00455E9D"/>
    <w:rsid w:val="00456502"/>
    <w:rsid w:val="00456E15"/>
    <w:rsid w:val="004616AC"/>
    <w:rsid w:val="00463C13"/>
    <w:rsid w:val="00465123"/>
    <w:rsid w:val="00465664"/>
    <w:rsid w:val="00466323"/>
    <w:rsid w:val="00467AC3"/>
    <w:rsid w:val="00470CA0"/>
    <w:rsid w:val="0047225F"/>
    <w:rsid w:val="00475525"/>
    <w:rsid w:val="00475ECF"/>
    <w:rsid w:val="004800B1"/>
    <w:rsid w:val="00481292"/>
    <w:rsid w:val="0048236A"/>
    <w:rsid w:val="004829D7"/>
    <w:rsid w:val="00482C2B"/>
    <w:rsid w:val="00483D93"/>
    <w:rsid w:val="00485CCD"/>
    <w:rsid w:val="00487E57"/>
    <w:rsid w:val="00490BC3"/>
    <w:rsid w:val="00493596"/>
    <w:rsid w:val="00495F24"/>
    <w:rsid w:val="00496142"/>
    <w:rsid w:val="00497E6C"/>
    <w:rsid w:val="004A13C2"/>
    <w:rsid w:val="004A180E"/>
    <w:rsid w:val="004A3658"/>
    <w:rsid w:val="004A5F5E"/>
    <w:rsid w:val="004A651A"/>
    <w:rsid w:val="004A7CA9"/>
    <w:rsid w:val="004B1AF4"/>
    <w:rsid w:val="004B234F"/>
    <w:rsid w:val="004B5C0C"/>
    <w:rsid w:val="004B60D5"/>
    <w:rsid w:val="004C151F"/>
    <w:rsid w:val="004C168D"/>
    <w:rsid w:val="004C5D0A"/>
    <w:rsid w:val="004C6BD0"/>
    <w:rsid w:val="004C6C09"/>
    <w:rsid w:val="004D4BE0"/>
    <w:rsid w:val="004D4C9D"/>
    <w:rsid w:val="004D6118"/>
    <w:rsid w:val="004D7FF0"/>
    <w:rsid w:val="004E2640"/>
    <w:rsid w:val="004F1871"/>
    <w:rsid w:val="004F1DF6"/>
    <w:rsid w:val="004F28D5"/>
    <w:rsid w:val="004F2B15"/>
    <w:rsid w:val="004F2C00"/>
    <w:rsid w:val="004F2D66"/>
    <w:rsid w:val="004F30AF"/>
    <w:rsid w:val="004F3A85"/>
    <w:rsid w:val="004F46F1"/>
    <w:rsid w:val="004F52F4"/>
    <w:rsid w:val="004F6294"/>
    <w:rsid w:val="004F62EF"/>
    <w:rsid w:val="004F6339"/>
    <w:rsid w:val="00502A8A"/>
    <w:rsid w:val="00502EC9"/>
    <w:rsid w:val="00505F80"/>
    <w:rsid w:val="00510D8B"/>
    <w:rsid w:val="005128AE"/>
    <w:rsid w:val="0051349A"/>
    <w:rsid w:val="005201A9"/>
    <w:rsid w:val="005249D0"/>
    <w:rsid w:val="00524C55"/>
    <w:rsid w:val="00527C59"/>
    <w:rsid w:val="00530385"/>
    <w:rsid w:val="00530849"/>
    <w:rsid w:val="005327A2"/>
    <w:rsid w:val="00533969"/>
    <w:rsid w:val="00533ABD"/>
    <w:rsid w:val="00533DDF"/>
    <w:rsid w:val="00536A98"/>
    <w:rsid w:val="00537577"/>
    <w:rsid w:val="00540900"/>
    <w:rsid w:val="00541536"/>
    <w:rsid w:val="0054161A"/>
    <w:rsid w:val="0054196B"/>
    <w:rsid w:val="005422F5"/>
    <w:rsid w:val="00542544"/>
    <w:rsid w:val="005439E1"/>
    <w:rsid w:val="00543B1F"/>
    <w:rsid w:val="005445B9"/>
    <w:rsid w:val="00544829"/>
    <w:rsid w:val="0054748D"/>
    <w:rsid w:val="0055283D"/>
    <w:rsid w:val="00552DA8"/>
    <w:rsid w:val="00553CC7"/>
    <w:rsid w:val="00554F5C"/>
    <w:rsid w:val="005576A9"/>
    <w:rsid w:val="00561FAB"/>
    <w:rsid w:val="0056209D"/>
    <w:rsid w:val="00562BBB"/>
    <w:rsid w:val="00564E99"/>
    <w:rsid w:val="00566145"/>
    <w:rsid w:val="00570112"/>
    <w:rsid w:val="00571F4F"/>
    <w:rsid w:val="00572DCF"/>
    <w:rsid w:val="0057316E"/>
    <w:rsid w:val="0057321E"/>
    <w:rsid w:val="00574192"/>
    <w:rsid w:val="00577DFE"/>
    <w:rsid w:val="00580A06"/>
    <w:rsid w:val="00581682"/>
    <w:rsid w:val="00582A95"/>
    <w:rsid w:val="00584089"/>
    <w:rsid w:val="005843ED"/>
    <w:rsid w:val="00586235"/>
    <w:rsid w:val="00586AA5"/>
    <w:rsid w:val="00593A34"/>
    <w:rsid w:val="005940E7"/>
    <w:rsid w:val="00597771"/>
    <w:rsid w:val="00597DC0"/>
    <w:rsid w:val="005A00F9"/>
    <w:rsid w:val="005A0BAF"/>
    <w:rsid w:val="005A365E"/>
    <w:rsid w:val="005A46E4"/>
    <w:rsid w:val="005A516C"/>
    <w:rsid w:val="005A5F34"/>
    <w:rsid w:val="005B37E6"/>
    <w:rsid w:val="005B4D8C"/>
    <w:rsid w:val="005B4F8E"/>
    <w:rsid w:val="005B7E27"/>
    <w:rsid w:val="005B7F6B"/>
    <w:rsid w:val="005C2BDA"/>
    <w:rsid w:val="005C572E"/>
    <w:rsid w:val="005C6DEC"/>
    <w:rsid w:val="005C7371"/>
    <w:rsid w:val="005D07D0"/>
    <w:rsid w:val="005D0F8F"/>
    <w:rsid w:val="005D217C"/>
    <w:rsid w:val="005D3EC2"/>
    <w:rsid w:val="005D7CEF"/>
    <w:rsid w:val="005E018F"/>
    <w:rsid w:val="005E0DE9"/>
    <w:rsid w:val="005E1880"/>
    <w:rsid w:val="005E3049"/>
    <w:rsid w:val="005E5B7C"/>
    <w:rsid w:val="005E5F65"/>
    <w:rsid w:val="005E6DDB"/>
    <w:rsid w:val="005E73AD"/>
    <w:rsid w:val="005F0F05"/>
    <w:rsid w:val="005F63B4"/>
    <w:rsid w:val="005F7F2B"/>
    <w:rsid w:val="0060037E"/>
    <w:rsid w:val="00600BAB"/>
    <w:rsid w:val="00603375"/>
    <w:rsid w:val="00604D68"/>
    <w:rsid w:val="00606D56"/>
    <w:rsid w:val="006073E3"/>
    <w:rsid w:val="006076EB"/>
    <w:rsid w:val="00614849"/>
    <w:rsid w:val="00617E98"/>
    <w:rsid w:val="00621020"/>
    <w:rsid w:val="006210D6"/>
    <w:rsid w:val="00622F11"/>
    <w:rsid w:val="006265E5"/>
    <w:rsid w:val="00630E56"/>
    <w:rsid w:val="00632227"/>
    <w:rsid w:val="0063349E"/>
    <w:rsid w:val="00633BD8"/>
    <w:rsid w:val="00636348"/>
    <w:rsid w:val="006366CC"/>
    <w:rsid w:val="0063682F"/>
    <w:rsid w:val="00637189"/>
    <w:rsid w:val="00637C7D"/>
    <w:rsid w:val="006403B4"/>
    <w:rsid w:val="00640577"/>
    <w:rsid w:val="00643212"/>
    <w:rsid w:val="0064582B"/>
    <w:rsid w:val="006462AC"/>
    <w:rsid w:val="00646CCF"/>
    <w:rsid w:val="00654D72"/>
    <w:rsid w:val="0065798A"/>
    <w:rsid w:val="00660251"/>
    <w:rsid w:val="00661BB0"/>
    <w:rsid w:val="0066366B"/>
    <w:rsid w:val="006638B4"/>
    <w:rsid w:val="00664CC2"/>
    <w:rsid w:val="006659A7"/>
    <w:rsid w:val="0066621C"/>
    <w:rsid w:val="006712DD"/>
    <w:rsid w:val="00671925"/>
    <w:rsid w:val="00672DBA"/>
    <w:rsid w:val="00683A97"/>
    <w:rsid w:val="00685709"/>
    <w:rsid w:val="0069039A"/>
    <w:rsid w:val="00691FFE"/>
    <w:rsid w:val="0069244F"/>
    <w:rsid w:val="00692A1C"/>
    <w:rsid w:val="00696E62"/>
    <w:rsid w:val="006973E7"/>
    <w:rsid w:val="006A03F3"/>
    <w:rsid w:val="006A085F"/>
    <w:rsid w:val="006A093A"/>
    <w:rsid w:val="006A0C9D"/>
    <w:rsid w:val="006A0FE4"/>
    <w:rsid w:val="006A19B2"/>
    <w:rsid w:val="006A3BCD"/>
    <w:rsid w:val="006A6E36"/>
    <w:rsid w:val="006A7581"/>
    <w:rsid w:val="006B28B1"/>
    <w:rsid w:val="006B3FCC"/>
    <w:rsid w:val="006B67FA"/>
    <w:rsid w:val="006B6960"/>
    <w:rsid w:val="006B6E2A"/>
    <w:rsid w:val="006B7460"/>
    <w:rsid w:val="006B76CC"/>
    <w:rsid w:val="006C1069"/>
    <w:rsid w:val="006C1179"/>
    <w:rsid w:val="006C181B"/>
    <w:rsid w:val="006C1ADC"/>
    <w:rsid w:val="006C4683"/>
    <w:rsid w:val="006C4947"/>
    <w:rsid w:val="006C4D3A"/>
    <w:rsid w:val="006C60F4"/>
    <w:rsid w:val="006C6422"/>
    <w:rsid w:val="006D0D8E"/>
    <w:rsid w:val="006D23C0"/>
    <w:rsid w:val="006D23EC"/>
    <w:rsid w:val="006D4430"/>
    <w:rsid w:val="006E06B7"/>
    <w:rsid w:val="006E1062"/>
    <w:rsid w:val="006E1318"/>
    <w:rsid w:val="006E1F4D"/>
    <w:rsid w:val="006E29F2"/>
    <w:rsid w:val="006E3512"/>
    <w:rsid w:val="006E5B05"/>
    <w:rsid w:val="006F0784"/>
    <w:rsid w:val="006F1CCE"/>
    <w:rsid w:val="006F4FE6"/>
    <w:rsid w:val="006F509D"/>
    <w:rsid w:val="006F6EF5"/>
    <w:rsid w:val="006F761B"/>
    <w:rsid w:val="00700543"/>
    <w:rsid w:val="007007F0"/>
    <w:rsid w:val="0070240C"/>
    <w:rsid w:val="00702DE4"/>
    <w:rsid w:val="00704F9F"/>
    <w:rsid w:val="0070614B"/>
    <w:rsid w:val="00706286"/>
    <w:rsid w:val="0070655C"/>
    <w:rsid w:val="00711208"/>
    <w:rsid w:val="00712C15"/>
    <w:rsid w:val="00713143"/>
    <w:rsid w:val="007131EF"/>
    <w:rsid w:val="00715196"/>
    <w:rsid w:val="007157C7"/>
    <w:rsid w:val="00715BA6"/>
    <w:rsid w:val="00715EB2"/>
    <w:rsid w:val="00715EF2"/>
    <w:rsid w:val="00716098"/>
    <w:rsid w:val="007162B0"/>
    <w:rsid w:val="0071658C"/>
    <w:rsid w:val="00717056"/>
    <w:rsid w:val="00717D2E"/>
    <w:rsid w:val="00720D4B"/>
    <w:rsid w:val="00721106"/>
    <w:rsid w:val="007215D0"/>
    <w:rsid w:val="00723D11"/>
    <w:rsid w:val="007243DD"/>
    <w:rsid w:val="00725FEC"/>
    <w:rsid w:val="00730CF1"/>
    <w:rsid w:val="007340F7"/>
    <w:rsid w:val="007345FF"/>
    <w:rsid w:val="00734ECB"/>
    <w:rsid w:val="007351E2"/>
    <w:rsid w:val="00735868"/>
    <w:rsid w:val="007371B9"/>
    <w:rsid w:val="0073799C"/>
    <w:rsid w:val="00744D72"/>
    <w:rsid w:val="00744D73"/>
    <w:rsid w:val="007453BD"/>
    <w:rsid w:val="007456A5"/>
    <w:rsid w:val="00746481"/>
    <w:rsid w:val="00746C0C"/>
    <w:rsid w:val="00750412"/>
    <w:rsid w:val="00750CDE"/>
    <w:rsid w:val="00751975"/>
    <w:rsid w:val="00751A75"/>
    <w:rsid w:val="00751D5E"/>
    <w:rsid w:val="00752807"/>
    <w:rsid w:val="00752875"/>
    <w:rsid w:val="00752F6B"/>
    <w:rsid w:val="00754BEE"/>
    <w:rsid w:val="007560A1"/>
    <w:rsid w:val="0076264E"/>
    <w:rsid w:val="00763149"/>
    <w:rsid w:val="00763299"/>
    <w:rsid w:val="00763810"/>
    <w:rsid w:val="00766BDC"/>
    <w:rsid w:val="00767D32"/>
    <w:rsid w:val="00770CBD"/>
    <w:rsid w:val="0077263F"/>
    <w:rsid w:val="00773B85"/>
    <w:rsid w:val="00774842"/>
    <w:rsid w:val="007767E6"/>
    <w:rsid w:val="0077758E"/>
    <w:rsid w:val="00780271"/>
    <w:rsid w:val="00780A79"/>
    <w:rsid w:val="00780D02"/>
    <w:rsid w:val="00781C6F"/>
    <w:rsid w:val="00782F78"/>
    <w:rsid w:val="007834D9"/>
    <w:rsid w:val="00783ED6"/>
    <w:rsid w:val="007860C0"/>
    <w:rsid w:val="00786318"/>
    <w:rsid w:val="007865A0"/>
    <w:rsid w:val="007900A5"/>
    <w:rsid w:val="00790819"/>
    <w:rsid w:val="007911ED"/>
    <w:rsid w:val="0079131A"/>
    <w:rsid w:val="0079181F"/>
    <w:rsid w:val="00796010"/>
    <w:rsid w:val="0079724F"/>
    <w:rsid w:val="007A265A"/>
    <w:rsid w:val="007A2764"/>
    <w:rsid w:val="007A64CD"/>
    <w:rsid w:val="007A6ABA"/>
    <w:rsid w:val="007A6FEC"/>
    <w:rsid w:val="007A78F0"/>
    <w:rsid w:val="007B4640"/>
    <w:rsid w:val="007B4B36"/>
    <w:rsid w:val="007B6855"/>
    <w:rsid w:val="007B6C19"/>
    <w:rsid w:val="007B76D7"/>
    <w:rsid w:val="007C073B"/>
    <w:rsid w:val="007C0EC5"/>
    <w:rsid w:val="007C3160"/>
    <w:rsid w:val="007C318E"/>
    <w:rsid w:val="007C49AE"/>
    <w:rsid w:val="007C62A8"/>
    <w:rsid w:val="007C710E"/>
    <w:rsid w:val="007C7DD0"/>
    <w:rsid w:val="007C7E64"/>
    <w:rsid w:val="007D0BC3"/>
    <w:rsid w:val="007D219A"/>
    <w:rsid w:val="007D41BC"/>
    <w:rsid w:val="007D619D"/>
    <w:rsid w:val="007D702F"/>
    <w:rsid w:val="007D729D"/>
    <w:rsid w:val="007E38B7"/>
    <w:rsid w:val="007E3B5E"/>
    <w:rsid w:val="007E4EE7"/>
    <w:rsid w:val="007E5E37"/>
    <w:rsid w:val="007E663C"/>
    <w:rsid w:val="007E766A"/>
    <w:rsid w:val="007F06C7"/>
    <w:rsid w:val="007F1042"/>
    <w:rsid w:val="007F3228"/>
    <w:rsid w:val="007F514B"/>
    <w:rsid w:val="007F55FA"/>
    <w:rsid w:val="007F6305"/>
    <w:rsid w:val="007F6A3A"/>
    <w:rsid w:val="007F7A6B"/>
    <w:rsid w:val="00801E33"/>
    <w:rsid w:val="0080257C"/>
    <w:rsid w:val="00802CBB"/>
    <w:rsid w:val="00807670"/>
    <w:rsid w:val="00807920"/>
    <w:rsid w:val="00811A6B"/>
    <w:rsid w:val="00811C55"/>
    <w:rsid w:val="0081226B"/>
    <w:rsid w:val="00812D58"/>
    <w:rsid w:val="00813EF2"/>
    <w:rsid w:val="0081519D"/>
    <w:rsid w:val="008155E5"/>
    <w:rsid w:val="00816AED"/>
    <w:rsid w:val="00816B45"/>
    <w:rsid w:val="008221C2"/>
    <w:rsid w:val="008222FD"/>
    <w:rsid w:val="008239E9"/>
    <w:rsid w:val="00826435"/>
    <w:rsid w:val="00827471"/>
    <w:rsid w:val="008308DA"/>
    <w:rsid w:val="00830EB8"/>
    <w:rsid w:val="00831346"/>
    <w:rsid w:val="00831934"/>
    <w:rsid w:val="008319D8"/>
    <w:rsid w:val="0083367D"/>
    <w:rsid w:val="008351E9"/>
    <w:rsid w:val="00835E82"/>
    <w:rsid w:val="008432DA"/>
    <w:rsid w:val="00844B65"/>
    <w:rsid w:val="0084503F"/>
    <w:rsid w:val="00845C93"/>
    <w:rsid w:val="0084694E"/>
    <w:rsid w:val="00851C73"/>
    <w:rsid w:val="00852EE1"/>
    <w:rsid w:val="008546A0"/>
    <w:rsid w:val="00854ACA"/>
    <w:rsid w:val="00855DFB"/>
    <w:rsid w:val="0086038F"/>
    <w:rsid w:val="00862211"/>
    <w:rsid w:val="0086461C"/>
    <w:rsid w:val="0086528E"/>
    <w:rsid w:val="00865AC8"/>
    <w:rsid w:val="00865FC0"/>
    <w:rsid w:val="008704DF"/>
    <w:rsid w:val="00870AFA"/>
    <w:rsid w:val="00870B6D"/>
    <w:rsid w:val="00872042"/>
    <w:rsid w:val="00873077"/>
    <w:rsid w:val="00873184"/>
    <w:rsid w:val="008745E4"/>
    <w:rsid w:val="00874C7F"/>
    <w:rsid w:val="00875E5F"/>
    <w:rsid w:val="0087744C"/>
    <w:rsid w:val="00877B39"/>
    <w:rsid w:val="0088474D"/>
    <w:rsid w:val="00885BF3"/>
    <w:rsid w:val="00886B6E"/>
    <w:rsid w:val="00886C79"/>
    <w:rsid w:val="00893F1D"/>
    <w:rsid w:val="00894FB4"/>
    <w:rsid w:val="008977E2"/>
    <w:rsid w:val="008A08E0"/>
    <w:rsid w:val="008A1B6A"/>
    <w:rsid w:val="008A468F"/>
    <w:rsid w:val="008A5C3C"/>
    <w:rsid w:val="008A5F26"/>
    <w:rsid w:val="008A6423"/>
    <w:rsid w:val="008B05EA"/>
    <w:rsid w:val="008B1933"/>
    <w:rsid w:val="008B2056"/>
    <w:rsid w:val="008B2B4F"/>
    <w:rsid w:val="008B4686"/>
    <w:rsid w:val="008B5897"/>
    <w:rsid w:val="008B6132"/>
    <w:rsid w:val="008C0D03"/>
    <w:rsid w:val="008C4C1E"/>
    <w:rsid w:val="008C61C3"/>
    <w:rsid w:val="008C703A"/>
    <w:rsid w:val="008C7BF3"/>
    <w:rsid w:val="008D26F9"/>
    <w:rsid w:val="008D32D7"/>
    <w:rsid w:val="008D34F7"/>
    <w:rsid w:val="008D4EB9"/>
    <w:rsid w:val="008D4FD9"/>
    <w:rsid w:val="008D513E"/>
    <w:rsid w:val="008D55F7"/>
    <w:rsid w:val="008D5D43"/>
    <w:rsid w:val="008D7096"/>
    <w:rsid w:val="008E0065"/>
    <w:rsid w:val="008E0329"/>
    <w:rsid w:val="008E4DE9"/>
    <w:rsid w:val="008E5664"/>
    <w:rsid w:val="008F0C3F"/>
    <w:rsid w:val="008F1087"/>
    <w:rsid w:val="008F1EC8"/>
    <w:rsid w:val="008F3A49"/>
    <w:rsid w:val="009002D9"/>
    <w:rsid w:val="00900D29"/>
    <w:rsid w:val="00900E7C"/>
    <w:rsid w:val="00903DB7"/>
    <w:rsid w:val="009054A8"/>
    <w:rsid w:val="009065F8"/>
    <w:rsid w:val="009067E0"/>
    <w:rsid w:val="009068B3"/>
    <w:rsid w:val="00906988"/>
    <w:rsid w:val="009132D4"/>
    <w:rsid w:val="00913ADD"/>
    <w:rsid w:val="00915039"/>
    <w:rsid w:val="009171F7"/>
    <w:rsid w:val="00920223"/>
    <w:rsid w:val="0092366D"/>
    <w:rsid w:val="0092677F"/>
    <w:rsid w:val="00927618"/>
    <w:rsid w:val="00931F44"/>
    <w:rsid w:val="00933D7D"/>
    <w:rsid w:val="00933D85"/>
    <w:rsid w:val="0093457F"/>
    <w:rsid w:val="00935369"/>
    <w:rsid w:val="00935863"/>
    <w:rsid w:val="00935BE9"/>
    <w:rsid w:val="00940B2B"/>
    <w:rsid w:val="00941464"/>
    <w:rsid w:val="00942F44"/>
    <w:rsid w:val="00944E69"/>
    <w:rsid w:val="00945285"/>
    <w:rsid w:val="00946365"/>
    <w:rsid w:val="009465AD"/>
    <w:rsid w:val="00946C93"/>
    <w:rsid w:val="0095001D"/>
    <w:rsid w:val="009507EA"/>
    <w:rsid w:val="00951AD9"/>
    <w:rsid w:val="009529DB"/>
    <w:rsid w:val="00953949"/>
    <w:rsid w:val="00953DF3"/>
    <w:rsid w:val="00954327"/>
    <w:rsid w:val="00955B8B"/>
    <w:rsid w:val="00960BC5"/>
    <w:rsid w:val="0096193E"/>
    <w:rsid w:val="00961ED3"/>
    <w:rsid w:val="009624AC"/>
    <w:rsid w:val="00963C28"/>
    <w:rsid w:val="00965ED1"/>
    <w:rsid w:val="00967ACB"/>
    <w:rsid w:val="0097209F"/>
    <w:rsid w:val="009727AB"/>
    <w:rsid w:val="00972F47"/>
    <w:rsid w:val="009737F6"/>
    <w:rsid w:val="00975976"/>
    <w:rsid w:val="0097748B"/>
    <w:rsid w:val="00977825"/>
    <w:rsid w:val="00980BC5"/>
    <w:rsid w:val="0098179C"/>
    <w:rsid w:val="00982C30"/>
    <w:rsid w:val="00983798"/>
    <w:rsid w:val="00984185"/>
    <w:rsid w:val="00984A26"/>
    <w:rsid w:val="00984C56"/>
    <w:rsid w:val="009904E0"/>
    <w:rsid w:val="00992DAA"/>
    <w:rsid w:val="009965B5"/>
    <w:rsid w:val="00996ACE"/>
    <w:rsid w:val="009A0432"/>
    <w:rsid w:val="009A4340"/>
    <w:rsid w:val="009A48B0"/>
    <w:rsid w:val="009B073C"/>
    <w:rsid w:val="009B11C2"/>
    <w:rsid w:val="009B26B0"/>
    <w:rsid w:val="009B2B3E"/>
    <w:rsid w:val="009B2B5D"/>
    <w:rsid w:val="009B42B2"/>
    <w:rsid w:val="009B4643"/>
    <w:rsid w:val="009B5483"/>
    <w:rsid w:val="009C07A3"/>
    <w:rsid w:val="009C1D9D"/>
    <w:rsid w:val="009C2E98"/>
    <w:rsid w:val="009C6398"/>
    <w:rsid w:val="009D0B00"/>
    <w:rsid w:val="009D28C6"/>
    <w:rsid w:val="009D2CCC"/>
    <w:rsid w:val="009D5080"/>
    <w:rsid w:val="009D5522"/>
    <w:rsid w:val="009D5527"/>
    <w:rsid w:val="009D69F3"/>
    <w:rsid w:val="009D7D26"/>
    <w:rsid w:val="009E183D"/>
    <w:rsid w:val="009E1DDE"/>
    <w:rsid w:val="009E1E04"/>
    <w:rsid w:val="009E5EEC"/>
    <w:rsid w:val="009E7707"/>
    <w:rsid w:val="009F01FE"/>
    <w:rsid w:val="009F0685"/>
    <w:rsid w:val="009F13CC"/>
    <w:rsid w:val="009F1E20"/>
    <w:rsid w:val="009F2BC0"/>
    <w:rsid w:val="009F3E91"/>
    <w:rsid w:val="009F547D"/>
    <w:rsid w:val="009F70B1"/>
    <w:rsid w:val="009F7BE6"/>
    <w:rsid w:val="00A01B01"/>
    <w:rsid w:val="00A01C11"/>
    <w:rsid w:val="00A0276A"/>
    <w:rsid w:val="00A02FA7"/>
    <w:rsid w:val="00A07D85"/>
    <w:rsid w:val="00A10A05"/>
    <w:rsid w:val="00A11BEB"/>
    <w:rsid w:val="00A23E43"/>
    <w:rsid w:val="00A254F2"/>
    <w:rsid w:val="00A31381"/>
    <w:rsid w:val="00A3193B"/>
    <w:rsid w:val="00A324F7"/>
    <w:rsid w:val="00A32816"/>
    <w:rsid w:val="00A3489C"/>
    <w:rsid w:val="00A35383"/>
    <w:rsid w:val="00A35BAC"/>
    <w:rsid w:val="00A367DE"/>
    <w:rsid w:val="00A36925"/>
    <w:rsid w:val="00A42137"/>
    <w:rsid w:val="00A42FE7"/>
    <w:rsid w:val="00A43CE2"/>
    <w:rsid w:val="00A447FB"/>
    <w:rsid w:val="00A5049C"/>
    <w:rsid w:val="00A516AE"/>
    <w:rsid w:val="00A51902"/>
    <w:rsid w:val="00A522CB"/>
    <w:rsid w:val="00A52E3E"/>
    <w:rsid w:val="00A543B9"/>
    <w:rsid w:val="00A54DDE"/>
    <w:rsid w:val="00A60B13"/>
    <w:rsid w:val="00A62514"/>
    <w:rsid w:val="00A626DD"/>
    <w:rsid w:val="00A6486E"/>
    <w:rsid w:val="00A666F8"/>
    <w:rsid w:val="00A66C11"/>
    <w:rsid w:val="00A66CF4"/>
    <w:rsid w:val="00A67DD9"/>
    <w:rsid w:val="00A67EC6"/>
    <w:rsid w:val="00A75515"/>
    <w:rsid w:val="00A76D53"/>
    <w:rsid w:val="00A76FB0"/>
    <w:rsid w:val="00A77A47"/>
    <w:rsid w:val="00A77CCC"/>
    <w:rsid w:val="00A77D28"/>
    <w:rsid w:val="00A803DC"/>
    <w:rsid w:val="00A81DE8"/>
    <w:rsid w:val="00A81FFE"/>
    <w:rsid w:val="00A82035"/>
    <w:rsid w:val="00A82677"/>
    <w:rsid w:val="00A9002B"/>
    <w:rsid w:val="00A90A4B"/>
    <w:rsid w:val="00A9107F"/>
    <w:rsid w:val="00A9233C"/>
    <w:rsid w:val="00A9351E"/>
    <w:rsid w:val="00A93E21"/>
    <w:rsid w:val="00A94CA1"/>
    <w:rsid w:val="00A95129"/>
    <w:rsid w:val="00A96168"/>
    <w:rsid w:val="00AA4CB0"/>
    <w:rsid w:val="00AA65E3"/>
    <w:rsid w:val="00AA7085"/>
    <w:rsid w:val="00AA77AB"/>
    <w:rsid w:val="00AB260B"/>
    <w:rsid w:val="00AB3800"/>
    <w:rsid w:val="00AB4F49"/>
    <w:rsid w:val="00AB5893"/>
    <w:rsid w:val="00AB69ED"/>
    <w:rsid w:val="00AB7E06"/>
    <w:rsid w:val="00AC1D99"/>
    <w:rsid w:val="00AC2053"/>
    <w:rsid w:val="00AC4339"/>
    <w:rsid w:val="00AC5E60"/>
    <w:rsid w:val="00AC7C5A"/>
    <w:rsid w:val="00AD0150"/>
    <w:rsid w:val="00AD2A8D"/>
    <w:rsid w:val="00AD5D1F"/>
    <w:rsid w:val="00AD68A3"/>
    <w:rsid w:val="00AE2BA9"/>
    <w:rsid w:val="00AE54DA"/>
    <w:rsid w:val="00AE666C"/>
    <w:rsid w:val="00AF17AA"/>
    <w:rsid w:val="00AF2056"/>
    <w:rsid w:val="00AF48CB"/>
    <w:rsid w:val="00AF4AE9"/>
    <w:rsid w:val="00AF555E"/>
    <w:rsid w:val="00AF5981"/>
    <w:rsid w:val="00AF63AF"/>
    <w:rsid w:val="00AF63CF"/>
    <w:rsid w:val="00AF6D1A"/>
    <w:rsid w:val="00AF7AC7"/>
    <w:rsid w:val="00B03601"/>
    <w:rsid w:val="00B04798"/>
    <w:rsid w:val="00B058C2"/>
    <w:rsid w:val="00B0684C"/>
    <w:rsid w:val="00B06AE1"/>
    <w:rsid w:val="00B07489"/>
    <w:rsid w:val="00B1236A"/>
    <w:rsid w:val="00B17779"/>
    <w:rsid w:val="00B179C0"/>
    <w:rsid w:val="00B202F1"/>
    <w:rsid w:val="00B20F81"/>
    <w:rsid w:val="00B21AC2"/>
    <w:rsid w:val="00B22BE6"/>
    <w:rsid w:val="00B22F80"/>
    <w:rsid w:val="00B2415B"/>
    <w:rsid w:val="00B26804"/>
    <w:rsid w:val="00B2731F"/>
    <w:rsid w:val="00B31268"/>
    <w:rsid w:val="00B31B3A"/>
    <w:rsid w:val="00B3746E"/>
    <w:rsid w:val="00B410D1"/>
    <w:rsid w:val="00B44E07"/>
    <w:rsid w:val="00B46B7B"/>
    <w:rsid w:val="00B47518"/>
    <w:rsid w:val="00B47E59"/>
    <w:rsid w:val="00B50B39"/>
    <w:rsid w:val="00B50CA0"/>
    <w:rsid w:val="00B521F3"/>
    <w:rsid w:val="00B5273D"/>
    <w:rsid w:val="00B52B1A"/>
    <w:rsid w:val="00B53D40"/>
    <w:rsid w:val="00B54D43"/>
    <w:rsid w:val="00B55E2B"/>
    <w:rsid w:val="00B628B4"/>
    <w:rsid w:val="00B63638"/>
    <w:rsid w:val="00B63853"/>
    <w:rsid w:val="00B6568C"/>
    <w:rsid w:val="00B66D62"/>
    <w:rsid w:val="00B70D50"/>
    <w:rsid w:val="00B724BE"/>
    <w:rsid w:val="00B725FD"/>
    <w:rsid w:val="00B73FCE"/>
    <w:rsid w:val="00B7502A"/>
    <w:rsid w:val="00B776C2"/>
    <w:rsid w:val="00B7788D"/>
    <w:rsid w:val="00B77B3B"/>
    <w:rsid w:val="00B8251C"/>
    <w:rsid w:val="00B82F59"/>
    <w:rsid w:val="00B83A79"/>
    <w:rsid w:val="00B83AD3"/>
    <w:rsid w:val="00B87B07"/>
    <w:rsid w:val="00B9197B"/>
    <w:rsid w:val="00B91F26"/>
    <w:rsid w:val="00B9633B"/>
    <w:rsid w:val="00B9785A"/>
    <w:rsid w:val="00BA02E6"/>
    <w:rsid w:val="00BA08B4"/>
    <w:rsid w:val="00BA0AC5"/>
    <w:rsid w:val="00BA33C8"/>
    <w:rsid w:val="00BA37A0"/>
    <w:rsid w:val="00BA46B7"/>
    <w:rsid w:val="00BA5C57"/>
    <w:rsid w:val="00BA6C81"/>
    <w:rsid w:val="00BB6517"/>
    <w:rsid w:val="00BC1CF0"/>
    <w:rsid w:val="00BC408D"/>
    <w:rsid w:val="00BC40D8"/>
    <w:rsid w:val="00BC40FF"/>
    <w:rsid w:val="00BC4BAC"/>
    <w:rsid w:val="00BC501A"/>
    <w:rsid w:val="00BC5C40"/>
    <w:rsid w:val="00BD40F2"/>
    <w:rsid w:val="00BD5F30"/>
    <w:rsid w:val="00BE0D72"/>
    <w:rsid w:val="00BE0DCB"/>
    <w:rsid w:val="00BE21BB"/>
    <w:rsid w:val="00BE3CDE"/>
    <w:rsid w:val="00BF1332"/>
    <w:rsid w:val="00BF1C74"/>
    <w:rsid w:val="00BF1CDB"/>
    <w:rsid w:val="00BF2009"/>
    <w:rsid w:val="00BF3E05"/>
    <w:rsid w:val="00C00C93"/>
    <w:rsid w:val="00C01E70"/>
    <w:rsid w:val="00C03FC8"/>
    <w:rsid w:val="00C0463D"/>
    <w:rsid w:val="00C0465C"/>
    <w:rsid w:val="00C04D38"/>
    <w:rsid w:val="00C05F7A"/>
    <w:rsid w:val="00C105C5"/>
    <w:rsid w:val="00C1141C"/>
    <w:rsid w:val="00C13ABC"/>
    <w:rsid w:val="00C140D8"/>
    <w:rsid w:val="00C14646"/>
    <w:rsid w:val="00C153F6"/>
    <w:rsid w:val="00C156FF"/>
    <w:rsid w:val="00C15B8F"/>
    <w:rsid w:val="00C16011"/>
    <w:rsid w:val="00C16DEA"/>
    <w:rsid w:val="00C176BC"/>
    <w:rsid w:val="00C21BD6"/>
    <w:rsid w:val="00C238FA"/>
    <w:rsid w:val="00C2684F"/>
    <w:rsid w:val="00C31230"/>
    <w:rsid w:val="00C318DD"/>
    <w:rsid w:val="00C3203A"/>
    <w:rsid w:val="00C33771"/>
    <w:rsid w:val="00C36621"/>
    <w:rsid w:val="00C41876"/>
    <w:rsid w:val="00C4195E"/>
    <w:rsid w:val="00C42127"/>
    <w:rsid w:val="00C43AA2"/>
    <w:rsid w:val="00C44054"/>
    <w:rsid w:val="00C4464D"/>
    <w:rsid w:val="00C4467A"/>
    <w:rsid w:val="00C44C49"/>
    <w:rsid w:val="00C45AD0"/>
    <w:rsid w:val="00C45DC4"/>
    <w:rsid w:val="00C53820"/>
    <w:rsid w:val="00C56567"/>
    <w:rsid w:val="00C60D8C"/>
    <w:rsid w:val="00C70834"/>
    <w:rsid w:val="00C74828"/>
    <w:rsid w:val="00C75BB2"/>
    <w:rsid w:val="00C76B26"/>
    <w:rsid w:val="00C80BB5"/>
    <w:rsid w:val="00C83169"/>
    <w:rsid w:val="00C84E83"/>
    <w:rsid w:val="00C859DB"/>
    <w:rsid w:val="00C86134"/>
    <w:rsid w:val="00C90407"/>
    <w:rsid w:val="00C90B04"/>
    <w:rsid w:val="00C90F5B"/>
    <w:rsid w:val="00C913F0"/>
    <w:rsid w:val="00C96D9D"/>
    <w:rsid w:val="00CA036F"/>
    <w:rsid w:val="00CA0ED9"/>
    <w:rsid w:val="00CA262C"/>
    <w:rsid w:val="00CA2768"/>
    <w:rsid w:val="00CA28C4"/>
    <w:rsid w:val="00CB082E"/>
    <w:rsid w:val="00CB0E91"/>
    <w:rsid w:val="00CB111B"/>
    <w:rsid w:val="00CB1172"/>
    <w:rsid w:val="00CB4F3F"/>
    <w:rsid w:val="00CB6069"/>
    <w:rsid w:val="00CB6C8C"/>
    <w:rsid w:val="00CC002C"/>
    <w:rsid w:val="00CC1768"/>
    <w:rsid w:val="00CC4BC7"/>
    <w:rsid w:val="00CC51CE"/>
    <w:rsid w:val="00CC579C"/>
    <w:rsid w:val="00CC7A60"/>
    <w:rsid w:val="00CD0EB8"/>
    <w:rsid w:val="00CD199A"/>
    <w:rsid w:val="00CD26AD"/>
    <w:rsid w:val="00CD2CE5"/>
    <w:rsid w:val="00CD652D"/>
    <w:rsid w:val="00CD7802"/>
    <w:rsid w:val="00CE3FD6"/>
    <w:rsid w:val="00CF1022"/>
    <w:rsid w:val="00CF4E21"/>
    <w:rsid w:val="00CF7150"/>
    <w:rsid w:val="00CF7304"/>
    <w:rsid w:val="00D00224"/>
    <w:rsid w:val="00D012E2"/>
    <w:rsid w:val="00D01EC1"/>
    <w:rsid w:val="00D02937"/>
    <w:rsid w:val="00D03229"/>
    <w:rsid w:val="00D050C9"/>
    <w:rsid w:val="00D05338"/>
    <w:rsid w:val="00D07E2C"/>
    <w:rsid w:val="00D1322C"/>
    <w:rsid w:val="00D168DA"/>
    <w:rsid w:val="00D17AA5"/>
    <w:rsid w:val="00D2317D"/>
    <w:rsid w:val="00D243FB"/>
    <w:rsid w:val="00D24BF8"/>
    <w:rsid w:val="00D257F9"/>
    <w:rsid w:val="00D2679E"/>
    <w:rsid w:val="00D329F5"/>
    <w:rsid w:val="00D32AF3"/>
    <w:rsid w:val="00D359FB"/>
    <w:rsid w:val="00D37F2D"/>
    <w:rsid w:val="00D41AA5"/>
    <w:rsid w:val="00D43DD4"/>
    <w:rsid w:val="00D44CAF"/>
    <w:rsid w:val="00D45052"/>
    <w:rsid w:val="00D45B6F"/>
    <w:rsid w:val="00D46A3D"/>
    <w:rsid w:val="00D51B49"/>
    <w:rsid w:val="00D54114"/>
    <w:rsid w:val="00D550BD"/>
    <w:rsid w:val="00D556F1"/>
    <w:rsid w:val="00D575CA"/>
    <w:rsid w:val="00D60F67"/>
    <w:rsid w:val="00D61231"/>
    <w:rsid w:val="00D6144B"/>
    <w:rsid w:val="00D62513"/>
    <w:rsid w:val="00D63C9D"/>
    <w:rsid w:val="00D6450C"/>
    <w:rsid w:val="00D64A3C"/>
    <w:rsid w:val="00D73EC6"/>
    <w:rsid w:val="00D74938"/>
    <w:rsid w:val="00D76BB6"/>
    <w:rsid w:val="00D77286"/>
    <w:rsid w:val="00D77B71"/>
    <w:rsid w:val="00D8045C"/>
    <w:rsid w:val="00D8232F"/>
    <w:rsid w:val="00D82EA6"/>
    <w:rsid w:val="00D8323A"/>
    <w:rsid w:val="00D84AEC"/>
    <w:rsid w:val="00D84D98"/>
    <w:rsid w:val="00D85117"/>
    <w:rsid w:val="00D8706F"/>
    <w:rsid w:val="00D909AA"/>
    <w:rsid w:val="00D94202"/>
    <w:rsid w:val="00D9524A"/>
    <w:rsid w:val="00D97274"/>
    <w:rsid w:val="00D97B53"/>
    <w:rsid w:val="00DA04C2"/>
    <w:rsid w:val="00DA0E72"/>
    <w:rsid w:val="00DA46AB"/>
    <w:rsid w:val="00DA4B78"/>
    <w:rsid w:val="00DA4DB2"/>
    <w:rsid w:val="00DA593D"/>
    <w:rsid w:val="00DA7186"/>
    <w:rsid w:val="00DB4093"/>
    <w:rsid w:val="00DB595D"/>
    <w:rsid w:val="00DB5D44"/>
    <w:rsid w:val="00DB5FF5"/>
    <w:rsid w:val="00DB649E"/>
    <w:rsid w:val="00DB7944"/>
    <w:rsid w:val="00DB7B15"/>
    <w:rsid w:val="00DB7B73"/>
    <w:rsid w:val="00DC1193"/>
    <w:rsid w:val="00DC29DA"/>
    <w:rsid w:val="00DC34A0"/>
    <w:rsid w:val="00DC384D"/>
    <w:rsid w:val="00DC53CA"/>
    <w:rsid w:val="00DC70DC"/>
    <w:rsid w:val="00DC7866"/>
    <w:rsid w:val="00DD36E7"/>
    <w:rsid w:val="00DD5A9F"/>
    <w:rsid w:val="00DD7836"/>
    <w:rsid w:val="00DE21BF"/>
    <w:rsid w:val="00DE21C7"/>
    <w:rsid w:val="00DE24AB"/>
    <w:rsid w:val="00DE2695"/>
    <w:rsid w:val="00DE2D31"/>
    <w:rsid w:val="00DE7023"/>
    <w:rsid w:val="00DE76F9"/>
    <w:rsid w:val="00DF0683"/>
    <w:rsid w:val="00DF0A5E"/>
    <w:rsid w:val="00DF4B37"/>
    <w:rsid w:val="00DF54BB"/>
    <w:rsid w:val="00DF66C9"/>
    <w:rsid w:val="00DF7D18"/>
    <w:rsid w:val="00E00036"/>
    <w:rsid w:val="00E02E73"/>
    <w:rsid w:val="00E03CA0"/>
    <w:rsid w:val="00E073CE"/>
    <w:rsid w:val="00E07F62"/>
    <w:rsid w:val="00E10245"/>
    <w:rsid w:val="00E11DBA"/>
    <w:rsid w:val="00E11F96"/>
    <w:rsid w:val="00E12062"/>
    <w:rsid w:val="00E12727"/>
    <w:rsid w:val="00E140EF"/>
    <w:rsid w:val="00E16196"/>
    <w:rsid w:val="00E1667D"/>
    <w:rsid w:val="00E173CB"/>
    <w:rsid w:val="00E17D66"/>
    <w:rsid w:val="00E21FCD"/>
    <w:rsid w:val="00E229D0"/>
    <w:rsid w:val="00E23404"/>
    <w:rsid w:val="00E23557"/>
    <w:rsid w:val="00E23E04"/>
    <w:rsid w:val="00E23F6E"/>
    <w:rsid w:val="00E240B1"/>
    <w:rsid w:val="00E24296"/>
    <w:rsid w:val="00E242F7"/>
    <w:rsid w:val="00E24AAE"/>
    <w:rsid w:val="00E24C00"/>
    <w:rsid w:val="00E255EF"/>
    <w:rsid w:val="00E30E65"/>
    <w:rsid w:val="00E3103E"/>
    <w:rsid w:val="00E315F9"/>
    <w:rsid w:val="00E34260"/>
    <w:rsid w:val="00E359DF"/>
    <w:rsid w:val="00E36D6A"/>
    <w:rsid w:val="00E3768D"/>
    <w:rsid w:val="00E4009E"/>
    <w:rsid w:val="00E40713"/>
    <w:rsid w:val="00E42CE3"/>
    <w:rsid w:val="00E45523"/>
    <w:rsid w:val="00E50624"/>
    <w:rsid w:val="00E53608"/>
    <w:rsid w:val="00E55334"/>
    <w:rsid w:val="00E56602"/>
    <w:rsid w:val="00E5709D"/>
    <w:rsid w:val="00E572A2"/>
    <w:rsid w:val="00E61955"/>
    <w:rsid w:val="00E623C7"/>
    <w:rsid w:val="00E638F3"/>
    <w:rsid w:val="00E63BFC"/>
    <w:rsid w:val="00E6641D"/>
    <w:rsid w:val="00E664CC"/>
    <w:rsid w:val="00E706FF"/>
    <w:rsid w:val="00E71215"/>
    <w:rsid w:val="00E71E2A"/>
    <w:rsid w:val="00E721FE"/>
    <w:rsid w:val="00E725B1"/>
    <w:rsid w:val="00E72DA5"/>
    <w:rsid w:val="00E730B5"/>
    <w:rsid w:val="00E736F6"/>
    <w:rsid w:val="00E7507D"/>
    <w:rsid w:val="00E76365"/>
    <w:rsid w:val="00E8030B"/>
    <w:rsid w:val="00E835E5"/>
    <w:rsid w:val="00E83920"/>
    <w:rsid w:val="00E83A03"/>
    <w:rsid w:val="00E83EE8"/>
    <w:rsid w:val="00E84346"/>
    <w:rsid w:val="00E862F0"/>
    <w:rsid w:val="00E8736D"/>
    <w:rsid w:val="00E90072"/>
    <w:rsid w:val="00E913C8"/>
    <w:rsid w:val="00E91A5E"/>
    <w:rsid w:val="00E92FFE"/>
    <w:rsid w:val="00E940B5"/>
    <w:rsid w:val="00E9636D"/>
    <w:rsid w:val="00E97125"/>
    <w:rsid w:val="00E97388"/>
    <w:rsid w:val="00EA042A"/>
    <w:rsid w:val="00EA4544"/>
    <w:rsid w:val="00EA6D9A"/>
    <w:rsid w:val="00EA7EC3"/>
    <w:rsid w:val="00EB02A7"/>
    <w:rsid w:val="00EB14E4"/>
    <w:rsid w:val="00EB27DF"/>
    <w:rsid w:val="00EB3169"/>
    <w:rsid w:val="00EB4206"/>
    <w:rsid w:val="00EB4577"/>
    <w:rsid w:val="00EB4665"/>
    <w:rsid w:val="00EB4B1E"/>
    <w:rsid w:val="00EB4F53"/>
    <w:rsid w:val="00EB6F69"/>
    <w:rsid w:val="00EB7132"/>
    <w:rsid w:val="00EB756F"/>
    <w:rsid w:val="00EC08C9"/>
    <w:rsid w:val="00EC238B"/>
    <w:rsid w:val="00EC423D"/>
    <w:rsid w:val="00EC4361"/>
    <w:rsid w:val="00EC52C9"/>
    <w:rsid w:val="00ED17C9"/>
    <w:rsid w:val="00ED614D"/>
    <w:rsid w:val="00ED75FD"/>
    <w:rsid w:val="00EE1518"/>
    <w:rsid w:val="00EE28FB"/>
    <w:rsid w:val="00EE2B77"/>
    <w:rsid w:val="00EE321D"/>
    <w:rsid w:val="00EE507F"/>
    <w:rsid w:val="00EF03BF"/>
    <w:rsid w:val="00EF2979"/>
    <w:rsid w:val="00EF32DB"/>
    <w:rsid w:val="00EF3BE0"/>
    <w:rsid w:val="00EF5546"/>
    <w:rsid w:val="00EF5CB9"/>
    <w:rsid w:val="00EF5F16"/>
    <w:rsid w:val="00EF7F25"/>
    <w:rsid w:val="00F0553D"/>
    <w:rsid w:val="00F07324"/>
    <w:rsid w:val="00F0755B"/>
    <w:rsid w:val="00F10D6E"/>
    <w:rsid w:val="00F10E23"/>
    <w:rsid w:val="00F11C29"/>
    <w:rsid w:val="00F136E4"/>
    <w:rsid w:val="00F15B0B"/>
    <w:rsid w:val="00F16C41"/>
    <w:rsid w:val="00F17758"/>
    <w:rsid w:val="00F23BB3"/>
    <w:rsid w:val="00F24F7E"/>
    <w:rsid w:val="00F30920"/>
    <w:rsid w:val="00F32700"/>
    <w:rsid w:val="00F33264"/>
    <w:rsid w:val="00F345C6"/>
    <w:rsid w:val="00F367B8"/>
    <w:rsid w:val="00F37786"/>
    <w:rsid w:val="00F37872"/>
    <w:rsid w:val="00F43B9C"/>
    <w:rsid w:val="00F440A2"/>
    <w:rsid w:val="00F44E45"/>
    <w:rsid w:val="00F46606"/>
    <w:rsid w:val="00F51679"/>
    <w:rsid w:val="00F51BFC"/>
    <w:rsid w:val="00F52F43"/>
    <w:rsid w:val="00F53191"/>
    <w:rsid w:val="00F5420D"/>
    <w:rsid w:val="00F55F80"/>
    <w:rsid w:val="00F5658B"/>
    <w:rsid w:val="00F57660"/>
    <w:rsid w:val="00F576BF"/>
    <w:rsid w:val="00F605B0"/>
    <w:rsid w:val="00F6582F"/>
    <w:rsid w:val="00F65981"/>
    <w:rsid w:val="00F66DA2"/>
    <w:rsid w:val="00F67155"/>
    <w:rsid w:val="00F728DB"/>
    <w:rsid w:val="00F73AA7"/>
    <w:rsid w:val="00F744AE"/>
    <w:rsid w:val="00F81AF9"/>
    <w:rsid w:val="00F83438"/>
    <w:rsid w:val="00F84A9E"/>
    <w:rsid w:val="00F869E4"/>
    <w:rsid w:val="00F906D9"/>
    <w:rsid w:val="00F96BD6"/>
    <w:rsid w:val="00F9779D"/>
    <w:rsid w:val="00FA1D4C"/>
    <w:rsid w:val="00FA312F"/>
    <w:rsid w:val="00FA335D"/>
    <w:rsid w:val="00FA55AC"/>
    <w:rsid w:val="00FA5989"/>
    <w:rsid w:val="00FB2F26"/>
    <w:rsid w:val="00FB495C"/>
    <w:rsid w:val="00FB49FE"/>
    <w:rsid w:val="00FB4C6A"/>
    <w:rsid w:val="00FB580C"/>
    <w:rsid w:val="00FB663A"/>
    <w:rsid w:val="00FB6E9A"/>
    <w:rsid w:val="00FB70FF"/>
    <w:rsid w:val="00FB7C20"/>
    <w:rsid w:val="00FC0E46"/>
    <w:rsid w:val="00FC4C67"/>
    <w:rsid w:val="00FC5009"/>
    <w:rsid w:val="00FC74B2"/>
    <w:rsid w:val="00FC76F0"/>
    <w:rsid w:val="00FC78DB"/>
    <w:rsid w:val="00FD02B5"/>
    <w:rsid w:val="00FD1687"/>
    <w:rsid w:val="00FD3348"/>
    <w:rsid w:val="00FD52BC"/>
    <w:rsid w:val="00FD5321"/>
    <w:rsid w:val="00FD56FE"/>
    <w:rsid w:val="00FD5875"/>
    <w:rsid w:val="00FD638A"/>
    <w:rsid w:val="00FE312F"/>
    <w:rsid w:val="00FE4589"/>
    <w:rsid w:val="00FE57DA"/>
    <w:rsid w:val="00FE6DDB"/>
    <w:rsid w:val="00FE7C29"/>
    <w:rsid w:val="00FF1CBE"/>
    <w:rsid w:val="00FF1E03"/>
    <w:rsid w:val="00FF5AB6"/>
    <w:rsid w:val="00FF5F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214C99"/>
  <w15:docId w15:val="{0E0DA744-4A48-4EFD-8D5A-112DF59D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F5"/>
    <w:pPr>
      <w:bidi/>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7C49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Use Case List Paragraph,Numbered Paragraph,Main numbered paragraph,References,Numbered List Paragraph,123 List Paragraph,List Paragraph nowy,Liste 1,List_Paragraph,Multilevel para_II,List1"/>
    <w:basedOn w:val="Normal"/>
    <w:link w:val="ListParagraphChar"/>
    <w:uiPriority w:val="34"/>
    <w:qFormat/>
    <w:rsid w:val="00E03CA0"/>
    <w:pPr>
      <w:ind w:left="720"/>
      <w:contextualSpacing/>
    </w:pPr>
  </w:style>
  <w:style w:type="character" w:customStyle="1" w:styleId="ListParagraphChar">
    <w:name w:val="List Paragraph Char"/>
    <w:aliases w:val="List Paragraph (numbered (a)) Char,Bullets Char,Use Case List Paragraph Char,Numbered Paragraph Char,Main numbered paragraph Char,References Char,Numbered List Paragraph Char,123 List Paragraph Char,List Paragraph nowy Char"/>
    <w:link w:val="ListParagraph"/>
    <w:uiPriority w:val="34"/>
    <w:qFormat/>
    <w:locked/>
    <w:rsid w:val="002624A3"/>
    <w:rPr>
      <w:rFonts w:ascii="Calibri" w:eastAsia="Times New Roman" w:hAnsi="Calibri" w:cs="Arial"/>
    </w:rPr>
  </w:style>
  <w:style w:type="paragraph" w:styleId="Header">
    <w:name w:val="header"/>
    <w:basedOn w:val="Normal"/>
    <w:link w:val="HeaderChar"/>
    <w:uiPriority w:val="99"/>
    <w:unhideWhenUsed/>
    <w:rsid w:val="00C03F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3FC8"/>
    <w:rPr>
      <w:rFonts w:ascii="Calibri" w:eastAsia="Times New Roman" w:hAnsi="Calibri" w:cs="Arial"/>
    </w:rPr>
  </w:style>
  <w:style w:type="paragraph" w:styleId="Footer">
    <w:name w:val="footer"/>
    <w:basedOn w:val="Normal"/>
    <w:link w:val="FooterChar"/>
    <w:uiPriority w:val="99"/>
    <w:unhideWhenUsed/>
    <w:rsid w:val="00C03F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3FC8"/>
    <w:rPr>
      <w:rFonts w:ascii="Calibri" w:eastAsia="Times New Roman" w:hAnsi="Calibri" w:cs="Arial"/>
    </w:rPr>
  </w:style>
  <w:style w:type="paragraph" w:styleId="BalloonText">
    <w:name w:val="Balloon Text"/>
    <w:basedOn w:val="Normal"/>
    <w:link w:val="BalloonTextChar"/>
    <w:uiPriority w:val="99"/>
    <w:semiHidden/>
    <w:unhideWhenUsed/>
    <w:rsid w:val="000D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393"/>
    <w:rPr>
      <w:rFonts w:ascii="Tahoma" w:eastAsia="Times New Roman" w:hAnsi="Tahoma" w:cs="Tahoma"/>
      <w:sz w:val="16"/>
      <w:szCs w:val="16"/>
    </w:rPr>
  </w:style>
  <w:style w:type="paragraph" w:customStyle="1" w:styleId="SingleTxtGA">
    <w:name w:val="_ Single Txt_GA"/>
    <w:basedOn w:val="Normal"/>
    <w:qFormat/>
    <w:rsid w:val="0070614B"/>
    <w:pPr>
      <w:tabs>
        <w:tab w:val="left" w:pos="1928"/>
        <w:tab w:val="left" w:pos="2608"/>
        <w:tab w:val="left" w:pos="3289"/>
        <w:tab w:val="left" w:pos="3969"/>
        <w:tab w:val="left" w:pos="4649"/>
        <w:tab w:val="left" w:pos="5330"/>
      </w:tabs>
      <w:spacing w:after="120" w:line="380" w:lineRule="exact"/>
      <w:ind w:left="1247" w:right="1247"/>
      <w:jc w:val="lowKashida"/>
    </w:pPr>
    <w:rPr>
      <w:rFonts w:ascii="Times New Roman" w:hAnsi="Times New Roman" w:cs="Traditional Arabic"/>
      <w:sz w:val="20"/>
      <w:szCs w:val="30"/>
    </w:rPr>
  </w:style>
  <w:style w:type="paragraph" w:customStyle="1" w:styleId="HChGA">
    <w:name w:val="_ H _Ch_GA"/>
    <w:basedOn w:val="Normal"/>
    <w:next w:val="Normal"/>
    <w:qFormat/>
    <w:rsid w:val="00020A44"/>
    <w:pPr>
      <w:keepNext/>
      <w:keepLines/>
      <w:tabs>
        <w:tab w:val="right" w:pos="1021"/>
      </w:tabs>
      <w:suppressAutoHyphens/>
      <w:spacing w:before="360" w:after="240" w:line="440" w:lineRule="exact"/>
      <w:ind w:left="1247" w:right="1247" w:hanging="1247"/>
      <w:jc w:val="lowKashida"/>
    </w:pPr>
    <w:rPr>
      <w:rFonts w:ascii="Times New Roman" w:hAnsi="Times New Roman" w:cs="Traditional Arabic"/>
      <w:b/>
      <w:bCs/>
      <w:sz w:val="28"/>
      <w:szCs w:val="3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E359DF"/>
    <w:pPr>
      <w:spacing w:after="0" w:line="240" w:lineRule="auto"/>
      <w:jc w:val="lowKashida"/>
    </w:pPr>
    <w:rPr>
      <w:rFonts w:ascii="Times New Roman" w:hAnsi="Times New Roman" w:cs="Traditional Arabic"/>
      <w:sz w:val="20"/>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uiPriority w:val="99"/>
    <w:rsid w:val="00E359DF"/>
    <w:rPr>
      <w:rFonts w:ascii="Times New Roman" w:eastAsia="Times New Roman" w:hAnsi="Times New Roman" w:cs="Traditional Arabic"/>
      <w:sz w:val="20"/>
      <w:szCs w:val="20"/>
    </w:rPr>
  </w:style>
  <w:style w:type="paragraph" w:customStyle="1" w:styleId="ParaNoGA">
    <w:name w:val="_ParaNo._GA"/>
    <w:basedOn w:val="SingleTxtGA"/>
    <w:qFormat/>
    <w:rsid w:val="00E359DF"/>
    <w:pPr>
      <w:numPr>
        <w:numId w:val="33"/>
      </w:numPr>
      <w:suppressAutoHyphens/>
      <w:bidi w:val="0"/>
    </w:pPr>
  </w:style>
  <w:style w:type="character" w:styleId="FootnoteReference">
    <w:name w:val="footnote reference"/>
    <w:aliases w:val="4_GA,4_G,SUPERS,Footnote symbol,BVI fnr,Appel note de bas de p,Nota,(NECG) Footnote Reference,Voetnootverwijzing,-E Fußnotenzeichen,Footnote Refernece,callout,Footnotes refss,Footnote Reference Superscript,Footnote Reference Number"/>
    <w:basedOn w:val="DefaultParagraphFont"/>
    <w:unhideWhenUsed/>
    <w:qFormat/>
    <w:rsid w:val="00505F80"/>
    <w:rPr>
      <w:vertAlign w:val="superscript"/>
    </w:rPr>
  </w:style>
  <w:style w:type="paragraph" w:styleId="EndnoteText">
    <w:name w:val="endnote text"/>
    <w:aliases w:val="2_ GA,2_G"/>
    <w:basedOn w:val="Normal"/>
    <w:link w:val="EndnoteTextChar"/>
    <w:uiPriority w:val="99"/>
    <w:unhideWhenUsed/>
    <w:qFormat/>
    <w:rsid w:val="00505F80"/>
    <w:pPr>
      <w:spacing w:after="0" w:line="240" w:lineRule="auto"/>
    </w:pPr>
    <w:rPr>
      <w:sz w:val="20"/>
      <w:szCs w:val="20"/>
    </w:rPr>
  </w:style>
  <w:style w:type="character" w:customStyle="1" w:styleId="EndnoteTextChar">
    <w:name w:val="Endnote Text Char"/>
    <w:aliases w:val="2_ GA Char,2_G Char"/>
    <w:basedOn w:val="DefaultParagraphFont"/>
    <w:link w:val="EndnoteText"/>
    <w:uiPriority w:val="99"/>
    <w:rsid w:val="00505F80"/>
    <w:rPr>
      <w:rFonts w:ascii="Calibri" w:eastAsia="Times New Roman" w:hAnsi="Calibri" w:cs="Arial"/>
      <w:sz w:val="20"/>
      <w:szCs w:val="20"/>
    </w:rPr>
  </w:style>
  <w:style w:type="character" w:styleId="EndnoteReference">
    <w:name w:val="endnote reference"/>
    <w:basedOn w:val="DefaultParagraphFont"/>
    <w:uiPriority w:val="99"/>
    <w:semiHidden/>
    <w:unhideWhenUsed/>
    <w:rsid w:val="00505F80"/>
    <w:rPr>
      <w:vertAlign w:val="superscript"/>
    </w:rPr>
  </w:style>
  <w:style w:type="character" w:styleId="CommentReference">
    <w:name w:val="annotation reference"/>
    <w:basedOn w:val="DefaultParagraphFont"/>
    <w:uiPriority w:val="99"/>
    <w:semiHidden/>
    <w:unhideWhenUsed/>
    <w:rsid w:val="00780271"/>
    <w:rPr>
      <w:sz w:val="16"/>
      <w:szCs w:val="16"/>
    </w:rPr>
  </w:style>
  <w:style w:type="paragraph" w:styleId="CommentText">
    <w:name w:val="annotation text"/>
    <w:basedOn w:val="Normal"/>
    <w:link w:val="CommentTextChar"/>
    <w:uiPriority w:val="99"/>
    <w:semiHidden/>
    <w:unhideWhenUsed/>
    <w:rsid w:val="00780271"/>
    <w:pPr>
      <w:spacing w:line="240" w:lineRule="auto"/>
    </w:pPr>
    <w:rPr>
      <w:sz w:val="20"/>
      <w:szCs w:val="20"/>
    </w:rPr>
  </w:style>
  <w:style w:type="character" w:customStyle="1" w:styleId="CommentTextChar">
    <w:name w:val="Comment Text Char"/>
    <w:basedOn w:val="DefaultParagraphFont"/>
    <w:link w:val="CommentText"/>
    <w:uiPriority w:val="99"/>
    <w:semiHidden/>
    <w:rsid w:val="00780271"/>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780271"/>
    <w:rPr>
      <w:b/>
      <w:bCs/>
    </w:rPr>
  </w:style>
  <w:style w:type="character" w:customStyle="1" w:styleId="CommentSubjectChar">
    <w:name w:val="Comment Subject Char"/>
    <w:basedOn w:val="CommentTextChar"/>
    <w:link w:val="CommentSubject"/>
    <w:uiPriority w:val="99"/>
    <w:semiHidden/>
    <w:rsid w:val="00780271"/>
    <w:rPr>
      <w:rFonts w:ascii="Calibri" w:eastAsia="Times New Roman" w:hAnsi="Calibri" w:cs="Arial"/>
      <w:b/>
      <w:bCs/>
      <w:sz w:val="20"/>
      <w:szCs w:val="20"/>
    </w:rPr>
  </w:style>
  <w:style w:type="character" w:styleId="Hyperlink">
    <w:name w:val="Hyperlink"/>
    <w:basedOn w:val="DefaultParagraphFont"/>
    <w:uiPriority w:val="99"/>
    <w:semiHidden/>
    <w:unhideWhenUsed/>
    <w:rsid w:val="00780271"/>
    <w:rPr>
      <w:color w:val="0000FF"/>
      <w:u w:val="single"/>
    </w:rPr>
  </w:style>
  <w:style w:type="character" w:customStyle="1" w:styleId="Heading1Char">
    <w:name w:val="Heading 1 Char"/>
    <w:basedOn w:val="DefaultParagraphFont"/>
    <w:link w:val="Heading1"/>
    <w:uiPriority w:val="9"/>
    <w:rsid w:val="007C49A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E3512"/>
    <w:pPr>
      <w:bidi w:val="0"/>
      <w:spacing w:before="100" w:beforeAutospacing="1" w:after="100" w:afterAutospacing="1" w:line="240" w:lineRule="auto"/>
    </w:pPr>
    <w:rPr>
      <w:rFonts w:ascii="Times New Roman" w:hAnsi="Times New Roman" w:cs="Times New Roman"/>
      <w:sz w:val="24"/>
      <w:szCs w:val="24"/>
    </w:rPr>
  </w:style>
  <w:style w:type="paragraph" w:customStyle="1" w:styleId="Bullet1GA">
    <w:name w:val="_Bullet 1_GA"/>
    <w:basedOn w:val="Normal"/>
    <w:qFormat/>
    <w:rsid w:val="004F2D66"/>
    <w:pPr>
      <w:numPr>
        <w:numId w:val="44"/>
      </w:numPr>
      <w:suppressAutoHyphens/>
      <w:bidi w:val="0"/>
      <w:spacing w:after="120" w:line="380" w:lineRule="exact"/>
      <w:ind w:right="1247"/>
      <w:jc w:val="lowKashida"/>
    </w:pPr>
    <w:rPr>
      <w:rFonts w:ascii="Times New Roman" w:eastAsia="MS Mincho" w:hAnsi="Times New Roman" w:cs="Traditional Arabic"/>
      <w:sz w:val="20"/>
      <w:szCs w:val="30"/>
    </w:rPr>
  </w:style>
  <w:style w:type="paragraph" w:customStyle="1" w:styleId="SLGA">
    <w:name w:val="__S_L_GA"/>
    <w:basedOn w:val="Normal"/>
    <w:next w:val="Normal"/>
    <w:qFormat/>
    <w:rsid w:val="00906988"/>
    <w:pPr>
      <w:keepNext/>
      <w:keepLines/>
      <w:suppressAutoHyphens/>
      <w:bidi w:val="0"/>
      <w:spacing w:before="240" w:after="240" w:line="800" w:lineRule="exact"/>
      <w:ind w:left="1247" w:right="1247"/>
      <w:jc w:val="lowKashida"/>
    </w:pPr>
    <w:rPr>
      <w:rFonts w:ascii="Times New Roman" w:eastAsia="MS Mincho" w:hAnsi="Times New Roman" w:cs="Traditional Arabic"/>
      <w:b/>
      <w:bCs/>
      <w:sz w:val="56"/>
      <w:szCs w:val="84"/>
    </w:rPr>
  </w:style>
  <w:style w:type="paragraph" w:customStyle="1" w:styleId="HMGA">
    <w:name w:val="_ H __M_GA"/>
    <w:basedOn w:val="Normal"/>
    <w:next w:val="Normal"/>
    <w:qFormat/>
    <w:rsid w:val="009965B5"/>
    <w:pPr>
      <w:keepNext/>
      <w:keepLines/>
      <w:tabs>
        <w:tab w:val="right" w:pos="1021"/>
      </w:tabs>
      <w:suppressAutoHyphens/>
      <w:spacing w:before="360" w:after="240" w:line="480" w:lineRule="exact"/>
      <w:ind w:left="1247" w:right="1247" w:hanging="1247"/>
      <w:jc w:val="lowKashida"/>
    </w:pPr>
    <w:rPr>
      <w:rFonts w:ascii="Times New Roman" w:eastAsia="MS Mincho" w:hAnsi="Times New Roman" w:cs="Traditional Arabic"/>
      <w:b/>
      <w:bCs/>
      <w:sz w:val="3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38140">
      <w:bodyDiv w:val="1"/>
      <w:marLeft w:val="0"/>
      <w:marRight w:val="0"/>
      <w:marTop w:val="0"/>
      <w:marBottom w:val="0"/>
      <w:divBdr>
        <w:top w:val="none" w:sz="0" w:space="0" w:color="auto"/>
        <w:left w:val="none" w:sz="0" w:space="0" w:color="auto"/>
        <w:bottom w:val="none" w:sz="0" w:space="0" w:color="auto"/>
        <w:right w:val="none" w:sz="0" w:space="0" w:color="auto"/>
      </w:divBdr>
    </w:div>
    <w:div w:id="2046754936">
      <w:bodyDiv w:val="1"/>
      <w:marLeft w:val="0"/>
      <w:marRight w:val="0"/>
      <w:marTop w:val="0"/>
      <w:marBottom w:val="0"/>
      <w:divBdr>
        <w:top w:val="none" w:sz="0" w:space="0" w:color="auto"/>
        <w:left w:val="none" w:sz="0" w:space="0" w:color="auto"/>
        <w:bottom w:val="none" w:sz="0" w:space="0" w:color="auto"/>
        <w:right w:val="none" w:sz="0" w:space="0" w:color="auto"/>
      </w:divBdr>
      <w:divsChild>
        <w:div w:id="75782562">
          <w:marLeft w:val="0"/>
          <w:marRight w:val="0"/>
          <w:marTop w:val="0"/>
          <w:marBottom w:val="0"/>
          <w:divBdr>
            <w:top w:val="none" w:sz="0" w:space="0" w:color="auto"/>
            <w:left w:val="none" w:sz="0" w:space="0" w:color="auto"/>
            <w:bottom w:val="none" w:sz="0" w:space="0" w:color="auto"/>
            <w:right w:val="none" w:sz="0" w:space="0" w:color="auto"/>
          </w:divBdr>
          <w:divsChild>
            <w:div w:id="353265601">
              <w:marLeft w:val="0"/>
              <w:marRight w:val="0"/>
              <w:marTop w:val="0"/>
              <w:marBottom w:val="0"/>
              <w:divBdr>
                <w:top w:val="none" w:sz="0" w:space="0" w:color="auto"/>
                <w:left w:val="none" w:sz="0" w:space="0" w:color="auto"/>
                <w:bottom w:val="none" w:sz="0" w:space="0" w:color="auto"/>
                <w:right w:val="none" w:sz="0" w:space="0" w:color="auto"/>
              </w:divBdr>
              <w:divsChild>
                <w:div w:id="6957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953997-F0D3-465D-9946-847B564E45DF}">
  <ds:schemaRefs>
    <ds:schemaRef ds:uri="http://schemas.openxmlformats.org/officeDocument/2006/bibliography"/>
  </ds:schemaRefs>
</ds:datastoreItem>
</file>

<file path=customXml/itemProps2.xml><?xml version="1.0" encoding="utf-8"?>
<ds:datastoreItem xmlns:ds="http://schemas.openxmlformats.org/officeDocument/2006/customXml" ds:itemID="{B2949763-E566-4923-A825-979F1CFED341}"/>
</file>

<file path=customXml/itemProps3.xml><?xml version="1.0" encoding="utf-8"?>
<ds:datastoreItem xmlns:ds="http://schemas.openxmlformats.org/officeDocument/2006/customXml" ds:itemID="{C25D8C43-0506-47D4-A35D-DFA31D435EB1}"/>
</file>

<file path=customXml/itemProps4.xml><?xml version="1.0" encoding="utf-8"?>
<ds:datastoreItem xmlns:ds="http://schemas.openxmlformats.org/officeDocument/2006/customXml" ds:itemID="{63122549-1D26-4A8D-9A76-DFCA5AB8CCC5}"/>
</file>

<file path=docProps/app.xml><?xml version="1.0" encoding="utf-8"?>
<Properties xmlns="http://schemas.openxmlformats.org/officeDocument/2006/extended-properties" xmlns:vt="http://schemas.openxmlformats.org/officeDocument/2006/docPropsVTypes">
  <Template>Normal.dotm</Template>
  <TotalTime>0</TotalTime>
  <Pages>15</Pages>
  <Words>2809</Words>
  <Characters>16016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Gamal Mahmoud</dc:creator>
  <cp:lastModifiedBy>IHARA Sumiko</cp:lastModifiedBy>
  <cp:revision>2</cp:revision>
  <cp:lastPrinted>2020-03-10T01:37:00Z</cp:lastPrinted>
  <dcterms:created xsi:type="dcterms:W3CDTF">2020-03-10T10:07:00Z</dcterms:created>
  <dcterms:modified xsi:type="dcterms:W3CDTF">2020-03-10T10:07:00Z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