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5E2DA7" w:rsidP="005E2DA7">
            <w:pPr>
              <w:jc w:val="right"/>
            </w:pPr>
            <w:r w:rsidRPr="005E2DA7">
              <w:rPr>
                <w:sz w:val="40"/>
              </w:rPr>
              <w:t>A</w:t>
            </w:r>
            <w:r>
              <w:t>/HRC/43/8/Add.1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CF37D7"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5E2DA7" w:rsidP="005E2DA7">
            <w:pPr>
              <w:spacing w:before="240" w:line="240" w:lineRule="exact"/>
            </w:pPr>
            <w:r>
              <w:t>Distr.: General</w:t>
            </w:r>
          </w:p>
          <w:p w:rsidR="005E2DA7" w:rsidRDefault="005E2DA7" w:rsidP="005E2DA7">
            <w:pPr>
              <w:spacing w:line="240" w:lineRule="exact"/>
            </w:pPr>
            <w:r>
              <w:t>1</w:t>
            </w:r>
            <w:r w:rsidR="0065260F">
              <w:t>9</w:t>
            </w:r>
            <w:r>
              <w:t xml:space="preserve"> February 2020</w:t>
            </w:r>
          </w:p>
          <w:p w:rsidR="005E2DA7" w:rsidRDefault="005E2DA7" w:rsidP="005E2DA7">
            <w:pPr>
              <w:spacing w:line="240" w:lineRule="exact"/>
            </w:pPr>
          </w:p>
          <w:p w:rsidR="005E2DA7" w:rsidRDefault="005E2DA7" w:rsidP="005E2DA7">
            <w:pPr>
              <w:spacing w:line="240" w:lineRule="exact"/>
            </w:pPr>
            <w:r>
              <w:t>Original: English</w:t>
            </w:r>
          </w:p>
        </w:tc>
      </w:tr>
    </w:tbl>
    <w:p w:rsidR="005E2DA7" w:rsidRPr="006C7248" w:rsidRDefault="005E2DA7" w:rsidP="005E2DA7">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7216" behindDoc="0" locked="0" layoutInCell="1" allowOverlap="0" wp14:anchorId="2FA34F84" wp14:editId="272E47D5">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CEAB8" id="Rectangle 2" o:spid="_x0000_s1026" alt="Add" style="position:absolute;margin-left:432.25pt;margin-top:632.1pt;width:50.25pt;height:5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2ugIAAMM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GGBP7a6AgAAww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rsidR="005E2DA7" w:rsidRDefault="005E2DA7" w:rsidP="005E2DA7">
      <w:pPr>
        <w:rPr>
          <w:b/>
          <w:bCs/>
        </w:rPr>
      </w:pPr>
      <w:r>
        <w:rPr>
          <w:b/>
          <w:bCs/>
        </w:rPr>
        <w:t>Forty-third</w:t>
      </w:r>
      <w:r w:rsidRPr="006C7248">
        <w:rPr>
          <w:b/>
          <w:bCs/>
        </w:rPr>
        <w:t xml:space="preserve"> session</w:t>
      </w:r>
    </w:p>
    <w:p w:rsidR="005E2DA7" w:rsidRPr="00E8346E" w:rsidRDefault="005E2DA7" w:rsidP="005E2DA7">
      <w:pPr>
        <w:rPr>
          <w:bCs/>
        </w:rPr>
      </w:pPr>
      <w:r>
        <w:rPr>
          <w:bCs/>
        </w:rPr>
        <w:t>24 February–20 March 2020</w:t>
      </w:r>
    </w:p>
    <w:p w:rsidR="005E2DA7" w:rsidRPr="006C7248" w:rsidRDefault="005E2DA7" w:rsidP="005E2DA7">
      <w:r w:rsidRPr="006C7248">
        <w:t>Agenda item 6</w:t>
      </w:r>
    </w:p>
    <w:p w:rsidR="005E2DA7" w:rsidRPr="006C7248" w:rsidRDefault="005E2DA7" w:rsidP="005E2DA7">
      <w:pPr>
        <w:rPr>
          <w:b/>
        </w:rPr>
      </w:pPr>
      <w:r>
        <w:rPr>
          <w:b/>
        </w:rPr>
        <w:t>Universal periodic r</w:t>
      </w:r>
      <w:r w:rsidRPr="006C7248">
        <w:rPr>
          <w:b/>
        </w:rPr>
        <w:t>eview</w:t>
      </w:r>
    </w:p>
    <w:p w:rsidR="005E2DA7" w:rsidRPr="006C7248" w:rsidRDefault="005E2DA7" w:rsidP="005E2DA7">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585271">
        <w:footnoteReference w:customMarkFollows="1" w:id="2"/>
        <w:t>*</w:t>
      </w:r>
    </w:p>
    <w:p w:rsidR="005E2DA7" w:rsidRPr="006C7248" w:rsidRDefault="005E2DA7" w:rsidP="005E2DA7">
      <w:pPr>
        <w:keepNext/>
        <w:keepLines/>
        <w:tabs>
          <w:tab w:val="right" w:pos="851"/>
        </w:tabs>
        <w:spacing w:before="360" w:after="240" w:line="300" w:lineRule="exact"/>
        <w:ind w:left="1134" w:right="1134" w:hanging="1134"/>
        <w:rPr>
          <w:b/>
          <w:sz w:val="28"/>
        </w:rPr>
      </w:pPr>
      <w:r>
        <w:rPr>
          <w:b/>
          <w:sz w:val="28"/>
        </w:rPr>
        <w:tab/>
      </w:r>
      <w:r>
        <w:rPr>
          <w:b/>
          <w:sz w:val="28"/>
        </w:rPr>
        <w:tab/>
        <w:t>Fiji</w:t>
      </w:r>
    </w:p>
    <w:p w:rsidR="005E2DA7" w:rsidRPr="006C7248" w:rsidRDefault="005E2DA7" w:rsidP="005E2DA7">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5E2DA7" w:rsidRPr="006C7248" w:rsidRDefault="005E2DA7" w:rsidP="005E2DA7">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5E2DA7" w:rsidRPr="005E2DA7" w:rsidRDefault="005E2DA7" w:rsidP="005E2DA7">
      <w:pPr>
        <w:pStyle w:val="SingleTxtG"/>
      </w:pPr>
      <w:r w:rsidRPr="006C7248">
        <w:br w:type="page"/>
      </w:r>
      <w:r>
        <w:lastRenderedPageBreak/>
        <w:t>1.</w:t>
      </w:r>
      <w:r>
        <w:tab/>
      </w:r>
      <w:r w:rsidRPr="005E2DA7">
        <w:t>The Republic of Fiji (‘</w:t>
      </w:r>
      <w:r w:rsidRPr="005E2DA7">
        <w:rPr>
          <w:b/>
        </w:rPr>
        <w:t>Fiji</w:t>
      </w:r>
      <w:r w:rsidRPr="005E2DA7">
        <w:t>’) takes due note of the recommendations made in its third cycle review during the 34</w:t>
      </w:r>
      <w:r w:rsidRPr="005E2DA7">
        <w:rPr>
          <w:vertAlign w:val="superscript"/>
        </w:rPr>
        <w:t>th</w:t>
      </w:r>
      <w:r w:rsidRPr="005E2DA7">
        <w:t xml:space="preserve"> session of the Working Group in the Universal Periodic Review (‘</w:t>
      </w:r>
      <w:r w:rsidRPr="005E2DA7">
        <w:rPr>
          <w:b/>
        </w:rPr>
        <w:t>UPR</w:t>
      </w:r>
      <w:r w:rsidRPr="005E2DA7">
        <w:t>’), held on 6 November 2019</w:t>
      </w:r>
      <w:r>
        <w:t>.</w:t>
      </w:r>
    </w:p>
    <w:p w:rsidR="005E2DA7" w:rsidRPr="005E2DA7" w:rsidRDefault="005E2DA7" w:rsidP="005E2DA7">
      <w:pPr>
        <w:pStyle w:val="SingleTxtG"/>
      </w:pPr>
      <w:r>
        <w:t>2.</w:t>
      </w:r>
      <w:r>
        <w:tab/>
      </w:r>
      <w:r w:rsidRPr="005E2DA7">
        <w:t>In accordance with paragraphs 27 and 32 of the annex to the Human Rights Council resolution 5/1 and paragraph 16 of the annex to resolution 65/281, Fiji provides information in this addendum regarding its position on the recommendations made to it, specifically those in the section on ‘recommendations will be examined’ in paragraph 140. of the Draft Report of the Working Group on the UPR (‘</w:t>
      </w:r>
      <w:r w:rsidRPr="005E2DA7">
        <w:rPr>
          <w:b/>
        </w:rPr>
        <w:t>Draft Report</w:t>
      </w:r>
      <w:r w:rsidRPr="005E2DA7">
        <w:t>’) (see document A/HRC/WG.6/34/L.5, paragraphs 140. to 140.55).</w:t>
      </w:r>
    </w:p>
    <w:p w:rsidR="005E2DA7" w:rsidRPr="005E2DA7" w:rsidRDefault="005E2DA7" w:rsidP="005E2DA7">
      <w:pPr>
        <w:pStyle w:val="SingleTxtG"/>
      </w:pPr>
      <w:r>
        <w:t>3.</w:t>
      </w:r>
      <w:r>
        <w:tab/>
      </w:r>
      <w:r w:rsidRPr="005E2DA7">
        <w:t>On 8 November 2019, Fiji announced to the Working Group during the adoption of the Draft Report, the endorsement of 187 of the 242 recommendations made. Fiji also stated that it was pleased to see that the number of States participating in Fiji’s UPR had doubled since the second cycle review, that there was a greater number of recommendations on climate change and disaster responses, and human rights, and a greater number of questions on economic social and cultural rights than in either of the previous two cycles.</w:t>
      </w:r>
    </w:p>
    <w:p w:rsidR="005E2DA7" w:rsidRPr="005E2DA7" w:rsidRDefault="005E2DA7" w:rsidP="005E2DA7">
      <w:pPr>
        <w:pStyle w:val="SingleTxtG"/>
      </w:pPr>
      <w:r>
        <w:t>4.</w:t>
      </w:r>
      <w:r>
        <w:tab/>
      </w:r>
      <w:r w:rsidRPr="005E2DA7">
        <w:t>Lastly, Fiji stated that a reply would be provided at a later stage with regards to 55 of the recommendations that were left pending, as it was necessary to either consult with the relevant independent institutions, or refer them to the relevant government agencies for their input and advice.</w:t>
      </w:r>
    </w:p>
    <w:p w:rsidR="005E2DA7" w:rsidRDefault="005E2DA7" w:rsidP="005E2DA7">
      <w:pPr>
        <w:pStyle w:val="SingleTxtG"/>
      </w:pPr>
      <w:r>
        <w:t>5.</w:t>
      </w:r>
      <w:r>
        <w:tab/>
      </w:r>
      <w:r w:rsidRPr="005E2DA7">
        <w:t>This addendum provides Fiji’s position/responses to the 55 recommendations that were left pending. For the purposes of clarity, the recommendations are listed in the order in which they appear in the Draft Report (A/HRC/WG.6/34/L.5, paragraphs 140. to 140.55).</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8"/>
        <w:gridCol w:w="1280"/>
        <w:gridCol w:w="1207"/>
        <w:gridCol w:w="3670"/>
      </w:tblGrid>
      <w:tr w:rsidR="003D0498" w:rsidRPr="003D0498" w:rsidTr="00247713">
        <w:trPr>
          <w:tblHeader/>
        </w:trPr>
        <w:tc>
          <w:tcPr>
            <w:tcW w:w="2348" w:type="dxa"/>
            <w:tcBorders>
              <w:top w:val="single" w:sz="4" w:space="0" w:color="auto"/>
              <w:bottom w:val="single" w:sz="12" w:space="0" w:color="auto"/>
            </w:tcBorders>
            <w:shd w:val="clear" w:color="auto" w:fill="auto"/>
            <w:vAlign w:val="bottom"/>
          </w:tcPr>
          <w:p w:rsidR="003D0498" w:rsidRPr="003D0498" w:rsidRDefault="003D0498" w:rsidP="003D0498">
            <w:pPr>
              <w:spacing w:before="80" w:after="80" w:line="200" w:lineRule="exact"/>
              <w:ind w:right="113"/>
              <w:rPr>
                <w:i/>
                <w:sz w:val="16"/>
              </w:rPr>
            </w:pPr>
            <w:r w:rsidRPr="003D0498">
              <w:rPr>
                <w:i/>
                <w:sz w:val="16"/>
              </w:rPr>
              <w:t>Recommendation</w:t>
            </w:r>
          </w:p>
        </w:tc>
        <w:tc>
          <w:tcPr>
            <w:tcW w:w="2487" w:type="dxa"/>
            <w:gridSpan w:val="2"/>
            <w:tcBorders>
              <w:top w:val="single" w:sz="4" w:space="0" w:color="auto"/>
              <w:bottom w:val="single" w:sz="12" w:space="0" w:color="auto"/>
            </w:tcBorders>
            <w:shd w:val="clear" w:color="auto" w:fill="auto"/>
            <w:vAlign w:val="bottom"/>
          </w:tcPr>
          <w:p w:rsidR="003D0498" w:rsidRPr="003D0498" w:rsidRDefault="003D0498" w:rsidP="003D0498">
            <w:pPr>
              <w:spacing w:before="80" w:after="80" w:line="200" w:lineRule="exact"/>
              <w:ind w:right="113"/>
              <w:rPr>
                <w:i/>
                <w:sz w:val="16"/>
              </w:rPr>
            </w:pPr>
            <w:r w:rsidRPr="003D0498">
              <w:rPr>
                <w:i/>
                <w:sz w:val="16"/>
              </w:rPr>
              <w:t>Fiji’s position</w:t>
            </w:r>
          </w:p>
        </w:tc>
        <w:tc>
          <w:tcPr>
            <w:tcW w:w="3670" w:type="dxa"/>
            <w:tcBorders>
              <w:top w:val="single" w:sz="4" w:space="0" w:color="auto"/>
              <w:bottom w:val="single" w:sz="12" w:space="0" w:color="auto"/>
            </w:tcBorders>
            <w:shd w:val="clear" w:color="auto" w:fill="auto"/>
            <w:vAlign w:val="bottom"/>
          </w:tcPr>
          <w:p w:rsidR="003D0498" w:rsidRPr="003D0498" w:rsidRDefault="003D0498" w:rsidP="003D0498">
            <w:pPr>
              <w:spacing w:before="80" w:after="80" w:line="200" w:lineRule="exact"/>
              <w:ind w:right="113"/>
              <w:rPr>
                <w:i/>
                <w:sz w:val="16"/>
              </w:rPr>
            </w:pPr>
            <w:r w:rsidRPr="003D0498">
              <w:rPr>
                <w:i/>
                <w:sz w:val="16"/>
              </w:rPr>
              <w:t>Comments</w:t>
            </w:r>
          </w:p>
        </w:tc>
      </w:tr>
      <w:tr w:rsidR="003D0498" w:rsidRPr="003D0498" w:rsidTr="00247713">
        <w:trPr>
          <w:trHeight w:hRule="exact" w:val="113"/>
        </w:trPr>
        <w:tc>
          <w:tcPr>
            <w:tcW w:w="2348" w:type="dxa"/>
            <w:tcBorders>
              <w:top w:val="single" w:sz="12" w:space="0" w:color="auto"/>
            </w:tcBorders>
            <w:shd w:val="clear" w:color="auto" w:fill="auto"/>
          </w:tcPr>
          <w:p w:rsidR="003D0498" w:rsidRPr="003D0498" w:rsidRDefault="003D0498" w:rsidP="003D0498">
            <w:pPr>
              <w:spacing w:before="40" w:after="120"/>
              <w:ind w:right="113"/>
            </w:pPr>
          </w:p>
        </w:tc>
        <w:tc>
          <w:tcPr>
            <w:tcW w:w="2487" w:type="dxa"/>
            <w:gridSpan w:val="2"/>
            <w:tcBorders>
              <w:top w:val="single" w:sz="12" w:space="0" w:color="auto"/>
            </w:tcBorders>
            <w:shd w:val="clear" w:color="auto" w:fill="auto"/>
          </w:tcPr>
          <w:p w:rsidR="003D0498" w:rsidRPr="003D0498" w:rsidRDefault="003D0498" w:rsidP="003D0498">
            <w:pPr>
              <w:spacing w:before="40" w:after="120"/>
              <w:ind w:right="113"/>
            </w:pPr>
          </w:p>
        </w:tc>
        <w:tc>
          <w:tcPr>
            <w:tcW w:w="3670" w:type="dxa"/>
            <w:tcBorders>
              <w:top w:val="single" w:sz="12" w:space="0" w:color="auto"/>
            </w:tcBorders>
            <w:shd w:val="clear" w:color="auto" w:fill="auto"/>
          </w:tcPr>
          <w:p w:rsidR="003D0498" w:rsidRPr="003D0498" w:rsidRDefault="003D0498" w:rsidP="003D0498">
            <w:pPr>
              <w:spacing w:before="40" w:after="120"/>
              <w:ind w:right="113"/>
            </w:pPr>
          </w:p>
        </w:tc>
      </w:tr>
      <w:tr w:rsidR="003D0498" w:rsidRPr="003D0498" w:rsidTr="00247713">
        <w:tc>
          <w:tcPr>
            <w:tcW w:w="2348" w:type="dxa"/>
            <w:shd w:val="clear" w:color="auto" w:fill="auto"/>
          </w:tcPr>
          <w:p w:rsidR="003D0498" w:rsidRPr="003D0498" w:rsidRDefault="003D0498" w:rsidP="000E2AE7">
            <w:pPr>
              <w:spacing w:before="40" w:after="120"/>
              <w:ind w:right="113"/>
            </w:pPr>
            <w:r w:rsidRPr="003D0498">
              <w:t>140.1</w:t>
            </w:r>
            <w:r w:rsidR="000E2AE7">
              <w:rPr>
                <w:rStyle w:val="EndnoteReference"/>
              </w:rPr>
              <w:endnoteReference w:id="2"/>
            </w:r>
          </w:p>
        </w:tc>
        <w:tc>
          <w:tcPr>
            <w:tcW w:w="1280" w:type="dxa"/>
            <w:shd w:val="clear" w:color="auto" w:fill="auto"/>
          </w:tcPr>
          <w:p w:rsidR="003D0498" w:rsidRPr="003D0498" w:rsidRDefault="003D0498" w:rsidP="003D0498">
            <w:pPr>
              <w:spacing w:before="40" w:after="120"/>
              <w:ind w:right="113"/>
            </w:pPr>
            <w:r w:rsidRPr="003D0498">
              <w:t>Accepted</w:t>
            </w:r>
          </w:p>
        </w:tc>
        <w:tc>
          <w:tcPr>
            <w:tcW w:w="1207" w:type="dxa"/>
            <w:shd w:val="clear" w:color="auto" w:fill="auto"/>
          </w:tcPr>
          <w:p w:rsidR="003D0498" w:rsidRPr="003D0498" w:rsidRDefault="003D0498" w:rsidP="003D0498">
            <w:pPr>
              <w:spacing w:before="40" w:after="120"/>
              <w:ind w:right="113"/>
            </w:pPr>
          </w:p>
        </w:tc>
        <w:tc>
          <w:tcPr>
            <w:tcW w:w="3670" w:type="dxa"/>
            <w:shd w:val="clear" w:color="auto" w:fill="auto"/>
          </w:tcPr>
          <w:p w:rsidR="003D0498" w:rsidRPr="003D0498" w:rsidRDefault="003D0498" w:rsidP="003D0498">
            <w:pPr>
              <w:spacing w:before="40" w:after="120"/>
              <w:ind w:right="113"/>
            </w:pP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140.2</w:t>
            </w:r>
            <w:r w:rsidR="000E2AE7">
              <w:rPr>
                <w:rStyle w:val="EndnoteReference"/>
              </w:rPr>
              <w:endnoteReference w:id="3"/>
            </w:r>
          </w:p>
        </w:tc>
        <w:tc>
          <w:tcPr>
            <w:tcW w:w="1280" w:type="dxa"/>
            <w:shd w:val="clear" w:color="auto" w:fill="auto"/>
          </w:tcPr>
          <w:p w:rsidR="003D0498" w:rsidRPr="003D0498" w:rsidRDefault="003D0498" w:rsidP="003D0498">
            <w:pPr>
              <w:spacing w:before="40" w:after="120"/>
              <w:ind w:right="113"/>
            </w:pPr>
          </w:p>
        </w:tc>
        <w:tc>
          <w:tcPr>
            <w:tcW w:w="1207" w:type="dxa"/>
            <w:shd w:val="clear" w:color="auto" w:fill="auto"/>
          </w:tcPr>
          <w:p w:rsidR="003D0498" w:rsidRPr="003D0498" w:rsidRDefault="003D0498" w:rsidP="003D0498">
            <w:pPr>
              <w:spacing w:before="40" w:after="120"/>
              <w:ind w:right="113"/>
            </w:pPr>
            <w:r w:rsidRPr="003D0498">
              <w:t>Noted</w:t>
            </w:r>
          </w:p>
        </w:tc>
        <w:tc>
          <w:tcPr>
            <w:tcW w:w="3670" w:type="dxa"/>
            <w:shd w:val="clear" w:color="auto" w:fill="auto"/>
          </w:tcPr>
          <w:p w:rsidR="003D0498" w:rsidRPr="003D0498" w:rsidRDefault="003D0498" w:rsidP="003D0498">
            <w:pPr>
              <w:spacing w:before="40" w:after="120"/>
              <w:ind w:right="113"/>
            </w:pPr>
            <w:r w:rsidRPr="003D0498">
              <w:t>At the first UPR cycle in 2010 Fiji made a commitment to ratifying all core 9 human rights Conventions and Treaties by the year 2020.</w:t>
            </w:r>
          </w:p>
          <w:p w:rsidR="003D0498" w:rsidRPr="003D0498" w:rsidRDefault="003D0498" w:rsidP="008806F1">
            <w:pPr>
              <w:spacing w:before="40" w:after="120"/>
              <w:ind w:right="113"/>
            </w:pPr>
            <w:r w:rsidRPr="003D0498">
              <w:t xml:space="preserve">In 2019 Fiji met this commitment by ratifying the remaining 2 conventions namely, the International Convention on the Protection </w:t>
            </w:r>
            <w:r w:rsidR="008806F1">
              <w:t>o</w:t>
            </w:r>
            <w:r w:rsidRPr="003D0498">
              <w:t xml:space="preserve">f </w:t>
            </w:r>
            <w:r w:rsidR="008806F1">
              <w:t>t</w:t>
            </w:r>
            <w:r w:rsidRPr="003D0498">
              <w:t xml:space="preserve">he Rights </w:t>
            </w:r>
            <w:r w:rsidR="008806F1">
              <w:t>o</w:t>
            </w:r>
            <w:r w:rsidRPr="003D0498">
              <w:t xml:space="preserve">f All Migrant Workers </w:t>
            </w:r>
            <w:r w:rsidR="008806F1">
              <w:t>a</w:t>
            </w:r>
            <w:r w:rsidRPr="003D0498">
              <w:t xml:space="preserve">nd Members </w:t>
            </w:r>
            <w:r w:rsidR="008806F1">
              <w:t>o</w:t>
            </w:r>
            <w:r w:rsidRPr="003D0498">
              <w:t xml:space="preserve">f </w:t>
            </w:r>
            <w:r w:rsidR="008806F1">
              <w:t>t</w:t>
            </w:r>
            <w:r w:rsidRPr="003D0498">
              <w:t>heir Families; and the International Convention for the Protection of All Perso</w:t>
            </w:r>
            <w:r>
              <w:t>ns from Enforced Disappearance.</w:t>
            </w:r>
          </w:p>
          <w:p w:rsidR="003D0498" w:rsidRPr="003D0498" w:rsidRDefault="003D0498" w:rsidP="003D0498">
            <w:pPr>
              <w:spacing w:before="40" w:after="120"/>
              <w:ind w:right="113"/>
            </w:pPr>
            <w:r w:rsidRPr="003D0498">
              <w:t>Given the recent ratification of all core 9 human rights Conventions and Treaties, Fiji is committed to the national implementation of the same.</w:t>
            </w: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140.3</w:t>
            </w:r>
            <w:r w:rsidR="000E2AE7">
              <w:rPr>
                <w:rStyle w:val="EndnoteReference"/>
              </w:rPr>
              <w:endnoteReference w:id="4"/>
            </w:r>
          </w:p>
        </w:tc>
        <w:tc>
          <w:tcPr>
            <w:tcW w:w="1280" w:type="dxa"/>
            <w:shd w:val="clear" w:color="auto" w:fill="auto"/>
          </w:tcPr>
          <w:p w:rsidR="003D0498" w:rsidRPr="003D0498" w:rsidRDefault="003D0498" w:rsidP="003D0498">
            <w:pPr>
              <w:spacing w:before="40" w:after="120"/>
              <w:ind w:right="113"/>
            </w:pPr>
          </w:p>
        </w:tc>
        <w:tc>
          <w:tcPr>
            <w:tcW w:w="1207" w:type="dxa"/>
            <w:shd w:val="clear" w:color="auto" w:fill="auto"/>
          </w:tcPr>
          <w:p w:rsidR="003D0498" w:rsidRPr="003D0498" w:rsidRDefault="003D0498" w:rsidP="003D0498">
            <w:pPr>
              <w:spacing w:before="40" w:after="120"/>
              <w:ind w:right="113"/>
            </w:pPr>
            <w:r w:rsidRPr="003D0498">
              <w:t>Noted</w:t>
            </w:r>
          </w:p>
        </w:tc>
        <w:tc>
          <w:tcPr>
            <w:tcW w:w="3670" w:type="dxa"/>
            <w:shd w:val="clear" w:color="auto" w:fill="auto"/>
          </w:tcPr>
          <w:p w:rsidR="003D0498" w:rsidRPr="003D0498" w:rsidRDefault="003D0498" w:rsidP="003D0498">
            <w:pPr>
              <w:spacing w:before="40" w:after="120"/>
              <w:ind w:right="113"/>
              <w:rPr>
                <w:bCs/>
                <w:szCs w:val="24"/>
                <w:lang w:eastAsia="en-GB"/>
              </w:rPr>
            </w:pPr>
            <w:r w:rsidRPr="003D0498">
              <w:t>Fiji repeats its comments in</w:t>
            </w:r>
            <w:r>
              <w:t xml:space="preserve"> recommendation 140.2.</w:t>
            </w: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140.4</w:t>
            </w:r>
            <w:r w:rsidR="000E2AE7">
              <w:rPr>
                <w:rStyle w:val="EndnoteReference"/>
              </w:rPr>
              <w:endnoteReference w:id="5"/>
            </w:r>
          </w:p>
        </w:tc>
        <w:tc>
          <w:tcPr>
            <w:tcW w:w="1280" w:type="dxa"/>
            <w:shd w:val="clear" w:color="auto" w:fill="auto"/>
          </w:tcPr>
          <w:p w:rsidR="003D0498" w:rsidRPr="003D0498" w:rsidRDefault="003D0498" w:rsidP="003D0498">
            <w:pPr>
              <w:spacing w:before="40" w:after="120"/>
              <w:ind w:right="113"/>
            </w:pPr>
          </w:p>
        </w:tc>
        <w:tc>
          <w:tcPr>
            <w:tcW w:w="1207" w:type="dxa"/>
            <w:shd w:val="clear" w:color="auto" w:fill="auto"/>
          </w:tcPr>
          <w:p w:rsidR="003D0498" w:rsidRPr="003D0498" w:rsidRDefault="003D0498" w:rsidP="003D0498">
            <w:pPr>
              <w:spacing w:before="40" w:after="120"/>
              <w:ind w:right="113"/>
            </w:pPr>
            <w:r w:rsidRPr="003D0498">
              <w:t>Noted</w:t>
            </w:r>
          </w:p>
        </w:tc>
        <w:tc>
          <w:tcPr>
            <w:tcW w:w="3670" w:type="dxa"/>
            <w:shd w:val="clear" w:color="auto" w:fill="auto"/>
          </w:tcPr>
          <w:p w:rsidR="003D0498" w:rsidRPr="003D0498" w:rsidRDefault="003D0498" w:rsidP="003D0498">
            <w:pPr>
              <w:spacing w:before="40" w:after="120"/>
              <w:ind w:right="113"/>
            </w:pPr>
            <w:r w:rsidRPr="003D0498">
              <w:t xml:space="preserve">Fiji repeats its comments in </w:t>
            </w:r>
            <w:r>
              <w:t>recommendation 140.2.</w:t>
            </w: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140.5</w:t>
            </w:r>
            <w:r w:rsidR="000E2AE7">
              <w:rPr>
                <w:rStyle w:val="EndnoteReference"/>
              </w:rPr>
              <w:endnoteReference w:id="6"/>
            </w:r>
          </w:p>
        </w:tc>
        <w:tc>
          <w:tcPr>
            <w:tcW w:w="1280" w:type="dxa"/>
            <w:shd w:val="clear" w:color="auto" w:fill="auto"/>
          </w:tcPr>
          <w:p w:rsidR="003D0498" w:rsidRPr="003D0498" w:rsidRDefault="003D0498" w:rsidP="003D0498">
            <w:pPr>
              <w:spacing w:before="40" w:after="120"/>
              <w:ind w:right="113"/>
            </w:pPr>
            <w:r>
              <w:t>Accepted</w:t>
            </w:r>
          </w:p>
        </w:tc>
        <w:tc>
          <w:tcPr>
            <w:tcW w:w="1207" w:type="dxa"/>
            <w:shd w:val="clear" w:color="auto" w:fill="auto"/>
          </w:tcPr>
          <w:p w:rsidR="003D0498" w:rsidRPr="003D0498" w:rsidRDefault="003D0498" w:rsidP="003D0498">
            <w:pPr>
              <w:spacing w:before="40" w:after="120"/>
              <w:ind w:right="113"/>
            </w:pPr>
          </w:p>
        </w:tc>
        <w:tc>
          <w:tcPr>
            <w:tcW w:w="3670" w:type="dxa"/>
            <w:shd w:val="clear" w:color="auto" w:fill="auto"/>
          </w:tcPr>
          <w:p w:rsidR="003D0498" w:rsidRPr="003D0498" w:rsidRDefault="003D0498" w:rsidP="003D0498">
            <w:pPr>
              <w:spacing w:before="40" w:after="120"/>
              <w:ind w:right="113"/>
            </w:pP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140.6</w:t>
            </w:r>
            <w:r w:rsidR="000E2AE7">
              <w:rPr>
                <w:rStyle w:val="EndnoteReference"/>
              </w:rPr>
              <w:endnoteReference w:id="7"/>
            </w:r>
          </w:p>
        </w:tc>
        <w:tc>
          <w:tcPr>
            <w:tcW w:w="1280" w:type="dxa"/>
            <w:shd w:val="clear" w:color="auto" w:fill="auto"/>
          </w:tcPr>
          <w:p w:rsidR="003D0498" w:rsidRPr="003D0498" w:rsidRDefault="003D0498" w:rsidP="003D0498">
            <w:pPr>
              <w:spacing w:before="40" w:after="120"/>
              <w:ind w:right="113"/>
            </w:pPr>
          </w:p>
        </w:tc>
        <w:tc>
          <w:tcPr>
            <w:tcW w:w="1207" w:type="dxa"/>
            <w:shd w:val="clear" w:color="auto" w:fill="auto"/>
          </w:tcPr>
          <w:p w:rsidR="003D0498" w:rsidRPr="003D0498" w:rsidRDefault="003D0498" w:rsidP="003D0498">
            <w:pPr>
              <w:spacing w:before="40" w:after="120"/>
              <w:ind w:right="113"/>
            </w:pPr>
            <w:r w:rsidRPr="003D0498">
              <w:t>Noted</w:t>
            </w:r>
          </w:p>
        </w:tc>
        <w:tc>
          <w:tcPr>
            <w:tcW w:w="3670" w:type="dxa"/>
            <w:shd w:val="clear" w:color="auto" w:fill="auto"/>
          </w:tcPr>
          <w:p w:rsidR="003D0498" w:rsidRPr="003D0498" w:rsidRDefault="003D0498" w:rsidP="003D0498">
            <w:pPr>
              <w:spacing w:before="40" w:after="120"/>
              <w:ind w:right="113"/>
            </w:pPr>
            <w:r w:rsidRPr="003D0498">
              <w:t>Fiji repeats its c</w:t>
            </w:r>
            <w:r>
              <w:t>omments in recommendation 140.2</w:t>
            </w: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140.7</w:t>
            </w:r>
            <w:r w:rsidR="000E2AE7">
              <w:rPr>
                <w:rStyle w:val="EndnoteReference"/>
              </w:rPr>
              <w:endnoteReference w:id="8"/>
            </w:r>
          </w:p>
        </w:tc>
        <w:tc>
          <w:tcPr>
            <w:tcW w:w="1280" w:type="dxa"/>
            <w:shd w:val="clear" w:color="auto" w:fill="auto"/>
          </w:tcPr>
          <w:p w:rsidR="003D0498" w:rsidRPr="003D0498" w:rsidRDefault="003D0498" w:rsidP="003D0498">
            <w:pPr>
              <w:spacing w:before="40" w:after="120"/>
              <w:ind w:right="113"/>
            </w:pPr>
          </w:p>
        </w:tc>
        <w:tc>
          <w:tcPr>
            <w:tcW w:w="1207" w:type="dxa"/>
            <w:shd w:val="clear" w:color="auto" w:fill="auto"/>
          </w:tcPr>
          <w:p w:rsidR="003D0498" w:rsidRPr="003D0498" w:rsidRDefault="003D0498" w:rsidP="003D0498">
            <w:pPr>
              <w:spacing w:before="40" w:after="120"/>
              <w:ind w:right="113"/>
            </w:pPr>
            <w:r w:rsidRPr="003D0498">
              <w:t>Noted</w:t>
            </w:r>
          </w:p>
        </w:tc>
        <w:tc>
          <w:tcPr>
            <w:tcW w:w="3670" w:type="dxa"/>
            <w:shd w:val="clear" w:color="auto" w:fill="auto"/>
          </w:tcPr>
          <w:p w:rsidR="003D0498" w:rsidRPr="003D0498" w:rsidRDefault="003D0498" w:rsidP="003D0498">
            <w:pPr>
              <w:spacing w:before="40" w:after="120"/>
              <w:ind w:right="113"/>
            </w:pPr>
            <w:r w:rsidRPr="003D0498">
              <w:t>Fiji repeats its c</w:t>
            </w:r>
            <w:r>
              <w:t xml:space="preserve">omments in </w:t>
            </w:r>
            <w:r>
              <w:lastRenderedPageBreak/>
              <w:t>recommendation 140.2</w:t>
            </w: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lastRenderedPageBreak/>
              <w:t>140.8</w:t>
            </w:r>
            <w:r w:rsidR="000E2AE7">
              <w:rPr>
                <w:rStyle w:val="EndnoteReference"/>
              </w:rPr>
              <w:endnoteReference w:id="9"/>
            </w:r>
          </w:p>
        </w:tc>
        <w:tc>
          <w:tcPr>
            <w:tcW w:w="1280" w:type="dxa"/>
            <w:shd w:val="clear" w:color="auto" w:fill="auto"/>
          </w:tcPr>
          <w:p w:rsidR="003D0498" w:rsidRPr="003D0498" w:rsidRDefault="003D0498" w:rsidP="003D0498">
            <w:pPr>
              <w:spacing w:before="40" w:after="120"/>
              <w:ind w:right="113"/>
            </w:pPr>
          </w:p>
        </w:tc>
        <w:tc>
          <w:tcPr>
            <w:tcW w:w="1207" w:type="dxa"/>
            <w:shd w:val="clear" w:color="auto" w:fill="auto"/>
          </w:tcPr>
          <w:p w:rsidR="003D0498" w:rsidRPr="003D0498" w:rsidRDefault="003D0498" w:rsidP="003D0498">
            <w:pPr>
              <w:spacing w:before="40" w:after="120"/>
              <w:ind w:right="113"/>
            </w:pPr>
            <w:r>
              <w:t>Noted</w:t>
            </w:r>
          </w:p>
        </w:tc>
        <w:tc>
          <w:tcPr>
            <w:tcW w:w="3670" w:type="dxa"/>
            <w:shd w:val="clear" w:color="auto" w:fill="auto"/>
          </w:tcPr>
          <w:p w:rsidR="003D0498" w:rsidRPr="003D0498" w:rsidRDefault="003D0498" w:rsidP="003D0498">
            <w:pPr>
              <w:spacing w:before="40" w:after="120"/>
              <w:ind w:right="113"/>
            </w:pPr>
            <w:r w:rsidRPr="003D0498">
              <w:t>Following Fiji’s UPR in November 2019, Fiji withdrew its reservation on Article 1 of UNCAT on 28 January 2020.</w:t>
            </w:r>
          </w:p>
          <w:p w:rsidR="003D0498" w:rsidRPr="003D0498" w:rsidRDefault="003D0498" w:rsidP="003D0498">
            <w:pPr>
              <w:spacing w:before="40" w:after="120"/>
              <w:ind w:right="113"/>
            </w:pPr>
            <w:r w:rsidRPr="003D0498">
              <w:t>Fiji repeats its comments in recommendation 140.2 with respect to Fiji’s position on the ratification of the UNCAT Optional Protocol.</w:t>
            </w: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140.9</w:t>
            </w:r>
            <w:r w:rsidR="000E2AE7">
              <w:rPr>
                <w:rStyle w:val="EndnoteReference"/>
              </w:rPr>
              <w:endnoteReference w:id="10"/>
            </w:r>
          </w:p>
        </w:tc>
        <w:tc>
          <w:tcPr>
            <w:tcW w:w="1280" w:type="dxa"/>
            <w:shd w:val="clear" w:color="auto" w:fill="auto"/>
          </w:tcPr>
          <w:p w:rsidR="003D0498" w:rsidRPr="003D0498" w:rsidRDefault="003D0498" w:rsidP="003D0498">
            <w:pPr>
              <w:spacing w:before="40" w:after="120"/>
              <w:ind w:right="113"/>
            </w:pPr>
            <w:r>
              <w:t>Accepted</w:t>
            </w:r>
          </w:p>
        </w:tc>
        <w:tc>
          <w:tcPr>
            <w:tcW w:w="1207" w:type="dxa"/>
            <w:shd w:val="clear" w:color="auto" w:fill="auto"/>
          </w:tcPr>
          <w:p w:rsidR="003D0498" w:rsidRPr="003D0498" w:rsidRDefault="003D0498" w:rsidP="003D0498">
            <w:pPr>
              <w:spacing w:before="40" w:after="120"/>
              <w:ind w:right="113"/>
            </w:pPr>
          </w:p>
        </w:tc>
        <w:tc>
          <w:tcPr>
            <w:tcW w:w="3670" w:type="dxa"/>
            <w:shd w:val="clear" w:color="auto" w:fill="auto"/>
          </w:tcPr>
          <w:p w:rsidR="003D0498" w:rsidRPr="003D0498" w:rsidRDefault="003D0498" w:rsidP="003D0498">
            <w:pPr>
              <w:spacing w:before="40" w:after="120"/>
              <w:ind w:right="113"/>
            </w:pP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140.10</w:t>
            </w:r>
            <w:r w:rsidR="000E2AE7">
              <w:rPr>
                <w:rStyle w:val="EndnoteReference"/>
              </w:rPr>
              <w:endnoteReference w:id="11"/>
            </w:r>
          </w:p>
        </w:tc>
        <w:tc>
          <w:tcPr>
            <w:tcW w:w="1280" w:type="dxa"/>
            <w:shd w:val="clear" w:color="auto" w:fill="auto"/>
          </w:tcPr>
          <w:p w:rsidR="003D0498" w:rsidRPr="003D0498" w:rsidRDefault="003D0498" w:rsidP="003D0498">
            <w:pPr>
              <w:spacing w:before="40" w:after="120"/>
              <w:ind w:right="113"/>
            </w:pPr>
            <w:r>
              <w:t>Accepted</w:t>
            </w:r>
          </w:p>
        </w:tc>
        <w:tc>
          <w:tcPr>
            <w:tcW w:w="1207" w:type="dxa"/>
            <w:shd w:val="clear" w:color="auto" w:fill="auto"/>
          </w:tcPr>
          <w:p w:rsidR="003D0498" w:rsidRPr="003D0498" w:rsidRDefault="003D0498" w:rsidP="003D0498">
            <w:pPr>
              <w:spacing w:before="40" w:after="120"/>
              <w:ind w:right="113"/>
            </w:pPr>
          </w:p>
        </w:tc>
        <w:tc>
          <w:tcPr>
            <w:tcW w:w="3670" w:type="dxa"/>
            <w:shd w:val="clear" w:color="auto" w:fill="auto"/>
          </w:tcPr>
          <w:p w:rsidR="003D0498" w:rsidRPr="003D0498" w:rsidRDefault="003D0498" w:rsidP="003D0498">
            <w:pPr>
              <w:spacing w:before="40" w:after="120"/>
              <w:ind w:right="113"/>
            </w:pP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140.11</w:t>
            </w:r>
            <w:r w:rsidR="000E2AE7">
              <w:rPr>
                <w:rStyle w:val="EndnoteReference"/>
              </w:rPr>
              <w:endnoteReference w:id="12"/>
            </w:r>
          </w:p>
        </w:tc>
        <w:tc>
          <w:tcPr>
            <w:tcW w:w="1280" w:type="dxa"/>
            <w:shd w:val="clear" w:color="auto" w:fill="auto"/>
          </w:tcPr>
          <w:p w:rsidR="003D0498" w:rsidRPr="003D0498" w:rsidRDefault="003D0498" w:rsidP="003D0498">
            <w:pPr>
              <w:spacing w:before="40" w:after="120"/>
              <w:ind w:right="113"/>
            </w:pPr>
          </w:p>
        </w:tc>
        <w:tc>
          <w:tcPr>
            <w:tcW w:w="1207" w:type="dxa"/>
            <w:shd w:val="clear" w:color="auto" w:fill="auto"/>
          </w:tcPr>
          <w:p w:rsidR="003D0498" w:rsidRPr="003D0498" w:rsidRDefault="003D0498" w:rsidP="003D0498">
            <w:pPr>
              <w:spacing w:before="40" w:after="120"/>
              <w:ind w:right="113"/>
            </w:pPr>
            <w:r>
              <w:t>Noted</w:t>
            </w:r>
          </w:p>
        </w:tc>
        <w:tc>
          <w:tcPr>
            <w:tcW w:w="3670" w:type="dxa"/>
            <w:shd w:val="clear" w:color="auto" w:fill="auto"/>
          </w:tcPr>
          <w:p w:rsidR="003D0498" w:rsidRPr="003D0498" w:rsidRDefault="003D0498" w:rsidP="003D0498">
            <w:pPr>
              <w:spacing w:before="40" w:after="120"/>
              <w:ind w:right="113"/>
            </w:pPr>
            <w:r w:rsidRPr="003D0498">
              <w:t>Fiji withdrew its reservation on Article 1 of UNCAT on 28 January 2020 and will consider removing the remaining reservations in future.</w:t>
            </w: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140.12</w:t>
            </w:r>
            <w:r w:rsidR="000E2AE7">
              <w:rPr>
                <w:rStyle w:val="EndnoteReference"/>
              </w:rPr>
              <w:endnoteReference w:id="13"/>
            </w:r>
          </w:p>
        </w:tc>
        <w:tc>
          <w:tcPr>
            <w:tcW w:w="1280" w:type="dxa"/>
            <w:shd w:val="clear" w:color="auto" w:fill="auto"/>
          </w:tcPr>
          <w:p w:rsidR="003D0498" w:rsidRPr="003D0498" w:rsidRDefault="003D0498" w:rsidP="003D0498">
            <w:pPr>
              <w:spacing w:before="40" w:after="120"/>
              <w:ind w:right="113"/>
            </w:pPr>
            <w:r>
              <w:t>Accepted</w:t>
            </w:r>
          </w:p>
        </w:tc>
        <w:tc>
          <w:tcPr>
            <w:tcW w:w="1207" w:type="dxa"/>
            <w:shd w:val="clear" w:color="auto" w:fill="auto"/>
          </w:tcPr>
          <w:p w:rsidR="003D0498" w:rsidRPr="003D0498" w:rsidRDefault="003D0498" w:rsidP="003D0498">
            <w:pPr>
              <w:spacing w:before="40" w:after="120"/>
              <w:ind w:right="113"/>
            </w:pPr>
            <w:r w:rsidRPr="003D0498">
              <w:t xml:space="preserve"> </w:t>
            </w:r>
          </w:p>
        </w:tc>
        <w:tc>
          <w:tcPr>
            <w:tcW w:w="3670" w:type="dxa"/>
            <w:shd w:val="clear" w:color="auto" w:fill="auto"/>
          </w:tcPr>
          <w:p w:rsidR="003D0498" w:rsidRPr="003D0498" w:rsidRDefault="003D0498" w:rsidP="003D0498">
            <w:pPr>
              <w:spacing w:before="40" w:after="120"/>
              <w:ind w:right="113"/>
            </w:pPr>
            <w:r w:rsidRPr="003D0498">
              <w:t>Fiji repeats its comments in recommendation 140.11</w:t>
            </w:r>
            <w:r>
              <w:t>.</w:t>
            </w: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140.13</w:t>
            </w:r>
            <w:r w:rsidR="000E2AE7">
              <w:rPr>
                <w:rStyle w:val="EndnoteReference"/>
              </w:rPr>
              <w:endnoteReference w:id="14"/>
            </w:r>
          </w:p>
        </w:tc>
        <w:tc>
          <w:tcPr>
            <w:tcW w:w="1280" w:type="dxa"/>
            <w:shd w:val="clear" w:color="auto" w:fill="auto"/>
          </w:tcPr>
          <w:p w:rsidR="003D0498" w:rsidRPr="003D0498" w:rsidRDefault="003D0498" w:rsidP="003D0498">
            <w:pPr>
              <w:spacing w:before="40" w:after="120"/>
              <w:ind w:right="113"/>
            </w:pPr>
          </w:p>
        </w:tc>
        <w:tc>
          <w:tcPr>
            <w:tcW w:w="1207" w:type="dxa"/>
            <w:shd w:val="clear" w:color="auto" w:fill="auto"/>
          </w:tcPr>
          <w:p w:rsidR="003D0498" w:rsidRPr="003D0498" w:rsidRDefault="003D0498" w:rsidP="003D0498">
            <w:pPr>
              <w:spacing w:before="40" w:after="120"/>
              <w:ind w:right="113"/>
            </w:pPr>
            <w:r>
              <w:t>Noted</w:t>
            </w:r>
          </w:p>
        </w:tc>
        <w:tc>
          <w:tcPr>
            <w:tcW w:w="3670" w:type="dxa"/>
            <w:shd w:val="clear" w:color="auto" w:fill="auto"/>
          </w:tcPr>
          <w:p w:rsidR="003D0498" w:rsidRPr="003D0498" w:rsidRDefault="003D0498" w:rsidP="003D0498">
            <w:pPr>
              <w:spacing w:before="40" w:after="120"/>
              <w:ind w:right="113"/>
            </w:pPr>
            <w:r w:rsidRPr="003D0498">
              <w:t>Fiji repeats its comments in recommendation 140.11</w:t>
            </w:r>
            <w:r>
              <w:t>.</w:t>
            </w: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140.14</w:t>
            </w:r>
            <w:r w:rsidR="000E2AE7">
              <w:rPr>
                <w:rStyle w:val="EndnoteReference"/>
              </w:rPr>
              <w:endnoteReference w:id="15"/>
            </w:r>
          </w:p>
        </w:tc>
        <w:tc>
          <w:tcPr>
            <w:tcW w:w="1280" w:type="dxa"/>
            <w:shd w:val="clear" w:color="auto" w:fill="auto"/>
          </w:tcPr>
          <w:p w:rsidR="003D0498" w:rsidRPr="003D0498" w:rsidRDefault="003D0498" w:rsidP="003D0498">
            <w:pPr>
              <w:spacing w:before="40" w:after="120"/>
              <w:ind w:right="113"/>
            </w:pPr>
          </w:p>
        </w:tc>
        <w:tc>
          <w:tcPr>
            <w:tcW w:w="1207" w:type="dxa"/>
            <w:shd w:val="clear" w:color="auto" w:fill="auto"/>
          </w:tcPr>
          <w:p w:rsidR="003D0498" w:rsidRPr="003D0498" w:rsidRDefault="003D0498" w:rsidP="003D0498">
            <w:pPr>
              <w:spacing w:before="40" w:after="120"/>
              <w:ind w:right="113"/>
            </w:pPr>
            <w:r>
              <w:t>Noted</w:t>
            </w:r>
          </w:p>
        </w:tc>
        <w:tc>
          <w:tcPr>
            <w:tcW w:w="3670" w:type="dxa"/>
            <w:shd w:val="clear" w:color="auto" w:fill="auto"/>
          </w:tcPr>
          <w:p w:rsidR="003D0498" w:rsidRPr="003D0498" w:rsidRDefault="003D0498" w:rsidP="003D0498">
            <w:pPr>
              <w:spacing w:before="40" w:after="120"/>
              <w:ind w:right="113"/>
            </w:pPr>
            <w:r w:rsidRPr="003D0498">
              <w:t>Fiji repeats its comments in recommendation 140.11</w:t>
            </w:r>
            <w:r>
              <w:t>.</w:t>
            </w: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140.15</w:t>
            </w:r>
            <w:r w:rsidR="000E2AE7">
              <w:rPr>
                <w:rStyle w:val="EndnoteReference"/>
              </w:rPr>
              <w:endnoteReference w:id="16"/>
            </w:r>
          </w:p>
        </w:tc>
        <w:tc>
          <w:tcPr>
            <w:tcW w:w="1280" w:type="dxa"/>
            <w:shd w:val="clear" w:color="auto" w:fill="auto"/>
          </w:tcPr>
          <w:p w:rsidR="003D0498" w:rsidRPr="003D0498" w:rsidRDefault="003D0498" w:rsidP="003D0498">
            <w:pPr>
              <w:spacing w:before="40" w:after="120"/>
              <w:ind w:right="113"/>
            </w:pPr>
          </w:p>
        </w:tc>
        <w:tc>
          <w:tcPr>
            <w:tcW w:w="1207" w:type="dxa"/>
            <w:shd w:val="clear" w:color="auto" w:fill="auto"/>
          </w:tcPr>
          <w:p w:rsidR="003D0498" w:rsidRPr="003D0498" w:rsidRDefault="003D0498" w:rsidP="003D0498">
            <w:pPr>
              <w:spacing w:before="40" w:after="120"/>
              <w:ind w:right="113"/>
            </w:pPr>
            <w:r>
              <w:t>Noted</w:t>
            </w:r>
          </w:p>
        </w:tc>
        <w:tc>
          <w:tcPr>
            <w:tcW w:w="3670" w:type="dxa"/>
            <w:shd w:val="clear" w:color="auto" w:fill="auto"/>
          </w:tcPr>
          <w:p w:rsidR="003D0498" w:rsidRPr="003D0498" w:rsidRDefault="003D0498" w:rsidP="003D0498">
            <w:pPr>
              <w:spacing w:before="40" w:after="120"/>
              <w:ind w:right="113"/>
            </w:pPr>
            <w:r w:rsidRPr="003D0498">
              <w:t>Fiji repeats its comments in recommendation 140.11</w:t>
            </w:r>
            <w:r>
              <w:t>.</w:t>
            </w: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140.16</w:t>
            </w:r>
            <w:r w:rsidR="000E2AE7">
              <w:rPr>
                <w:rStyle w:val="EndnoteReference"/>
              </w:rPr>
              <w:endnoteReference w:id="17"/>
            </w:r>
          </w:p>
        </w:tc>
        <w:tc>
          <w:tcPr>
            <w:tcW w:w="1280" w:type="dxa"/>
            <w:shd w:val="clear" w:color="auto" w:fill="auto"/>
          </w:tcPr>
          <w:p w:rsidR="003D0498" w:rsidRPr="003D0498" w:rsidRDefault="003D0498" w:rsidP="003D0498">
            <w:pPr>
              <w:spacing w:before="40" w:after="120"/>
              <w:ind w:right="113"/>
            </w:pPr>
          </w:p>
        </w:tc>
        <w:tc>
          <w:tcPr>
            <w:tcW w:w="1207" w:type="dxa"/>
            <w:shd w:val="clear" w:color="auto" w:fill="auto"/>
          </w:tcPr>
          <w:p w:rsidR="003D0498" w:rsidRPr="003D0498" w:rsidRDefault="003D0498" w:rsidP="003D0498">
            <w:pPr>
              <w:spacing w:before="40" w:after="120"/>
              <w:ind w:right="113"/>
            </w:pPr>
            <w:r w:rsidRPr="003D0498">
              <w:t xml:space="preserve">Noted </w:t>
            </w:r>
          </w:p>
        </w:tc>
        <w:tc>
          <w:tcPr>
            <w:tcW w:w="3670" w:type="dxa"/>
            <w:shd w:val="clear" w:color="auto" w:fill="auto"/>
          </w:tcPr>
          <w:p w:rsidR="003D0498" w:rsidRPr="003D0498" w:rsidRDefault="003D0498" w:rsidP="003D0498">
            <w:pPr>
              <w:spacing w:before="40" w:after="120"/>
              <w:ind w:right="113"/>
            </w:pPr>
            <w:r w:rsidRPr="003D0498">
              <w:t>Fiji repeats its comments with respect to recommendation 140.11</w:t>
            </w:r>
            <w:r>
              <w:t>.</w:t>
            </w: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140.17</w:t>
            </w:r>
            <w:r w:rsidR="000E2AE7">
              <w:rPr>
                <w:rStyle w:val="EndnoteReference"/>
              </w:rPr>
              <w:endnoteReference w:id="18"/>
            </w:r>
          </w:p>
        </w:tc>
        <w:tc>
          <w:tcPr>
            <w:tcW w:w="1280" w:type="dxa"/>
            <w:shd w:val="clear" w:color="auto" w:fill="auto"/>
          </w:tcPr>
          <w:p w:rsidR="003D0498" w:rsidRPr="003D0498" w:rsidRDefault="003D0498" w:rsidP="003D0498">
            <w:pPr>
              <w:spacing w:before="40" w:after="120"/>
              <w:ind w:right="113"/>
            </w:pPr>
            <w:r w:rsidRPr="003D0498">
              <w:t>Accepted</w:t>
            </w:r>
          </w:p>
        </w:tc>
        <w:tc>
          <w:tcPr>
            <w:tcW w:w="1207" w:type="dxa"/>
            <w:shd w:val="clear" w:color="auto" w:fill="auto"/>
          </w:tcPr>
          <w:p w:rsidR="003D0498" w:rsidRPr="003D0498" w:rsidRDefault="003D0498" w:rsidP="003D0498">
            <w:pPr>
              <w:spacing w:before="40" w:after="120"/>
              <w:ind w:right="113"/>
            </w:pPr>
          </w:p>
        </w:tc>
        <w:tc>
          <w:tcPr>
            <w:tcW w:w="3670" w:type="dxa"/>
            <w:shd w:val="clear" w:color="auto" w:fill="auto"/>
          </w:tcPr>
          <w:p w:rsidR="003D0498" w:rsidRPr="003D0498" w:rsidRDefault="003D0498" w:rsidP="003D0498">
            <w:pPr>
              <w:spacing w:before="40" w:after="120"/>
              <w:ind w:right="113"/>
            </w:pP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140.18</w:t>
            </w:r>
            <w:r w:rsidR="000E2AE7">
              <w:rPr>
                <w:rStyle w:val="EndnoteReference"/>
              </w:rPr>
              <w:endnoteReference w:id="19"/>
            </w:r>
          </w:p>
        </w:tc>
        <w:tc>
          <w:tcPr>
            <w:tcW w:w="1280" w:type="dxa"/>
            <w:shd w:val="clear" w:color="auto" w:fill="auto"/>
          </w:tcPr>
          <w:p w:rsidR="003D0498" w:rsidRPr="003D0498" w:rsidRDefault="003D0498" w:rsidP="003D0498">
            <w:pPr>
              <w:spacing w:before="40" w:after="120"/>
              <w:ind w:right="113"/>
            </w:pPr>
            <w:r>
              <w:t>Accepted</w:t>
            </w:r>
          </w:p>
        </w:tc>
        <w:tc>
          <w:tcPr>
            <w:tcW w:w="1207" w:type="dxa"/>
            <w:shd w:val="clear" w:color="auto" w:fill="auto"/>
          </w:tcPr>
          <w:p w:rsidR="003D0498" w:rsidRPr="003D0498" w:rsidRDefault="003D0498" w:rsidP="003D0498">
            <w:pPr>
              <w:spacing w:before="40" w:after="120"/>
              <w:ind w:right="113"/>
            </w:pPr>
          </w:p>
        </w:tc>
        <w:tc>
          <w:tcPr>
            <w:tcW w:w="3670" w:type="dxa"/>
            <w:shd w:val="clear" w:color="auto" w:fill="auto"/>
          </w:tcPr>
          <w:p w:rsidR="003D0498" w:rsidRPr="003D0498" w:rsidRDefault="003D0498" w:rsidP="003D0498">
            <w:pPr>
              <w:spacing w:before="40" w:after="120"/>
              <w:ind w:right="113"/>
            </w:pP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140.19</w:t>
            </w:r>
            <w:r w:rsidR="000E2AE7">
              <w:rPr>
                <w:rStyle w:val="EndnoteReference"/>
              </w:rPr>
              <w:endnoteReference w:id="20"/>
            </w:r>
          </w:p>
        </w:tc>
        <w:tc>
          <w:tcPr>
            <w:tcW w:w="1280" w:type="dxa"/>
            <w:shd w:val="clear" w:color="auto" w:fill="auto"/>
          </w:tcPr>
          <w:p w:rsidR="003D0498" w:rsidRPr="003D0498" w:rsidRDefault="003D0498" w:rsidP="003D0498">
            <w:pPr>
              <w:spacing w:before="40" w:after="120"/>
              <w:ind w:right="113"/>
            </w:pPr>
            <w:r>
              <w:t>Accepted</w:t>
            </w:r>
          </w:p>
        </w:tc>
        <w:tc>
          <w:tcPr>
            <w:tcW w:w="1207" w:type="dxa"/>
            <w:shd w:val="clear" w:color="auto" w:fill="auto"/>
          </w:tcPr>
          <w:p w:rsidR="003D0498" w:rsidRPr="003D0498" w:rsidRDefault="003D0498" w:rsidP="003D0498">
            <w:pPr>
              <w:spacing w:before="40" w:after="120"/>
              <w:ind w:right="113"/>
            </w:pPr>
          </w:p>
        </w:tc>
        <w:tc>
          <w:tcPr>
            <w:tcW w:w="3670" w:type="dxa"/>
            <w:shd w:val="clear" w:color="auto" w:fill="auto"/>
          </w:tcPr>
          <w:p w:rsidR="003D0498" w:rsidRPr="003D0498" w:rsidRDefault="003D0498" w:rsidP="003D0498">
            <w:pPr>
              <w:spacing w:before="40" w:after="120"/>
              <w:ind w:right="113"/>
            </w:pP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140.20</w:t>
            </w:r>
            <w:r w:rsidR="000E2AE7">
              <w:rPr>
                <w:rStyle w:val="EndnoteReference"/>
              </w:rPr>
              <w:endnoteReference w:id="21"/>
            </w:r>
          </w:p>
        </w:tc>
        <w:tc>
          <w:tcPr>
            <w:tcW w:w="1280" w:type="dxa"/>
            <w:shd w:val="clear" w:color="auto" w:fill="auto"/>
          </w:tcPr>
          <w:p w:rsidR="003D0498" w:rsidRPr="003D0498" w:rsidRDefault="003D0498" w:rsidP="003D0498">
            <w:pPr>
              <w:spacing w:before="40" w:after="120"/>
              <w:ind w:right="113"/>
            </w:pPr>
            <w:r>
              <w:t>Accepted</w:t>
            </w:r>
          </w:p>
        </w:tc>
        <w:tc>
          <w:tcPr>
            <w:tcW w:w="1207" w:type="dxa"/>
            <w:shd w:val="clear" w:color="auto" w:fill="auto"/>
          </w:tcPr>
          <w:p w:rsidR="003D0498" w:rsidRPr="003D0498" w:rsidRDefault="003D0498" w:rsidP="003D0498">
            <w:pPr>
              <w:spacing w:before="40" w:after="120"/>
              <w:ind w:right="113"/>
            </w:pPr>
          </w:p>
        </w:tc>
        <w:tc>
          <w:tcPr>
            <w:tcW w:w="3670" w:type="dxa"/>
            <w:shd w:val="clear" w:color="auto" w:fill="auto"/>
          </w:tcPr>
          <w:p w:rsidR="003D0498" w:rsidRPr="003D0498" w:rsidRDefault="003D0498" w:rsidP="003D0498">
            <w:pPr>
              <w:spacing w:before="40" w:after="120"/>
              <w:ind w:right="113"/>
            </w:pP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140.21</w:t>
            </w:r>
            <w:r w:rsidR="000E2AE7">
              <w:rPr>
                <w:rStyle w:val="EndnoteReference"/>
              </w:rPr>
              <w:endnoteReference w:id="22"/>
            </w:r>
          </w:p>
        </w:tc>
        <w:tc>
          <w:tcPr>
            <w:tcW w:w="1280" w:type="dxa"/>
            <w:shd w:val="clear" w:color="auto" w:fill="auto"/>
          </w:tcPr>
          <w:p w:rsidR="003D0498" w:rsidRPr="003D0498" w:rsidRDefault="003D0498" w:rsidP="003D0498">
            <w:pPr>
              <w:spacing w:before="40" w:after="120"/>
              <w:ind w:right="113"/>
            </w:pPr>
            <w:r>
              <w:t>Accepted</w:t>
            </w:r>
          </w:p>
        </w:tc>
        <w:tc>
          <w:tcPr>
            <w:tcW w:w="1207" w:type="dxa"/>
            <w:shd w:val="clear" w:color="auto" w:fill="auto"/>
          </w:tcPr>
          <w:p w:rsidR="003D0498" w:rsidRPr="003D0498" w:rsidRDefault="003D0498" w:rsidP="003D0498">
            <w:pPr>
              <w:spacing w:before="40" w:after="120"/>
              <w:ind w:right="113"/>
            </w:pPr>
          </w:p>
        </w:tc>
        <w:tc>
          <w:tcPr>
            <w:tcW w:w="3670" w:type="dxa"/>
            <w:shd w:val="clear" w:color="auto" w:fill="auto"/>
          </w:tcPr>
          <w:p w:rsidR="003D0498" w:rsidRPr="003D0498" w:rsidRDefault="003D0498" w:rsidP="003D0498">
            <w:pPr>
              <w:spacing w:before="40" w:after="120"/>
              <w:ind w:right="113"/>
            </w:pP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140.22</w:t>
            </w:r>
            <w:r w:rsidR="000E2AE7">
              <w:rPr>
                <w:rStyle w:val="EndnoteReference"/>
              </w:rPr>
              <w:endnoteReference w:id="23"/>
            </w:r>
          </w:p>
        </w:tc>
        <w:tc>
          <w:tcPr>
            <w:tcW w:w="1280" w:type="dxa"/>
            <w:shd w:val="clear" w:color="auto" w:fill="auto"/>
          </w:tcPr>
          <w:p w:rsidR="003D0498" w:rsidRPr="003D0498" w:rsidRDefault="003D0498" w:rsidP="003D0498">
            <w:pPr>
              <w:spacing w:before="40" w:after="120"/>
              <w:ind w:right="113"/>
            </w:pPr>
            <w:r>
              <w:t>Accepted</w:t>
            </w:r>
          </w:p>
        </w:tc>
        <w:tc>
          <w:tcPr>
            <w:tcW w:w="1207" w:type="dxa"/>
            <w:shd w:val="clear" w:color="auto" w:fill="auto"/>
          </w:tcPr>
          <w:p w:rsidR="003D0498" w:rsidRPr="003D0498" w:rsidRDefault="003D0498" w:rsidP="003D0498">
            <w:pPr>
              <w:spacing w:before="40" w:after="120"/>
              <w:ind w:right="113"/>
            </w:pPr>
          </w:p>
        </w:tc>
        <w:tc>
          <w:tcPr>
            <w:tcW w:w="3670" w:type="dxa"/>
            <w:shd w:val="clear" w:color="auto" w:fill="auto"/>
          </w:tcPr>
          <w:p w:rsidR="003D0498" w:rsidRPr="003D0498" w:rsidRDefault="003D0498" w:rsidP="003D0498">
            <w:pPr>
              <w:spacing w:before="40" w:after="120"/>
              <w:ind w:right="113"/>
            </w:pP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140.23</w:t>
            </w:r>
            <w:r w:rsidR="000E2AE7">
              <w:rPr>
                <w:rStyle w:val="EndnoteReference"/>
              </w:rPr>
              <w:endnoteReference w:id="24"/>
            </w:r>
          </w:p>
        </w:tc>
        <w:tc>
          <w:tcPr>
            <w:tcW w:w="1280" w:type="dxa"/>
            <w:shd w:val="clear" w:color="auto" w:fill="auto"/>
          </w:tcPr>
          <w:p w:rsidR="003D0498" w:rsidRPr="003D0498" w:rsidRDefault="003D0498" w:rsidP="003D0498">
            <w:pPr>
              <w:spacing w:before="40" w:after="120"/>
              <w:ind w:right="113"/>
            </w:pPr>
          </w:p>
        </w:tc>
        <w:tc>
          <w:tcPr>
            <w:tcW w:w="1207" w:type="dxa"/>
            <w:shd w:val="clear" w:color="auto" w:fill="auto"/>
          </w:tcPr>
          <w:p w:rsidR="003D0498" w:rsidRPr="003D0498" w:rsidRDefault="003D0498" w:rsidP="003D0498">
            <w:pPr>
              <w:spacing w:before="40" w:after="120"/>
              <w:ind w:right="113"/>
            </w:pPr>
            <w:r>
              <w:t>Noted</w:t>
            </w:r>
          </w:p>
        </w:tc>
        <w:tc>
          <w:tcPr>
            <w:tcW w:w="3670" w:type="dxa"/>
            <w:shd w:val="clear" w:color="auto" w:fill="auto"/>
          </w:tcPr>
          <w:p w:rsidR="003D0498" w:rsidRPr="003D0498" w:rsidRDefault="003D0498" w:rsidP="003D0498">
            <w:pPr>
              <w:spacing w:before="40" w:after="120"/>
              <w:ind w:right="113"/>
            </w:pPr>
            <w:bookmarkStart w:id="3" w:name="_Hlk31983623"/>
            <w:r w:rsidRPr="003D0498">
              <w:t>Fiji has robust anti-discrimination provisions under section 26 of the Fijian Constitution which includes the intersecting forms of discrimination on various grounds inclusive of sex, sexual orientation, gender identity and expression. These provisions are also translated in</w:t>
            </w:r>
            <w:r>
              <w:t>to our employment legislations.</w:t>
            </w:r>
          </w:p>
          <w:p w:rsidR="003D0498" w:rsidRPr="003D0498" w:rsidRDefault="003D0498" w:rsidP="003D0498">
            <w:pPr>
              <w:spacing w:before="40" w:after="120"/>
              <w:ind w:right="113"/>
            </w:pPr>
            <w:r w:rsidRPr="003D0498">
              <w:t>With respect to gender based violence, or violence of any kind against any person, perpetrators of violence are charged accordingly under the Fijian Crimes Act.</w:t>
            </w:r>
            <w:bookmarkEnd w:id="3"/>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140.24</w:t>
            </w:r>
            <w:r w:rsidR="000E2AE7">
              <w:rPr>
                <w:rStyle w:val="EndnoteReference"/>
              </w:rPr>
              <w:endnoteReference w:id="25"/>
            </w:r>
          </w:p>
        </w:tc>
        <w:tc>
          <w:tcPr>
            <w:tcW w:w="1280" w:type="dxa"/>
            <w:shd w:val="clear" w:color="auto" w:fill="auto"/>
          </w:tcPr>
          <w:p w:rsidR="003D0498" w:rsidRPr="003D0498" w:rsidRDefault="003D0498" w:rsidP="003D0498">
            <w:pPr>
              <w:spacing w:before="40" w:after="120"/>
              <w:ind w:right="113"/>
            </w:pPr>
          </w:p>
        </w:tc>
        <w:tc>
          <w:tcPr>
            <w:tcW w:w="1207" w:type="dxa"/>
            <w:shd w:val="clear" w:color="auto" w:fill="auto"/>
          </w:tcPr>
          <w:p w:rsidR="003D0498" w:rsidRPr="003D0498" w:rsidRDefault="003D0498" w:rsidP="003D0498">
            <w:pPr>
              <w:spacing w:before="40" w:after="120"/>
              <w:ind w:right="113"/>
            </w:pPr>
            <w:r>
              <w:t>Noted</w:t>
            </w:r>
          </w:p>
        </w:tc>
        <w:tc>
          <w:tcPr>
            <w:tcW w:w="3670" w:type="dxa"/>
            <w:shd w:val="clear" w:color="auto" w:fill="auto"/>
          </w:tcPr>
          <w:p w:rsidR="003D0498" w:rsidRPr="003D0498" w:rsidRDefault="003D0498" w:rsidP="003D0498">
            <w:pPr>
              <w:spacing w:before="40" w:after="120"/>
              <w:ind w:right="113"/>
            </w:pPr>
            <w:r w:rsidRPr="003D0498">
              <w:t>Fiji repeats its comments in recommendation 140.23</w:t>
            </w:r>
            <w:r>
              <w:t>.</w:t>
            </w: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140.25</w:t>
            </w:r>
            <w:r w:rsidR="000E2AE7">
              <w:rPr>
                <w:rStyle w:val="EndnoteReference"/>
              </w:rPr>
              <w:endnoteReference w:id="26"/>
            </w:r>
          </w:p>
        </w:tc>
        <w:tc>
          <w:tcPr>
            <w:tcW w:w="1280" w:type="dxa"/>
            <w:shd w:val="clear" w:color="auto" w:fill="auto"/>
          </w:tcPr>
          <w:p w:rsidR="003D0498" w:rsidRPr="003D0498" w:rsidRDefault="003D0498" w:rsidP="003D0498">
            <w:pPr>
              <w:spacing w:before="40" w:after="120"/>
              <w:ind w:right="113"/>
            </w:pPr>
          </w:p>
        </w:tc>
        <w:tc>
          <w:tcPr>
            <w:tcW w:w="1207" w:type="dxa"/>
            <w:shd w:val="clear" w:color="auto" w:fill="auto"/>
          </w:tcPr>
          <w:p w:rsidR="003D0498" w:rsidRPr="003D0498" w:rsidRDefault="003D0498" w:rsidP="003D0498">
            <w:pPr>
              <w:spacing w:before="40" w:after="120"/>
              <w:ind w:right="113"/>
            </w:pPr>
            <w:r>
              <w:t>Noted</w:t>
            </w:r>
          </w:p>
        </w:tc>
        <w:tc>
          <w:tcPr>
            <w:tcW w:w="3670" w:type="dxa"/>
            <w:shd w:val="clear" w:color="auto" w:fill="auto"/>
          </w:tcPr>
          <w:p w:rsidR="003D0498" w:rsidRPr="003D0498" w:rsidRDefault="003D0498" w:rsidP="003D0498">
            <w:pPr>
              <w:spacing w:before="40" w:after="120"/>
              <w:ind w:right="113"/>
            </w:pPr>
            <w:r w:rsidRPr="003D0498">
              <w:t>Fiji repeats its comments in recommendation 140.23</w:t>
            </w:r>
            <w:r>
              <w:t>.</w:t>
            </w: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140.26</w:t>
            </w:r>
            <w:r w:rsidR="000E2AE7">
              <w:rPr>
                <w:rStyle w:val="EndnoteReference"/>
              </w:rPr>
              <w:endnoteReference w:id="27"/>
            </w:r>
          </w:p>
        </w:tc>
        <w:tc>
          <w:tcPr>
            <w:tcW w:w="1280" w:type="dxa"/>
            <w:shd w:val="clear" w:color="auto" w:fill="auto"/>
          </w:tcPr>
          <w:p w:rsidR="003D0498" w:rsidRPr="003D0498" w:rsidRDefault="003D0498" w:rsidP="003D0498">
            <w:pPr>
              <w:spacing w:before="40" w:after="120"/>
              <w:ind w:right="113"/>
            </w:pPr>
          </w:p>
        </w:tc>
        <w:tc>
          <w:tcPr>
            <w:tcW w:w="1207" w:type="dxa"/>
            <w:shd w:val="clear" w:color="auto" w:fill="auto"/>
          </w:tcPr>
          <w:p w:rsidR="003D0498" w:rsidRPr="003D0498" w:rsidRDefault="003D0498" w:rsidP="003D0498">
            <w:pPr>
              <w:spacing w:before="40" w:after="120"/>
              <w:ind w:right="113"/>
            </w:pPr>
            <w:r>
              <w:t>Noted</w:t>
            </w:r>
          </w:p>
        </w:tc>
        <w:tc>
          <w:tcPr>
            <w:tcW w:w="3670" w:type="dxa"/>
            <w:shd w:val="clear" w:color="auto" w:fill="auto"/>
          </w:tcPr>
          <w:p w:rsidR="003D0498" w:rsidRPr="003D0498" w:rsidRDefault="003D0498" w:rsidP="003D0498">
            <w:pPr>
              <w:spacing w:before="40" w:after="120"/>
              <w:ind w:right="113"/>
            </w:pPr>
            <w:r w:rsidRPr="003D0498">
              <w:t>Fiji repeats its comments in recommendation 140.23</w:t>
            </w:r>
            <w:r>
              <w:t>.</w:t>
            </w: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140.27</w:t>
            </w:r>
            <w:r w:rsidR="000E2AE7">
              <w:rPr>
                <w:rStyle w:val="EndnoteReference"/>
              </w:rPr>
              <w:endnoteReference w:id="28"/>
            </w:r>
          </w:p>
        </w:tc>
        <w:tc>
          <w:tcPr>
            <w:tcW w:w="1280" w:type="dxa"/>
            <w:shd w:val="clear" w:color="auto" w:fill="auto"/>
          </w:tcPr>
          <w:p w:rsidR="003D0498" w:rsidRPr="003D0498" w:rsidRDefault="003D0498" w:rsidP="003D0498">
            <w:pPr>
              <w:spacing w:before="40" w:after="120"/>
              <w:ind w:right="113"/>
            </w:pPr>
          </w:p>
        </w:tc>
        <w:tc>
          <w:tcPr>
            <w:tcW w:w="1207" w:type="dxa"/>
            <w:shd w:val="clear" w:color="auto" w:fill="auto"/>
          </w:tcPr>
          <w:p w:rsidR="003D0498" w:rsidRPr="003D0498" w:rsidRDefault="003D0498" w:rsidP="003D0498">
            <w:pPr>
              <w:spacing w:before="40" w:after="120"/>
              <w:ind w:right="113"/>
            </w:pPr>
            <w:r>
              <w:t>Noted</w:t>
            </w:r>
          </w:p>
        </w:tc>
        <w:tc>
          <w:tcPr>
            <w:tcW w:w="3670" w:type="dxa"/>
            <w:shd w:val="clear" w:color="auto" w:fill="auto"/>
          </w:tcPr>
          <w:p w:rsidR="003D0498" w:rsidRPr="003D0498" w:rsidRDefault="003D0498" w:rsidP="003D0498">
            <w:pPr>
              <w:spacing w:before="40" w:after="120"/>
              <w:ind w:right="113"/>
            </w:pPr>
            <w:r w:rsidRPr="003D0498">
              <w:t>Fiji repeats its comments in recommendation 140.23</w:t>
            </w:r>
            <w:r>
              <w:t>.</w:t>
            </w: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140.28</w:t>
            </w:r>
            <w:r w:rsidR="000E2AE7">
              <w:rPr>
                <w:rStyle w:val="EndnoteReference"/>
              </w:rPr>
              <w:endnoteReference w:id="29"/>
            </w:r>
          </w:p>
        </w:tc>
        <w:tc>
          <w:tcPr>
            <w:tcW w:w="1280" w:type="dxa"/>
            <w:shd w:val="clear" w:color="auto" w:fill="auto"/>
          </w:tcPr>
          <w:p w:rsidR="003D0498" w:rsidRPr="003D0498" w:rsidRDefault="003D0498" w:rsidP="003D0498">
            <w:pPr>
              <w:spacing w:before="40" w:after="120"/>
              <w:ind w:right="113"/>
            </w:pPr>
          </w:p>
        </w:tc>
        <w:tc>
          <w:tcPr>
            <w:tcW w:w="1207" w:type="dxa"/>
            <w:shd w:val="clear" w:color="auto" w:fill="auto"/>
          </w:tcPr>
          <w:p w:rsidR="003D0498" w:rsidRPr="003D0498" w:rsidRDefault="003D0498" w:rsidP="003D0498">
            <w:pPr>
              <w:spacing w:before="40" w:after="120"/>
              <w:ind w:right="113"/>
            </w:pPr>
            <w:r w:rsidRPr="003D0498">
              <w:t>Noted</w:t>
            </w:r>
          </w:p>
        </w:tc>
        <w:tc>
          <w:tcPr>
            <w:tcW w:w="3670" w:type="dxa"/>
            <w:shd w:val="clear" w:color="auto" w:fill="auto"/>
          </w:tcPr>
          <w:p w:rsidR="003D0498" w:rsidRPr="003D0498" w:rsidRDefault="003D0498" w:rsidP="003D0498">
            <w:pPr>
              <w:spacing w:before="40" w:after="120"/>
              <w:ind w:right="113"/>
            </w:pPr>
            <w:r w:rsidRPr="003D0498">
              <w:t>Fiji repeats its com</w:t>
            </w:r>
            <w:r>
              <w:t>ments in recommendation 140.23.</w:t>
            </w: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140.29</w:t>
            </w:r>
            <w:r w:rsidR="000E2AE7">
              <w:rPr>
                <w:rStyle w:val="EndnoteReference"/>
              </w:rPr>
              <w:endnoteReference w:id="30"/>
            </w:r>
          </w:p>
        </w:tc>
        <w:tc>
          <w:tcPr>
            <w:tcW w:w="1280" w:type="dxa"/>
            <w:shd w:val="clear" w:color="auto" w:fill="auto"/>
          </w:tcPr>
          <w:p w:rsidR="003D0498" w:rsidRPr="003D0498" w:rsidRDefault="003D0498" w:rsidP="003D0498">
            <w:pPr>
              <w:spacing w:before="40" w:after="120"/>
              <w:ind w:right="113"/>
            </w:pPr>
          </w:p>
        </w:tc>
        <w:tc>
          <w:tcPr>
            <w:tcW w:w="1207" w:type="dxa"/>
            <w:shd w:val="clear" w:color="auto" w:fill="auto"/>
          </w:tcPr>
          <w:p w:rsidR="003D0498" w:rsidRPr="003D0498" w:rsidRDefault="003D0498" w:rsidP="003D0498">
            <w:pPr>
              <w:spacing w:before="40" w:after="120"/>
              <w:ind w:right="113"/>
            </w:pPr>
            <w:r w:rsidRPr="003D0498">
              <w:t xml:space="preserve">Noted </w:t>
            </w:r>
          </w:p>
        </w:tc>
        <w:tc>
          <w:tcPr>
            <w:tcW w:w="3670" w:type="dxa"/>
            <w:shd w:val="clear" w:color="auto" w:fill="auto"/>
          </w:tcPr>
          <w:p w:rsidR="003D0498" w:rsidRPr="003D0498" w:rsidRDefault="003D0498" w:rsidP="003D0498">
            <w:pPr>
              <w:spacing w:before="40" w:after="120"/>
              <w:ind w:right="113"/>
            </w:pPr>
            <w:r w:rsidRPr="003D0498">
              <w:t>Fiji is currently undertaking a review of the National Action Plan for Women where issues pertaining to ending violence against LGBTI persons will also be included</w:t>
            </w:r>
            <w:r>
              <w:t>.</w:t>
            </w:r>
          </w:p>
          <w:p w:rsidR="003D0498" w:rsidRPr="003D0498" w:rsidRDefault="003D0498" w:rsidP="003D0498">
            <w:pPr>
              <w:spacing w:before="40" w:after="120"/>
              <w:ind w:right="113"/>
            </w:pPr>
            <w:r w:rsidRPr="003D0498">
              <w:t>Fiji repeats its com</w:t>
            </w:r>
            <w:r>
              <w:t>ments in recommendation 140.23.</w:t>
            </w: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140.30</w:t>
            </w:r>
            <w:r w:rsidR="000E2AE7">
              <w:rPr>
                <w:rStyle w:val="EndnoteReference"/>
              </w:rPr>
              <w:endnoteReference w:id="31"/>
            </w:r>
          </w:p>
        </w:tc>
        <w:tc>
          <w:tcPr>
            <w:tcW w:w="1280" w:type="dxa"/>
            <w:shd w:val="clear" w:color="auto" w:fill="auto"/>
          </w:tcPr>
          <w:p w:rsidR="003D0498" w:rsidRPr="003D0498" w:rsidRDefault="003D0498" w:rsidP="003D0498">
            <w:pPr>
              <w:spacing w:before="40" w:after="120"/>
              <w:ind w:right="113"/>
            </w:pPr>
          </w:p>
        </w:tc>
        <w:tc>
          <w:tcPr>
            <w:tcW w:w="1207" w:type="dxa"/>
            <w:shd w:val="clear" w:color="auto" w:fill="auto"/>
          </w:tcPr>
          <w:p w:rsidR="003D0498" w:rsidRPr="003D0498" w:rsidRDefault="003D0498" w:rsidP="003D0498">
            <w:pPr>
              <w:spacing w:before="40" w:after="120"/>
              <w:ind w:right="113"/>
            </w:pPr>
            <w:r w:rsidRPr="003D0498">
              <w:t xml:space="preserve">Noted </w:t>
            </w:r>
          </w:p>
        </w:tc>
        <w:tc>
          <w:tcPr>
            <w:tcW w:w="3670" w:type="dxa"/>
            <w:shd w:val="clear" w:color="auto" w:fill="auto"/>
          </w:tcPr>
          <w:p w:rsidR="003D0498" w:rsidRPr="003D0498" w:rsidRDefault="003D0498" w:rsidP="003D0498">
            <w:pPr>
              <w:spacing w:before="40" w:after="120"/>
              <w:ind w:right="113"/>
            </w:pPr>
            <w:r w:rsidRPr="003D0498">
              <w:t>Fiji repeats its com</w:t>
            </w:r>
            <w:r>
              <w:t>ments in recommendation 140.23.</w:t>
            </w: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140.31</w:t>
            </w:r>
            <w:r w:rsidR="000E2AE7">
              <w:rPr>
                <w:rStyle w:val="EndnoteReference"/>
              </w:rPr>
              <w:endnoteReference w:id="32"/>
            </w:r>
          </w:p>
        </w:tc>
        <w:tc>
          <w:tcPr>
            <w:tcW w:w="1280" w:type="dxa"/>
            <w:shd w:val="clear" w:color="auto" w:fill="auto"/>
          </w:tcPr>
          <w:p w:rsidR="003D0498" w:rsidRPr="003D0498" w:rsidRDefault="003D0498" w:rsidP="003D0498">
            <w:pPr>
              <w:spacing w:before="40" w:after="120"/>
              <w:ind w:right="113"/>
            </w:pPr>
          </w:p>
        </w:tc>
        <w:tc>
          <w:tcPr>
            <w:tcW w:w="1207" w:type="dxa"/>
            <w:shd w:val="clear" w:color="auto" w:fill="auto"/>
          </w:tcPr>
          <w:p w:rsidR="003D0498" w:rsidRPr="003D0498" w:rsidRDefault="003D0498" w:rsidP="003D0498">
            <w:pPr>
              <w:spacing w:before="40" w:after="120"/>
              <w:ind w:right="113"/>
            </w:pPr>
            <w:r w:rsidRPr="003D0498">
              <w:t>Noted</w:t>
            </w:r>
          </w:p>
        </w:tc>
        <w:tc>
          <w:tcPr>
            <w:tcW w:w="3670" w:type="dxa"/>
            <w:shd w:val="clear" w:color="auto" w:fill="auto"/>
          </w:tcPr>
          <w:p w:rsidR="003D0498" w:rsidRPr="003D0498" w:rsidRDefault="003D0498" w:rsidP="003D0498">
            <w:pPr>
              <w:spacing w:before="40" w:after="120"/>
              <w:ind w:right="113"/>
            </w:pPr>
            <w:r w:rsidRPr="003D0498">
              <w:t>Fiji repeats its comments in recommendation 140.29</w:t>
            </w:r>
            <w:r>
              <w:t>.</w:t>
            </w: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140.32</w:t>
            </w:r>
            <w:r w:rsidR="000E2AE7">
              <w:rPr>
                <w:rStyle w:val="EndnoteReference"/>
              </w:rPr>
              <w:endnoteReference w:id="33"/>
            </w:r>
          </w:p>
        </w:tc>
        <w:tc>
          <w:tcPr>
            <w:tcW w:w="1280" w:type="dxa"/>
            <w:shd w:val="clear" w:color="auto" w:fill="auto"/>
          </w:tcPr>
          <w:p w:rsidR="003D0498" w:rsidRPr="003D0498" w:rsidRDefault="003D0498" w:rsidP="003D0498">
            <w:pPr>
              <w:spacing w:before="40" w:after="120"/>
              <w:ind w:right="113"/>
            </w:pPr>
            <w:r>
              <w:t>Accepted</w:t>
            </w:r>
          </w:p>
        </w:tc>
        <w:tc>
          <w:tcPr>
            <w:tcW w:w="1207" w:type="dxa"/>
            <w:shd w:val="clear" w:color="auto" w:fill="auto"/>
          </w:tcPr>
          <w:p w:rsidR="003D0498" w:rsidRPr="003D0498" w:rsidRDefault="003D0498" w:rsidP="003D0498">
            <w:pPr>
              <w:spacing w:before="40" w:after="120"/>
              <w:ind w:right="113"/>
            </w:pPr>
          </w:p>
        </w:tc>
        <w:tc>
          <w:tcPr>
            <w:tcW w:w="3670" w:type="dxa"/>
            <w:shd w:val="clear" w:color="auto" w:fill="auto"/>
          </w:tcPr>
          <w:p w:rsidR="003D0498" w:rsidRPr="003D0498" w:rsidRDefault="003D0498" w:rsidP="003D0498">
            <w:pPr>
              <w:spacing w:before="40" w:after="120"/>
              <w:ind w:right="113"/>
            </w:pP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140.33</w:t>
            </w:r>
            <w:r w:rsidR="000E2AE7">
              <w:rPr>
                <w:rStyle w:val="EndnoteReference"/>
              </w:rPr>
              <w:endnoteReference w:id="34"/>
            </w:r>
          </w:p>
        </w:tc>
        <w:tc>
          <w:tcPr>
            <w:tcW w:w="1280" w:type="dxa"/>
            <w:shd w:val="clear" w:color="auto" w:fill="auto"/>
          </w:tcPr>
          <w:p w:rsidR="003D0498" w:rsidRPr="003D0498" w:rsidRDefault="003D0498" w:rsidP="003D0498">
            <w:pPr>
              <w:spacing w:before="40" w:after="120"/>
              <w:ind w:right="113"/>
            </w:pPr>
          </w:p>
        </w:tc>
        <w:tc>
          <w:tcPr>
            <w:tcW w:w="1207" w:type="dxa"/>
            <w:shd w:val="clear" w:color="auto" w:fill="auto"/>
          </w:tcPr>
          <w:p w:rsidR="003D0498" w:rsidRPr="003D0498" w:rsidRDefault="003D0498" w:rsidP="003D0498">
            <w:pPr>
              <w:spacing w:before="40" w:after="120"/>
              <w:ind w:right="113"/>
            </w:pPr>
            <w:r>
              <w:t>Noted</w:t>
            </w:r>
          </w:p>
        </w:tc>
        <w:tc>
          <w:tcPr>
            <w:tcW w:w="3670" w:type="dxa"/>
            <w:shd w:val="clear" w:color="auto" w:fill="auto"/>
          </w:tcPr>
          <w:p w:rsidR="003D0498" w:rsidRPr="003D0498" w:rsidRDefault="003D0498" w:rsidP="003D0498">
            <w:pPr>
              <w:spacing w:before="40" w:after="120"/>
              <w:ind w:right="113"/>
            </w:pPr>
            <w:r w:rsidRPr="003D0498">
              <w:t>The recommendation is unclear with regards to which particular visit by UNODC is being referred to</w:t>
            </w:r>
            <w:r w:rsidR="00830620">
              <w:t>.</w:t>
            </w:r>
          </w:p>
          <w:p w:rsidR="003D0498" w:rsidRPr="003D0498" w:rsidRDefault="003D0498" w:rsidP="003D0498">
            <w:pPr>
              <w:spacing w:before="40" w:after="120"/>
              <w:ind w:right="113"/>
            </w:pP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140.34</w:t>
            </w:r>
            <w:r w:rsidR="000E2AE7">
              <w:rPr>
                <w:rStyle w:val="EndnoteReference"/>
              </w:rPr>
              <w:endnoteReference w:id="35"/>
            </w:r>
          </w:p>
        </w:tc>
        <w:tc>
          <w:tcPr>
            <w:tcW w:w="1280" w:type="dxa"/>
            <w:shd w:val="clear" w:color="auto" w:fill="auto"/>
          </w:tcPr>
          <w:p w:rsidR="003D0498" w:rsidRPr="003D0498" w:rsidRDefault="003D0498" w:rsidP="003D0498">
            <w:pPr>
              <w:spacing w:before="40" w:after="120"/>
              <w:ind w:right="113"/>
            </w:pPr>
            <w:r>
              <w:t>Accepted</w:t>
            </w:r>
          </w:p>
        </w:tc>
        <w:tc>
          <w:tcPr>
            <w:tcW w:w="1207" w:type="dxa"/>
            <w:shd w:val="clear" w:color="auto" w:fill="auto"/>
          </w:tcPr>
          <w:p w:rsidR="003D0498" w:rsidRPr="003D0498" w:rsidRDefault="003D0498" w:rsidP="003D0498">
            <w:pPr>
              <w:spacing w:before="40" w:after="120"/>
              <w:ind w:right="113"/>
            </w:pPr>
          </w:p>
        </w:tc>
        <w:tc>
          <w:tcPr>
            <w:tcW w:w="3670" w:type="dxa"/>
            <w:shd w:val="clear" w:color="auto" w:fill="auto"/>
          </w:tcPr>
          <w:p w:rsidR="003D0498" w:rsidRPr="003D0498" w:rsidRDefault="003D0498" w:rsidP="003D0498">
            <w:pPr>
              <w:spacing w:before="40" w:after="120"/>
              <w:ind w:right="113"/>
            </w:pP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140.35</w:t>
            </w:r>
            <w:r w:rsidR="000E2AE7">
              <w:rPr>
                <w:rStyle w:val="EndnoteReference"/>
              </w:rPr>
              <w:endnoteReference w:id="36"/>
            </w:r>
          </w:p>
        </w:tc>
        <w:tc>
          <w:tcPr>
            <w:tcW w:w="1280" w:type="dxa"/>
            <w:shd w:val="clear" w:color="auto" w:fill="auto"/>
          </w:tcPr>
          <w:p w:rsidR="003D0498" w:rsidRPr="003D0498" w:rsidRDefault="003D0498" w:rsidP="003D0498">
            <w:pPr>
              <w:spacing w:before="40" w:after="120"/>
              <w:ind w:right="113"/>
            </w:pPr>
            <w:r>
              <w:t>Accepted</w:t>
            </w:r>
          </w:p>
        </w:tc>
        <w:tc>
          <w:tcPr>
            <w:tcW w:w="1207" w:type="dxa"/>
            <w:shd w:val="clear" w:color="auto" w:fill="auto"/>
          </w:tcPr>
          <w:p w:rsidR="003D0498" w:rsidRPr="003D0498" w:rsidRDefault="003D0498" w:rsidP="003D0498">
            <w:pPr>
              <w:spacing w:before="40" w:after="120"/>
              <w:ind w:right="113"/>
            </w:pPr>
          </w:p>
        </w:tc>
        <w:tc>
          <w:tcPr>
            <w:tcW w:w="3670" w:type="dxa"/>
            <w:shd w:val="clear" w:color="auto" w:fill="auto"/>
          </w:tcPr>
          <w:p w:rsidR="003D0498" w:rsidRPr="003D0498" w:rsidRDefault="003D0498" w:rsidP="008806F1">
            <w:pPr>
              <w:spacing w:before="40" w:after="120"/>
              <w:ind w:right="113"/>
            </w:pPr>
            <w:r w:rsidRPr="003D0498">
              <w:t xml:space="preserve">Fijian laws do not restrict the work of </w:t>
            </w:r>
            <w:r w:rsidR="008806F1">
              <w:t>t</w:t>
            </w:r>
            <w:r w:rsidRPr="003D0498">
              <w:t xml:space="preserve">rade </w:t>
            </w:r>
            <w:r w:rsidR="008806F1">
              <w:t>u</w:t>
            </w:r>
            <w:r w:rsidRPr="003D0498">
              <w:t>n</w:t>
            </w:r>
            <w:r>
              <w:t xml:space="preserve">ions or </w:t>
            </w:r>
            <w:r w:rsidR="008806F1">
              <w:t>h</w:t>
            </w:r>
            <w:r>
              <w:t xml:space="preserve">uman </w:t>
            </w:r>
            <w:r w:rsidR="008806F1">
              <w:t>r</w:t>
            </w:r>
            <w:r>
              <w:t>ights defenders.</w:t>
            </w:r>
          </w:p>
          <w:p w:rsidR="003D0498" w:rsidRPr="003D0498" w:rsidRDefault="003D0498" w:rsidP="008806F1">
            <w:pPr>
              <w:spacing w:before="40" w:after="120"/>
              <w:ind w:right="113"/>
            </w:pPr>
            <w:r w:rsidRPr="003D0498">
              <w:t xml:space="preserve">All </w:t>
            </w:r>
            <w:r w:rsidR="008806F1">
              <w:t>t</w:t>
            </w:r>
            <w:r w:rsidRPr="003D0498">
              <w:t xml:space="preserve">rade </w:t>
            </w:r>
            <w:r w:rsidR="008806F1">
              <w:t>u</w:t>
            </w:r>
            <w:r w:rsidRPr="003D0498">
              <w:t>nions and human rights defenders are able to carry out work without fear of intimidation or reprisal.</w:t>
            </w: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140.36</w:t>
            </w:r>
            <w:r w:rsidR="000E2AE7">
              <w:rPr>
                <w:rStyle w:val="EndnoteReference"/>
              </w:rPr>
              <w:endnoteReference w:id="37"/>
            </w:r>
          </w:p>
        </w:tc>
        <w:tc>
          <w:tcPr>
            <w:tcW w:w="1280" w:type="dxa"/>
            <w:shd w:val="clear" w:color="auto" w:fill="auto"/>
          </w:tcPr>
          <w:p w:rsidR="003D0498" w:rsidRPr="003D0498" w:rsidRDefault="003D0498" w:rsidP="003D0498">
            <w:pPr>
              <w:spacing w:before="40" w:after="120"/>
              <w:ind w:right="113"/>
            </w:pPr>
          </w:p>
        </w:tc>
        <w:tc>
          <w:tcPr>
            <w:tcW w:w="1207" w:type="dxa"/>
            <w:shd w:val="clear" w:color="auto" w:fill="auto"/>
          </w:tcPr>
          <w:p w:rsidR="003D0498" w:rsidRPr="003D0498" w:rsidRDefault="003D0498" w:rsidP="003D0498">
            <w:pPr>
              <w:spacing w:before="40" w:after="120"/>
              <w:ind w:right="113"/>
            </w:pPr>
            <w:r>
              <w:t>Noted</w:t>
            </w:r>
          </w:p>
        </w:tc>
        <w:tc>
          <w:tcPr>
            <w:tcW w:w="3670" w:type="dxa"/>
            <w:shd w:val="clear" w:color="auto" w:fill="auto"/>
          </w:tcPr>
          <w:p w:rsidR="003D0498" w:rsidRPr="003D0498" w:rsidRDefault="003D0498" w:rsidP="003D0498">
            <w:pPr>
              <w:spacing w:before="40" w:after="120"/>
              <w:ind w:right="113"/>
            </w:pPr>
            <w:r w:rsidRPr="003D0498">
              <w:t>The Fijian Constitution allows for all Fijians the right, peaceably and unarmed, to assemble, demonstrate, picket and to present petitions</w:t>
            </w:r>
            <w:r>
              <w:t xml:space="preserve"> and the freedom to associate.</w:t>
            </w: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140.37</w:t>
            </w:r>
            <w:r w:rsidR="000E2AE7">
              <w:rPr>
                <w:rStyle w:val="EndnoteReference"/>
              </w:rPr>
              <w:endnoteReference w:id="38"/>
            </w:r>
          </w:p>
        </w:tc>
        <w:tc>
          <w:tcPr>
            <w:tcW w:w="1280" w:type="dxa"/>
            <w:shd w:val="clear" w:color="auto" w:fill="auto"/>
          </w:tcPr>
          <w:p w:rsidR="003D0498" w:rsidRPr="003D0498" w:rsidRDefault="003D0498" w:rsidP="003D0498">
            <w:pPr>
              <w:spacing w:before="40" w:after="120"/>
              <w:ind w:right="113"/>
            </w:pPr>
          </w:p>
        </w:tc>
        <w:tc>
          <w:tcPr>
            <w:tcW w:w="1207" w:type="dxa"/>
            <w:shd w:val="clear" w:color="auto" w:fill="auto"/>
          </w:tcPr>
          <w:p w:rsidR="003D0498" w:rsidRPr="003D0498" w:rsidRDefault="003D0498" w:rsidP="003D0498">
            <w:pPr>
              <w:spacing w:before="40" w:after="120"/>
              <w:ind w:right="113"/>
            </w:pPr>
            <w:r w:rsidRPr="003D0498">
              <w:t>Noted</w:t>
            </w:r>
          </w:p>
        </w:tc>
        <w:tc>
          <w:tcPr>
            <w:tcW w:w="3670" w:type="dxa"/>
            <w:shd w:val="clear" w:color="auto" w:fill="auto"/>
          </w:tcPr>
          <w:p w:rsidR="003D0498" w:rsidRPr="003D0498" w:rsidRDefault="003D0498" w:rsidP="003D0498">
            <w:pPr>
              <w:spacing w:before="40" w:after="120"/>
              <w:ind w:right="113"/>
            </w:pPr>
            <w:r w:rsidRPr="003D0498">
              <w:t>Freedom of expression and association is guaranteed under the Fijian Constitution. Any limitation to the freedom of expression and association are in accordance with internationally accepted standards and pr</w:t>
            </w:r>
            <w:r>
              <w:t>actices.</w:t>
            </w: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140.38</w:t>
            </w:r>
            <w:r w:rsidR="000E2AE7">
              <w:rPr>
                <w:rStyle w:val="EndnoteReference"/>
              </w:rPr>
              <w:endnoteReference w:id="39"/>
            </w:r>
          </w:p>
        </w:tc>
        <w:tc>
          <w:tcPr>
            <w:tcW w:w="1280" w:type="dxa"/>
            <w:shd w:val="clear" w:color="auto" w:fill="auto"/>
          </w:tcPr>
          <w:p w:rsidR="003D0498" w:rsidRPr="003D0498" w:rsidRDefault="003D0498" w:rsidP="003D0498">
            <w:pPr>
              <w:spacing w:before="40" w:after="120"/>
              <w:ind w:right="113"/>
            </w:pPr>
            <w:r w:rsidRPr="003D0498">
              <w:t>Accepted</w:t>
            </w:r>
          </w:p>
        </w:tc>
        <w:tc>
          <w:tcPr>
            <w:tcW w:w="1207" w:type="dxa"/>
            <w:shd w:val="clear" w:color="auto" w:fill="auto"/>
          </w:tcPr>
          <w:p w:rsidR="003D0498" w:rsidRPr="003D0498" w:rsidRDefault="003D0498" w:rsidP="003D0498">
            <w:pPr>
              <w:spacing w:before="40" w:after="120"/>
              <w:ind w:right="113"/>
            </w:pPr>
          </w:p>
        </w:tc>
        <w:tc>
          <w:tcPr>
            <w:tcW w:w="3670" w:type="dxa"/>
            <w:shd w:val="clear" w:color="auto" w:fill="auto"/>
          </w:tcPr>
          <w:p w:rsidR="003D0498" w:rsidRPr="003D0498" w:rsidRDefault="003D0498" w:rsidP="003D0498">
            <w:pPr>
              <w:spacing w:before="40" w:after="120"/>
              <w:ind w:right="113"/>
            </w:pP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140.39</w:t>
            </w:r>
            <w:r w:rsidR="000E2AE7">
              <w:rPr>
                <w:rStyle w:val="EndnoteReference"/>
              </w:rPr>
              <w:endnoteReference w:id="40"/>
            </w:r>
          </w:p>
        </w:tc>
        <w:tc>
          <w:tcPr>
            <w:tcW w:w="1280" w:type="dxa"/>
            <w:shd w:val="clear" w:color="auto" w:fill="auto"/>
          </w:tcPr>
          <w:p w:rsidR="003D0498" w:rsidRPr="003D0498" w:rsidRDefault="003D0498" w:rsidP="003D0498">
            <w:pPr>
              <w:spacing w:before="40" w:after="120"/>
              <w:ind w:right="113"/>
            </w:pPr>
          </w:p>
        </w:tc>
        <w:tc>
          <w:tcPr>
            <w:tcW w:w="1207" w:type="dxa"/>
            <w:shd w:val="clear" w:color="auto" w:fill="auto"/>
          </w:tcPr>
          <w:p w:rsidR="003D0498" w:rsidRPr="003D0498" w:rsidRDefault="003D0498" w:rsidP="003D0498">
            <w:pPr>
              <w:spacing w:before="40" w:after="120"/>
              <w:ind w:right="113"/>
            </w:pPr>
            <w:r>
              <w:t>Noted</w:t>
            </w:r>
          </w:p>
        </w:tc>
        <w:tc>
          <w:tcPr>
            <w:tcW w:w="3670" w:type="dxa"/>
            <w:shd w:val="clear" w:color="auto" w:fill="auto"/>
          </w:tcPr>
          <w:p w:rsidR="003D0498" w:rsidRPr="003D0498" w:rsidRDefault="003D0498" w:rsidP="003D0498">
            <w:pPr>
              <w:spacing w:before="40" w:after="120"/>
              <w:ind w:right="113"/>
            </w:pPr>
            <w:r w:rsidRPr="003D0498">
              <w:t>Fiji has strong Constitutional provisions on freedom of speech, expression and publication.</w:t>
            </w:r>
          </w:p>
          <w:p w:rsidR="003D0498" w:rsidRPr="003D0498" w:rsidRDefault="003D0498" w:rsidP="003D0498">
            <w:pPr>
              <w:spacing w:before="40" w:after="120"/>
              <w:ind w:right="113"/>
            </w:pPr>
            <w:r w:rsidRPr="003D0498">
              <w:t>Fijian laws with respect to the media are subject to the relevant Constitutional provisions.</w:t>
            </w: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140.40</w:t>
            </w:r>
            <w:r w:rsidR="000E2AE7">
              <w:rPr>
                <w:rStyle w:val="EndnoteReference"/>
              </w:rPr>
              <w:endnoteReference w:id="41"/>
            </w:r>
          </w:p>
        </w:tc>
        <w:tc>
          <w:tcPr>
            <w:tcW w:w="1280" w:type="dxa"/>
            <w:shd w:val="clear" w:color="auto" w:fill="auto"/>
          </w:tcPr>
          <w:p w:rsidR="003D0498" w:rsidRPr="003D0498" w:rsidRDefault="003D0498" w:rsidP="003D0498">
            <w:pPr>
              <w:spacing w:before="40" w:after="120"/>
              <w:ind w:right="113"/>
            </w:pPr>
          </w:p>
        </w:tc>
        <w:tc>
          <w:tcPr>
            <w:tcW w:w="1207" w:type="dxa"/>
            <w:shd w:val="clear" w:color="auto" w:fill="auto"/>
          </w:tcPr>
          <w:p w:rsidR="003D0498" w:rsidRPr="003D0498" w:rsidRDefault="003D0498" w:rsidP="003D0498">
            <w:pPr>
              <w:spacing w:before="40" w:after="120"/>
              <w:ind w:right="113"/>
            </w:pPr>
            <w:r>
              <w:t>Noted</w:t>
            </w:r>
          </w:p>
        </w:tc>
        <w:tc>
          <w:tcPr>
            <w:tcW w:w="3670" w:type="dxa"/>
            <w:shd w:val="clear" w:color="auto" w:fill="auto"/>
          </w:tcPr>
          <w:p w:rsidR="003D0498" w:rsidRPr="003D0498" w:rsidRDefault="003D0498" w:rsidP="003D0498">
            <w:pPr>
              <w:spacing w:before="40" w:after="120"/>
              <w:ind w:right="113"/>
            </w:pPr>
            <w:r w:rsidRPr="003D0498">
              <w:t>Fiji repeats its comments in recommendations 140.35 to 140.39</w:t>
            </w:r>
            <w:r>
              <w:t>.</w:t>
            </w: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140.41</w:t>
            </w:r>
            <w:r w:rsidR="000E2AE7">
              <w:rPr>
                <w:rStyle w:val="EndnoteReference"/>
              </w:rPr>
              <w:endnoteReference w:id="42"/>
            </w:r>
          </w:p>
        </w:tc>
        <w:tc>
          <w:tcPr>
            <w:tcW w:w="1280" w:type="dxa"/>
            <w:shd w:val="clear" w:color="auto" w:fill="auto"/>
          </w:tcPr>
          <w:p w:rsidR="003D0498" w:rsidRPr="003D0498" w:rsidRDefault="003D0498" w:rsidP="003D0498">
            <w:pPr>
              <w:spacing w:before="40" w:after="120"/>
              <w:ind w:right="113"/>
            </w:pPr>
          </w:p>
        </w:tc>
        <w:tc>
          <w:tcPr>
            <w:tcW w:w="1207" w:type="dxa"/>
            <w:shd w:val="clear" w:color="auto" w:fill="auto"/>
          </w:tcPr>
          <w:p w:rsidR="003D0498" w:rsidRPr="003D0498" w:rsidRDefault="003D0498" w:rsidP="003D0498">
            <w:pPr>
              <w:spacing w:before="40" w:after="120"/>
              <w:ind w:right="113"/>
            </w:pPr>
            <w:r>
              <w:t>Noted</w:t>
            </w:r>
          </w:p>
        </w:tc>
        <w:tc>
          <w:tcPr>
            <w:tcW w:w="3670" w:type="dxa"/>
            <w:shd w:val="clear" w:color="auto" w:fill="auto"/>
          </w:tcPr>
          <w:p w:rsidR="003D0498" w:rsidRPr="003D0498" w:rsidRDefault="003D0498" w:rsidP="003D0498">
            <w:pPr>
              <w:spacing w:before="40" w:after="120"/>
              <w:ind w:right="113"/>
            </w:pPr>
            <w:r w:rsidRPr="003D0498">
              <w:t>Fiji repeats its comments in recommendations 140.36 and 140.39</w:t>
            </w:r>
            <w:r>
              <w:t>.</w:t>
            </w: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140.42</w:t>
            </w:r>
            <w:r w:rsidR="000E2AE7">
              <w:rPr>
                <w:rStyle w:val="EndnoteReference"/>
              </w:rPr>
              <w:endnoteReference w:id="43"/>
            </w:r>
          </w:p>
        </w:tc>
        <w:tc>
          <w:tcPr>
            <w:tcW w:w="1280" w:type="dxa"/>
            <w:shd w:val="clear" w:color="auto" w:fill="auto"/>
          </w:tcPr>
          <w:p w:rsidR="003D0498" w:rsidRPr="003D0498" w:rsidRDefault="003D0498" w:rsidP="003D0498">
            <w:pPr>
              <w:spacing w:before="40" w:after="120"/>
              <w:ind w:right="113"/>
            </w:pPr>
          </w:p>
        </w:tc>
        <w:tc>
          <w:tcPr>
            <w:tcW w:w="1207" w:type="dxa"/>
            <w:shd w:val="clear" w:color="auto" w:fill="auto"/>
          </w:tcPr>
          <w:p w:rsidR="003D0498" w:rsidRPr="003D0498" w:rsidRDefault="003D0498" w:rsidP="003D0498">
            <w:pPr>
              <w:spacing w:before="40" w:after="120"/>
              <w:ind w:right="113"/>
            </w:pPr>
            <w:r>
              <w:t>Noted</w:t>
            </w:r>
          </w:p>
        </w:tc>
        <w:tc>
          <w:tcPr>
            <w:tcW w:w="3670" w:type="dxa"/>
            <w:shd w:val="clear" w:color="auto" w:fill="auto"/>
          </w:tcPr>
          <w:p w:rsidR="003D0498" w:rsidRPr="003D0498" w:rsidRDefault="003D0498" w:rsidP="003D0498">
            <w:pPr>
              <w:spacing w:before="40" w:after="120"/>
              <w:ind w:right="113"/>
            </w:pPr>
            <w:r w:rsidRPr="003D0498">
              <w:t>Fiji repeats its comments in recommendations 140.36 and 140.39</w:t>
            </w:r>
            <w:r>
              <w:t>.</w:t>
            </w: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140.43</w:t>
            </w:r>
            <w:r w:rsidR="000E2AE7">
              <w:rPr>
                <w:rStyle w:val="EndnoteReference"/>
              </w:rPr>
              <w:endnoteReference w:id="44"/>
            </w:r>
          </w:p>
        </w:tc>
        <w:tc>
          <w:tcPr>
            <w:tcW w:w="1280" w:type="dxa"/>
            <w:shd w:val="clear" w:color="auto" w:fill="auto"/>
          </w:tcPr>
          <w:p w:rsidR="003D0498" w:rsidRPr="003D0498" w:rsidRDefault="003D0498" w:rsidP="003D0498">
            <w:pPr>
              <w:spacing w:before="40" w:after="120"/>
              <w:ind w:right="113"/>
            </w:pPr>
          </w:p>
        </w:tc>
        <w:tc>
          <w:tcPr>
            <w:tcW w:w="1207" w:type="dxa"/>
            <w:shd w:val="clear" w:color="auto" w:fill="auto"/>
          </w:tcPr>
          <w:p w:rsidR="003D0498" w:rsidRPr="003D0498" w:rsidRDefault="003D0498" w:rsidP="003D0498">
            <w:pPr>
              <w:spacing w:before="40" w:after="120"/>
              <w:ind w:right="113"/>
            </w:pPr>
            <w:r>
              <w:t>Noted</w:t>
            </w:r>
          </w:p>
        </w:tc>
        <w:tc>
          <w:tcPr>
            <w:tcW w:w="3670" w:type="dxa"/>
            <w:shd w:val="clear" w:color="auto" w:fill="auto"/>
          </w:tcPr>
          <w:p w:rsidR="003D0498" w:rsidRPr="003D0498" w:rsidRDefault="003D0498" w:rsidP="003D0498">
            <w:pPr>
              <w:spacing w:before="40" w:after="120"/>
              <w:ind w:right="113"/>
            </w:pPr>
            <w:r w:rsidRPr="003D0498">
              <w:t>Fiji repeats its comments in recommendation 140.36 and 140.39</w:t>
            </w:r>
            <w:r>
              <w:t>.</w:t>
            </w: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140.44</w:t>
            </w:r>
            <w:r w:rsidR="000E2AE7">
              <w:rPr>
                <w:rStyle w:val="EndnoteReference"/>
              </w:rPr>
              <w:endnoteReference w:id="45"/>
            </w:r>
          </w:p>
        </w:tc>
        <w:tc>
          <w:tcPr>
            <w:tcW w:w="1280" w:type="dxa"/>
            <w:shd w:val="clear" w:color="auto" w:fill="auto"/>
          </w:tcPr>
          <w:p w:rsidR="003D0498" w:rsidRPr="003D0498" w:rsidRDefault="003D0498" w:rsidP="003D0498">
            <w:pPr>
              <w:spacing w:before="40" w:after="120"/>
              <w:ind w:right="113"/>
            </w:pPr>
          </w:p>
        </w:tc>
        <w:tc>
          <w:tcPr>
            <w:tcW w:w="1207" w:type="dxa"/>
            <w:shd w:val="clear" w:color="auto" w:fill="auto"/>
          </w:tcPr>
          <w:p w:rsidR="003D0498" w:rsidRPr="003D0498" w:rsidRDefault="003D0498" w:rsidP="003D0498">
            <w:pPr>
              <w:spacing w:before="40" w:after="120"/>
              <w:ind w:right="113"/>
            </w:pPr>
            <w:r>
              <w:t>Noted</w:t>
            </w:r>
          </w:p>
        </w:tc>
        <w:tc>
          <w:tcPr>
            <w:tcW w:w="3670" w:type="dxa"/>
            <w:shd w:val="clear" w:color="auto" w:fill="auto"/>
          </w:tcPr>
          <w:p w:rsidR="003D0498" w:rsidRPr="003D0498" w:rsidRDefault="003D0498" w:rsidP="003D0498">
            <w:pPr>
              <w:spacing w:before="40" w:after="120"/>
              <w:ind w:right="113"/>
            </w:pPr>
            <w:r w:rsidRPr="003D0498">
              <w:t>Fiji repeats its comments in recommendation 140.36 and 140.39</w:t>
            </w:r>
            <w:r>
              <w:t>.</w:t>
            </w: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140.45</w:t>
            </w:r>
            <w:r w:rsidR="000E2AE7">
              <w:rPr>
                <w:rStyle w:val="EndnoteReference"/>
              </w:rPr>
              <w:endnoteReference w:id="46"/>
            </w:r>
          </w:p>
        </w:tc>
        <w:tc>
          <w:tcPr>
            <w:tcW w:w="1280" w:type="dxa"/>
            <w:shd w:val="clear" w:color="auto" w:fill="auto"/>
          </w:tcPr>
          <w:p w:rsidR="003D0498" w:rsidRPr="003D0498" w:rsidRDefault="003D0498" w:rsidP="003D0498">
            <w:pPr>
              <w:spacing w:before="40" w:after="120"/>
              <w:ind w:right="113"/>
            </w:pPr>
            <w:r>
              <w:t>Accepted</w:t>
            </w:r>
          </w:p>
        </w:tc>
        <w:tc>
          <w:tcPr>
            <w:tcW w:w="1207" w:type="dxa"/>
            <w:shd w:val="clear" w:color="auto" w:fill="auto"/>
          </w:tcPr>
          <w:p w:rsidR="003D0498" w:rsidRPr="003D0498" w:rsidRDefault="003D0498" w:rsidP="003D0498">
            <w:pPr>
              <w:spacing w:before="40" w:after="120"/>
              <w:ind w:right="113"/>
            </w:pPr>
          </w:p>
        </w:tc>
        <w:tc>
          <w:tcPr>
            <w:tcW w:w="3670" w:type="dxa"/>
            <w:shd w:val="clear" w:color="auto" w:fill="auto"/>
          </w:tcPr>
          <w:p w:rsidR="003D0498" w:rsidRPr="003D0498" w:rsidRDefault="003D0498" w:rsidP="003D0498">
            <w:pPr>
              <w:spacing w:before="40" w:after="120"/>
              <w:ind w:right="113"/>
            </w:pP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140.46</w:t>
            </w:r>
            <w:r w:rsidR="000E2AE7">
              <w:rPr>
                <w:rStyle w:val="EndnoteReference"/>
              </w:rPr>
              <w:endnoteReference w:id="47"/>
            </w:r>
          </w:p>
        </w:tc>
        <w:tc>
          <w:tcPr>
            <w:tcW w:w="1280" w:type="dxa"/>
            <w:shd w:val="clear" w:color="auto" w:fill="auto"/>
          </w:tcPr>
          <w:p w:rsidR="003D0498" w:rsidRPr="003D0498" w:rsidRDefault="003D0498" w:rsidP="003D0498">
            <w:pPr>
              <w:spacing w:before="40" w:after="120"/>
              <w:ind w:right="113"/>
            </w:pPr>
            <w:r w:rsidRPr="003D0498">
              <w:t>Accepted</w:t>
            </w:r>
          </w:p>
        </w:tc>
        <w:tc>
          <w:tcPr>
            <w:tcW w:w="1207" w:type="dxa"/>
            <w:shd w:val="clear" w:color="auto" w:fill="auto"/>
          </w:tcPr>
          <w:p w:rsidR="003D0498" w:rsidRPr="003D0498" w:rsidRDefault="003D0498" w:rsidP="003D0498">
            <w:pPr>
              <w:spacing w:before="40" w:after="120"/>
              <w:ind w:right="113"/>
            </w:pPr>
          </w:p>
        </w:tc>
        <w:tc>
          <w:tcPr>
            <w:tcW w:w="3670" w:type="dxa"/>
            <w:shd w:val="clear" w:color="auto" w:fill="auto"/>
          </w:tcPr>
          <w:p w:rsidR="003D0498" w:rsidRPr="003D0498" w:rsidRDefault="003D0498" w:rsidP="003D0498">
            <w:pPr>
              <w:spacing w:before="40" w:after="120"/>
              <w:ind w:right="113"/>
            </w:pP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140.47</w:t>
            </w:r>
            <w:r w:rsidR="000E2AE7">
              <w:rPr>
                <w:rStyle w:val="EndnoteReference"/>
              </w:rPr>
              <w:endnoteReference w:id="48"/>
            </w:r>
          </w:p>
        </w:tc>
        <w:tc>
          <w:tcPr>
            <w:tcW w:w="1280" w:type="dxa"/>
            <w:shd w:val="clear" w:color="auto" w:fill="auto"/>
          </w:tcPr>
          <w:p w:rsidR="003D0498" w:rsidRPr="003D0498" w:rsidRDefault="003D0498" w:rsidP="003D0498">
            <w:pPr>
              <w:spacing w:before="40" w:after="120"/>
              <w:ind w:right="113"/>
            </w:pPr>
          </w:p>
        </w:tc>
        <w:tc>
          <w:tcPr>
            <w:tcW w:w="1207" w:type="dxa"/>
            <w:shd w:val="clear" w:color="auto" w:fill="auto"/>
          </w:tcPr>
          <w:p w:rsidR="003D0498" w:rsidRPr="003D0498" w:rsidRDefault="003D0498" w:rsidP="003D0498">
            <w:pPr>
              <w:spacing w:before="40" w:after="120"/>
              <w:ind w:right="113"/>
            </w:pPr>
            <w:r>
              <w:t>Noted</w:t>
            </w:r>
          </w:p>
        </w:tc>
        <w:tc>
          <w:tcPr>
            <w:tcW w:w="3670" w:type="dxa"/>
            <w:shd w:val="clear" w:color="auto" w:fill="auto"/>
          </w:tcPr>
          <w:p w:rsidR="003D0498" w:rsidRPr="003D0498" w:rsidRDefault="003D0498" w:rsidP="003D0498">
            <w:pPr>
              <w:spacing w:before="40" w:after="120"/>
              <w:ind w:right="113"/>
            </w:pPr>
            <w:r w:rsidRPr="003D0498">
              <w:t>Since 2013 Fiji has undergone robust legislative reform to address issues relating to discrimination of women in</w:t>
            </w:r>
            <w:r>
              <w:t xml:space="preserve"> public and private employment.</w:t>
            </w:r>
          </w:p>
          <w:p w:rsidR="003D0498" w:rsidRPr="003D0498" w:rsidRDefault="003D0498" w:rsidP="003D0498">
            <w:pPr>
              <w:spacing w:before="40" w:after="120"/>
              <w:ind w:right="113"/>
            </w:pPr>
            <w:r w:rsidRPr="003D0498">
              <w:t xml:space="preserve">Fiji also has strong anti-discrimination provisions in the Fijian Constitution which have also been translated </w:t>
            </w:r>
            <w:r>
              <w:t>into the Fijian Employment Act.</w:t>
            </w: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140.48</w:t>
            </w:r>
            <w:r w:rsidR="000E2AE7">
              <w:rPr>
                <w:rStyle w:val="EndnoteReference"/>
              </w:rPr>
              <w:endnoteReference w:id="49"/>
            </w:r>
          </w:p>
        </w:tc>
        <w:tc>
          <w:tcPr>
            <w:tcW w:w="1280" w:type="dxa"/>
            <w:shd w:val="clear" w:color="auto" w:fill="auto"/>
          </w:tcPr>
          <w:p w:rsidR="003D0498" w:rsidRPr="003D0498" w:rsidRDefault="003D0498" w:rsidP="003D0498">
            <w:pPr>
              <w:spacing w:before="40" w:after="120"/>
              <w:ind w:right="113"/>
            </w:pPr>
          </w:p>
        </w:tc>
        <w:tc>
          <w:tcPr>
            <w:tcW w:w="1207" w:type="dxa"/>
            <w:shd w:val="clear" w:color="auto" w:fill="auto"/>
          </w:tcPr>
          <w:p w:rsidR="003D0498" w:rsidRPr="003D0498" w:rsidRDefault="003D0498" w:rsidP="003D0498">
            <w:pPr>
              <w:spacing w:before="40" w:after="120"/>
              <w:ind w:right="113"/>
            </w:pPr>
            <w:r>
              <w:t>Noted</w:t>
            </w:r>
          </w:p>
        </w:tc>
        <w:tc>
          <w:tcPr>
            <w:tcW w:w="3670" w:type="dxa"/>
            <w:shd w:val="clear" w:color="auto" w:fill="auto"/>
          </w:tcPr>
          <w:p w:rsidR="003D0498" w:rsidRPr="003D0498" w:rsidRDefault="003D0498" w:rsidP="003D0498">
            <w:pPr>
              <w:spacing w:before="40" w:after="120"/>
              <w:ind w:right="113"/>
            </w:pPr>
            <w:r w:rsidRPr="003D0498">
              <w:t>Fiji has an improving record of female participation in politics and is a regional leader in this regard.</w:t>
            </w:r>
          </w:p>
          <w:p w:rsidR="003D0498" w:rsidRDefault="003D0498" w:rsidP="003D0498">
            <w:pPr>
              <w:spacing w:before="40" w:after="120"/>
              <w:ind w:right="113"/>
            </w:pPr>
            <w:r w:rsidRPr="003D0498">
              <w:t xml:space="preserve">56 women stood for elections in 2018, accounting for 23.8 per cent of all candidates, an increase from 18 per cent in 2014. Of these, 10 were elected, accounting for 19.6 per cent of all Members of Parliament, an increase </w:t>
            </w:r>
            <w:r>
              <w:t>from 16.0 per cent in 2014.</w:t>
            </w:r>
          </w:p>
          <w:p w:rsidR="003D0498" w:rsidRPr="003D0498" w:rsidRDefault="003D0498" w:rsidP="003D0498">
            <w:pPr>
              <w:spacing w:before="40" w:after="120"/>
              <w:ind w:right="113"/>
            </w:pPr>
            <w:r w:rsidRPr="003D0498">
              <w:t>Apart from changing attitudes and legal reforms propelled by the Fijian Government, the Fiji’s electoral system allows for proportional representation through an open list resulted in the highest number of elected women in parliament in our national history.</w:t>
            </w: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140.49</w:t>
            </w:r>
            <w:r w:rsidR="000E2AE7">
              <w:rPr>
                <w:rStyle w:val="EndnoteReference"/>
              </w:rPr>
              <w:endnoteReference w:id="50"/>
            </w:r>
          </w:p>
        </w:tc>
        <w:tc>
          <w:tcPr>
            <w:tcW w:w="1280" w:type="dxa"/>
            <w:shd w:val="clear" w:color="auto" w:fill="auto"/>
          </w:tcPr>
          <w:p w:rsidR="003D0498" w:rsidRPr="003D0498" w:rsidRDefault="003D0498" w:rsidP="003D0498">
            <w:pPr>
              <w:spacing w:before="40" w:after="120"/>
              <w:ind w:right="113"/>
            </w:pPr>
          </w:p>
        </w:tc>
        <w:tc>
          <w:tcPr>
            <w:tcW w:w="1207" w:type="dxa"/>
            <w:shd w:val="clear" w:color="auto" w:fill="auto"/>
          </w:tcPr>
          <w:p w:rsidR="003D0498" w:rsidRPr="003D0498" w:rsidRDefault="003D0498" w:rsidP="003D0498">
            <w:pPr>
              <w:spacing w:before="40" w:after="120"/>
              <w:ind w:right="113"/>
            </w:pPr>
            <w:r>
              <w:t>Noted</w:t>
            </w:r>
          </w:p>
        </w:tc>
        <w:tc>
          <w:tcPr>
            <w:tcW w:w="3670" w:type="dxa"/>
            <w:shd w:val="clear" w:color="auto" w:fill="auto"/>
          </w:tcPr>
          <w:p w:rsidR="003D0498" w:rsidRPr="003D0498" w:rsidRDefault="003D0498" w:rsidP="003D0498">
            <w:pPr>
              <w:spacing w:before="40" w:after="120"/>
              <w:ind w:right="113"/>
            </w:pPr>
            <w:r w:rsidRPr="003D0498">
              <w:t>Fiji will take this recommendation un</w:t>
            </w:r>
            <w:r>
              <w:t>der consideration in the future.</w:t>
            </w:r>
          </w:p>
        </w:tc>
      </w:tr>
      <w:tr w:rsidR="00247713" w:rsidRPr="003D0498" w:rsidTr="00247713">
        <w:tc>
          <w:tcPr>
            <w:tcW w:w="2348" w:type="dxa"/>
            <w:shd w:val="clear" w:color="auto" w:fill="auto"/>
          </w:tcPr>
          <w:p w:rsidR="003D0498" w:rsidRPr="003D0498" w:rsidRDefault="003D0498" w:rsidP="000E2AE7">
            <w:pPr>
              <w:spacing w:before="40" w:after="120"/>
              <w:ind w:right="113"/>
            </w:pPr>
            <w:r w:rsidRPr="003D0498">
              <w:t>140.50</w:t>
            </w:r>
            <w:r w:rsidR="000E2AE7">
              <w:rPr>
                <w:rStyle w:val="EndnoteReference"/>
              </w:rPr>
              <w:endnoteReference w:id="51"/>
            </w:r>
          </w:p>
        </w:tc>
        <w:tc>
          <w:tcPr>
            <w:tcW w:w="1280" w:type="dxa"/>
            <w:shd w:val="clear" w:color="auto" w:fill="auto"/>
          </w:tcPr>
          <w:p w:rsidR="003D0498" w:rsidRPr="003D0498" w:rsidRDefault="003D0498" w:rsidP="003D0498">
            <w:pPr>
              <w:spacing w:before="40" w:after="120"/>
              <w:ind w:right="113"/>
            </w:pPr>
            <w:r w:rsidRPr="003D0498">
              <w:t>Accepted</w:t>
            </w:r>
          </w:p>
        </w:tc>
        <w:tc>
          <w:tcPr>
            <w:tcW w:w="1207" w:type="dxa"/>
            <w:shd w:val="clear" w:color="auto" w:fill="auto"/>
          </w:tcPr>
          <w:p w:rsidR="003D0498" w:rsidRPr="003D0498" w:rsidRDefault="003D0498" w:rsidP="003D0498">
            <w:pPr>
              <w:spacing w:before="40" w:after="120"/>
              <w:ind w:right="113"/>
            </w:pPr>
          </w:p>
        </w:tc>
        <w:tc>
          <w:tcPr>
            <w:tcW w:w="3670" w:type="dxa"/>
            <w:shd w:val="clear" w:color="auto" w:fill="auto"/>
          </w:tcPr>
          <w:p w:rsidR="003D0498" w:rsidRPr="003D0498" w:rsidRDefault="003D0498" w:rsidP="003D0498">
            <w:pPr>
              <w:spacing w:before="40" w:after="120"/>
              <w:ind w:right="113"/>
            </w:pPr>
          </w:p>
        </w:tc>
      </w:tr>
      <w:tr w:rsidR="00247713" w:rsidRPr="003D0498" w:rsidTr="00247713">
        <w:tc>
          <w:tcPr>
            <w:tcW w:w="2348" w:type="dxa"/>
            <w:shd w:val="clear" w:color="auto" w:fill="auto"/>
          </w:tcPr>
          <w:p w:rsidR="003D0498" w:rsidRPr="003D0498" w:rsidRDefault="003D0498" w:rsidP="00247713">
            <w:pPr>
              <w:spacing w:before="40" w:after="120"/>
              <w:ind w:right="113"/>
            </w:pPr>
            <w:r w:rsidRPr="003D0498">
              <w:t>140.51</w:t>
            </w:r>
            <w:r w:rsidR="00247713">
              <w:rPr>
                <w:rStyle w:val="EndnoteReference"/>
              </w:rPr>
              <w:endnoteReference w:id="52"/>
            </w:r>
          </w:p>
        </w:tc>
        <w:tc>
          <w:tcPr>
            <w:tcW w:w="1280" w:type="dxa"/>
            <w:shd w:val="clear" w:color="auto" w:fill="auto"/>
          </w:tcPr>
          <w:p w:rsidR="003D0498" w:rsidRPr="003D0498" w:rsidRDefault="003D0498" w:rsidP="003D0498">
            <w:pPr>
              <w:spacing w:before="40" w:after="120"/>
              <w:ind w:right="113"/>
            </w:pPr>
            <w:r w:rsidRPr="003D0498">
              <w:t>Accepted</w:t>
            </w:r>
          </w:p>
        </w:tc>
        <w:tc>
          <w:tcPr>
            <w:tcW w:w="1207" w:type="dxa"/>
            <w:shd w:val="clear" w:color="auto" w:fill="auto"/>
          </w:tcPr>
          <w:p w:rsidR="003D0498" w:rsidRPr="003D0498" w:rsidRDefault="003D0498" w:rsidP="003D0498">
            <w:pPr>
              <w:spacing w:before="40" w:after="120"/>
              <w:ind w:right="113"/>
            </w:pPr>
          </w:p>
        </w:tc>
        <w:tc>
          <w:tcPr>
            <w:tcW w:w="3670" w:type="dxa"/>
            <w:shd w:val="clear" w:color="auto" w:fill="auto"/>
          </w:tcPr>
          <w:p w:rsidR="003D0498" w:rsidRPr="003D0498" w:rsidRDefault="003D0498" w:rsidP="003D0498">
            <w:pPr>
              <w:spacing w:before="40" w:after="120"/>
              <w:ind w:right="113"/>
            </w:pPr>
          </w:p>
        </w:tc>
      </w:tr>
      <w:tr w:rsidR="00247713" w:rsidRPr="003D0498" w:rsidTr="00247713">
        <w:tc>
          <w:tcPr>
            <w:tcW w:w="2348" w:type="dxa"/>
            <w:shd w:val="clear" w:color="auto" w:fill="auto"/>
          </w:tcPr>
          <w:p w:rsidR="003D0498" w:rsidRPr="003D0498" w:rsidRDefault="003D0498" w:rsidP="00247713">
            <w:pPr>
              <w:spacing w:before="40" w:after="120"/>
              <w:ind w:right="113"/>
            </w:pPr>
            <w:r w:rsidRPr="003D0498">
              <w:t>140.52</w:t>
            </w:r>
            <w:r w:rsidR="00247713">
              <w:rPr>
                <w:rStyle w:val="EndnoteReference"/>
              </w:rPr>
              <w:endnoteReference w:id="53"/>
            </w:r>
          </w:p>
        </w:tc>
        <w:tc>
          <w:tcPr>
            <w:tcW w:w="1280" w:type="dxa"/>
            <w:shd w:val="clear" w:color="auto" w:fill="auto"/>
          </w:tcPr>
          <w:p w:rsidR="003D0498" w:rsidRPr="003D0498" w:rsidRDefault="003D0498" w:rsidP="003D0498">
            <w:pPr>
              <w:spacing w:before="40" w:after="120"/>
              <w:ind w:right="113"/>
            </w:pPr>
          </w:p>
        </w:tc>
        <w:tc>
          <w:tcPr>
            <w:tcW w:w="1207" w:type="dxa"/>
            <w:shd w:val="clear" w:color="auto" w:fill="auto"/>
          </w:tcPr>
          <w:p w:rsidR="003D0498" w:rsidRPr="003D0498" w:rsidRDefault="003D0498" w:rsidP="003D0498">
            <w:pPr>
              <w:spacing w:before="40" w:after="120"/>
              <w:ind w:right="113"/>
            </w:pPr>
            <w:r w:rsidRPr="003D0498">
              <w:t>Noted</w:t>
            </w:r>
          </w:p>
        </w:tc>
        <w:tc>
          <w:tcPr>
            <w:tcW w:w="3670" w:type="dxa"/>
            <w:shd w:val="clear" w:color="auto" w:fill="auto"/>
          </w:tcPr>
          <w:p w:rsidR="003D0498" w:rsidRPr="003D0498" w:rsidRDefault="003D0498" w:rsidP="003D0498">
            <w:pPr>
              <w:spacing w:before="40" w:after="120"/>
              <w:ind w:right="113"/>
            </w:pPr>
            <w:r w:rsidRPr="003D0498">
              <w:t>Fiji repeats its comments in recommendations 140.49</w:t>
            </w:r>
            <w:r>
              <w:t>.</w:t>
            </w:r>
          </w:p>
        </w:tc>
      </w:tr>
      <w:tr w:rsidR="00247713" w:rsidRPr="003D0498" w:rsidTr="00247713">
        <w:tc>
          <w:tcPr>
            <w:tcW w:w="2348" w:type="dxa"/>
            <w:shd w:val="clear" w:color="auto" w:fill="auto"/>
          </w:tcPr>
          <w:p w:rsidR="003D0498" w:rsidRPr="003D0498" w:rsidRDefault="003D0498" w:rsidP="00247713">
            <w:pPr>
              <w:spacing w:before="40" w:after="120"/>
              <w:ind w:right="113"/>
            </w:pPr>
            <w:r w:rsidRPr="003D0498">
              <w:t>140.53</w:t>
            </w:r>
            <w:r w:rsidR="00247713">
              <w:rPr>
                <w:rStyle w:val="EndnoteReference"/>
              </w:rPr>
              <w:endnoteReference w:id="54"/>
            </w:r>
          </w:p>
        </w:tc>
        <w:tc>
          <w:tcPr>
            <w:tcW w:w="1280" w:type="dxa"/>
            <w:shd w:val="clear" w:color="auto" w:fill="auto"/>
          </w:tcPr>
          <w:p w:rsidR="003D0498" w:rsidRPr="003D0498" w:rsidRDefault="003D0498" w:rsidP="003D0498">
            <w:pPr>
              <w:spacing w:before="40" w:after="120"/>
              <w:ind w:right="113"/>
            </w:pPr>
          </w:p>
        </w:tc>
        <w:tc>
          <w:tcPr>
            <w:tcW w:w="1207" w:type="dxa"/>
            <w:shd w:val="clear" w:color="auto" w:fill="auto"/>
          </w:tcPr>
          <w:p w:rsidR="003D0498" w:rsidRPr="003D0498" w:rsidRDefault="003D0498" w:rsidP="003D0498">
            <w:pPr>
              <w:spacing w:before="40" w:after="120"/>
              <w:ind w:right="113"/>
            </w:pPr>
            <w:r w:rsidRPr="003D0498">
              <w:t xml:space="preserve">Noted </w:t>
            </w:r>
          </w:p>
        </w:tc>
        <w:tc>
          <w:tcPr>
            <w:tcW w:w="3670" w:type="dxa"/>
            <w:shd w:val="clear" w:color="auto" w:fill="auto"/>
          </w:tcPr>
          <w:p w:rsidR="003D0498" w:rsidRPr="003D0498" w:rsidRDefault="003D0498" w:rsidP="003D0498">
            <w:pPr>
              <w:spacing w:before="40" w:after="120"/>
              <w:ind w:right="113"/>
            </w:pPr>
            <w:r w:rsidRPr="003D0498">
              <w:t>Fiji repeats its comments in recommendations 140.49</w:t>
            </w:r>
            <w:r>
              <w:t>.</w:t>
            </w:r>
          </w:p>
        </w:tc>
      </w:tr>
      <w:tr w:rsidR="00247713" w:rsidRPr="003D0498" w:rsidTr="00247713">
        <w:tc>
          <w:tcPr>
            <w:tcW w:w="2348" w:type="dxa"/>
            <w:shd w:val="clear" w:color="auto" w:fill="auto"/>
          </w:tcPr>
          <w:p w:rsidR="003D0498" w:rsidRPr="003D0498" w:rsidRDefault="003D0498" w:rsidP="00247713">
            <w:pPr>
              <w:spacing w:before="40" w:after="120"/>
              <w:ind w:right="113"/>
            </w:pPr>
            <w:r w:rsidRPr="003D0498">
              <w:t>140.54</w:t>
            </w:r>
            <w:r w:rsidR="00247713">
              <w:rPr>
                <w:rStyle w:val="EndnoteReference"/>
              </w:rPr>
              <w:endnoteReference w:id="55"/>
            </w:r>
          </w:p>
        </w:tc>
        <w:tc>
          <w:tcPr>
            <w:tcW w:w="1280" w:type="dxa"/>
            <w:shd w:val="clear" w:color="auto" w:fill="auto"/>
          </w:tcPr>
          <w:p w:rsidR="003D0498" w:rsidRPr="003D0498" w:rsidRDefault="003D0498" w:rsidP="003D0498">
            <w:pPr>
              <w:spacing w:before="40" w:after="120"/>
              <w:ind w:right="113"/>
            </w:pPr>
            <w:r w:rsidRPr="003D0498">
              <w:t>Accept</w:t>
            </w:r>
            <w:r w:rsidR="00247713">
              <w:t>ed</w:t>
            </w:r>
          </w:p>
        </w:tc>
        <w:tc>
          <w:tcPr>
            <w:tcW w:w="1207" w:type="dxa"/>
            <w:shd w:val="clear" w:color="auto" w:fill="auto"/>
          </w:tcPr>
          <w:p w:rsidR="003D0498" w:rsidRPr="003D0498" w:rsidRDefault="003D0498" w:rsidP="003D0498">
            <w:pPr>
              <w:spacing w:before="40" w:after="120"/>
              <w:ind w:right="113"/>
            </w:pPr>
          </w:p>
        </w:tc>
        <w:tc>
          <w:tcPr>
            <w:tcW w:w="3670" w:type="dxa"/>
            <w:shd w:val="clear" w:color="auto" w:fill="auto"/>
          </w:tcPr>
          <w:p w:rsidR="003D0498" w:rsidRPr="003D0498" w:rsidRDefault="003D0498" w:rsidP="003D0498">
            <w:pPr>
              <w:spacing w:before="40" w:after="120"/>
              <w:ind w:right="113"/>
            </w:pPr>
          </w:p>
        </w:tc>
      </w:tr>
      <w:tr w:rsidR="003D0498" w:rsidRPr="003D0498" w:rsidTr="00247713">
        <w:tc>
          <w:tcPr>
            <w:tcW w:w="2348" w:type="dxa"/>
            <w:tcBorders>
              <w:bottom w:val="single" w:sz="12" w:space="0" w:color="auto"/>
            </w:tcBorders>
            <w:shd w:val="clear" w:color="auto" w:fill="auto"/>
          </w:tcPr>
          <w:p w:rsidR="003D0498" w:rsidRPr="003D0498" w:rsidRDefault="003D0498" w:rsidP="00247713">
            <w:pPr>
              <w:spacing w:before="40" w:after="120"/>
              <w:ind w:right="113"/>
            </w:pPr>
            <w:r w:rsidRPr="003D0498">
              <w:t>140.55</w:t>
            </w:r>
            <w:r w:rsidR="00247713">
              <w:rPr>
                <w:rStyle w:val="EndnoteReference"/>
              </w:rPr>
              <w:endnoteReference w:id="56"/>
            </w:r>
          </w:p>
        </w:tc>
        <w:tc>
          <w:tcPr>
            <w:tcW w:w="1280" w:type="dxa"/>
            <w:tcBorders>
              <w:bottom w:val="single" w:sz="12" w:space="0" w:color="auto"/>
            </w:tcBorders>
            <w:shd w:val="clear" w:color="auto" w:fill="auto"/>
          </w:tcPr>
          <w:p w:rsidR="003D0498" w:rsidRPr="003D0498" w:rsidRDefault="003D0498" w:rsidP="003D0498">
            <w:pPr>
              <w:spacing w:before="40" w:after="120"/>
              <w:ind w:right="113"/>
            </w:pPr>
          </w:p>
        </w:tc>
        <w:tc>
          <w:tcPr>
            <w:tcW w:w="1207" w:type="dxa"/>
            <w:tcBorders>
              <w:bottom w:val="single" w:sz="12" w:space="0" w:color="auto"/>
            </w:tcBorders>
            <w:shd w:val="clear" w:color="auto" w:fill="auto"/>
          </w:tcPr>
          <w:p w:rsidR="003D0498" w:rsidRPr="003D0498" w:rsidRDefault="003D0498" w:rsidP="003D0498">
            <w:pPr>
              <w:spacing w:before="40" w:after="120"/>
              <w:ind w:right="113"/>
            </w:pPr>
            <w:r w:rsidRPr="003D0498">
              <w:t>Noted</w:t>
            </w:r>
          </w:p>
        </w:tc>
        <w:tc>
          <w:tcPr>
            <w:tcW w:w="3670" w:type="dxa"/>
            <w:tcBorders>
              <w:bottom w:val="single" w:sz="12" w:space="0" w:color="auto"/>
            </w:tcBorders>
            <w:shd w:val="clear" w:color="auto" w:fill="auto"/>
          </w:tcPr>
          <w:p w:rsidR="003D0498" w:rsidRPr="003D0498" w:rsidRDefault="003D0498" w:rsidP="003D0498">
            <w:pPr>
              <w:spacing w:before="40" w:after="120"/>
              <w:ind w:right="113"/>
            </w:pPr>
            <w:r w:rsidRPr="003D0498">
              <w:t>Fiji will take this recommendation into consideration in the future.</w:t>
            </w:r>
          </w:p>
        </w:tc>
      </w:tr>
    </w:tbl>
    <w:p w:rsidR="00247713" w:rsidRDefault="00247713" w:rsidP="00247713"/>
    <w:p w:rsidR="00247713" w:rsidRDefault="00247713" w:rsidP="00247713">
      <w:pPr>
        <w:pStyle w:val="SingleTxtG"/>
      </w:pPr>
      <w:r>
        <w:t>6.</w:t>
      </w:r>
      <w:r>
        <w:tab/>
      </w:r>
      <w:r w:rsidRPr="00247713">
        <w:t>Fiji is pleased to announce that 20 of the 55 recommendations are taken as accepted and 35 of the same taken as noted. Therefore, Fiji has accepted 207 of the total of 242 recommendations.</w:t>
      </w:r>
    </w:p>
    <w:p w:rsidR="00CF586F" w:rsidRPr="005E2DA7" w:rsidRDefault="000E2AE7" w:rsidP="000E2AE7">
      <w:pPr>
        <w:pStyle w:val="H4G"/>
      </w:pPr>
      <w:r>
        <w:t>Notes</w:t>
      </w:r>
    </w:p>
    <w:sectPr w:rsidR="00CF586F" w:rsidRPr="005E2DA7" w:rsidSect="005E2DA7">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DA7" w:rsidRDefault="005E2DA7"/>
  </w:endnote>
  <w:endnote w:type="continuationSeparator" w:id="0">
    <w:p w:rsidR="005E2DA7" w:rsidRDefault="005E2DA7"/>
  </w:endnote>
  <w:endnote w:type="continuationNotice" w:id="1">
    <w:p w:rsidR="005E2DA7" w:rsidRDefault="005E2DA7"/>
  </w:endnote>
  <w:endnote w:id="2">
    <w:p w:rsidR="000E2AE7" w:rsidRDefault="000E2AE7" w:rsidP="000E2AE7">
      <w:pPr>
        <w:pStyle w:val="EndnoteText"/>
        <w:widowControl w:val="0"/>
        <w:tabs>
          <w:tab w:val="clear" w:pos="1021"/>
          <w:tab w:val="right" w:pos="1020"/>
        </w:tabs>
      </w:pPr>
      <w:r>
        <w:tab/>
      </w:r>
      <w:r>
        <w:rPr>
          <w:rStyle w:val="EndnoteReference"/>
        </w:rPr>
        <w:endnoteRef/>
      </w:r>
      <w:r>
        <w:tab/>
      </w:r>
      <w:r w:rsidRPr="000E2AE7">
        <w:rPr>
          <w:bCs/>
          <w:lang w:val="en-US"/>
        </w:rPr>
        <w:t>Ratify the Kampala amendments to the Rome Statute on the crime of aggression, and review its national legislation in order to ensure full alignment with t</w:t>
      </w:r>
      <w:r>
        <w:rPr>
          <w:bCs/>
          <w:lang w:val="en-US"/>
        </w:rPr>
        <w:t>he Rome Statute (Liechtenstein).</w:t>
      </w:r>
    </w:p>
  </w:endnote>
  <w:endnote w:id="3">
    <w:p w:rsidR="000E2AE7" w:rsidRDefault="000E2AE7" w:rsidP="000E2AE7">
      <w:pPr>
        <w:pStyle w:val="EndnoteText"/>
        <w:widowControl w:val="0"/>
        <w:tabs>
          <w:tab w:val="clear" w:pos="1021"/>
          <w:tab w:val="right" w:pos="1020"/>
        </w:tabs>
      </w:pPr>
      <w:r>
        <w:tab/>
      </w:r>
      <w:r>
        <w:rPr>
          <w:rStyle w:val="EndnoteReference"/>
        </w:rPr>
        <w:endnoteRef/>
      </w:r>
      <w:r>
        <w:tab/>
      </w:r>
      <w:r w:rsidRPr="000E2AE7">
        <w:rPr>
          <w:bCs/>
        </w:rPr>
        <w:t>Ratify the Optional Protocols to the core human rights instruments the</w:t>
      </w:r>
      <w:r>
        <w:rPr>
          <w:bCs/>
        </w:rPr>
        <w:t xml:space="preserve"> State has acceded to (Ukraine).</w:t>
      </w:r>
    </w:p>
  </w:endnote>
  <w:endnote w:id="4">
    <w:p w:rsidR="000E2AE7" w:rsidRDefault="000E2AE7" w:rsidP="000E2AE7">
      <w:pPr>
        <w:pStyle w:val="EndnoteText"/>
        <w:widowControl w:val="0"/>
        <w:tabs>
          <w:tab w:val="clear" w:pos="1021"/>
          <w:tab w:val="right" w:pos="1020"/>
        </w:tabs>
      </w:pPr>
      <w:r>
        <w:tab/>
      </w:r>
      <w:r>
        <w:rPr>
          <w:rStyle w:val="EndnoteReference"/>
        </w:rPr>
        <w:endnoteRef/>
      </w:r>
      <w:r>
        <w:tab/>
      </w:r>
      <w:r w:rsidRPr="000E2AE7">
        <w:rPr>
          <w:bCs/>
          <w:lang w:val="en-US"/>
        </w:rPr>
        <w:t>Ratify the Optional Protocol 1 and Optional Protocol 2 to the International Covenant on Civil</w:t>
      </w:r>
      <w:r>
        <w:rPr>
          <w:bCs/>
          <w:lang w:val="en-US"/>
        </w:rPr>
        <w:t xml:space="preserve"> and Political Rights (Armenia).</w:t>
      </w:r>
    </w:p>
  </w:endnote>
  <w:endnote w:id="5">
    <w:p w:rsidR="000E2AE7" w:rsidRDefault="000E2AE7" w:rsidP="000E2AE7">
      <w:pPr>
        <w:pStyle w:val="EndnoteText"/>
        <w:widowControl w:val="0"/>
        <w:tabs>
          <w:tab w:val="clear" w:pos="1021"/>
          <w:tab w:val="right" w:pos="1020"/>
        </w:tabs>
      </w:pPr>
      <w:r>
        <w:tab/>
      </w:r>
      <w:r>
        <w:rPr>
          <w:rStyle w:val="EndnoteReference"/>
        </w:rPr>
        <w:endnoteRef/>
      </w:r>
      <w:r>
        <w:tab/>
      </w:r>
      <w:r w:rsidRPr="000E2AE7">
        <w:rPr>
          <w:bCs/>
          <w:lang w:val="en-US"/>
        </w:rPr>
        <w:t>Ratify the Optional Protocol to the Convention on the Elimination of All Forms of Discrimination against Women and the optional protocols of the International Covenant on Civil</w:t>
      </w:r>
      <w:r>
        <w:rPr>
          <w:bCs/>
          <w:lang w:val="en-US"/>
        </w:rPr>
        <w:t xml:space="preserve"> and Political Rights (Germany).</w:t>
      </w:r>
    </w:p>
  </w:endnote>
  <w:endnote w:id="6">
    <w:p w:rsidR="000E2AE7" w:rsidRDefault="000E2AE7" w:rsidP="000E2AE7">
      <w:pPr>
        <w:pStyle w:val="EndnoteText"/>
        <w:widowControl w:val="0"/>
        <w:tabs>
          <w:tab w:val="clear" w:pos="1021"/>
          <w:tab w:val="right" w:pos="1020"/>
        </w:tabs>
      </w:pPr>
      <w:r>
        <w:tab/>
      </w:r>
      <w:r>
        <w:rPr>
          <w:rStyle w:val="EndnoteReference"/>
        </w:rPr>
        <w:endnoteRef/>
      </w:r>
      <w:r>
        <w:tab/>
      </w:r>
      <w:r w:rsidRPr="000E2AE7">
        <w:t>Ratify the Second Optional Protocol to the International Covenant on Civil and Political</w:t>
      </w:r>
      <w:r>
        <w:t xml:space="preserve"> Rights (Slovenia).</w:t>
      </w:r>
    </w:p>
  </w:endnote>
  <w:endnote w:id="7">
    <w:p w:rsidR="000E2AE7" w:rsidRDefault="000E2AE7" w:rsidP="000E2AE7">
      <w:pPr>
        <w:pStyle w:val="EndnoteText"/>
        <w:widowControl w:val="0"/>
        <w:tabs>
          <w:tab w:val="clear" w:pos="1021"/>
          <w:tab w:val="right" w:pos="1020"/>
        </w:tabs>
      </w:pPr>
      <w:r>
        <w:tab/>
      </w:r>
      <w:r>
        <w:rPr>
          <w:rStyle w:val="EndnoteReference"/>
        </w:rPr>
        <w:endnoteRef/>
      </w:r>
      <w:r>
        <w:tab/>
      </w:r>
      <w:r w:rsidRPr="000E2AE7">
        <w:t>Step up its efforts for the prevention of torture, particularly by ratifying the Optional Protocol to the Convention against Torture and Other Cruel, Inhuman or Degrading Treatm</w:t>
      </w:r>
      <w:r>
        <w:t>ent or Punishment (Switzerland).</w:t>
      </w:r>
    </w:p>
  </w:endnote>
  <w:endnote w:id="8">
    <w:p w:rsidR="000E2AE7" w:rsidRDefault="000E2AE7" w:rsidP="000E2AE7">
      <w:pPr>
        <w:pStyle w:val="EndnoteText"/>
        <w:widowControl w:val="0"/>
        <w:tabs>
          <w:tab w:val="clear" w:pos="1021"/>
          <w:tab w:val="right" w:pos="1020"/>
        </w:tabs>
      </w:pPr>
      <w:r>
        <w:tab/>
      </w:r>
      <w:r>
        <w:rPr>
          <w:rStyle w:val="EndnoteReference"/>
        </w:rPr>
        <w:endnoteRef/>
      </w:r>
      <w:r>
        <w:tab/>
      </w:r>
      <w:r w:rsidRPr="000E2AE7">
        <w:t>Ratify the Optional Protocol to the Convention against Torture and Other Cruel, Inhuman or Degrading Tr</w:t>
      </w:r>
      <w:r>
        <w:t>eatment or Punishment (Denmark).</w:t>
      </w:r>
    </w:p>
  </w:endnote>
  <w:endnote w:id="9">
    <w:p w:rsidR="000E2AE7" w:rsidRDefault="000E2AE7" w:rsidP="000E2AE7">
      <w:pPr>
        <w:pStyle w:val="EndnoteText"/>
        <w:widowControl w:val="0"/>
        <w:tabs>
          <w:tab w:val="clear" w:pos="1021"/>
          <w:tab w:val="right" w:pos="1020"/>
        </w:tabs>
      </w:pPr>
      <w:r>
        <w:tab/>
      </w:r>
      <w:r>
        <w:rPr>
          <w:rStyle w:val="EndnoteReference"/>
        </w:rPr>
        <w:endnoteRef/>
      </w:r>
      <w:r>
        <w:tab/>
      </w:r>
      <w:r w:rsidRPr="000E2AE7">
        <w:t>Adopt a definition of torture in line with the international legal framework as well as ratify the Optional Protocol to the Convention against Torture and Other Cruel, Inhuman or Degrading T</w:t>
      </w:r>
      <w:r>
        <w:t>reatment or Punishment (Mexico).</w:t>
      </w:r>
    </w:p>
  </w:endnote>
  <w:endnote w:id="10">
    <w:p w:rsidR="000E2AE7" w:rsidRDefault="000E2AE7" w:rsidP="000E2AE7">
      <w:pPr>
        <w:pStyle w:val="EndnoteText"/>
        <w:widowControl w:val="0"/>
        <w:tabs>
          <w:tab w:val="clear" w:pos="1021"/>
          <w:tab w:val="right" w:pos="1020"/>
        </w:tabs>
      </w:pPr>
      <w:r>
        <w:tab/>
      </w:r>
      <w:r>
        <w:rPr>
          <w:rStyle w:val="EndnoteReference"/>
        </w:rPr>
        <w:endnoteRef/>
      </w:r>
      <w:r>
        <w:tab/>
      </w:r>
      <w:r w:rsidRPr="000E2AE7">
        <w:rPr>
          <w:bCs/>
        </w:rPr>
        <w:t xml:space="preserve">Ratify all Optional Protocols to the Convention on the Rights of the Child in order to improve the implementation of the rights of the </w:t>
      </w:r>
      <w:r>
        <w:rPr>
          <w:bCs/>
        </w:rPr>
        <w:t>child in all settings (Croatia).</w:t>
      </w:r>
    </w:p>
  </w:endnote>
  <w:endnote w:id="11">
    <w:p w:rsidR="000E2AE7" w:rsidRDefault="000E2AE7" w:rsidP="000E2AE7">
      <w:pPr>
        <w:pStyle w:val="EndnoteText"/>
        <w:widowControl w:val="0"/>
        <w:tabs>
          <w:tab w:val="clear" w:pos="1021"/>
          <w:tab w:val="right" w:pos="1020"/>
        </w:tabs>
      </w:pPr>
      <w:r>
        <w:tab/>
      </w:r>
      <w:r>
        <w:rPr>
          <w:rStyle w:val="EndnoteReference"/>
        </w:rPr>
        <w:endnoteRef/>
      </w:r>
      <w:r>
        <w:tab/>
      </w:r>
      <w:bookmarkStart w:id="1" w:name="_Hlk31980272"/>
      <w:r w:rsidRPr="000E2AE7">
        <w:rPr>
          <w:bCs/>
          <w:lang w:val="en-US"/>
        </w:rPr>
        <w:t>Ratify the two Optional Protocols to the Convention on the Rights of the Child signed by Fiji in 2005, and consider becoming a party to the third Optional Protocol to the Convention on the Rights of the Child on a communications procedure (Seychelles)</w:t>
      </w:r>
      <w:bookmarkEnd w:id="1"/>
      <w:r>
        <w:rPr>
          <w:bCs/>
          <w:lang w:val="en-US"/>
        </w:rPr>
        <w:t>.</w:t>
      </w:r>
    </w:p>
  </w:endnote>
  <w:endnote w:id="12">
    <w:p w:rsidR="000E2AE7" w:rsidRDefault="000E2AE7" w:rsidP="000E2AE7">
      <w:pPr>
        <w:pStyle w:val="EndnoteText"/>
        <w:widowControl w:val="0"/>
        <w:tabs>
          <w:tab w:val="clear" w:pos="1021"/>
          <w:tab w:val="right" w:pos="1020"/>
        </w:tabs>
      </w:pPr>
      <w:r>
        <w:tab/>
      </w:r>
      <w:r>
        <w:rPr>
          <w:rStyle w:val="EndnoteReference"/>
        </w:rPr>
        <w:endnoteRef/>
      </w:r>
      <w:r>
        <w:tab/>
      </w:r>
      <w:r w:rsidRPr="000E2AE7">
        <w:t>Withdraw signatory reservations to the Convention against Torture and other Cruel, Inhuman or Degrading Tr</w:t>
      </w:r>
      <w:r>
        <w:t>eatment or Punishment (Ukraine).</w:t>
      </w:r>
    </w:p>
  </w:endnote>
  <w:endnote w:id="13">
    <w:p w:rsidR="000E2AE7" w:rsidRDefault="000E2AE7" w:rsidP="000E2AE7">
      <w:pPr>
        <w:pStyle w:val="EndnoteText"/>
        <w:widowControl w:val="0"/>
        <w:tabs>
          <w:tab w:val="clear" w:pos="1021"/>
          <w:tab w:val="right" w:pos="1020"/>
        </w:tabs>
      </w:pPr>
      <w:r>
        <w:tab/>
      </w:r>
      <w:r>
        <w:rPr>
          <w:rStyle w:val="EndnoteReference"/>
        </w:rPr>
        <w:endnoteRef/>
      </w:r>
      <w:r>
        <w:tab/>
      </w:r>
      <w:r w:rsidRPr="000E2AE7">
        <w:t xml:space="preserve">Consider the withdrawal of its reservations to the Convention against Torture and Other Cruel, Inhuman or Degrading Treatment or Punishment, particularly relating to the </w:t>
      </w:r>
      <w:r>
        <w:t>definition of torture (Armenia).</w:t>
      </w:r>
    </w:p>
  </w:endnote>
  <w:endnote w:id="14">
    <w:p w:rsidR="000E2AE7" w:rsidRDefault="000E2AE7" w:rsidP="000E2AE7">
      <w:pPr>
        <w:pStyle w:val="EndnoteText"/>
        <w:widowControl w:val="0"/>
        <w:tabs>
          <w:tab w:val="clear" w:pos="1021"/>
          <w:tab w:val="right" w:pos="1020"/>
        </w:tabs>
      </w:pPr>
      <w:r>
        <w:tab/>
      </w:r>
      <w:r>
        <w:rPr>
          <w:rStyle w:val="EndnoteReference"/>
        </w:rPr>
        <w:endnoteRef/>
      </w:r>
      <w:r>
        <w:tab/>
      </w:r>
      <w:r w:rsidRPr="000E2AE7">
        <w:rPr>
          <w:bCs/>
        </w:rPr>
        <w:t>Withdraw its reservation to the Convention against Torture and Other Cruel, Inhuman or Degrading Treatm</w:t>
      </w:r>
      <w:r>
        <w:rPr>
          <w:bCs/>
        </w:rPr>
        <w:t>ent or Punishment (New Zealand).</w:t>
      </w:r>
    </w:p>
  </w:endnote>
  <w:endnote w:id="15">
    <w:p w:rsidR="000E2AE7" w:rsidRDefault="000E2AE7" w:rsidP="000E2AE7">
      <w:pPr>
        <w:pStyle w:val="EndnoteText"/>
        <w:widowControl w:val="0"/>
        <w:tabs>
          <w:tab w:val="clear" w:pos="1021"/>
          <w:tab w:val="right" w:pos="1020"/>
        </w:tabs>
      </w:pPr>
      <w:r>
        <w:tab/>
      </w:r>
      <w:r>
        <w:rPr>
          <w:rStyle w:val="EndnoteReference"/>
        </w:rPr>
        <w:endnoteRef/>
      </w:r>
      <w:r>
        <w:tab/>
      </w:r>
      <w:r w:rsidRPr="000E2AE7">
        <w:rPr>
          <w:bCs/>
        </w:rPr>
        <w:t>Withdraw all its reservations to the Convention against Torture and Other Cruel, Inhuman or Degrading Treatment or Punishment and intensify its effort to prevent to</w:t>
      </w:r>
      <w:r>
        <w:rPr>
          <w:bCs/>
        </w:rPr>
        <w:t>rture in all settings (Germany).</w:t>
      </w:r>
    </w:p>
  </w:endnote>
  <w:endnote w:id="16">
    <w:p w:rsidR="000E2AE7" w:rsidRDefault="000E2AE7" w:rsidP="000E2AE7">
      <w:pPr>
        <w:pStyle w:val="EndnoteText"/>
        <w:widowControl w:val="0"/>
        <w:tabs>
          <w:tab w:val="clear" w:pos="1021"/>
          <w:tab w:val="right" w:pos="1020"/>
        </w:tabs>
      </w:pPr>
      <w:r>
        <w:tab/>
      </w:r>
      <w:r>
        <w:rPr>
          <w:rStyle w:val="EndnoteReference"/>
        </w:rPr>
        <w:endnoteRef/>
      </w:r>
      <w:r>
        <w:tab/>
      </w:r>
      <w:r w:rsidRPr="000E2AE7">
        <w:rPr>
          <w:bCs/>
        </w:rPr>
        <w:t xml:space="preserve">Withdraw the reservations to the Convention against Torture and Other Cruel, Inhuman or Degrading </w:t>
      </w:r>
      <w:r>
        <w:rPr>
          <w:bCs/>
        </w:rPr>
        <w:t>Treatment or Punishment (Italy).</w:t>
      </w:r>
    </w:p>
  </w:endnote>
  <w:endnote w:id="17">
    <w:p w:rsidR="000E2AE7" w:rsidRDefault="000E2AE7" w:rsidP="000E2AE7">
      <w:pPr>
        <w:pStyle w:val="EndnoteText"/>
        <w:widowControl w:val="0"/>
        <w:tabs>
          <w:tab w:val="clear" w:pos="1021"/>
          <w:tab w:val="right" w:pos="1020"/>
        </w:tabs>
      </w:pPr>
      <w:r>
        <w:tab/>
      </w:r>
      <w:r>
        <w:rPr>
          <w:rStyle w:val="EndnoteReference"/>
        </w:rPr>
        <w:endnoteRef/>
      </w:r>
      <w:r>
        <w:tab/>
      </w:r>
      <w:r w:rsidRPr="000E2AE7">
        <w:rPr>
          <w:bCs/>
        </w:rPr>
        <w:t xml:space="preserve">Withdraw all reservations to the Convention </w:t>
      </w:r>
      <w:r>
        <w:rPr>
          <w:bCs/>
        </w:rPr>
        <w:t>against Torture (Liechtenstein).</w:t>
      </w:r>
    </w:p>
  </w:endnote>
  <w:endnote w:id="18">
    <w:p w:rsidR="000E2AE7" w:rsidRDefault="000E2AE7" w:rsidP="000E2AE7">
      <w:pPr>
        <w:pStyle w:val="EndnoteText"/>
        <w:widowControl w:val="0"/>
        <w:tabs>
          <w:tab w:val="clear" w:pos="1021"/>
          <w:tab w:val="right" w:pos="1020"/>
        </w:tabs>
      </w:pPr>
      <w:r>
        <w:tab/>
      </w:r>
      <w:r>
        <w:rPr>
          <w:rStyle w:val="EndnoteReference"/>
        </w:rPr>
        <w:endnoteRef/>
      </w:r>
      <w:r>
        <w:tab/>
      </w:r>
      <w:r w:rsidRPr="000E2AE7">
        <w:rPr>
          <w:bCs/>
        </w:rPr>
        <w:t>Consider the ratification of the ILO Domestic Workers C</w:t>
      </w:r>
      <w:r>
        <w:rPr>
          <w:bCs/>
        </w:rPr>
        <w:t>onvention no. 189 (Philippines).</w:t>
      </w:r>
    </w:p>
  </w:endnote>
  <w:endnote w:id="19">
    <w:p w:rsidR="000E2AE7" w:rsidRDefault="000E2AE7" w:rsidP="000E2AE7">
      <w:pPr>
        <w:pStyle w:val="EndnoteText"/>
        <w:widowControl w:val="0"/>
        <w:tabs>
          <w:tab w:val="clear" w:pos="1021"/>
          <w:tab w:val="right" w:pos="1020"/>
        </w:tabs>
      </w:pPr>
      <w:r>
        <w:tab/>
      </w:r>
      <w:r>
        <w:rPr>
          <w:rStyle w:val="EndnoteReference"/>
        </w:rPr>
        <w:endnoteRef/>
      </w:r>
      <w:r>
        <w:tab/>
      </w:r>
      <w:r w:rsidRPr="000E2AE7">
        <w:rPr>
          <w:bCs/>
        </w:rPr>
        <w:t>Ratify and implement the ILO Protocol of 2014 to the Forced Labour Convention, 1930 (United Kingdom of Grea</w:t>
      </w:r>
      <w:r>
        <w:rPr>
          <w:bCs/>
        </w:rPr>
        <w:t>t Britain and Northern Ireland).</w:t>
      </w:r>
    </w:p>
  </w:endnote>
  <w:endnote w:id="20">
    <w:p w:rsidR="000E2AE7" w:rsidRDefault="000E2AE7" w:rsidP="000E2AE7">
      <w:pPr>
        <w:pStyle w:val="EndnoteText"/>
        <w:widowControl w:val="0"/>
        <w:tabs>
          <w:tab w:val="clear" w:pos="1021"/>
          <w:tab w:val="right" w:pos="1020"/>
        </w:tabs>
      </w:pPr>
      <w:r>
        <w:tab/>
      </w:r>
      <w:r>
        <w:rPr>
          <w:rStyle w:val="EndnoteReference"/>
        </w:rPr>
        <w:endnoteRef/>
      </w:r>
      <w:r>
        <w:tab/>
      </w:r>
      <w:r w:rsidRPr="000E2AE7">
        <w:rPr>
          <w:bCs/>
        </w:rPr>
        <w:t>Ratify the Convention against Discrimination in Education, as</w:t>
      </w:r>
      <w:r>
        <w:rPr>
          <w:bCs/>
        </w:rPr>
        <w:t xml:space="preserve"> recommended by UNESCO (Serbia).</w:t>
      </w:r>
    </w:p>
  </w:endnote>
  <w:endnote w:id="21">
    <w:p w:rsidR="000E2AE7" w:rsidRDefault="000E2AE7" w:rsidP="000E2AE7">
      <w:pPr>
        <w:pStyle w:val="EndnoteText"/>
        <w:widowControl w:val="0"/>
        <w:tabs>
          <w:tab w:val="clear" w:pos="1021"/>
          <w:tab w:val="right" w:pos="1020"/>
        </w:tabs>
      </w:pPr>
      <w:r>
        <w:tab/>
      </w:r>
      <w:r>
        <w:rPr>
          <w:rStyle w:val="EndnoteReference"/>
        </w:rPr>
        <w:endnoteRef/>
      </w:r>
      <w:r>
        <w:tab/>
      </w:r>
      <w:r w:rsidRPr="000E2AE7">
        <w:rPr>
          <w:bCs/>
        </w:rPr>
        <w:t>Ensure that national legislation does not grant immunity to those responsible for serious human</w:t>
      </w:r>
      <w:r>
        <w:rPr>
          <w:bCs/>
        </w:rPr>
        <w:t xml:space="preserve"> rights violations (Costa Rica).</w:t>
      </w:r>
    </w:p>
  </w:endnote>
  <w:endnote w:id="22">
    <w:p w:rsidR="000E2AE7" w:rsidRDefault="000E2AE7" w:rsidP="000E2AE7">
      <w:pPr>
        <w:pStyle w:val="EndnoteText"/>
        <w:widowControl w:val="0"/>
        <w:tabs>
          <w:tab w:val="clear" w:pos="1021"/>
          <w:tab w:val="right" w:pos="1020"/>
        </w:tabs>
      </w:pPr>
      <w:r>
        <w:tab/>
      </w:r>
      <w:r>
        <w:rPr>
          <w:rStyle w:val="EndnoteReference"/>
        </w:rPr>
        <w:endnoteRef/>
      </w:r>
      <w:r>
        <w:tab/>
      </w:r>
      <w:r w:rsidRPr="000E2AE7">
        <w:rPr>
          <w:bCs/>
        </w:rPr>
        <w:t>Consider developing through stakeholder dialogue a National Human</w:t>
      </w:r>
      <w:r>
        <w:rPr>
          <w:bCs/>
        </w:rPr>
        <w:t xml:space="preserve"> Rights Action Plan (Sri Lanka).</w:t>
      </w:r>
    </w:p>
  </w:endnote>
  <w:endnote w:id="23">
    <w:p w:rsidR="000E2AE7" w:rsidRDefault="000E2AE7" w:rsidP="000E2AE7">
      <w:pPr>
        <w:pStyle w:val="EndnoteText"/>
        <w:widowControl w:val="0"/>
        <w:tabs>
          <w:tab w:val="clear" w:pos="1021"/>
          <w:tab w:val="right" w:pos="1020"/>
        </w:tabs>
      </w:pPr>
      <w:r>
        <w:tab/>
      </w:r>
      <w:r>
        <w:rPr>
          <w:rStyle w:val="EndnoteReference"/>
        </w:rPr>
        <w:endnoteRef/>
      </w:r>
      <w:r>
        <w:tab/>
      </w:r>
      <w:r w:rsidRPr="000E2AE7">
        <w:rPr>
          <w:bCs/>
        </w:rPr>
        <w:t xml:space="preserve">Join the </w:t>
      </w:r>
      <w:bookmarkStart w:id="2" w:name="_Hlk31982581"/>
      <w:r w:rsidRPr="000E2AE7">
        <w:rPr>
          <w:bCs/>
        </w:rPr>
        <w:t xml:space="preserve">Code of Conduct regarding Security Council action against genocide, crimes against humanity or war crimes, as elaborated by the Accountability, Coherence and Transparency Group </w:t>
      </w:r>
      <w:bookmarkEnd w:id="2"/>
      <w:r>
        <w:rPr>
          <w:bCs/>
        </w:rPr>
        <w:t>(Liechtenstein).</w:t>
      </w:r>
    </w:p>
  </w:endnote>
  <w:endnote w:id="24">
    <w:p w:rsidR="000E2AE7" w:rsidRDefault="000E2AE7" w:rsidP="000E2AE7">
      <w:pPr>
        <w:pStyle w:val="EndnoteText"/>
        <w:widowControl w:val="0"/>
        <w:tabs>
          <w:tab w:val="clear" w:pos="1021"/>
          <w:tab w:val="right" w:pos="1020"/>
        </w:tabs>
      </w:pPr>
      <w:r>
        <w:tab/>
      </w:r>
      <w:r>
        <w:rPr>
          <w:rStyle w:val="EndnoteReference"/>
        </w:rPr>
        <w:endnoteRef/>
      </w:r>
      <w:r>
        <w:tab/>
      </w:r>
      <w:r w:rsidRPr="000E2AE7">
        <w:rPr>
          <w:bCs/>
        </w:rPr>
        <w:t xml:space="preserve">Enact and implement a holistic Anti-Discrimination and Equality Law which, inter alia, includes provisions to comprehensively address the multiple and intersecting forms of violence and discrimination faced </w:t>
      </w:r>
      <w:r>
        <w:rPr>
          <w:bCs/>
        </w:rPr>
        <w:t>by the LGBTI persons (Portugal).</w:t>
      </w:r>
    </w:p>
  </w:endnote>
  <w:endnote w:id="25">
    <w:p w:rsidR="000E2AE7" w:rsidRDefault="000E2AE7" w:rsidP="000E2AE7">
      <w:pPr>
        <w:pStyle w:val="EndnoteText"/>
        <w:widowControl w:val="0"/>
        <w:tabs>
          <w:tab w:val="clear" w:pos="1021"/>
          <w:tab w:val="right" w:pos="1020"/>
        </w:tabs>
      </w:pPr>
      <w:r>
        <w:tab/>
      </w:r>
      <w:r>
        <w:rPr>
          <w:rStyle w:val="EndnoteReference"/>
        </w:rPr>
        <w:endnoteRef/>
      </w:r>
      <w:r>
        <w:tab/>
      </w:r>
      <w:r w:rsidRPr="000E2AE7">
        <w:rPr>
          <w:bCs/>
        </w:rPr>
        <w:t>Adopt comprehensive anti-racism and ethnic discrimination legislation, including a national action plan, and determinate racial/ethnic motives as aggravating circumstances i</w:t>
      </w:r>
      <w:r>
        <w:rPr>
          <w:bCs/>
        </w:rPr>
        <w:t>n criminal legislation (Serbia).</w:t>
      </w:r>
    </w:p>
  </w:endnote>
  <w:endnote w:id="26">
    <w:p w:rsidR="000E2AE7" w:rsidRDefault="000E2AE7" w:rsidP="000E2AE7">
      <w:pPr>
        <w:pStyle w:val="EndnoteText"/>
        <w:widowControl w:val="0"/>
        <w:tabs>
          <w:tab w:val="clear" w:pos="1021"/>
          <w:tab w:val="right" w:pos="1020"/>
        </w:tabs>
      </w:pPr>
      <w:r>
        <w:tab/>
      </w:r>
      <w:r>
        <w:rPr>
          <w:rStyle w:val="EndnoteReference"/>
        </w:rPr>
        <w:endnoteRef/>
      </w:r>
      <w:r>
        <w:tab/>
      </w:r>
      <w:r w:rsidRPr="000E2AE7">
        <w:rPr>
          <w:bCs/>
        </w:rPr>
        <w:t>Adopt a comprehensive anti-discrimination or equality act and put in place public awareness-raising campaigns, which will address the issue of discrimination and stigmatization a</w:t>
      </w:r>
      <w:r>
        <w:rPr>
          <w:bCs/>
        </w:rPr>
        <w:t>gainst LGBTI persons (Slovenia).</w:t>
      </w:r>
    </w:p>
  </w:endnote>
  <w:endnote w:id="27">
    <w:p w:rsidR="000E2AE7" w:rsidRDefault="000E2AE7" w:rsidP="000E2AE7">
      <w:pPr>
        <w:pStyle w:val="EndnoteText"/>
        <w:widowControl w:val="0"/>
        <w:tabs>
          <w:tab w:val="clear" w:pos="1021"/>
          <w:tab w:val="right" w:pos="1020"/>
        </w:tabs>
      </w:pPr>
      <w:r>
        <w:tab/>
      </w:r>
      <w:r>
        <w:rPr>
          <w:rStyle w:val="EndnoteReference"/>
        </w:rPr>
        <w:endnoteRef/>
      </w:r>
      <w:r>
        <w:tab/>
      </w:r>
      <w:r w:rsidRPr="000E2AE7">
        <w:rPr>
          <w:bCs/>
        </w:rPr>
        <w:t>Enact a holistic Anti-Discrimination and Equality Legislation to comprehensively address social discrimination faced b</w:t>
      </w:r>
      <w:r>
        <w:rPr>
          <w:bCs/>
        </w:rPr>
        <w:t>y the LGBTI community (Iceland).</w:t>
      </w:r>
    </w:p>
  </w:endnote>
  <w:endnote w:id="28">
    <w:p w:rsidR="000E2AE7" w:rsidRDefault="000E2AE7" w:rsidP="000E2AE7">
      <w:pPr>
        <w:pStyle w:val="EndnoteText"/>
        <w:widowControl w:val="0"/>
        <w:tabs>
          <w:tab w:val="clear" w:pos="1021"/>
          <w:tab w:val="right" w:pos="1020"/>
        </w:tabs>
      </w:pPr>
      <w:r>
        <w:tab/>
      </w:r>
      <w:r>
        <w:rPr>
          <w:rStyle w:val="EndnoteReference"/>
        </w:rPr>
        <w:endnoteRef/>
      </w:r>
      <w:r>
        <w:tab/>
      </w:r>
      <w:r w:rsidRPr="000E2AE7">
        <w:rPr>
          <w:bCs/>
        </w:rPr>
        <w:t>Take more decisive action in adapting legislation, including prosecution and adequate punishment of the perpetrators of discrimination, hate speech and violence against lesbian, bisexual and</w:t>
      </w:r>
      <w:r>
        <w:rPr>
          <w:bCs/>
        </w:rPr>
        <w:t xml:space="preserve"> transgender women (Montenegro).</w:t>
      </w:r>
    </w:p>
  </w:endnote>
  <w:endnote w:id="29">
    <w:p w:rsidR="000E2AE7" w:rsidRDefault="000E2AE7" w:rsidP="000E2AE7">
      <w:pPr>
        <w:pStyle w:val="EndnoteText"/>
        <w:widowControl w:val="0"/>
        <w:tabs>
          <w:tab w:val="clear" w:pos="1021"/>
          <w:tab w:val="right" w:pos="1020"/>
        </w:tabs>
      </w:pPr>
      <w:r>
        <w:tab/>
      </w:r>
      <w:r>
        <w:rPr>
          <w:rStyle w:val="EndnoteReference"/>
        </w:rPr>
        <w:endnoteRef/>
      </w:r>
      <w:r>
        <w:tab/>
      </w:r>
      <w:r w:rsidRPr="000E2AE7">
        <w:rPr>
          <w:bCs/>
        </w:rPr>
        <w:t>Legislate to address hate crimes against</w:t>
      </w:r>
      <w:r>
        <w:rPr>
          <w:bCs/>
        </w:rPr>
        <w:t xml:space="preserve"> the LGBTI-community (Germany).</w:t>
      </w:r>
    </w:p>
  </w:endnote>
  <w:endnote w:id="30">
    <w:p w:rsidR="000E2AE7" w:rsidRDefault="000E2AE7" w:rsidP="000E2AE7">
      <w:pPr>
        <w:pStyle w:val="EndnoteText"/>
        <w:widowControl w:val="0"/>
        <w:tabs>
          <w:tab w:val="clear" w:pos="1021"/>
          <w:tab w:val="right" w:pos="1020"/>
        </w:tabs>
      </w:pPr>
      <w:r>
        <w:tab/>
      </w:r>
      <w:r>
        <w:rPr>
          <w:rStyle w:val="EndnoteReference"/>
        </w:rPr>
        <w:endnoteRef/>
      </w:r>
      <w:r>
        <w:tab/>
      </w:r>
      <w:r w:rsidRPr="000E2AE7">
        <w:t>Develop a national strategy on lesbian, gay, bisexual, transgender and intersex persons, in collaboration with the lesbian, gay, bisexual, transgender and intersex community, to guide its work in eliminating multiple and intersecting forms of violence and discrimination against lesbian, gay, bisexual, transgender</w:t>
      </w:r>
      <w:r>
        <w:t xml:space="preserve"> and intersex persons (Iceland).</w:t>
      </w:r>
    </w:p>
  </w:endnote>
  <w:endnote w:id="31">
    <w:p w:rsidR="000E2AE7" w:rsidRDefault="000E2AE7" w:rsidP="000E2AE7">
      <w:pPr>
        <w:pStyle w:val="EndnoteText"/>
        <w:widowControl w:val="0"/>
        <w:tabs>
          <w:tab w:val="clear" w:pos="1021"/>
          <w:tab w:val="right" w:pos="1020"/>
        </w:tabs>
      </w:pPr>
      <w:r>
        <w:tab/>
      </w:r>
      <w:r>
        <w:rPr>
          <w:rStyle w:val="EndnoteReference"/>
        </w:rPr>
        <w:endnoteRef/>
      </w:r>
      <w:r>
        <w:tab/>
      </w:r>
      <w:r w:rsidRPr="000E2AE7">
        <w:rPr>
          <w:bCs/>
        </w:rPr>
        <w:t>Take specific measures, including strengthening the legal framework, to eliminate discrimination, hate speech and violence against LBT women, including by prosecuting and adequately punishing perpetrators, and adopt awareness-raising measures to address stigma</w:t>
      </w:r>
      <w:r>
        <w:rPr>
          <w:bCs/>
        </w:rPr>
        <w:t xml:space="preserve"> within society (Liechtenstein).</w:t>
      </w:r>
    </w:p>
  </w:endnote>
  <w:endnote w:id="32">
    <w:p w:rsidR="000E2AE7" w:rsidRDefault="000E2AE7" w:rsidP="000E2AE7">
      <w:pPr>
        <w:pStyle w:val="EndnoteText"/>
        <w:widowControl w:val="0"/>
        <w:tabs>
          <w:tab w:val="clear" w:pos="1021"/>
          <w:tab w:val="right" w:pos="1020"/>
        </w:tabs>
      </w:pPr>
      <w:r>
        <w:tab/>
      </w:r>
      <w:r>
        <w:rPr>
          <w:rStyle w:val="EndnoteReference"/>
        </w:rPr>
        <w:endnoteRef/>
      </w:r>
      <w:r>
        <w:tab/>
      </w:r>
      <w:r w:rsidRPr="000E2AE7">
        <w:rPr>
          <w:bCs/>
        </w:rPr>
        <w:t>Draft and implement an Action Plan to eradicate violence and discrimination based on sexual orientati</w:t>
      </w:r>
      <w:r>
        <w:rPr>
          <w:bCs/>
        </w:rPr>
        <w:t>on and gender identity (Mexico).</w:t>
      </w:r>
    </w:p>
  </w:endnote>
  <w:endnote w:id="33">
    <w:p w:rsidR="000E2AE7" w:rsidRDefault="000E2AE7" w:rsidP="000E2AE7">
      <w:pPr>
        <w:pStyle w:val="EndnoteText"/>
        <w:widowControl w:val="0"/>
        <w:tabs>
          <w:tab w:val="clear" w:pos="1021"/>
          <w:tab w:val="right" w:pos="1020"/>
        </w:tabs>
      </w:pPr>
      <w:r>
        <w:tab/>
      </w:r>
      <w:r>
        <w:rPr>
          <w:rStyle w:val="EndnoteReference"/>
        </w:rPr>
        <w:endnoteRef/>
      </w:r>
      <w:r>
        <w:tab/>
      </w:r>
      <w:r w:rsidRPr="000E2AE7">
        <w:t xml:space="preserve">Consider conducting a national dialogue on climate change, bringing together all stakeholders and the public to outline priorities to mobilize domestic and global partners and align resources according to the country’s most </w:t>
      </w:r>
      <w:r>
        <w:t>urgent needs (Marshall Islands).</w:t>
      </w:r>
    </w:p>
  </w:endnote>
  <w:endnote w:id="34">
    <w:p w:rsidR="000E2AE7" w:rsidRDefault="000E2AE7" w:rsidP="000E2AE7">
      <w:pPr>
        <w:pStyle w:val="EndnoteText"/>
        <w:widowControl w:val="0"/>
        <w:tabs>
          <w:tab w:val="clear" w:pos="1021"/>
          <w:tab w:val="right" w:pos="1020"/>
        </w:tabs>
      </w:pPr>
      <w:r>
        <w:tab/>
      </w:r>
      <w:r>
        <w:rPr>
          <w:rStyle w:val="EndnoteReference"/>
        </w:rPr>
        <w:endnoteRef/>
      </w:r>
      <w:r>
        <w:tab/>
      </w:r>
      <w:r w:rsidRPr="000E2AE7">
        <w:rPr>
          <w:bCs/>
        </w:rPr>
        <w:t>Ensure implementation of recommendations from the visit of the United Nations Office on Drugs and Crime to prevent, investigate, prosecute and punish</w:t>
      </w:r>
      <w:r>
        <w:rPr>
          <w:bCs/>
        </w:rPr>
        <w:t xml:space="preserve"> acts of trafficking (Botswana).</w:t>
      </w:r>
    </w:p>
  </w:endnote>
  <w:endnote w:id="35">
    <w:p w:rsidR="000E2AE7" w:rsidRDefault="000E2AE7" w:rsidP="000E2AE7">
      <w:pPr>
        <w:pStyle w:val="EndnoteText"/>
        <w:widowControl w:val="0"/>
        <w:tabs>
          <w:tab w:val="clear" w:pos="1021"/>
          <w:tab w:val="right" w:pos="1020"/>
        </w:tabs>
      </w:pPr>
      <w:r>
        <w:tab/>
      </w:r>
      <w:r>
        <w:rPr>
          <w:rStyle w:val="EndnoteReference"/>
        </w:rPr>
        <w:endnoteRef/>
      </w:r>
      <w:r>
        <w:tab/>
      </w:r>
      <w:r w:rsidRPr="000E2AE7">
        <w:rPr>
          <w:bCs/>
        </w:rPr>
        <w:t>Continue its efforts to guarantee the exhaustive investigation and prosecution of the authors of trafficking in persons and take all necessary steps to guarantee the effective application of the National Plan of Action for the Eradication of Tr</w:t>
      </w:r>
      <w:r>
        <w:rPr>
          <w:bCs/>
        </w:rPr>
        <w:t>afficking in Persons (Honduras).</w:t>
      </w:r>
    </w:p>
  </w:endnote>
  <w:endnote w:id="36">
    <w:p w:rsidR="000E2AE7" w:rsidRDefault="000E2AE7" w:rsidP="000E2AE7">
      <w:pPr>
        <w:pStyle w:val="EndnoteText"/>
        <w:widowControl w:val="0"/>
        <w:tabs>
          <w:tab w:val="clear" w:pos="1021"/>
          <w:tab w:val="right" w:pos="1020"/>
        </w:tabs>
      </w:pPr>
      <w:r>
        <w:tab/>
      </w:r>
      <w:r>
        <w:rPr>
          <w:rStyle w:val="EndnoteReference"/>
        </w:rPr>
        <w:endnoteRef/>
      </w:r>
      <w:r>
        <w:tab/>
      </w:r>
      <w:r w:rsidRPr="000E2AE7">
        <w:rPr>
          <w:bCs/>
        </w:rPr>
        <w:t>Adopt concrete measures to ensure that trade unions and human rights defenders are able to carry out their work, guaranteeing their freedom of expression, association, assembly a</w:t>
      </w:r>
      <w:r>
        <w:rPr>
          <w:bCs/>
        </w:rPr>
        <w:t>nd freedom of the press (Spain).</w:t>
      </w:r>
    </w:p>
  </w:endnote>
  <w:endnote w:id="37">
    <w:p w:rsidR="000E2AE7" w:rsidRDefault="000E2AE7" w:rsidP="000E2AE7">
      <w:pPr>
        <w:pStyle w:val="EndnoteText"/>
        <w:widowControl w:val="0"/>
        <w:tabs>
          <w:tab w:val="clear" w:pos="1021"/>
          <w:tab w:val="right" w:pos="1020"/>
        </w:tabs>
      </w:pPr>
      <w:r>
        <w:tab/>
      </w:r>
      <w:r>
        <w:rPr>
          <w:rStyle w:val="EndnoteReference"/>
        </w:rPr>
        <w:endnoteRef/>
      </w:r>
      <w:r>
        <w:tab/>
      </w:r>
      <w:r w:rsidRPr="000E2AE7">
        <w:t>Repeal all laws and policies that unlawfully restrict fundamental rights of freedom of expression, assembly and association, including sections of the Public Order (Amendment) Act, the Media Industry Development Decree, the Electoral Act 2014 and the O</w:t>
      </w:r>
      <w:r>
        <w:t>nline Safety Act (Netherlands).</w:t>
      </w:r>
    </w:p>
  </w:endnote>
  <w:endnote w:id="38">
    <w:p w:rsidR="000E2AE7" w:rsidRDefault="000E2AE7" w:rsidP="000E2AE7">
      <w:pPr>
        <w:pStyle w:val="EndnoteText"/>
        <w:widowControl w:val="0"/>
        <w:tabs>
          <w:tab w:val="clear" w:pos="1021"/>
          <w:tab w:val="right" w:pos="1020"/>
        </w:tabs>
      </w:pPr>
      <w:r>
        <w:tab/>
      </w:r>
      <w:r>
        <w:rPr>
          <w:rStyle w:val="EndnoteReference"/>
        </w:rPr>
        <w:endnoteRef/>
      </w:r>
      <w:r>
        <w:tab/>
      </w:r>
      <w:r w:rsidRPr="000E2AE7">
        <w:t>Review decrees limiting freedom of expression and association, particularly the Media Industry Development Decree, the Essential National Industries (Employment) Decree and the Public Order (Amendment) Act (United Kingdom of Great</w:t>
      </w:r>
      <w:r>
        <w:t xml:space="preserve"> Britain and Northern Ireland).</w:t>
      </w:r>
    </w:p>
  </w:endnote>
  <w:endnote w:id="39">
    <w:p w:rsidR="000E2AE7" w:rsidRDefault="000E2AE7" w:rsidP="000E2AE7">
      <w:pPr>
        <w:pStyle w:val="EndnoteText"/>
        <w:widowControl w:val="0"/>
        <w:tabs>
          <w:tab w:val="clear" w:pos="1021"/>
          <w:tab w:val="right" w:pos="1020"/>
        </w:tabs>
      </w:pPr>
      <w:r>
        <w:tab/>
      </w:r>
      <w:r>
        <w:rPr>
          <w:rStyle w:val="EndnoteReference"/>
        </w:rPr>
        <w:endnoteRef/>
      </w:r>
      <w:r>
        <w:tab/>
      </w:r>
      <w:bookmarkStart w:id="4" w:name="_Hlk31984542"/>
      <w:r w:rsidRPr="000E2AE7">
        <w:rPr>
          <w:bCs/>
        </w:rPr>
        <w:t>Take measures to permit lawful labor, political, and social protests, and to safeguard activists’ and human rights defenders’ rights to speak and peacefully assemble freely, without harassment, and unimpeded by inappropriately applied administrative impediments</w:t>
      </w:r>
      <w:bookmarkEnd w:id="4"/>
      <w:r>
        <w:rPr>
          <w:bCs/>
        </w:rPr>
        <w:t xml:space="preserve"> (United States of America).</w:t>
      </w:r>
    </w:p>
  </w:endnote>
  <w:endnote w:id="40">
    <w:p w:rsidR="000E2AE7" w:rsidRDefault="000E2AE7" w:rsidP="000E2AE7">
      <w:pPr>
        <w:pStyle w:val="EndnoteText"/>
        <w:widowControl w:val="0"/>
        <w:tabs>
          <w:tab w:val="clear" w:pos="1021"/>
          <w:tab w:val="right" w:pos="1020"/>
        </w:tabs>
      </w:pPr>
      <w:r>
        <w:tab/>
      </w:r>
      <w:r>
        <w:rPr>
          <w:rStyle w:val="EndnoteReference"/>
        </w:rPr>
        <w:endnoteRef/>
      </w:r>
      <w:r>
        <w:tab/>
      </w:r>
      <w:r w:rsidRPr="000E2AE7">
        <w:rPr>
          <w:bCs/>
        </w:rPr>
        <w:t>Take the necessary measures in order to revise the law on the dev</w:t>
      </w:r>
      <w:r>
        <w:rPr>
          <w:bCs/>
        </w:rPr>
        <w:t>elopment of the media (Albania).</w:t>
      </w:r>
    </w:p>
  </w:endnote>
  <w:endnote w:id="41">
    <w:p w:rsidR="000E2AE7" w:rsidRDefault="000E2AE7" w:rsidP="000E2AE7">
      <w:pPr>
        <w:pStyle w:val="EndnoteText"/>
        <w:widowControl w:val="0"/>
        <w:tabs>
          <w:tab w:val="clear" w:pos="1021"/>
          <w:tab w:val="right" w:pos="1020"/>
        </w:tabs>
      </w:pPr>
      <w:r>
        <w:tab/>
      </w:r>
      <w:r>
        <w:rPr>
          <w:rStyle w:val="EndnoteReference"/>
        </w:rPr>
        <w:endnoteRef/>
      </w:r>
      <w:r>
        <w:tab/>
      </w:r>
      <w:r w:rsidRPr="000E2AE7">
        <w:rPr>
          <w:bCs/>
        </w:rPr>
        <w:t>Review legislation that affects freedom of speech, particularly the Crimes Act, the Media Industry Development Decree and the Public Order Amendment Act, to bring them in compliance with Fiji’s obligations under the International Covenant on Civil</w:t>
      </w:r>
      <w:r>
        <w:rPr>
          <w:bCs/>
        </w:rPr>
        <w:t xml:space="preserve"> and Political Rights (Belgium).</w:t>
      </w:r>
    </w:p>
  </w:endnote>
  <w:endnote w:id="42">
    <w:p w:rsidR="000E2AE7" w:rsidRDefault="000E2AE7" w:rsidP="000E2AE7">
      <w:pPr>
        <w:pStyle w:val="EndnoteText"/>
        <w:widowControl w:val="0"/>
        <w:tabs>
          <w:tab w:val="clear" w:pos="1021"/>
          <w:tab w:val="right" w:pos="1020"/>
        </w:tabs>
      </w:pPr>
      <w:r>
        <w:tab/>
      </w:r>
      <w:r>
        <w:rPr>
          <w:rStyle w:val="EndnoteReference"/>
        </w:rPr>
        <w:endnoteRef/>
      </w:r>
      <w:r>
        <w:tab/>
      </w:r>
      <w:bookmarkStart w:id="5" w:name="_Hlk31984890"/>
      <w:r w:rsidRPr="000E2AE7">
        <w:rPr>
          <w:bCs/>
        </w:rPr>
        <w:t>Enhance measures aimed at protecting and promoting freedom of expression and the right to peaceful assembly, including by removing any legal obstacle to the exercise of these rights (Brazil)</w:t>
      </w:r>
      <w:bookmarkEnd w:id="5"/>
      <w:r>
        <w:rPr>
          <w:bCs/>
        </w:rPr>
        <w:t>.</w:t>
      </w:r>
    </w:p>
  </w:endnote>
  <w:endnote w:id="43">
    <w:p w:rsidR="000E2AE7" w:rsidRDefault="000E2AE7" w:rsidP="000E2AE7">
      <w:pPr>
        <w:pStyle w:val="EndnoteText"/>
        <w:widowControl w:val="0"/>
        <w:tabs>
          <w:tab w:val="clear" w:pos="1021"/>
          <w:tab w:val="right" w:pos="1020"/>
        </w:tabs>
      </w:pPr>
      <w:r>
        <w:tab/>
      </w:r>
      <w:r>
        <w:rPr>
          <w:rStyle w:val="EndnoteReference"/>
        </w:rPr>
        <w:endnoteRef/>
      </w:r>
      <w:r>
        <w:tab/>
      </w:r>
      <w:r w:rsidRPr="000E2AE7">
        <w:t>Amend the Media Industry Development Decree, the Public Order (Amendment) Act and the sedition provisions of the Crimes Act, which restrict freedom of expression, t</w:t>
      </w:r>
      <w:r>
        <w:t>he press and assembly (Denmark).</w:t>
      </w:r>
    </w:p>
  </w:endnote>
  <w:endnote w:id="44">
    <w:p w:rsidR="000E2AE7" w:rsidRDefault="000E2AE7" w:rsidP="000E2AE7">
      <w:pPr>
        <w:pStyle w:val="EndnoteText"/>
        <w:widowControl w:val="0"/>
        <w:tabs>
          <w:tab w:val="clear" w:pos="1021"/>
          <w:tab w:val="right" w:pos="1020"/>
        </w:tabs>
      </w:pPr>
      <w:r>
        <w:tab/>
      </w:r>
      <w:r>
        <w:rPr>
          <w:rStyle w:val="EndnoteReference"/>
        </w:rPr>
        <w:endnoteRef/>
      </w:r>
      <w:r>
        <w:tab/>
      </w:r>
      <w:r w:rsidRPr="000E2AE7">
        <w:rPr>
          <w:bCs/>
        </w:rPr>
        <w:t>Guarantee freedom of expression and opinion and freedom of the press, by ensuring respect for the rights of journalists and human rights defenders and reviewing the Media Industry Development Decree (2010) that punishes any journalistic publication against general interest or public order, in order to avoid a</w:t>
      </w:r>
      <w:r>
        <w:rPr>
          <w:bCs/>
        </w:rPr>
        <w:t>busive interpretations (France).</w:t>
      </w:r>
    </w:p>
  </w:endnote>
  <w:endnote w:id="45">
    <w:p w:rsidR="000E2AE7" w:rsidRDefault="000E2AE7" w:rsidP="000E2AE7">
      <w:pPr>
        <w:pStyle w:val="EndnoteText"/>
        <w:widowControl w:val="0"/>
        <w:tabs>
          <w:tab w:val="clear" w:pos="1021"/>
          <w:tab w:val="right" w:pos="1020"/>
        </w:tabs>
      </w:pPr>
      <w:r>
        <w:tab/>
      </w:r>
      <w:r>
        <w:rPr>
          <w:rStyle w:val="EndnoteReference"/>
        </w:rPr>
        <w:endnoteRef/>
      </w:r>
      <w:r>
        <w:tab/>
      </w:r>
      <w:r w:rsidRPr="000E2AE7">
        <w:rPr>
          <w:bCs/>
        </w:rPr>
        <w:t>Bring legislation on freedom of expression, assembly and association in line with international human rights standards, in particular, by repealing the “Media Industry Dev</w:t>
      </w:r>
      <w:r>
        <w:rPr>
          <w:bCs/>
        </w:rPr>
        <w:t>elopment Decree” 2010 (Germany).</w:t>
      </w:r>
    </w:p>
  </w:endnote>
  <w:endnote w:id="46">
    <w:p w:rsidR="000E2AE7" w:rsidRDefault="000E2AE7" w:rsidP="000E2AE7">
      <w:pPr>
        <w:pStyle w:val="EndnoteText"/>
        <w:widowControl w:val="0"/>
        <w:tabs>
          <w:tab w:val="clear" w:pos="1021"/>
          <w:tab w:val="right" w:pos="1020"/>
        </w:tabs>
      </w:pPr>
      <w:r>
        <w:tab/>
      </w:r>
      <w:r>
        <w:rPr>
          <w:rStyle w:val="EndnoteReference"/>
        </w:rPr>
        <w:endnoteRef/>
      </w:r>
      <w:r>
        <w:tab/>
      </w:r>
      <w:r w:rsidRPr="000E2AE7">
        <w:rPr>
          <w:bCs/>
        </w:rPr>
        <w:t>Increase public funds to guarantee in the case of natural disasters the right to food, health and water and sanitation, as well as the construction of shelters that take into account the parti</w:t>
      </w:r>
      <w:r>
        <w:rPr>
          <w:bCs/>
        </w:rPr>
        <w:t>cular needs of women (Paraguay).</w:t>
      </w:r>
    </w:p>
  </w:endnote>
  <w:endnote w:id="47">
    <w:p w:rsidR="000E2AE7" w:rsidRDefault="000E2AE7" w:rsidP="000E2AE7">
      <w:pPr>
        <w:pStyle w:val="EndnoteText"/>
        <w:widowControl w:val="0"/>
        <w:tabs>
          <w:tab w:val="clear" w:pos="1021"/>
          <w:tab w:val="right" w:pos="1020"/>
        </w:tabs>
      </w:pPr>
      <w:r>
        <w:tab/>
      </w:r>
      <w:r>
        <w:rPr>
          <w:rStyle w:val="EndnoteReference"/>
        </w:rPr>
        <w:endnoteRef/>
      </w:r>
      <w:r>
        <w:tab/>
      </w:r>
      <w:r w:rsidRPr="000E2AE7">
        <w:rPr>
          <w:bCs/>
        </w:rPr>
        <w:t>Consider introducing a universal basic income in order to better combat poverty and reduce inequalities, and improve the existing s</w:t>
      </w:r>
      <w:r>
        <w:rPr>
          <w:bCs/>
        </w:rPr>
        <w:t>ocial protection system (Haiti).</w:t>
      </w:r>
    </w:p>
  </w:endnote>
  <w:endnote w:id="48">
    <w:p w:rsidR="000E2AE7" w:rsidRDefault="000E2AE7" w:rsidP="000E2AE7">
      <w:pPr>
        <w:pStyle w:val="EndnoteText"/>
        <w:widowControl w:val="0"/>
        <w:tabs>
          <w:tab w:val="clear" w:pos="1021"/>
          <w:tab w:val="right" w:pos="1020"/>
        </w:tabs>
      </w:pPr>
      <w:r>
        <w:tab/>
      </w:r>
      <w:r>
        <w:rPr>
          <w:rStyle w:val="EndnoteReference"/>
        </w:rPr>
        <w:endnoteRef/>
      </w:r>
      <w:r>
        <w:tab/>
      </w:r>
      <w:r w:rsidRPr="000E2AE7">
        <w:rPr>
          <w:bCs/>
        </w:rPr>
        <w:t>Strengthen temporary special measures so as to reduce the gender gap and systematically address the concerns and rights of women in the pu</w:t>
      </w:r>
      <w:r>
        <w:rPr>
          <w:bCs/>
        </w:rPr>
        <w:t>blic and private spheres (Togo).</w:t>
      </w:r>
    </w:p>
  </w:endnote>
  <w:endnote w:id="49">
    <w:p w:rsidR="000E2AE7" w:rsidRDefault="000E2AE7" w:rsidP="000E2AE7">
      <w:pPr>
        <w:pStyle w:val="EndnoteText"/>
        <w:widowControl w:val="0"/>
        <w:tabs>
          <w:tab w:val="clear" w:pos="1021"/>
          <w:tab w:val="right" w:pos="1020"/>
        </w:tabs>
      </w:pPr>
      <w:r>
        <w:tab/>
      </w:r>
      <w:r>
        <w:rPr>
          <w:rStyle w:val="EndnoteReference"/>
        </w:rPr>
        <w:endnoteRef/>
      </w:r>
      <w:r>
        <w:tab/>
      </w:r>
      <w:r w:rsidRPr="000E2AE7">
        <w:t>Consider taking temporary measures, including the introduction of a minimum quota of at least 30 per cent of women candidates on the electoral lists of political parties, and facilitate the selection and training of women candidates for public office, in particular at the de</w:t>
      </w:r>
      <w:r>
        <w:t>cision-making level (Bulgaria).</w:t>
      </w:r>
    </w:p>
  </w:endnote>
  <w:endnote w:id="50">
    <w:p w:rsidR="000E2AE7" w:rsidRDefault="000E2AE7" w:rsidP="000E2AE7">
      <w:pPr>
        <w:pStyle w:val="EndnoteText"/>
        <w:widowControl w:val="0"/>
        <w:tabs>
          <w:tab w:val="clear" w:pos="1021"/>
          <w:tab w:val="right" w:pos="1020"/>
        </w:tabs>
      </w:pPr>
      <w:r>
        <w:tab/>
      </w:r>
      <w:r>
        <w:rPr>
          <w:rStyle w:val="EndnoteReference"/>
        </w:rPr>
        <w:endnoteRef/>
      </w:r>
      <w:r>
        <w:tab/>
      </w:r>
      <w:bookmarkStart w:id="6" w:name="_Hlk31985313"/>
      <w:r w:rsidRPr="000E2AE7">
        <w:t>Raise to 18 years the age of criminal responsibility and combat all forms of violence against children, including child labour and sexual exploitation (Italy)</w:t>
      </w:r>
      <w:bookmarkEnd w:id="6"/>
      <w:r>
        <w:t>.</w:t>
      </w:r>
    </w:p>
  </w:endnote>
  <w:endnote w:id="51">
    <w:p w:rsidR="000E2AE7" w:rsidRDefault="000E2AE7" w:rsidP="000E2AE7">
      <w:pPr>
        <w:pStyle w:val="EndnoteText"/>
        <w:widowControl w:val="0"/>
        <w:tabs>
          <w:tab w:val="clear" w:pos="1021"/>
          <w:tab w:val="right" w:pos="1020"/>
        </w:tabs>
      </w:pPr>
      <w:r>
        <w:tab/>
      </w:r>
      <w:r>
        <w:rPr>
          <w:rStyle w:val="EndnoteReference"/>
        </w:rPr>
        <w:endnoteRef/>
      </w:r>
      <w:r>
        <w:tab/>
      </w:r>
      <w:r w:rsidRPr="000E2AE7">
        <w:rPr>
          <w:bCs/>
        </w:rPr>
        <w:t>Take urgent steps to eliminate commercial sexual exploitation of children by ratifying the Optional Protocol to the Convention on the Rights of the Child on the sale of children, child prostitution and child pornography, activating the Inter-Agency Working Group on People Trafficking, and ensuring that the Inter-Agency Trafficking Task Force meets regularly and facilitates the implementation of the National Plan of Action to Eliminate Trafficking in Persons</w:t>
      </w:r>
      <w:r>
        <w:rPr>
          <w:bCs/>
        </w:rPr>
        <w:t xml:space="preserve"> and Child Trafficking (Canada).</w:t>
      </w:r>
    </w:p>
  </w:endnote>
  <w:endnote w:id="52">
    <w:p w:rsidR="00247713" w:rsidRDefault="00247713" w:rsidP="00247713">
      <w:pPr>
        <w:pStyle w:val="EndnoteText"/>
        <w:widowControl w:val="0"/>
        <w:tabs>
          <w:tab w:val="clear" w:pos="1021"/>
          <w:tab w:val="right" w:pos="1020"/>
        </w:tabs>
      </w:pPr>
      <w:r>
        <w:tab/>
      </w:r>
      <w:r>
        <w:rPr>
          <w:rStyle w:val="EndnoteReference"/>
        </w:rPr>
        <w:endnoteRef/>
      </w:r>
      <w:r>
        <w:tab/>
      </w:r>
      <w:r w:rsidRPr="00247713">
        <w:rPr>
          <w:bCs/>
        </w:rPr>
        <w:t>Finalize the adoption of the National Plan of Action to combat all manifestations of sexual exploitation of children and provide adequate human and financial resources for its implementation (De</w:t>
      </w:r>
      <w:r>
        <w:rPr>
          <w:bCs/>
        </w:rPr>
        <w:t>mocratic Republic of the Congo).</w:t>
      </w:r>
    </w:p>
  </w:endnote>
  <w:endnote w:id="53">
    <w:p w:rsidR="00247713" w:rsidRDefault="00247713" w:rsidP="00247713">
      <w:pPr>
        <w:pStyle w:val="EndnoteText"/>
        <w:widowControl w:val="0"/>
        <w:tabs>
          <w:tab w:val="clear" w:pos="1021"/>
          <w:tab w:val="right" w:pos="1020"/>
        </w:tabs>
      </w:pPr>
      <w:r>
        <w:tab/>
      </w:r>
      <w:r>
        <w:rPr>
          <w:rStyle w:val="EndnoteReference"/>
        </w:rPr>
        <w:endnoteRef/>
      </w:r>
      <w:r>
        <w:tab/>
      </w:r>
      <w:r w:rsidRPr="00247713">
        <w:rPr>
          <w:bCs/>
        </w:rPr>
        <w:t xml:space="preserve">Raise the minimum age of criminal responsibility and make the necessary legal modifications so that children cannot be sentenced </w:t>
      </w:r>
      <w:r>
        <w:rPr>
          <w:bCs/>
        </w:rPr>
        <w:t>to life imprisonment (Paraguay).</w:t>
      </w:r>
    </w:p>
  </w:endnote>
  <w:endnote w:id="54">
    <w:p w:rsidR="00247713" w:rsidRDefault="00247713" w:rsidP="00247713">
      <w:pPr>
        <w:pStyle w:val="EndnoteText"/>
        <w:widowControl w:val="0"/>
        <w:tabs>
          <w:tab w:val="clear" w:pos="1021"/>
          <w:tab w:val="right" w:pos="1020"/>
        </w:tabs>
      </w:pPr>
      <w:r>
        <w:tab/>
      </w:r>
      <w:r>
        <w:rPr>
          <w:rStyle w:val="EndnoteReference"/>
        </w:rPr>
        <w:endnoteRef/>
      </w:r>
      <w:r>
        <w:tab/>
      </w:r>
      <w:r w:rsidRPr="00247713">
        <w:rPr>
          <w:bCs/>
        </w:rPr>
        <w:t>Bring the juvenile justice system fully into line with the Convention on the Rights of the Child by raising the minimum age of criminal responsibility to an international</w:t>
      </w:r>
      <w:r>
        <w:rPr>
          <w:bCs/>
        </w:rPr>
        <w:t>ly accepted level (Ukraine).</w:t>
      </w:r>
    </w:p>
  </w:endnote>
  <w:endnote w:id="55">
    <w:p w:rsidR="00247713" w:rsidRDefault="00247713" w:rsidP="00247713">
      <w:pPr>
        <w:pStyle w:val="EndnoteText"/>
        <w:widowControl w:val="0"/>
        <w:tabs>
          <w:tab w:val="clear" w:pos="1021"/>
          <w:tab w:val="right" w:pos="1020"/>
        </w:tabs>
      </w:pPr>
      <w:r>
        <w:tab/>
      </w:r>
      <w:r>
        <w:rPr>
          <w:rStyle w:val="EndnoteReference"/>
        </w:rPr>
        <w:endnoteRef/>
      </w:r>
      <w:r>
        <w:tab/>
      </w:r>
      <w:r w:rsidRPr="00247713">
        <w:rPr>
          <w:bCs/>
        </w:rPr>
        <w:t>Guarantee access to the participation and representation of ethnic minorities in the different instances of pu</w:t>
      </w:r>
      <w:r>
        <w:rPr>
          <w:bCs/>
        </w:rPr>
        <w:t>blic and private life (Ecuador).</w:t>
      </w:r>
    </w:p>
  </w:endnote>
  <w:endnote w:id="56">
    <w:p w:rsidR="00247713" w:rsidRDefault="00247713" w:rsidP="00247713">
      <w:pPr>
        <w:pStyle w:val="EndnoteText"/>
        <w:widowControl w:val="0"/>
        <w:tabs>
          <w:tab w:val="clear" w:pos="1021"/>
          <w:tab w:val="right" w:pos="1020"/>
        </w:tabs>
        <w:rPr>
          <w:bCs/>
        </w:rPr>
      </w:pPr>
      <w:r>
        <w:tab/>
      </w:r>
      <w:r>
        <w:rPr>
          <w:rStyle w:val="EndnoteReference"/>
        </w:rPr>
        <w:endnoteRef/>
      </w:r>
      <w:r>
        <w:tab/>
      </w:r>
      <w:r w:rsidRPr="00247713">
        <w:rPr>
          <w:bCs/>
        </w:rPr>
        <w:t>Enrich the Immigration Act by incorporating special provisions for the protection of refugees and asylum-seeking children, and introduce provision of family reunification into the Act (Afghanistan).</w:t>
      </w:r>
    </w:p>
    <w:p w:rsidR="00247713" w:rsidRPr="00247713" w:rsidRDefault="00247713" w:rsidP="00247713">
      <w:pPr>
        <w:pStyle w:val="EndnoteText"/>
        <w:tabs>
          <w:tab w:val="clear" w:pos="1021"/>
          <w:tab w:val="right" w:pos="1020"/>
        </w:tabs>
        <w:spacing w:before="240" w:line="240" w:lineRule="atLeast"/>
        <w:ind w:firstLine="0"/>
        <w:jc w:val="center"/>
        <w:rPr>
          <w:u w:val="single"/>
        </w:rPr>
      </w:pPr>
      <w:r>
        <w:rPr>
          <w:bCs/>
          <w:u w:val="single"/>
        </w:rPr>
        <w:tab/>
      </w:r>
      <w:r>
        <w:rPr>
          <w:bCs/>
          <w:u w:val="single"/>
        </w:rPr>
        <w:tab/>
      </w:r>
      <w:r>
        <w:rPr>
          <w:bCs/>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DA7" w:rsidRPr="005E2DA7" w:rsidRDefault="005E2DA7" w:rsidP="005E2DA7">
    <w:pPr>
      <w:pStyle w:val="Footer"/>
      <w:tabs>
        <w:tab w:val="right" w:pos="9638"/>
      </w:tabs>
      <w:rPr>
        <w:sz w:val="18"/>
      </w:rPr>
    </w:pPr>
    <w:r w:rsidRPr="005E2DA7">
      <w:rPr>
        <w:b/>
        <w:sz w:val="18"/>
      </w:rPr>
      <w:fldChar w:fldCharType="begin"/>
    </w:r>
    <w:r w:rsidRPr="005E2DA7">
      <w:rPr>
        <w:b/>
        <w:sz w:val="18"/>
      </w:rPr>
      <w:instrText xml:space="preserve"> PAGE  \* MERGEFORMAT </w:instrText>
    </w:r>
    <w:r w:rsidRPr="005E2DA7">
      <w:rPr>
        <w:b/>
        <w:sz w:val="18"/>
      </w:rPr>
      <w:fldChar w:fldCharType="separate"/>
    </w:r>
    <w:r w:rsidR="00CF37D7">
      <w:rPr>
        <w:b/>
        <w:noProof/>
        <w:sz w:val="18"/>
      </w:rPr>
      <w:t>2</w:t>
    </w:r>
    <w:r w:rsidRPr="005E2DA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DA7" w:rsidRPr="005E2DA7" w:rsidRDefault="005E2DA7" w:rsidP="005E2DA7">
    <w:pPr>
      <w:pStyle w:val="Footer"/>
      <w:tabs>
        <w:tab w:val="right" w:pos="9638"/>
      </w:tabs>
      <w:rPr>
        <w:b/>
        <w:sz w:val="18"/>
      </w:rPr>
    </w:pPr>
    <w:r>
      <w:tab/>
    </w:r>
    <w:r w:rsidRPr="005E2DA7">
      <w:rPr>
        <w:b/>
        <w:sz w:val="18"/>
      </w:rPr>
      <w:fldChar w:fldCharType="begin"/>
    </w:r>
    <w:r w:rsidRPr="005E2DA7">
      <w:rPr>
        <w:b/>
        <w:sz w:val="18"/>
      </w:rPr>
      <w:instrText xml:space="preserve"> PAGE  \* MERGEFORMAT </w:instrText>
    </w:r>
    <w:r w:rsidRPr="005E2DA7">
      <w:rPr>
        <w:b/>
        <w:sz w:val="18"/>
      </w:rPr>
      <w:fldChar w:fldCharType="separate"/>
    </w:r>
    <w:r w:rsidR="00CF37D7">
      <w:rPr>
        <w:b/>
        <w:noProof/>
        <w:sz w:val="18"/>
      </w:rPr>
      <w:t>7</w:t>
    </w:r>
    <w:r w:rsidRPr="005E2DA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DA7" w:rsidRPr="000B175B" w:rsidRDefault="005E2DA7" w:rsidP="000B175B">
      <w:pPr>
        <w:tabs>
          <w:tab w:val="right" w:pos="2155"/>
        </w:tabs>
        <w:spacing w:after="80"/>
        <w:ind w:left="680"/>
        <w:rPr>
          <w:u w:val="single"/>
        </w:rPr>
      </w:pPr>
      <w:r>
        <w:rPr>
          <w:u w:val="single"/>
        </w:rPr>
        <w:tab/>
      </w:r>
    </w:p>
  </w:footnote>
  <w:footnote w:type="continuationSeparator" w:id="0">
    <w:p w:rsidR="005E2DA7" w:rsidRPr="00FC68B7" w:rsidRDefault="005E2DA7" w:rsidP="00FC68B7">
      <w:pPr>
        <w:tabs>
          <w:tab w:val="left" w:pos="2155"/>
        </w:tabs>
        <w:spacing w:after="80"/>
        <w:ind w:left="680"/>
        <w:rPr>
          <w:u w:val="single"/>
        </w:rPr>
      </w:pPr>
      <w:r>
        <w:rPr>
          <w:u w:val="single"/>
        </w:rPr>
        <w:tab/>
      </w:r>
    </w:p>
  </w:footnote>
  <w:footnote w:type="continuationNotice" w:id="1">
    <w:p w:rsidR="005E2DA7" w:rsidRDefault="005E2DA7"/>
  </w:footnote>
  <w:footnote w:id="2">
    <w:p w:rsidR="005E2DA7" w:rsidRDefault="005E2DA7" w:rsidP="005E2DA7">
      <w:pPr>
        <w:pStyle w:val="FootnoteText"/>
        <w:rPr>
          <w:szCs w:val="18"/>
        </w:rPr>
      </w:pPr>
      <w:r>
        <w:tab/>
      </w:r>
      <w:r w:rsidRPr="00585271">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DA7" w:rsidRPr="005E2DA7" w:rsidRDefault="003816A6">
    <w:pPr>
      <w:pStyle w:val="Header"/>
    </w:pPr>
    <w:fldSimple w:instr=" TITLE  \* MERGEFORMAT ">
      <w:r w:rsidR="005E2DA7">
        <w:t>A/HRC/43/8/Add.1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DA7" w:rsidRPr="005E2DA7" w:rsidRDefault="003816A6" w:rsidP="005E2DA7">
    <w:pPr>
      <w:pStyle w:val="Header"/>
      <w:jc w:val="right"/>
    </w:pPr>
    <w:fldSimple w:instr=" TITLE  \* MERGEFORMAT ">
      <w:r w:rsidR="005E2DA7">
        <w:t>A/HRC/43/8/Add.1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EC2679"/>
    <w:multiLevelType w:val="hybridMultilevel"/>
    <w:tmpl w:val="84AC2914"/>
    <w:lvl w:ilvl="0" w:tplc="357A1256">
      <w:start w:val="1"/>
      <w:numFmt w:val="decimal"/>
      <w:lvlText w:val="%1."/>
      <w:lvlJc w:val="left"/>
      <w:pPr>
        <w:ind w:left="360" w:hanging="360"/>
      </w:pPr>
      <w:rPr>
        <w:b w:val="0"/>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DA7"/>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0E2AE7"/>
    <w:rsid w:val="00146D32"/>
    <w:rsid w:val="001509BA"/>
    <w:rsid w:val="001B4B04"/>
    <w:rsid w:val="001B7F4A"/>
    <w:rsid w:val="001C6663"/>
    <w:rsid w:val="001C7895"/>
    <w:rsid w:val="001D26DF"/>
    <w:rsid w:val="001E2790"/>
    <w:rsid w:val="00211E0B"/>
    <w:rsid w:val="00211E72"/>
    <w:rsid w:val="00214047"/>
    <w:rsid w:val="0022130F"/>
    <w:rsid w:val="00237785"/>
    <w:rsid w:val="002410DD"/>
    <w:rsid w:val="00241466"/>
    <w:rsid w:val="00247713"/>
    <w:rsid w:val="00253D58"/>
    <w:rsid w:val="0027725F"/>
    <w:rsid w:val="002A7BAB"/>
    <w:rsid w:val="002C21F0"/>
    <w:rsid w:val="00304568"/>
    <w:rsid w:val="003107FA"/>
    <w:rsid w:val="003229D8"/>
    <w:rsid w:val="003314D1"/>
    <w:rsid w:val="00335A2F"/>
    <w:rsid w:val="00341937"/>
    <w:rsid w:val="003816A6"/>
    <w:rsid w:val="0039277A"/>
    <w:rsid w:val="003972E0"/>
    <w:rsid w:val="003975ED"/>
    <w:rsid w:val="003C2CC4"/>
    <w:rsid w:val="003D0498"/>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85271"/>
    <w:rsid w:val="005A0E16"/>
    <w:rsid w:val="005B3DB3"/>
    <w:rsid w:val="005B6E48"/>
    <w:rsid w:val="005D53BE"/>
    <w:rsid w:val="005E1712"/>
    <w:rsid w:val="005E2DA7"/>
    <w:rsid w:val="00611FC4"/>
    <w:rsid w:val="006176FB"/>
    <w:rsid w:val="00640B26"/>
    <w:rsid w:val="0065260F"/>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30620"/>
    <w:rsid w:val="00856CD2"/>
    <w:rsid w:val="00861BC6"/>
    <w:rsid w:val="00871FD5"/>
    <w:rsid w:val="008806F1"/>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AF71DF"/>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37D7"/>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EF7AC96"/>
  <w15:docId w15:val="{F62A52AF-FB9F-49F4-85CE-3E13C7A7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uiPriority w:val="5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5E2DA7"/>
    <w:rPr>
      <w:sz w:val="18"/>
      <w:lang w:val="en-GB" w:eastAsia="en-US"/>
    </w:rPr>
  </w:style>
  <w:style w:type="paragraph" w:styleId="ListParagraph">
    <w:name w:val="List Paragraph"/>
    <w:basedOn w:val="Normal"/>
    <w:uiPriority w:val="34"/>
    <w:qFormat/>
    <w:rsid w:val="005E2DA7"/>
    <w:pPr>
      <w:suppressAutoHyphens w:val="0"/>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C97E09-18D6-4305-8B0D-137B35D94AC9}">
  <ds:schemaRefs>
    <ds:schemaRef ds:uri="http://schemas.openxmlformats.org/officeDocument/2006/bibliography"/>
  </ds:schemaRefs>
</ds:datastoreItem>
</file>

<file path=customXml/itemProps2.xml><?xml version="1.0" encoding="utf-8"?>
<ds:datastoreItem xmlns:ds="http://schemas.openxmlformats.org/officeDocument/2006/customXml" ds:itemID="{122224DE-D407-4021-AACC-5699379CA62E}"/>
</file>

<file path=customXml/itemProps3.xml><?xml version="1.0" encoding="utf-8"?>
<ds:datastoreItem xmlns:ds="http://schemas.openxmlformats.org/officeDocument/2006/customXml" ds:itemID="{9DCF390D-6237-4CDE-AB0A-350D8A3FD659}"/>
</file>

<file path=customXml/itemProps4.xml><?xml version="1.0" encoding="utf-8"?>
<ds:datastoreItem xmlns:ds="http://schemas.openxmlformats.org/officeDocument/2006/customXml" ds:itemID="{7DBF242E-F74E-4034-91CE-E89EB5450C54}"/>
</file>

<file path=docProps/app.xml><?xml version="1.0" encoding="utf-8"?>
<Properties xmlns="http://schemas.openxmlformats.org/officeDocument/2006/extended-properties" xmlns:vt="http://schemas.openxmlformats.org/officeDocument/2006/docPropsVTypes">
  <Template>A_E.dotm</Template>
  <TotalTime>1</TotalTime>
  <Pages>8</Pages>
  <Words>1219</Words>
  <Characters>6953</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A/HRC/43/8/Add.1</vt:lpstr>
      <vt:lpstr/>
    </vt:vector>
  </TitlesOfParts>
  <Company>CSD</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A/HRC/43/8/Add.1</dc:title>
  <dc:creator>IHARA Sumiko</dc:creator>
  <cp:lastModifiedBy>LANZ Veronique</cp:lastModifiedBy>
  <cp:revision>2</cp:revision>
  <cp:lastPrinted>2008-01-29T08:30:00Z</cp:lastPrinted>
  <dcterms:created xsi:type="dcterms:W3CDTF">2020-02-26T10:43:00Z</dcterms:created>
  <dcterms:modified xsi:type="dcterms:W3CDTF">2020-02-26T10:43:00Z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