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14:paraId="3B1EE985" w14:textId="77777777">
        <w:trPr>
          <w:trHeight w:val="851"/>
        </w:trPr>
        <w:tc>
          <w:tcPr>
            <w:tcW w:w="1259" w:type="dxa"/>
            <w:tcBorders>
              <w:top w:val="nil"/>
              <w:left w:val="nil"/>
              <w:bottom w:val="single" w:sz="4" w:space="0" w:color="auto"/>
              <w:right w:val="nil"/>
            </w:tcBorders>
          </w:tcPr>
          <w:p w14:paraId="04646817" w14:textId="77777777" w:rsidR="00611548" w:rsidRDefault="00611548">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F9F0FB" w14:textId="5868F1EA" w:rsidR="00611548" w:rsidRDefault="00611548">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19E90A0" w14:textId="1CBC172F" w:rsidR="00611548" w:rsidRDefault="00112244" w:rsidP="008A0B43">
            <w:pPr>
              <w:jc w:val="right"/>
            </w:pPr>
            <w:r>
              <w:rPr>
                <w:sz w:val="40"/>
              </w:rPr>
              <w:t>A</w:t>
            </w:r>
            <w:r>
              <w:t>/</w:t>
            </w:r>
            <w:r w:rsidR="005C1DE7">
              <w:t>HRC/</w:t>
            </w:r>
            <w:r w:rsidR="00A3379A">
              <w:t>4</w:t>
            </w:r>
            <w:r w:rsidR="006B2177">
              <w:t>8</w:t>
            </w:r>
            <w:r>
              <w:t>/</w:t>
            </w:r>
            <w:r w:rsidR="008A0B43">
              <w:t>67</w:t>
            </w:r>
          </w:p>
        </w:tc>
      </w:tr>
      <w:tr w:rsidR="00151813" w14:paraId="6B727655" w14:textId="77777777">
        <w:trPr>
          <w:trHeight w:val="2835"/>
        </w:trPr>
        <w:tc>
          <w:tcPr>
            <w:tcW w:w="1259" w:type="dxa"/>
            <w:tcBorders>
              <w:top w:val="single" w:sz="4" w:space="0" w:color="auto"/>
              <w:left w:val="nil"/>
              <w:bottom w:val="single" w:sz="12" w:space="0" w:color="auto"/>
              <w:right w:val="nil"/>
            </w:tcBorders>
          </w:tcPr>
          <w:p w14:paraId="2BF17147" w14:textId="51A4CA27" w:rsidR="00611548" w:rsidRDefault="00611548">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68938D8D" w14:textId="2F821BFE" w:rsidR="00611548" w:rsidRDefault="005E4A77">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FAA557A" w14:textId="77777777" w:rsidR="00611548" w:rsidRDefault="00112244">
            <w:pPr>
              <w:spacing w:before="240" w:line="240" w:lineRule="exact"/>
            </w:pPr>
            <w:r>
              <w:t>Distr.: General</w:t>
            </w:r>
          </w:p>
          <w:p w14:paraId="449E21CE" w14:textId="411A28A1" w:rsidR="00611548" w:rsidRDefault="008A0B43" w:rsidP="00611548">
            <w:pPr>
              <w:spacing w:line="240" w:lineRule="exact"/>
            </w:pPr>
            <w:r>
              <w:t>16</w:t>
            </w:r>
            <w:r w:rsidR="00112244">
              <w:t xml:space="preserve"> </w:t>
            </w:r>
            <w:r w:rsidR="006B2177">
              <w:t>September</w:t>
            </w:r>
            <w:r w:rsidR="00112244">
              <w:t xml:space="preserve"> 20</w:t>
            </w:r>
            <w:r w:rsidR="00A3379A">
              <w:t>2</w:t>
            </w:r>
            <w:r w:rsidR="006B2177">
              <w:t>1</w:t>
            </w:r>
          </w:p>
          <w:p w14:paraId="0183B8AD" w14:textId="77777777" w:rsidR="00611548" w:rsidRDefault="00611548">
            <w:pPr>
              <w:spacing w:line="240" w:lineRule="exact"/>
            </w:pPr>
          </w:p>
          <w:p w14:paraId="35507A59" w14:textId="77777777" w:rsidR="00611548" w:rsidRDefault="00112244">
            <w:pPr>
              <w:spacing w:line="240" w:lineRule="exact"/>
            </w:pPr>
            <w:r>
              <w:t>Original: English</w:t>
            </w:r>
          </w:p>
        </w:tc>
      </w:tr>
    </w:tbl>
    <w:p w14:paraId="21328398" w14:textId="77777777" w:rsidR="00A3379A" w:rsidRPr="00A3379A" w:rsidRDefault="00A3379A" w:rsidP="00A3379A">
      <w:pPr>
        <w:spacing w:before="120"/>
        <w:rPr>
          <w:b/>
          <w:bCs/>
          <w:sz w:val="24"/>
          <w:szCs w:val="24"/>
        </w:rPr>
      </w:pPr>
      <w:r w:rsidRPr="00A3379A">
        <w:rPr>
          <w:b/>
          <w:bCs/>
          <w:sz w:val="24"/>
          <w:szCs w:val="24"/>
        </w:rPr>
        <w:t>Human Rights Council</w:t>
      </w:r>
    </w:p>
    <w:p w14:paraId="58F0B9C9" w14:textId="77777777" w:rsidR="006B2177" w:rsidRPr="0096319E" w:rsidRDefault="006B2177" w:rsidP="006B2177">
      <w:pPr>
        <w:rPr>
          <w:b/>
          <w:bCs/>
        </w:rPr>
      </w:pPr>
      <w:r w:rsidRPr="0096319E">
        <w:rPr>
          <w:b/>
          <w:bCs/>
        </w:rPr>
        <w:t>Forty-eighth</w:t>
      </w:r>
      <w:r w:rsidRPr="0096319E">
        <w:rPr>
          <w:b/>
          <w:bCs/>
          <w:color w:val="FF0000"/>
        </w:rPr>
        <w:t xml:space="preserve"> </w:t>
      </w:r>
      <w:r w:rsidRPr="0096319E">
        <w:rPr>
          <w:b/>
          <w:bCs/>
        </w:rPr>
        <w:t>session</w:t>
      </w:r>
    </w:p>
    <w:p w14:paraId="26144B9B" w14:textId="2154F05B" w:rsidR="006B2177" w:rsidRPr="0096319E" w:rsidRDefault="008A0B43" w:rsidP="006B2177">
      <w:pPr>
        <w:spacing w:line="240" w:lineRule="auto"/>
      </w:pPr>
      <w:r>
        <w:t>13 September–</w:t>
      </w:r>
      <w:r w:rsidR="006B2177" w:rsidRPr="0096319E">
        <w:t>1 October 2021</w:t>
      </w:r>
    </w:p>
    <w:p w14:paraId="73A54F40" w14:textId="77777777" w:rsidR="006B2177" w:rsidRPr="0096319E" w:rsidRDefault="006B2177" w:rsidP="006B2177">
      <w:pPr>
        <w:spacing w:line="240" w:lineRule="auto"/>
      </w:pPr>
      <w:r w:rsidRPr="0096319E">
        <w:t>Agenda item 4</w:t>
      </w:r>
    </w:p>
    <w:p w14:paraId="27DE3134" w14:textId="77777777" w:rsidR="006B2177" w:rsidRPr="0096319E" w:rsidRDefault="006B2177" w:rsidP="006B2177">
      <w:pPr>
        <w:suppressAutoHyphens w:val="0"/>
        <w:autoSpaceDE w:val="0"/>
        <w:autoSpaceDN w:val="0"/>
        <w:adjustRightInd w:val="0"/>
        <w:spacing w:line="240" w:lineRule="auto"/>
        <w:rPr>
          <w:b/>
          <w:bCs/>
          <w:color w:val="000000"/>
          <w:lang w:eastAsia="fr-FR"/>
        </w:rPr>
      </w:pPr>
      <w:r w:rsidRPr="0096319E">
        <w:rPr>
          <w:b/>
          <w:bCs/>
        </w:rPr>
        <w:t>Human rights situations that require the Council’s attention</w:t>
      </w:r>
      <w:r w:rsidRPr="0096319E">
        <w:rPr>
          <w:b/>
          <w:bCs/>
          <w:color w:val="000000"/>
          <w:lang w:eastAsia="fr-FR"/>
        </w:rPr>
        <w:t xml:space="preserve"> </w:t>
      </w:r>
    </w:p>
    <w:p w14:paraId="2A4A7DD1" w14:textId="0AF18196" w:rsidR="00611548" w:rsidRDefault="00112244" w:rsidP="00A3379A">
      <w:pPr>
        <w:pStyle w:val="HChG"/>
        <w:rPr>
          <w:color w:val="0000FF"/>
        </w:rPr>
      </w:pPr>
      <w:r>
        <w:tab/>
      </w:r>
      <w:r>
        <w:tab/>
      </w:r>
      <w:r>
        <w:tab/>
      </w:r>
      <w:r w:rsidR="00776152">
        <w:t xml:space="preserve">Written updates </w:t>
      </w:r>
      <w:r w:rsidR="005C1DE7" w:rsidRPr="005C1DE7">
        <w:t>of the Office of the United Nations High Commissioner for Human Rights</w:t>
      </w:r>
      <w:r w:rsidR="009D3909">
        <w:t xml:space="preserve"> on the </w:t>
      </w:r>
      <w:r w:rsidR="009D3909" w:rsidRPr="009D3909">
        <w:t xml:space="preserve">Situation of human rights </w:t>
      </w:r>
      <w:r w:rsidR="00776152">
        <w:t xml:space="preserve">in </w:t>
      </w:r>
      <w:r w:rsidR="009D3909" w:rsidRPr="009D3909">
        <w:t>Myanmar</w:t>
      </w:r>
      <w:r w:rsidR="00045148" w:rsidRPr="00045148">
        <w:rPr>
          <w:rFonts w:eastAsiaTheme="minorHAnsi"/>
          <w:b w:val="0"/>
          <w:bCs/>
          <w:sz w:val="20"/>
          <w:szCs w:val="16"/>
        </w:rPr>
        <w:footnoteReference w:customMarkFollows="1" w:id="2"/>
        <w:t>*</w:t>
      </w:r>
    </w:p>
    <w:p w14:paraId="6CE46212" w14:textId="77777777" w:rsidR="00611548" w:rsidRDefault="00611548"/>
    <w:p w14:paraId="10934195" w14:textId="77777777" w:rsidR="00611548" w:rsidRDefault="00112244" w:rsidP="00A3379A">
      <w:pPr>
        <w:pStyle w:val="SingleTxtG"/>
        <w:spacing w:line="240" w:lineRule="auto"/>
      </w:pPr>
      <w:r>
        <w:br w:type="page"/>
      </w:r>
    </w:p>
    <w:p w14:paraId="7C479A1D" w14:textId="3B27FCCD" w:rsidR="00575A35" w:rsidRPr="00E258B1" w:rsidRDefault="00575A35" w:rsidP="008A0B43">
      <w:pPr>
        <w:pStyle w:val="HChG"/>
        <w:rPr>
          <w:lang w:val="en-US"/>
        </w:rPr>
      </w:pPr>
      <w:r w:rsidRPr="00D31271">
        <w:lastRenderedPageBreak/>
        <w:tab/>
      </w:r>
      <w:bookmarkStart w:id="1" w:name="_Toc482101463"/>
      <w:r w:rsidR="008A0B43" w:rsidRPr="00E258B1">
        <w:rPr>
          <w:lang w:val="en-US"/>
        </w:rPr>
        <w:t>I.</w:t>
      </w:r>
      <w:r w:rsidRPr="00E258B1">
        <w:rPr>
          <w:lang w:val="en-US"/>
        </w:rPr>
        <w:tab/>
      </w:r>
      <w:bookmarkEnd w:id="1"/>
      <w:r w:rsidRPr="00E258B1">
        <w:rPr>
          <w:lang w:val="en-US"/>
        </w:rPr>
        <w:t>Introduction</w:t>
      </w:r>
      <w:r w:rsidR="006B2177" w:rsidRPr="00E258B1">
        <w:rPr>
          <w:lang w:val="en-US"/>
        </w:rPr>
        <w:t xml:space="preserve"> and methodology</w:t>
      </w:r>
    </w:p>
    <w:p w14:paraId="1467995E" w14:textId="56EE59CE" w:rsidR="006B2177" w:rsidRPr="006B2177" w:rsidRDefault="009D3909" w:rsidP="006B2177">
      <w:pPr>
        <w:pStyle w:val="SingleTxtG"/>
        <w:rPr>
          <w:rFonts w:eastAsia="Batang"/>
          <w:lang w:val="en-US" w:eastAsia="ko-KR"/>
        </w:rPr>
      </w:pPr>
      <w:r>
        <w:rPr>
          <w:rFonts w:eastAsia="Batang"/>
          <w:lang w:val="en-US" w:eastAsia="ko-KR"/>
        </w:rPr>
        <w:t>1.</w:t>
      </w:r>
      <w:r>
        <w:rPr>
          <w:rFonts w:eastAsia="Batang"/>
          <w:lang w:val="en-US" w:eastAsia="ko-KR"/>
        </w:rPr>
        <w:tab/>
      </w:r>
      <w:r w:rsidR="006B2177" w:rsidRPr="006B2177">
        <w:rPr>
          <w:rFonts w:eastAsia="Batang"/>
          <w:lang w:val="en-US" w:eastAsia="ko-KR"/>
        </w:rPr>
        <w:t>In resolution 46/21, the Human Rights Council requested, inter alia, the High Commissioner for Human Rights to provide oral and written reports on the overall human rights situation in Myanmar, with a particular focus on accountability regarding alleged violations of international human rights and humanitarian law, as well as rule of law and security sector reform since 1 February 2021.</w:t>
      </w:r>
    </w:p>
    <w:p w14:paraId="657362BE" w14:textId="10F82462" w:rsidR="006B2177" w:rsidRPr="006B2177" w:rsidRDefault="006B2177" w:rsidP="006B2177">
      <w:pPr>
        <w:pStyle w:val="SingleTxtG"/>
        <w:rPr>
          <w:rFonts w:eastAsia="Batang"/>
          <w:lang w:val="en-US" w:eastAsia="ko-KR"/>
        </w:rPr>
      </w:pPr>
      <w:r w:rsidRPr="006B2177">
        <w:rPr>
          <w:rFonts w:eastAsia="Batang"/>
          <w:lang w:val="en-US" w:eastAsia="ko-KR"/>
        </w:rPr>
        <w:t>2.</w:t>
      </w:r>
      <w:r w:rsidRPr="006B2177">
        <w:rPr>
          <w:rFonts w:eastAsia="Batang"/>
          <w:lang w:val="en-US" w:eastAsia="ko-KR"/>
        </w:rPr>
        <w:tab/>
        <w:t>This update covers human rights concerns that my Office has documented since the seizure of power by the Myanmar military (Tatmadaw) on 1 February 2021 until mid-July 2021. Developments during this period are presented chronologically to illustrate trends and patterns of human rights violations. Supplementary material elaborating aspects of this report is available v</w:t>
      </w:r>
      <w:r w:rsidR="008A0B43">
        <w:rPr>
          <w:rFonts w:eastAsia="Batang"/>
          <w:lang w:val="en-US" w:eastAsia="ko-KR"/>
        </w:rPr>
        <w:t xml:space="preserve">ia a conference room paper. </w:t>
      </w:r>
      <w:r w:rsidRPr="006B2177">
        <w:rPr>
          <w:rFonts w:eastAsia="Batang"/>
          <w:lang w:val="en-US" w:eastAsia="ko-KR"/>
        </w:rPr>
        <w:t>Findings will be further elaborated in a comprehensive report mandated by resolution 46/21 that is to be presented at the forty-ninth session of the Human Rights Council.</w:t>
      </w:r>
    </w:p>
    <w:p w14:paraId="16A00AB0" w14:textId="77777777" w:rsidR="006B2177" w:rsidRPr="006B2177" w:rsidRDefault="006B2177" w:rsidP="006B2177">
      <w:pPr>
        <w:pStyle w:val="SingleTxtG"/>
        <w:rPr>
          <w:rFonts w:eastAsia="Batang"/>
          <w:lang w:val="en-US" w:eastAsia="ko-KR"/>
        </w:rPr>
      </w:pPr>
      <w:r w:rsidRPr="006B2177">
        <w:rPr>
          <w:rFonts w:eastAsia="Batang"/>
          <w:lang w:val="en-US" w:eastAsia="ko-KR"/>
        </w:rPr>
        <w:t>3.</w:t>
      </w:r>
      <w:r w:rsidRPr="006B2177">
        <w:rPr>
          <w:rFonts w:eastAsia="Batang"/>
          <w:lang w:val="en-US" w:eastAsia="ko-KR"/>
        </w:rPr>
        <w:tab/>
        <w:t xml:space="preserve">OHCHR currently does not have a presence in or access to Myanmar, despite a commitment made by the Government in 2012 to allow OHCHR to open a country office   and repeated calls by the Human Rights Council and General Assembly.  This has impeded independent in-country monitoring and reporting of the human rights situation, which has become further restricted since the military coup due to Internet restrictions (see Section IV), access and resource constraints, and threats of reprisals against human rights defenders. </w:t>
      </w:r>
    </w:p>
    <w:p w14:paraId="77D4DBCF" w14:textId="707C55EB" w:rsidR="006B2177" w:rsidRDefault="006B2177" w:rsidP="006B2177">
      <w:pPr>
        <w:pStyle w:val="SingleTxtG"/>
        <w:rPr>
          <w:rFonts w:eastAsia="Calibri" w:cs="DaunPenh"/>
          <w:b/>
          <w:bCs/>
          <w:sz w:val="28"/>
          <w:szCs w:val="28"/>
          <w:lang w:bidi="km-KH"/>
        </w:rPr>
      </w:pPr>
      <w:r w:rsidRPr="006B2177">
        <w:rPr>
          <w:rFonts w:eastAsia="Batang"/>
          <w:lang w:val="en-US" w:eastAsia="ko-KR"/>
        </w:rPr>
        <w:t>4.</w:t>
      </w:r>
      <w:r w:rsidRPr="006B2177">
        <w:rPr>
          <w:rFonts w:eastAsia="Batang"/>
          <w:lang w:val="en-US" w:eastAsia="ko-KR"/>
        </w:rPr>
        <w:tab/>
        <w:t>Despite these challenges, OHCHR has relied on remote monitoring, and use of credible open sources,</w:t>
      </w:r>
      <w:r w:rsidR="00776152">
        <w:rPr>
          <w:rFonts w:eastAsia="Batang"/>
          <w:lang w:val="en-US" w:eastAsia="ko-KR"/>
        </w:rPr>
        <w:t xml:space="preserve"> su</w:t>
      </w:r>
      <w:r w:rsidRPr="006B2177">
        <w:rPr>
          <w:rFonts w:eastAsia="Batang"/>
          <w:lang w:val="en-US" w:eastAsia="ko-KR"/>
        </w:rPr>
        <w:t xml:space="preserve">pplemented where possible by interviews conducted with individuals to obtain first-hand information on specific events. Notwithstanding challenges and risks, OHCHR conducted over 70 interviews with victims and witnesses to human rights violations and has held scores of meetings to collect information from a range of stakeholders. Information and sources have been assessed for credibility, with every effort undertaken to corroborate or verify information to the maximum extent possible.  </w:t>
      </w:r>
      <w:r w:rsidR="002876BF">
        <w:rPr>
          <w:rFonts w:eastAsia="Calibri" w:cs="DaunPenh"/>
          <w:b/>
          <w:bCs/>
          <w:sz w:val="28"/>
          <w:szCs w:val="28"/>
          <w:lang w:bidi="km-KH"/>
        </w:rPr>
        <w:tab/>
      </w:r>
    </w:p>
    <w:p w14:paraId="0F831A5E" w14:textId="22D2D472" w:rsidR="00A3379A" w:rsidRDefault="006B2177" w:rsidP="006B2177">
      <w:pPr>
        <w:pStyle w:val="HChG"/>
        <w:rPr>
          <w:rFonts w:eastAsia="Calibri"/>
          <w:lang w:bidi="km-KH"/>
        </w:rPr>
      </w:pPr>
      <w:r>
        <w:rPr>
          <w:rFonts w:eastAsia="Calibri"/>
          <w:lang w:bidi="km-KH"/>
        </w:rPr>
        <w:lastRenderedPageBreak/>
        <w:tab/>
      </w:r>
      <w:r w:rsidR="002876BF">
        <w:rPr>
          <w:rFonts w:eastAsia="Calibri"/>
          <w:lang w:bidi="km-KH"/>
        </w:rPr>
        <w:t>II.</w:t>
      </w:r>
      <w:r w:rsidR="002876BF">
        <w:rPr>
          <w:rFonts w:eastAsia="Calibri"/>
          <w:lang w:bidi="km-KH"/>
        </w:rPr>
        <w:tab/>
      </w:r>
      <w:r w:rsidRPr="006B2177">
        <w:rPr>
          <w:rFonts w:eastAsia="Calibri"/>
          <w:lang w:bidi="km-KH"/>
        </w:rPr>
        <w:t>Context</w:t>
      </w:r>
    </w:p>
    <w:p w14:paraId="620CB0F4" w14:textId="0019E9B6" w:rsidR="006B2177" w:rsidRPr="006B2177" w:rsidRDefault="00172FBD" w:rsidP="00172FBD">
      <w:pPr>
        <w:pStyle w:val="SingleTxtG"/>
        <w:rPr>
          <w:lang w:eastAsia="en-GB"/>
        </w:rPr>
      </w:pPr>
      <w:r>
        <w:rPr>
          <w:lang w:eastAsia="en-GB"/>
        </w:rPr>
        <w:t>5.</w:t>
      </w:r>
      <w:r>
        <w:rPr>
          <w:lang w:eastAsia="en-GB"/>
        </w:rPr>
        <w:tab/>
      </w:r>
      <w:r w:rsidR="006B2177" w:rsidRPr="006B2177">
        <w:rPr>
          <w:lang w:eastAsia="en-GB"/>
        </w:rPr>
        <w:t>For decades, the Tatmadaw has committed gross human rights violations with impunity, including alleged international crimes against ethnic minorities that have been extensively documented for the Human Rights Council</w:t>
      </w:r>
      <w:r w:rsidR="00776152">
        <w:rPr>
          <w:lang w:eastAsia="en-GB"/>
        </w:rPr>
        <w:t>. Detailed</w:t>
      </w:r>
      <w:r w:rsidR="006B2177" w:rsidRPr="006B2177">
        <w:rPr>
          <w:lang w:eastAsia="en-GB"/>
        </w:rPr>
        <w:t xml:space="preserve"> recommendations have been made on accountability and security sector reform, but have not been implemented.</w:t>
      </w:r>
      <w:r w:rsidR="006B2177" w:rsidRPr="006B2177">
        <w:rPr>
          <w:vertAlign w:val="superscript"/>
        </w:rPr>
        <w:footnoteReference w:id="3"/>
      </w:r>
      <w:r w:rsidR="006B2177" w:rsidRPr="006B2177">
        <w:rPr>
          <w:lang w:eastAsia="en-GB"/>
        </w:rPr>
        <w:t xml:space="preserve"> Following the February coup, the Tatmadaw has systematically unleashed a new level of violence and repression across the country against the people of Myanmar.</w:t>
      </w:r>
      <w:r w:rsidR="006B2177" w:rsidRPr="006B2177">
        <w:rPr>
          <w:vertAlign w:val="superscript"/>
        </w:rPr>
        <w:footnoteReference w:id="4"/>
      </w:r>
      <w:r w:rsidR="006B2177" w:rsidRPr="006B2177">
        <w:rPr>
          <w:lang w:eastAsia="en-GB"/>
        </w:rPr>
        <w:t xml:space="preserve"> </w:t>
      </w:r>
    </w:p>
    <w:p w14:paraId="1BED651F" w14:textId="4E175F5A" w:rsidR="006B2177" w:rsidRPr="006B2177" w:rsidRDefault="00172FBD" w:rsidP="00172FBD">
      <w:pPr>
        <w:pStyle w:val="SingleTxtG"/>
        <w:rPr>
          <w:lang w:eastAsia="en-GB"/>
        </w:rPr>
      </w:pPr>
      <w:r>
        <w:rPr>
          <w:lang w:eastAsia="en-GB"/>
        </w:rPr>
        <w:t>6.</w:t>
      </w:r>
      <w:r>
        <w:rPr>
          <w:lang w:eastAsia="en-GB"/>
        </w:rPr>
        <w:tab/>
      </w:r>
      <w:r w:rsidR="006B2177" w:rsidRPr="006B2177">
        <w:rPr>
          <w:lang w:eastAsia="en-GB"/>
        </w:rPr>
        <w:t xml:space="preserve">On 1 February 2021, alleging electoral fraud in the November 2020 elections, Commander-in-Chief Min Aung Hlaing removed the civilian Government, detained Myanmar’s political leadership and declared a state of emergency, vesting all legislative, judicial and executive power in himself. Myanmar’s people met the coup with near universal rejection and launched a broad-based, sustained and peaceful civil disobedience and protest movement across the country. In succeeding months, a human rights crisis ensued, with a steady escalation of attacks against the civilian population as the Tatmadaw sought to suppress opposition and consolidate power. Military authorities abused the legal framework to stifle free expression, enable arbitrary deprivation of liberty, and strip away due process and fair trial rights as they detained thousands, particularly activists, journalists, and human rights defenders. When nationwide peaceful protests began, military authorities initially used less-lethal weapons in an unnecessary and disproportionate manner and conducted neighbourhood raids, creating an atmosphere of terror. This evolved into systematic targeted killings and mass arrests, with torture and ill-treatment causing additional deaths in custody. Progressively, armed resistance emerged, as people formed self-defence groups or started to organize to conduct attacks against the military. Simultaneously, armed conflict in Myanmar’s border </w:t>
      </w:r>
      <w:r w:rsidR="006B2177" w:rsidRPr="006B2177">
        <w:rPr>
          <w:lang w:eastAsia="en-GB"/>
        </w:rPr>
        <w:lastRenderedPageBreak/>
        <w:t>areas has continued and resurged. In both contexts, the Tatmadaw has conducted both targeted and indiscriminate attacks against civilians. Combined with a freefalling economy and worsening COVID-19 pandemic, the situation in Myanmar has become a human rights catastrophe.</w:t>
      </w:r>
      <w:r w:rsidR="006B2177" w:rsidRPr="006B2177">
        <w:rPr>
          <w:vertAlign w:val="superscript"/>
        </w:rPr>
        <w:footnoteReference w:id="5"/>
      </w:r>
      <w:r w:rsidR="006B2177" w:rsidRPr="006B2177">
        <w:rPr>
          <w:lang w:eastAsia="en-GB"/>
        </w:rPr>
        <w:t xml:space="preserve"> </w:t>
      </w:r>
    </w:p>
    <w:p w14:paraId="5FF1C843" w14:textId="22ED2F16" w:rsidR="00A3379A" w:rsidRPr="00A3379A" w:rsidRDefault="008A0B43" w:rsidP="009D3909">
      <w:pPr>
        <w:keepNext/>
        <w:keepLines/>
        <w:tabs>
          <w:tab w:val="right" w:pos="851"/>
        </w:tabs>
        <w:spacing w:before="360" w:after="240" w:line="300" w:lineRule="exact"/>
        <w:ind w:left="1134" w:right="1134" w:hanging="1134"/>
        <w:rPr>
          <w:rFonts w:eastAsia="Calibri" w:cs="DaunPenh"/>
          <w:b/>
          <w:bCs/>
          <w:sz w:val="24"/>
          <w:szCs w:val="24"/>
          <w:lang w:bidi="km-KH"/>
        </w:rPr>
      </w:pPr>
      <w:r>
        <w:rPr>
          <w:rFonts w:eastAsia="Calibri" w:cs="DaunPenh"/>
          <w:b/>
          <w:bCs/>
          <w:sz w:val="28"/>
          <w:szCs w:val="28"/>
          <w:lang w:bidi="km-KH"/>
        </w:rPr>
        <w:tab/>
        <w:t>III.</w:t>
      </w:r>
      <w:r w:rsidR="002876BF">
        <w:rPr>
          <w:rFonts w:eastAsia="Calibri" w:cs="DaunPenh"/>
          <w:b/>
          <w:bCs/>
          <w:sz w:val="28"/>
          <w:szCs w:val="28"/>
          <w:lang w:bidi="km-KH"/>
        </w:rPr>
        <w:tab/>
      </w:r>
      <w:r w:rsidR="006B2177" w:rsidRPr="006B2177">
        <w:rPr>
          <w:rFonts w:eastAsia="Calibri" w:cs="DaunPenh"/>
          <w:b/>
          <w:bCs/>
          <w:sz w:val="28"/>
          <w:szCs w:val="28"/>
          <w:lang w:bidi="km-KH"/>
        </w:rPr>
        <w:t>Rule of Law</w:t>
      </w:r>
      <w:r w:rsidR="00A3379A" w:rsidRPr="00A3379A">
        <w:rPr>
          <w:rFonts w:eastAsia="Calibri" w:cs="DaunPenh"/>
          <w:b/>
          <w:bCs/>
          <w:sz w:val="28"/>
          <w:szCs w:val="28"/>
          <w:lang w:bidi="km-KH"/>
        </w:rPr>
        <w:t xml:space="preserve"> </w:t>
      </w:r>
    </w:p>
    <w:p w14:paraId="023AC549" w14:textId="00548851" w:rsidR="00172FBD" w:rsidRPr="0096319E" w:rsidRDefault="00172FBD" w:rsidP="00172FBD">
      <w:pPr>
        <w:pStyle w:val="SingleTxtG"/>
      </w:pPr>
      <w:r>
        <w:rPr>
          <w:lang w:eastAsia="en-GB"/>
        </w:rPr>
        <w:t>7.</w:t>
      </w:r>
      <w:r>
        <w:rPr>
          <w:lang w:eastAsia="en-GB"/>
        </w:rPr>
        <w:tab/>
      </w:r>
      <w:r w:rsidRPr="00DA1AF4">
        <w:rPr>
          <w:lang w:eastAsia="en-GB"/>
        </w:rPr>
        <w:t>Since</w:t>
      </w:r>
      <w:r w:rsidRPr="00DA1AF4">
        <w:t xml:space="preserve"> 1 February, the Tatmadaw has attempted to legitimize its </w:t>
      </w:r>
      <w:r>
        <w:t xml:space="preserve">overthrow of the government by establishing </w:t>
      </w:r>
      <w:r w:rsidRPr="00DA1AF4">
        <w:t xml:space="preserve">a </w:t>
      </w:r>
      <w:r>
        <w:t xml:space="preserve">so-called </w:t>
      </w:r>
      <w:r w:rsidRPr="00DA1AF4">
        <w:t>State Administration Council (</w:t>
      </w:r>
      <w:r w:rsidRPr="00037D88">
        <w:t>SAC</w:t>
      </w:r>
      <w:r w:rsidRPr="00DA1AF4">
        <w:t>)</w:t>
      </w:r>
      <w:r w:rsidRPr="1004F845">
        <w:rPr>
          <w:sz w:val="18"/>
          <w:szCs w:val="18"/>
          <w:vertAlign w:val="superscript"/>
        </w:rPr>
        <w:footnoteReference w:id="6"/>
      </w:r>
      <w:r w:rsidRPr="0096319E">
        <w:t xml:space="preserve"> </w:t>
      </w:r>
      <w:r w:rsidRPr="00DA1AF4">
        <w:t xml:space="preserve">led by the military and </w:t>
      </w:r>
      <w:r>
        <w:t xml:space="preserve">by unilaterally amending </w:t>
      </w:r>
      <w:r w:rsidRPr="00DA1AF4">
        <w:t>existing laws to facilitate m</w:t>
      </w:r>
      <w:r>
        <w:t>ilitary</w:t>
      </w:r>
      <w:r w:rsidRPr="00DA1AF4">
        <w:t xml:space="preserve"> rule on an unyielding population. </w:t>
      </w:r>
      <w:r w:rsidRPr="00037D88">
        <w:t>The SAC annulled the 2020 election results</w:t>
      </w:r>
      <w:r w:rsidRPr="00037D88">
        <w:rPr>
          <w:vertAlign w:val="superscript"/>
        </w:rPr>
        <w:footnoteReference w:id="7"/>
      </w:r>
      <w:r w:rsidRPr="00037D88">
        <w:t xml:space="preserve"> in </w:t>
      </w:r>
      <w:r>
        <w:t xml:space="preserve">late </w:t>
      </w:r>
      <w:r w:rsidRPr="00037D88">
        <w:t>July 2021, announced its transformation into a “provisional government”</w:t>
      </w:r>
      <w:r w:rsidRPr="00037D88">
        <w:rPr>
          <w:vertAlign w:val="superscript"/>
        </w:rPr>
        <w:t xml:space="preserve"> </w:t>
      </w:r>
      <w:r w:rsidRPr="00037D88">
        <w:rPr>
          <w:vertAlign w:val="superscript"/>
        </w:rPr>
        <w:footnoteReference w:id="8"/>
      </w:r>
      <w:r w:rsidRPr="00037D88">
        <w:t xml:space="preserve">  with the commander-in-Chief as Prime Minister</w:t>
      </w:r>
      <w:r>
        <w:t xml:space="preserve"> on 1 August,</w:t>
      </w:r>
      <w:r w:rsidRPr="00037D88">
        <w:t xml:space="preserve"> and further extended the initial year-long state of emergency until August 2023.</w:t>
      </w:r>
      <w:r w:rsidRPr="00037D88">
        <w:rPr>
          <w:vertAlign w:val="superscript"/>
        </w:rPr>
        <w:footnoteReference w:id="9"/>
      </w:r>
      <w:r w:rsidRPr="00037D88">
        <w:t xml:space="preserve">   </w:t>
      </w:r>
    </w:p>
    <w:p w14:paraId="23AF250A" w14:textId="77777777" w:rsidR="00172FBD" w:rsidRPr="0096319E" w:rsidRDefault="00172FBD" w:rsidP="00172FBD">
      <w:pPr>
        <w:pStyle w:val="H1G"/>
      </w:pPr>
      <w:r w:rsidRPr="0096319E">
        <w:tab/>
        <w:t>A.</w:t>
      </w:r>
      <w:r w:rsidRPr="0096319E">
        <w:tab/>
      </w:r>
      <w:r w:rsidRPr="00DA1AF4">
        <w:rPr>
          <w:bCs/>
        </w:rPr>
        <w:t>Instrumentalization of Law</w:t>
      </w:r>
      <w:r w:rsidRPr="0096319E">
        <w:t xml:space="preserve"> </w:t>
      </w:r>
    </w:p>
    <w:p w14:paraId="112CA7DC" w14:textId="6DE521B3" w:rsidR="00172FBD" w:rsidRPr="0096319E" w:rsidRDefault="00172FBD" w:rsidP="00172FBD">
      <w:pPr>
        <w:pStyle w:val="SingleTxtG"/>
      </w:pPr>
      <w:r>
        <w:t>8.</w:t>
      </w:r>
      <w:r>
        <w:tab/>
      </w:r>
      <w:r w:rsidRPr="00DA1AF4">
        <w:t>Within two weeks of seizing power, the SAC effected changes to the Penal Code (</w:t>
      </w:r>
      <w:r w:rsidRPr="003F6482">
        <w:t>PC), Criminal Procedure Code (CPC), Ward and Village Tract Administration Law (WVTAL), and Law Protecting the Privacy and Security of Citizens (LPPSC),</w:t>
      </w:r>
      <w:r w:rsidRPr="00DA1AF4">
        <w:t xml:space="preserve"> effectively (</w:t>
      </w:r>
      <w:proofErr w:type="spellStart"/>
      <w:r w:rsidRPr="00DA1AF4">
        <w:t>i</w:t>
      </w:r>
      <w:proofErr w:type="spellEnd"/>
      <w:r w:rsidRPr="00DA1AF4">
        <w:t xml:space="preserve">) criminalizing both </w:t>
      </w:r>
      <w:r>
        <w:t xml:space="preserve">perceived </w:t>
      </w:r>
      <w:r w:rsidRPr="00DA1AF4">
        <w:t xml:space="preserve">intent and actual criticism of the authorities; and (ii) permitting warrantless </w:t>
      </w:r>
      <w:r w:rsidRPr="00DA1AF4">
        <w:lastRenderedPageBreak/>
        <w:t>searches, seizures, arrests, surveillance and interception of communications</w:t>
      </w:r>
      <w:r w:rsidRPr="0096319E">
        <w:t>.</w:t>
      </w:r>
    </w:p>
    <w:p w14:paraId="79306861" w14:textId="7FF3320B" w:rsidR="00172FBD" w:rsidRPr="0096319E" w:rsidRDefault="00172FBD" w:rsidP="00172FBD">
      <w:pPr>
        <w:pStyle w:val="SingleTxtG"/>
      </w:pPr>
      <w:r>
        <w:t>9.</w:t>
      </w:r>
      <w:r>
        <w:tab/>
      </w:r>
      <w:r w:rsidRPr="00DA1AF4">
        <w:t>Following issuance of “section 144 CPC orders” in 129 townships on 8-9 February,</w:t>
      </w:r>
      <w:r w:rsidRPr="0096319E">
        <w:rPr>
          <w:vertAlign w:val="superscript"/>
        </w:rPr>
        <w:footnoteReference w:id="10"/>
      </w:r>
      <w:r w:rsidRPr="00DA1AF4">
        <w:t xml:space="preserve"> the SAC on 13 February suspended protections under the LPPSC</w:t>
      </w:r>
      <w:r w:rsidRPr="0096319E">
        <w:rPr>
          <w:vertAlign w:val="superscript"/>
        </w:rPr>
        <w:footnoteReference w:id="11"/>
      </w:r>
      <w:r w:rsidRPr="00DA1AF4">
        <w:t xml:space="preserve"> and amended the WVTAL</w:t>
      </w:r>
      <w:r w:rsidRPr="0096319E">
        <w:t>.</w:t>
      </w:r>
      <w:r w:rsidRPr="0096319E">
        <w:rPr>
          <w:vertAlign w:val="superscript"/>
        </w:rPr>
        <w:footnoteReference w:id="12"/>
      </w:r>
      <w:r>
        <w:t xml:space="preserve"> </w:t>
      </w:r>
      <w:r w:rsidRPr="00DA1AF4">
        <w:t xml:space="preserve">Suspension of LPPSC provisions removed protections against detentions lasting more than 24 hours (section 7) and against warrantless searches, seizures, arrests, surveillance and interception of communications (section 8). Changes to the WVTAL required overnight guests </w:t>
      </w:r>
      <w:r>
        <w:t xml:space="preserve">be registered with the authorities </w:t>
      </w:r>
      <w:r w:rsidRPr="00DA1AF4">
        <w:t xml:space="preserve">(section 13(g)) – thereby </w:t>
      </w:r>
      <w:r>
        <w:t xml:space="preserve">limiting the protection available to </w:t>
      </w:r>
      <w:r w:rsidRPr="00DA1AF4">
        <w:t xml:space="preserve">journalists, activists, protest organizers and others </w:t>
      </w:r>
      <w:r>
        <w:t>who had left their homes and habitual places of residence for fear of arrest.</w:t>
      </w:r>
      <w:r w:rsidRPr="00DA1AF4">
        <w:t xml:space="preserve"> </w:t>
      </w:r>
    </w:p>
    <w:p w14:paraId="512139B0" w14:textId="0740D2B7" w:rsidR="00172FBD" w:rsidRPr="00ED2444" w:rsidRDefault="00172FBD" w:rsidP="00172FBD">
      <w:pPr>
        <w:pStyle w:val="SingleTxtG"/>
      </w:pPr>
      <w:r>
        <w:t>10.</w:t>
      </w:r>
      <w:r>
        <w:tab/>
      </w:r>
      <w:r w:rsidRPr="00ED2444">
        <w:t>Additional amendments on 14 February 2021 to the PC</w:t>
      </w:r>
      <w:r w:rsidRPr="00ED2444">
        <w:rPr>
          <w:vertAlign w:val="superscript"/>
        </w:rPr>
        <w:footnoteReference w:id="13"/>
      </w:r>
      <w:r w:rsidRPr="00ED2444">
        <w:t xml:space="preserve"> and CPC</w:t>
      </w:r>
      <w:r w:rsidRPr="00ED2444">
        <w:rPr>
          <w:vertAlign w:val="superscript"/>
        </w:rPr>
        <w:footnoteReference w:id="14"/>
      </w:r>
      <w:r w:rsidRPr="00ED2444">
        <w:t xml:space="preserve"> expanded crimes of high treason and sedition (sections 121 and 124A, PC), established new non-bailable offences of hindering security forces</w:t>
      </w:r>
      <w:r w:rsidRPr="00ED2444">
        <w:rPr>
          <w:rStyle w:val="FootnoteReference"/>
        </w:rPr>
        <w:footnoteReference w:id="15"/>
      </w:r>
      <w:r w:rsidRPr="00ED2444">
        <w:t xml:space="preserve"> and civil servants (sections 124C and 124D, PC), and introduced new offences relating to public mischief that adversely impact freedom of expression and assembly (sections 505(a) and 505A, PC). Thereafter, broadened definitions of high treason, which now include preparations to alter by “unconstitutional means” the Union of Myanmar, have formed the basis of charges against leading members of the Committee Representing </w:t>
      </w:r>
      <w:proofErr w:type="spellStart"/>
      <w:r w:rsidRPr="00ED2444">
        <w:t>Pyidaungsu</w:t>
      </w:r>
      <w:proofErr w:type="spellEnd"/>
      <w:r w:rsidRPr="00ED2444">
        <w:t xml:space="preserve"> </w:t>
      </w:r>
      <w:proofErr w:type="spellStart"/>
      <w:r w:rsidRPr="00ED2444">
        <w:t>Hluttaw</w:t>
      </w:r>
      <w:proofErr w:type="spellEnd"/>
      <w:r w:rsidRPr="00ED2444">
        <w:t xml:space="preserve"> (CRPH) and ministers of the National Unity Government (NUG) (see Section IX). At least 992 individuals have been </w:t>
      </w:r>
      <w:r w:rsidRPr="00ED2444">
        <w:lastRenderedPageBreak/>
        <w:t xml:space="preserve">charged under section 505A, which permits warrantless arrests for criticizing the coup, supporting the CRPH and/or civil disobedience movement (CDM). Given the overly broad language, anyone deemed associated with armed resistance groups could potentially be held liable for sabotaging or hindering security forces in preserving State stability (section 124C, PC). Anyone encouraging government employees to join the CDM could be sanctioned under both sections 124D and 505(a) for hindering officials from carrying out their duties. Given the questionable manner in which these amendments have been imposed, as well as their vague and overbroad Legitimacy of their imposition aside, the overbroad and vague wording of the amendments raises serious concerns regarding their compatibility with the principle of legality under international human rights law.  </w:t>
      </w:r>
    </w:p>
    <w:p w14:paraId="02AEF6DF" w14:textId="77777777" w:rsidR="00172FBD" w:rsidRPr="0096319E" w:rsidRDefault="00172FBD" w:rsidP="00172FBD">
      <w:pPr>
        <w:pStyle w:val="H1G"/>
      </w:pPr>
      <w:r w:rsidRPr="0096319E">
        <w:tab/>
        <w:t>B.</w:t>
      </w:r>
      <w:r w:rsidRPr="0096319E">
        <w:tab/>
      </w:r>
      <w:r w:rsidRPr="00DA1AF4">
        <w:rPr>
          <w:bCs/>
        </w:rPr>
        <w:t>Subversion of Judiciary and Due Process</w:t>
      </w:r>
      <w:r w:rsidRPr="0096319E">
        <w:t xml:space="preserve"> </w:t>
      </w:r>
    </w:p>
    <w:p w14:paraId="0D418C00" w14:textId="754545BE" w:rsidR="00172FBD" w:rsidRPr="007C7E51" w:rsidRDefault="00172FBD" w:rsidP="00172FBD">
      <w:pPr>
        <w:pStyle w:val="SingleTxtG"/>
      </w:pPr>
      <w:r>
        <w:t>11.</w:t>
      </w:r>
      <w:r>
        <w:tab/>
      </w:r>
      <w:r w:rsidRPr="00DA1AF4">
        <w:t>By mid-March, SAC had declared martial law across six townships in Yangon Region.</w:t>
      </w:r>
      <w:r w:rsidRPr="0096319E">
        <w:rPr>
          <w:vertAlign w:val="superscript"/>
        </w:rPr>
        <w:footnoteReference w:id="16"/>
      </w:r>
      <w:r w:rsidRPr="00DA1AF4">
        <w:t xml:space="preserve"> This was extended to one township in Chin State on 13 May</w:t>
      </w:r>
      <w:r w:rsidRPr="0096319E">
        <w:t>.</w:t>
      </w:r>
      <w:r w:rsidRPr="0096319E">
        <w:rPr>
          <w:vertAlign w:val="superscript"/>
        </w:rPr>
        <w:footnoteReference w:id="17"/>
      </w:r>
      <w:r w:rsidRPr="00DA1AF4">
        <w:t xml:space="preserve"> With the introduction of military tribunals in these areas, </w:t>
      </w:r>
      <w:r>
        <w:t xml:space="preserve">regional </w:t>
      </w:r>
      <w:r w:rsidRPr="00DA1AF4">
        <w:t xml:space="preserve">Commanders </w:t>
      </w:r>
      <w:r>
        <w:t>we</w:t>
      </w:r>
      <w:r w:rsidRPr="00DA1AF4">
        <w:t>re authorized to try a range of criminal cases summarily and impose the harshest penalt</w:t>
      </w:r>
      <w:r>
        <w:t>ies</w:t>
      </w:r>
      <w:r w:rsidRPr="00DA1AF4">
        <w:t xml:space="preserve"> for each crime – including death </w:t>
      </w:r>
      <w:r>
        <w:t>sentences</w:t>
      </w:r>
      <w:r w:rsidRPr="00DA1AF4">
        <w:t xml:space="preserve"> – with no right of appeal</w:t>
      </w:r>
      <w:r>
        <w:t>, in violation of international fair trial standards</w:t>
      </w:r>
      <w:r w:rsidRPr="00DA1AF4">
        <w:t xml:space="preserve">. </w:t>
      </w:r>
      <w:r w:rsidRPr="00794F84">
        <w:t xml:space="preserve">Cases against civilians have been tried summarily in military tribunals, with accused persons having no legal representation. </w:t>
      </w:r>
      <w:r w:rsidRPr="00DA1AF4">
        <w:t>As of 15 July, 65 individuals (including two children)</w:t>
      </w:r>
      <w:r>
        <w:t xml:space="preserve"> have received death sentences</w:t>
      </w:r>
      <w:r w:rsidRPr="00DA1AF4">
        <w:t xml:space="preserve">, 39 of whom were </w:t>
      </w:r>
      <w:r>
        <w:t>tri</w:t>
      </w:r>
      <w:r w:rsidRPr="00DA1AF4">
        <w:t xml:space="preserve">ed </w:t>
      </w:r>
      <w:r w:rsidRPr="00D24DF9">
        <w:rPr>
          <w:i/>
        </w:rPr>
        <w:t>in absentia</w:t>
      </w:r>
      <w:r w:rsidRPr="00DA1AF4">
        <w:t>.</w:t>
      </w:r>
    </w:p>
    <w:p w14:paraId="5B1C6424" w14:textId="0E8CB255" w:rsidR="004915F2" w:rsidRPr="004915F2" w:rsidRDefault="00172FBD" w:rsidP="00172FBD">
      <w:pPr>
        <w:pStyle w:val="SingleTxtG"/>
      </w:pPr>
      <w:r>
        <w:t>12.</w:t>
      </w:r>
      <w:r>
        <w:tab/>
      </w:r>
      <w:r w:rsidRPr="00DA1AF4">
        <w:t xml:space="preserve">In areas </w:t>
      </w:r>
      <w:r>
        <w:t>without</w:t>
      </w:r>
      <w:r w:rsidRPr="00DA1AF4">
        <w:t xml:space="preserve"> martial law</w:t>
      </w:r>
      <w:r>
        <w:t>,</w:t>
      </w:r>
      <w:r w:rsidRPr="00DA1AF4">
        <w:t xml:space="preserve"> judicial proceedings have been </w:t>
      </w:r>
      <w:r>
        <w:t>conducted</w:t>
      </w:r>
      <w:r w:rsidRPr="00DA1AF4">
        <w:t xml:space="preserve"> </w:t>
      </w:r>
      <w:r>
        <w:t>with</w:t>
      </w:r>
      <w:r w:rsidRPr="00DA1AF4">
        <w:t>in prisons, ostensibly to deal with “section 505 cases”</w:t>
      </w:r>
      <w:r>
        <w:t xml:space="preserve">. </w:t>
      </w:r>
      <w:r w:rsidRPr="00794F84">
        <w:t>In “prison courts”, most detainees have no access to legal counsel and the small minority who do, face significant challenges consulting with their lawyers and presenting evidence and witnesses</w:t>
      </w:r>
      <w:r>
        <w:t>,</w:t>
      </w:r>
      <w:r w:rsidRPr="00DA1AF4">
        <w:t xml:space="preserve"> raising grave concerns about </w:t>
      </w:r>
      <w:r>
        <w:t xml:space="preserve">due </w:t>
      </w:r>
      <w:r>
        <w:lastRenderedPageBreak/>
        <w:t>process and</w:t>
      </w:r>
      <w:r w:rsidRPr="00DA1AF4">
        <w:t xml:space="preserve"> violations of other fair trial rights. As peaceful protests decrease</w:t>
      </w:r>
      <w:r>
        <w:t xml:space="preserve"> in scale</w:t>
      </w:r>
      <w:r w:rsidRPr="00DA1AF4">
        <w:t xml:space="preserve"> and incidents involving armed </w:t>
      </w:r>
      <w:r>
        <w:t>elements</w:t>
      </w:r>
      <w:r w:rsidRPr="00DA1AF4">
        <w:t xml:space="preserve"> rise</w:t>
      </w:r>
      <w:r>
        <w:t>,</w:t>
      </w:r>
      <w:r w:rsidRPr="00DA1AF4">
        <w:t xml:space="preserve"> these courts have begun trying broader range</w:t>
      </w:r>
      <w:r>
        <w:t>s</w:t>
      </w:r>
      <w:r w:rsidRPr="00DA1AF4">
        <w:t xml:space="preserve"> of crim</w:t>
      </w:r>
      <w:r>
        <w:t>es</w:t>
      </w:r>
      <w:r w:rsidRPr="00DA1AF4">
        <w:t xml:space="preserve"> related to armed resistance.</w:t>
      </w:r>
      <w:r w:rsidRPr="00794F84">
        <w:t xml:space="preserve"> </w:t>
      </w:r>
      <w:r w:rsidRPr="00DA1AF4">
        <w:t xml:space="preserve"> </w:t>
      </w:r>
    </w:p>
    <w:p w14:paraId="2216E96D" w14:textId="65E6CFA5" w:rsidR="00A3379A" w:rsidRPr="00A3379A" w:rsidRDefault="002876BF" w:rsidP="006B2177">
      <w:pPr>
        <w:pStyle w:val="HChG"/>
      </w:pPr>
      <w:r>
        <w:tab/>
        <w:t>IV.</w:t>
      </w:r>
      <w:r>
        <w:tab/>
      </w:r>
      <w:r w:rsidR="00172FBD" w:rsidRPr="00172FBD">
        <w:t>Freedom of expression</w:t>
      </w:r>
      <w:r w:rsidR="00A3379A" w:rsidRPr="00A3379A">
        <w:t xml:space="preserve"> </w:t>
      </w:r>
    </w:p>
    <w:p w14:paraId="029E694B" w14:textId="2378F439" w:rsidR="00172FBD" w:rsidRPr="0096319E" w:rsidRDefault="00172FBD" w:rsidP="00172FBD">
      <w:pPr>
        <w:pStyle w:val="SingleTxtG"/>
      </w:pPr>
      <w:r>
        <w:t>13.</w:t>
      </w:r>
      <w:r>
        <w:tab/>
        <w:t xml:space="preserve">In </w:t>
      </w:r>
      <w:r w:rsidRPr="00066840">
        <w:t>seiz</w:t>
      </w:r>
      <w:r>
        <w:t>ing</w:t>
      </w:r>
      <w:r w:rsidRPr="00066840">
        <w:t xml:space="preserve"> power</w:t>
      </w:r>
      <w:r>
        <w:t xml:space="preserve">, the Tatmadaw swiftly shut down </w:t>
      </w:r>
      <w:r w:rsidRPr="00066840">
        <w:t xml:space="preserve">telecommunications </w:t>
      </w:r>
      <w:r>
        <w:t>nationwide,</w:t>
      </w:r>
      <w:r w:rsidRPr="00066840">
        <w:t xml:space="preserve"> including fixed and mobile </w:t>
      </w:r>
      <w:r>
        <w:t>tele</w:t>
      </w:r>
      <w:r w:rsidRPr="00066840">
        <w:t>phone</w:t>
      </w:r>
      <w:r>
        <w:t xml:space="preserve"> </w:t>
      </w:r>
      <w:r w:rsidRPr="00066840">
        <w:t xml:space="preserve">lines, </w:t>
      </w:r>
      <w:r>
        <w:t>and</w:t>
      </w:r>
      <w:r w:rsidRPr="00066840">
        <w:t xml:space="preserve"> the Internet.</w:t>
      </w:r>
      <w:r>
        <w:t xml:space="preserve"> Although this was temporary, the SAC has implemented periodic Internet blackouts and imposed increasingly draconian restrictions over </w:t>
      </w:r>
      <w:r w:rsidRPr="00235C2E">
        <w:t>time.</w:t>
      </w:r>
      <w:r>
        <w:t xml:space="preserve"> These </w:t>
      </w:r>
      <w:r w:rsidRPr="00066840">
        <w:t xml:space="preserve">steps </w:t>
      </w:r>
      <w:r>
        <w:t xml:space="preserve">have been aimed at </w:t>
      </w:r>
      <w:r w:rsidRPr="00066840">
        <w:t>control</w:t>
      </w:r>
      <w:r>
        <w:t>ling</w:t>
      </w:r>
      <w:r w:rsidRPr="00066840">
        <w:t xml:space="preserve"> and </w:t>
      </w:r>
      <w:r>
        <w:t xml:space="preserve">unduly </w:t>
      </w:r>
      <w:r w:rsidRPr="00066840">
        <w:t>restrict</w:t>
      </w:r>
      <w:r>
        <w:t>ing</w:t>
      </w:r>
      <w:r w:rsidRPr="00066840">
        <w:t xml:space="preserve"> </w:t>
      </w:r>
      <w:r w:rsidRPr="00066840" w:rsidDel="0079634E">
        <w:t xml:space="preserve">the right to </w:t>
      </w:r>
      <w:r w:rsidRPr="00066840">
        <w:t xml:space="preserve">freedom of </w:t>
      </w:r>
      <w:r w:rsidRPr="0088227B">
        <w:t>expression and other human rights.</w:t>
      </w:r>
      <w:r>
        <w:t xml:space="preserve"> It has additionally</w:t>
      </w:r>
      <w:r w:rsidRPr="00066840">
        <w:t xml:space="preserve"> </w:t>
      </w:r>
      <w:r>
        <w:t xml:space="preserve">limited the flow of </w:t>
      </w:r>
      <w:r w:rsidRPr="00066840">
        <w:t xml:space="preserve">information about </w:t>
      </w:r>
      <w:r>
        <w:t xml:space="preserve">violations committed by </w:t>
      </w:r>
      <w:r w:rsidRPr="00066840">
        <w:t>security forces</w:t>
      </w:r>
      <w:r>
        <w:t>, complicating humanitarian needs assessments and documentation efforts.</w:t>
      </w:r>
      <w:r w:rsidRPr="007218A0">
        <w:t xml:space="preserve"> </w:t>
      </w:r>
    </w:p>
    <w:p w14:paraId="123A0E9B" w14:textId="77777777" w:rsidR="00172FBD" w:rsidRPr="0096319E" w:rsidRDefault="00172FBD" w:rsidP="00172FBD">
      <w:pPr>
        <w:pStyle w:val="H1G"/>
      </w:pPr>
      <w:r w:rsidRPr="0096319E">
        <w:tab/>
        <w:t>A.</w:t>
      </w:r>
      <w:r w:rsidRPr="0096319E">
        <w:tab/>
      </w:r>
      <w:bookmarkStart w:id="2" w:name="OLE_LINK1"/>
      <w:bookmarkStart w:id="3" w:name="OLE_LINK2"/>
      <w:r w:rsidRPr="00BD05BA">
        <w:rPr>
          <w:szCs w:val="24"/>
        </w:rPr>
        <w:t xml:space="preserve">Online </w:t>
      </w:r>
      <w:bookmarkEnd w:id="2"/>
      <w:bookmarkEnd w:id="3"/>
      <w:r>
        <w:rPr>
          <w:szCs w:val="24"/>
        </w:rPr>
        <w:t>Restrictions</w:t>
      </w:r>
      <w:r w:rsidRPr="0096319E">
        <w:t xml:space="preserve"> </w:t>
      </w:r>
    </w:p>
    <w:p w14:paraId="584F182A" w14:textId="6CB58E95" w:rsidR="00172FBD" w:rsidRPr="0096319E" w:rsidRDefault="00172FBD" w:rsidP="00172FBD">
      <w:pPr>
        <w:pStyle w:val="SingleTxtG"/>
      </w:pPr>
      <w:r>
        <w:t>14.</w:t>
      </w:r>
      <w:r>
        <w:tab/>
      </w:r>
      <w:r w:rsidRPr="00066840">
        <w:t xml:space="preserve">Between mid-February and </w:t>
      </w:r>
      <w:r>
        <w:t>late</w:t>
      </w:r>
      <w:r w:rsidRPr="00066840">
        <w:t xml:space="preserve"> April, the SAC moved to </w:t>
      </w:r>
      <w:r>
        <w:t>stifle</w:t>
      </w:r>
      <w:r w:rsidRPr="00066840">
        <w:t xml:space="preserve"> online civic space by introducing legal provisions criminalizing online activity </w:t>
      </w:r>
      <w:r>
        <w:t>and sharply curbing</w:t>
      </w:r>
      <w:r w:rsidRPr="00066840">
        <w:t xml:space="preserve"> access to </w:t>
      </w:r>
      <w:r>
        <w:t xml:space="preserve">the </w:t>
      </w:r>
      <w:r w:rsidRPr="00066840">
        <w:t>Internet</w:t>
      </w:r>
      <w:r>
        <w:t>,</w:t>
      </w:r>
      <w:r w:rsidRPr="00066840">
        <w:t xml:space="preserve"> through a combination of nightly shutdowns and progressive suspensions on various forms of data services</w:t>
      </w:r>
      <w:r w:rsidRPr="0096319E">
        <w:t>.</w:t>
      </w:r>
      <w:r>
        <w:t xml:space="preserve">   </w:t>
      </w:r>
    </w:p>
    <w:p w14:paraId="6D5EFB84" w14:textId="049CC9DA" w:rsidR="00172FBD" w:rsidRPr="001A0AC0" w:rsidRDefault="00172FBD" w:rsidP="00172FBD">
      <w:pPr>
        <w:pStyle w:val="SingleTxtG"/>
      </w:pPr>
      <w:r>
        <w:t>15.</w:t>
      </w:r>
      <w:r>
        <w:tab/>
        <w:t>F</w:t>
      </w:r>
      <w:r w:rsidRPr="00066840">
        <w:t xml:space="preserve">ollowing widespread criticism of </w:t>
      </w:r>
      <w:r>
        <w:t xml:space="preserve">a </w:t>
      </w:r>
      <w:r w:rsidRPr="00066840">
        <w:t>proposed</w:t>
      </w:r>
      <w:r>
        <w:t xml:space="preserve"> (and thereafter discarded)</w:t>
      </w:r>
      <w:r w:rsidRPr="00066840">
        <w:t xml:space="preserve"> Cyber Security Bill, </w:t>
      </w:r>
      <w:r>
        <w:t xml:space="preserve">military authorities </w:t>
      </w:r>
      <w:r w:rsidRPr="00066840">
        <w:t>amend</w:t>
      </w:r>
      <w:r>
        <w:t>ed</w:t>
      </w:r>
      <w:r w:rsidRPr="00066840">
        <w:t xml:space="preserve"> </w:t>
      </w:r>
      <w:r>
        <w:t xml:space="preserve">unilaterally </w:t>
      </w:r>
      <w:r w:rsidRPr="00066840">
        <w:t xml:space="preserve">the 2004 Electronic Transactions Law </w:t>
      </w:r>
      <w:r>
        <w:t xml:space="preserve">(ETL) </w:t>
      </w:r>
      <w:r w:rsidRPr="00066840">
        <w:t>without any public notice</w:t>
      </w:r>
      <w:r>
        <w:t xml:space="preserve"> or consultation on 15 February</w:t>
      </w:r>
      <w:r w:rsidRPr="00066840">
        <w:t xml:space="preserve">. </w:t>
      </w:r>
      <w:r>
        <w:t>B</w:t>
      </w:r>
      <w:r w:rsidRPr="00066840">
        <w:t xml:space="preserve">roadly worded </w:t>
      </w:r>
      <w:r>
        <w:t>provisions introduced</w:t>
      </w:r>
      <w:r w:rsidRPr="00066840">
        <w:t xml:space="preserve"> </w:t>
      </w:r>
      <w:r>
        <w:t>several</w:t>
      </w:r>
      <w:r w:rsidRPr="00066840">
        <w:t xml:space="preserve"> new offences </w:t>
      </w:r>
      <w:r>
        <w:t xml:space="preserve">criminalizing </w:t>
      </w:r>
      <w:r w:rsidRPr="00066840">
        <w:t>information</w:t>
      </w:r>
      <w:r>
        <w:t xml:space="preserve"> sharing</w:t>
      </w:r>
      <w:r w:rsidRPr="00066840">
        <w:t xml:space="preserve"> about “social punishment” (section 38b);</w:t>
      </w:r>
      <w:r w:rsidRPr="0096319E">
        <w:rPr>
          <w:vertAlign w:val="superscript"/>
        </w:rPr>
        <w:footnoteReference w:id="18"/>
      </w:r>
      <w:r w:rsidRPr="00066840">
        <w:t xml:space="preserve"> journalis</w:t>
      </w:r>
      <w:r>
        <w:t>m</w:t>
      </w:r>
      <w:r w:rsidRPr="00066840">
        <w:t xml:space="preserve"> deemed critical of military authorities (section 38c); utilizing private networks or encryption services (section 38d); and communicating information to the international community (section 38e). Separately, whilst ostensibly </w:t>
      </w:r>
      <w:r>
        <w:t>providing</w:t>
      </w:r>
      <w:r w:rsidRPr="00066840">
        <w:t xml:space="preserve"> a veneer for personal data </w:t>
      </w:r>
      <w:r w:rsidRPr="00066840">
        <w:lastRenderedPageBreak/>
        <w:t>protection</w:t>
      </w:r>
      <w:r>
        <w:t>s</w:t>
      </w:r>
      <w:r w:rsidRPr="00066840">
        <w:t xml:space="preserve"> (Chapter 10), </w:t>
      </w:r>
      <w:r>
        <w:t xml:space="preserve">amendments confer extensive </w:t>
      </w:r>
      <w:r w:rsidRPr="00066840">
        <w:t xml:space="preserve">powers </w:t>
      </w:r>
      <w:r>
        <w:t>to</w:t>
      </w:r>
      <w:r w:rsidRPr="00066840">
        <w:t xml:space="preserve"> authorities</w:t>
      </w:r>
      <w:r>
        <w:t>,</w:t>
      </w:r>
      <w:r w:rsidRPr="00066840">
        <w:t xml:space="preserve"> </w:t>
      </w:r>
      <w:r>
        <w:t xml:space="preserve">allowing them to intercept personal data </w:t>
      </w:r>
      <w:r w:rsidRPr="00066840">
        <w:t xml:space="preserve">without any corresponding safeguards. </w:t>
      </w:r>
      <w:r>
        <w:t xml:space="preserve">These modifications </w:t>
      </w:r>
      <w:r w:rsidRPr="00066840">
        <w:t xml:space="preserve">are overly broad </w:t>
      </w:r>
      <w:r>
        <w:t xml:space="preserve">raising </w:t>
      </w:r>
      <w:r w:rsidRPr="0088227B">
        <w:t>serious concerns as to their compatibility with the principle of legality. Further, they fail to satisfy the requirements of necessity and proportionality. Such restrictions do not appear to pursue legitimate aims under human rights law,</w:t>
      </w:r>
      <w:r w:rsidRPr="00066840">
        <w:t xml:space="preserve"> </w:t>
      </w:r>
      <w:r>
        <w:t>and</w:t>
      </w:r>
      <w:r w:rsidRPr="00066840">
        <w:t xml:space="preserve"> as a whole impact not only </w:t>
      </w:r>
      <w:r>
        <w:t xml:space="preserve">an </w:t>
      </w:r>
      <w:r w:rsidRPr="00066840">
        <w:t xml:space="preserve">individuals’ right to </w:t>
      </w:r>
      <w:r>
        <w:t>freedom of opinion and expression</w:t>
      </w:r>
      <w:r w:rsidRPr="00066840">
        <w:t>, but also to privacy</w:t>
      </w:r>
      <w:r>
        <w:t xml:space="preserve">. </w:t>
      </w:r>
    </w:p>
    <w:p w14:paraId="6FE3E53F" w14:textId="40D70821" w:rsidR="00172FBD" w:rsidRPr="0096319E" w:rsidRDefault="00172FBD" w:rsidP="00172FBD">
      <w:pPr>
        <w:pStyle w:val="SingleTxtG"/>
      </w:pPr>
      <w:r>
        <w:t>16.</w:t>
      </w:r>
      <w:r>
        <w:tab/>
        <w:t xml:space="preserve">As the scale of protests grew and military responses became more violent, </w:t>
      </w:r>
      <w:r w:rsidRPr="00066840">
        <w:t xml:space="preserve">SAC </w:t>
      </w:r>
      <w:r>
        <w:t>instituted</w:t>
      </w:r>
      <w:r w:rsidRPr="00066840">
        <w:t xml:space="preserve"> nightly Internet shutdowns between </w:t>
      </w:r>
      <w:r>
        <w:t>0</w:t>
      </w:r>
      <w:r w:rsidRPr="00066840">
        <w:t>1</w:t>
      </w:r>
      <w:r>
        <w:t>:00</w:t>
      </w:r>
      <w:r w:rsidRPr="00066840">
        <w:t xml:space="preserve"> </w:t>
      </w:r>
      <w:r>
        <w:t>hours</w:t>
      </w:r>
      <w:r w:rsidRPr="00066840">
        <w:t xml:space="preserve"> to </w:t>
      </w:r>
      <w:r>
        <w:t>0</w:t>
      </w:r>
      <w:r w:rsidRPr="00066840">
        <w:t>6</w:t>
      </w:r>
      <w:r>
        <w:t>:</w:t>
      </w:r>
      <w:r w:rsidRPr="00066840">
        <w:t xml:space="preserve">30 </w:t>
      </w:r>
      <w:r>
        <w:t>hours or 09:00 hours</w:t>
      </w:r>
      <w:r w:rsidRPr="00066840">
        <w:t>, depending on the da</w:t>
      </w:r>
      <w:r>
        <w:t xml:space="preserve">y, </w:t>
      </w:r>
      <w:r w:rsidRPr="00066840">
        <w:t xml:space="preserve">until </w:t>
      </w:r>
      <w:r>
        <w:t>late</w:t>
      </w:r>
      <w:r w:rsidRPr="00066840">
        <w:t xml:space="preserve"> April</w:t>
      </w:r>
      <w:r>
        <w:t xml:space="preserve"> 2021</w:t>
      </w:r>
      <w:r w:rsidRPr="00066840">
        <w:t>.</w:t>
      </w:r>
    </w:p>
    <w:p w14:paraId="14DE8A1D" w14:textId="5D02210E" w:rsidR="00172FBD" w:rsidRDefault="00172FBD" w:rsidP="00172FBD">
      <w:pPr>
        <w:pStyle w:val="SingleTxtG"/>
      </w:pPr>
      <w:r>
        <w:t>17.</w:t>
      </w:r>
      <w:r>
        <w:tab/>
        <w:t>F</w:t>
      </w:r>
      <w:r w:rsidRPr="00066840">
        <w:t xml:space="preserve">ollowing </w:t>
      </w:r>
      <w:r>
        <w:t>violent crackdowns</w:t>
      </w:r>
      <w:r w:rsidRPr="00066840">
        <w:t xml:space="preserve"> in </w:t>
      </w:r>
      <w:proofErr w:type="spellStart"/>
      <w:r w:rsidRPr="00066840">
        <w:t>Hlaingtha</w:t>
      </w:r>
      <w:r>
        <w:t>r</w:t>
      </w:r>
      <w:r w:rsidRPr="00066840">
        <w:t>ya</w:t>
      </w:r>
      <w:proofErr w:type="spellEnd"/>
      <w:r w:rsidRPr="00066840">
        <w:t xml:space="preserve"> and </w:t>
      </w:r>
      <w:proofErr w:type="spellStart"/>
      <w:r w:rsidRPr="00066840">
        <w:t>Shwepyithar</w:t>
      </w:r>
      <w:proofErr w:type="spellEnd"/>
      <w:r w:rsidRPr="00066840">
        <w:t xml:space="preserve"> townships, </w:t>
      </w:r>
      <w:r>
        <w:t xml:space="preserve">and declarations of </w:t>
      </w:r>
      <w:r w:rsidRPr="00066840">
        <w:t>martial law across six townships in Yangon Region</w:t>
      </w:r>
      <w:r>
        <w:t>, military authorities</w:t>
      </w:r>
      <w:r w:rsidRPr="00066840">
        <w:t xml:space="preserve"> </w:t>
      </w:r>
      <w:r>
        <w:t>blocked</w:t>
      </w:r>
      <w:r w:rsidRPr="00066840">
        <w:t xml:space="preserve"> mobile Internet access nationwide</w:t>
      </w:r>
      <w:r>
        <w:t xml:space="preserve"> on 15 March</w:t>
      </w:r>
      <w:r w:rsidRPr="00066840">
        <w:t xml:space="preserve">. </w:t>
      </w:r>
      <w:r>
        <w:t>Three days later</w:t>
      </w:r>
      <w:r w:rsidRPr="00066840">
        <w:t xml:space="preserve">, </w:t>
      </w:r>
      <w:r>
        <w:t xml:space="preserve">they suspended </w:t>
      </w:r>
      <w:r w:rsidRPr="00066840">
        <w:t>public wi-fi services</w:t>
      </w:r>
      <w:r>
        <w:t>.</w:t>
      </w:r>
      <w:r w:rsidRPr="00066840">
        <w:t xml:space="preserve"> </w:t>
      </w:r>
      <w:r>
        <w:t>O</w:t>
      </w:r>
      <w:r w:rsidRPr="00066840">
        <w:t>n 2 April, SAC direct</w:t>
      </w:r>
      <w:r>
        <w:t>ives also blocked</w:t>
      </w:r>
      <w:r w:rsidRPr="00066840">
        <w:t xml:space="preserve"> fixed wireless Internet, leaving only fibre</w:t>
      </w:r>
      <w:r>
        <w:t>-optic</w:t>
      </w:r>
      <w:r w:rsidRPr="00066840">
        <w:t xml:space="preserve"> Internet connections </w:t>
      </w:r>
      <w:r>
        <w:t>open</w:t>
      </w:r>
      <w:r w:rsidRPr="00066840">
        <w:t xml:space="preserve"> </w:t>
      </w:r>
      <w:r>
        <w:t>(</w:t>
      </w:r>
      <w:r w:rsidRPr="00066840">
        <w:t>covering less than 0.</w:t>
      </w:r>
      <w:r>
        <w:t>2</w:t>
      </w:r>
      <w:r w:rsidRPr="00066840">
        <w:t xml:space="preserve"> percent of the population</w:t>
      </w:r>
      <w:r>
        <w:t xml:space="preserve">, </w:t>
      </w:r>
      <w:r w:rsidRPr="00066840">
        <w:t xml:space="preserve">primarily in </w:t>
      </w:r>
      <w:r>
        <w:t>major urban areas)</w:t>
      </w:r>
      <w:r w:rsidRPr="00066840">
        <w:t xml:space="preserve">. </w:t>
      </w:r>
    </w:p>
    <w:p w14:paraId="3865477D" w14:textId="5D7876A8" w:rsidR="00172FBD" w:rsidRPr="0096319E" w:rsidRDefault="00172FBD" w:rsidP="00172FBD">
      <w:pPr>
        <w:pStyle w:val="SingleTxtG"/>
      </w:pPr>
      <w:r>
        <w:t>18.</w:t>
      </w:r>
      <w:r>
        <w:tab/>
      </w:r>
      <w:r w:rsidRPr="00066840">
        <w:t xml:space="preserve">Nightly Internet shutdowns </w:t>
      </w:r>
      <w:r>
        <w:t>ceased</w:t>
      </w:r>
      <w:r w:rsidRPr="00066840">
        <w:t xml:space="preserve"> </w:t>
      </w:r>
      <w:r>
        <w:t>in late</w:t>
      </w:r>
      <w:r w:rsidRPr="00066840">
        <w:t xml:space="preserve"> April when </w:t>
      </w:r>
      <w:r>
        <w:t>SAC</w:t>
      </w:r>
      <w:r w:rsidRPr="00066840">
        <w:t xml:space="preserve"> </w:t>
      </w:r>
      <w:r>
        <w:t xml:space="preserve">adopted a different </w:t>
      </w:r>
      <w:r w:rsidRPr="00066840">
        <w:t xml:space="preserve">method of </w:t>
      </w:r>
      <w:r>
        <w:t xml:space="preserve">control, through </w:t>
      </w:r>
      <w:r w:rsidRPr="00066840">
        <w:t>block</w:t>
      </w:r>
      <w:r>
        <w:t>ing</w:t>
      </w:r>
      <w:r w:rsidRPr="00066840">
        <w:t xml:space="preserve"> all access to the Internet, except for specific websites or applications, for mobile and fixed wireless Internet users</w:t>
      </w:r>
      <w:r>
        <w:t>. T</w:t>
      </w:r>
      <w:r w:rsidRPr="00066840">
        <w:t>hose with fibre</w:t>
      </w:r>
      <w:r>
        <w:t>-optic</w:t>
      </w:r>
      <w:r w:rsidRPr="00066840">
        <w:t xml:space="preserve"> connections</w:t>
      </w:r>
      <w:r>
        <w:t xml:space="preserve"> maintained</w:t>
      </w:r>
      <w:r w:rsidRPr="00066840">
        <w:t xml:space="preserve"> access except</w:t>
      </w:r>
      <w:r>
        <w:t xml:space="preserve"> for </w:t>
      </w:r>
      <w:r w:rsidRPr="00066840">
        <w:t xml:space="preserve">blacklisted websites </w:t>
      </w:r>
      <w:r>
        <w:t>and</w:t>
      </w:r>
      <w:r w:rsidRPr="00066840">
        <w:t xml:space="preserve"> applications. On 28 April, mobile Internet was restored for banking and other commercial applications; with</w:t>
      </w:r>
      <w:r>
        <w:t xml:space="preserve"> </w:t>
      </w:r>
      <w:r w:rsidRPr="00066840">
        <w:t xml:space="preserve">fixed wireless </w:t>
      </w:r>
      <w:r>
        <w:t>service following eight days later</w:t>
      </w:r>
      <w:r w:rsidRPr="00066840">
        <w:t>.</w:t>
      </w:r>
      <w:r>
        <w:t xml:space="preserve"> Given the ETL amendments, and suspension of LPPSC provisions </w:t>
      </w:r>
      <w:r w:rsidRPr="007701F9">
        <w:t>(see above),</w:t>
      </w:r>
      <w:r>
        <w:t xml:space="preserve"> significant risks of ongoing surveillance and interception of phone and Internet-based communications remain, even within the limited current access</w:t>
      </w:r>
      <w:r w:rsidRPr="0096319E">
        <w:t>.</w:t>
      </w:r>
    </w:p>
    <w:p w14:paraId="20744ECB" w14:textId="77777777" w:rsidR="00172FBD" w:rsidRPr="0096319E" w:rsidRDefault="00172FBD" w:rsidP="00172FBD">
      <w:pPr>
        <w:pStyle w:val="H1G"/>
      </w:pPr>
      <w:r w:rsidRPr="0096319E">
        <w:lastRenderedPageBreak/>
        <w:tab/>
        <w:t>B.</w:t>
      </w:r>
      <w:r w:rsidRPr="0096319E">
        <w:tab/>
      </w:r>
      <w:r w:rsidRPr="00EC57C3">
        <w:rPr>
          <w:szCs w:val="24"/>
        </w:rPr>
        <w:t>News Media and Journalists</w:t>
      </w:r>
      <w:r w:rsidRPr="0096319E">
        <w:t xml:space="preserve"> </w:t>
      </w:r>
    </w:p>
    <w:p w14:paraId="28FF870E" w14:textId="2B13BF67" w:rsidR="00172FBD" w:rsidRPr="0096319E" w:rsidRDefault="00172FBD" w:rsidP="00172FBD">
      <w:pPr>
        <w:pStyle w:val="SingleTxtG"/>
      </w:pPr>
      <w:r>
        <w:t>19.</w:t>
      </w:r>
      <w:r>
        <w:tab/>
        <w:t>Within</w:t>
      </w:r>
      <w:r w:rsidRPr="00BF16B5">
        <w:t xml:space="preserve"> seven weeks of </w:t>
      </w:r>
      <w:r>
        <w:t>the coup</w:t>
      </w:r>
      <w:r w:rsidRPr="00066840">
        <w:t xml:space="preserve">, </w:t>
      </w:r>
      <w:r>
        <w:t xml:space="preserve">five </w:t>
      </w:r>
      <w:r w:rsidRPr="00066840">
        <w:t xml:space="preserve">independent newspaper publications </w:t>
      </w:r>
      <w:r>
        <w:t>were closed.</w:t>
      </w:r>
      <w:r w:rsidRPr="0096319E">
        <w:rPr>
          <w:vertAlign w:val="superscript"/>
        </w:rPr>
        <w:footnoteReference w:id="19"/>
      </w:r>
      <w:r w:rsidRPr="00066840">
        <w:t xml:space="preserve"> </w:t>
      </w:r>
      <w:r>
        <w:t>By 5 May, the SAC</w:t>
      </w:r>
      <w:r w:rsidRPr="00066840">
        <w:t xml:space="preserve"> </w:t>
      </w:r>
      <w:r>
        <w:t xml:space="preserve">had </w:t>
      </w:r>
      <w:r w:rsidRPr="00066840">
        <w:t xml:space="preserve">revoked the licenses of </w:t>
      </w:r>
      <w:r>
        <w:t>eight media outlets,</w:t>
      </w:r>
      <w:r w:rsidRPr="0096319E">
        <w:rPr>
          <w:vertAlign w:val="superscript"/>
        </w:rPr>
        <w:footnoteReference w:id="20"/>
      </w:r>
      <w:r>
        <w:t xml:space="preserve"> </w:t>
      </w:r>
      <w:r w:rsidR="00776152">
        <w:t>following</w:t>
      </w:r>
      <w:r>
        <w:t xml:space="preserve"> </w:t>
      </w:r>
      <w:r w:rsidR="00776152">
        <w:t>the SAC warning media outlets against referring to it as “military government</w:t>
      </w:r>
      <w:r>
        <w:t>”</w:t>
      </w:r>
      <w:r w:rsidRPr="0096319E">
        <w:t>.</w:t>
      </w:r>
      <w:r w:rsidRPr="001E2899">
        <w:rPr>
          <w:vertAlign w:val="superscript"/>
        </w:rPr>
        <w:footnoteReference w:id="21"/>
      </w:r>
    </w:p>
    <w:p w14:paraId="6DECFE99" w14:textId="42981AFD" w:rsidR="00172FBD" w:rsidRPr="00321B0E" w:rsidRDefault="00172FBD" w:rsidP="00172FBD">
      <w:pPr>
        <w:pStyle w:val="SingleTxtG"/>
      </w:pPr>
      <w:r>
        <w:t>20.</w:t>
      </w:r>
      <w:r>
        <w:tab/>
      </w:r>
      <w:r w:rsidRPr="00066840">
        <w:t xml:space="preserve">As </w:t>
      </w:r>
      <w:r w:rsidRPr="002341B6">
        <w:t>of 15 July</w:t>
      </w:r>
      <w:r>
        <w:t xml:space="preserve"> 2021</w:t>
      </w:r>
      <w:r w:rsidRPr="002341B6">
        <w:t xml:space="preserve">, </w:t>
      </w:r>
      <w:r>
        <w:t>at least 98</w:t>
      </w:r>
      <w:r w:rsidRPr="002341B6">
        <w:t xml:space="preserve"> journalists have been arrested at some point since 1 February</w:t>
      </w:r>
      <w:r>
        <w:t xml:space="preserve"> 2021, including Polish, Japanese, and American correspondents; another 33 had arrest warrants pending against them</w:t>
      </w:r>
      <w:r w:rsidRPr="002341B6">
        <w:t xml:space="preserve">. Forty-six </w:t>
      </w:r>
      <w:r>
        <w:t xml:space="preserve">journalists </w:t>
      </w:r>
      <w:r w:rsidRPr="002341B6">
        <w:t xml:space="preserve">remain in detention, 20 of whom have been </w:t>
      </w:r>
      <w:r>
        <w:t xml:space="preserve">criminally </w:t>
      </w:r>
      <w:r w:rsidRPr="002341B6">
        <w:t>charged</w:t>
      </w:r>
      <w:r>
        <w:t xml:space="preserve"> (mostly under Penal Code section 505)</w:t>
      </w:r>
      <w:r w:rsidRPr="002341B6">
        <w:t>. Six have been convicted</w:t>
      </w:r>
      <w:r>
        <w:t>, with sentences ranging from one month to three years</w:t>
      </w:r>
      <w:r w:rsidRPr="002341B6">
        <w:t>.</w:t>
      </w:r>
      <w:r>
        <w:t xml:space="preserve"> </w:t>
      </w:r>
    </w:p>
    <w:p w14:paraId="37F01D9B" w14:textId="77777777" w:rsidR="00172FBD" w:rsidRPr="0096319E" w:rsidRDefault="00172FBD" w:rsidP="00172FBD">
      <w:pPr>
        <w:pStyle w:val="HChG"/>
        <w:rPr>
          <w:rStyle w:val="HChGChar"/>
        </w:rPr>
      </w:pPr>
      <w:r w:rsidRPr="0096319E">
        <w:tab/>
      </w:r>
      <w:bookmarkStart w:id="4" w:name="_Toc44494638"/>
      <w:bookmarkStart w:id="5" w:name="_Toc44494834"/>
      <w:bookmarkStart w:id="6" w:name="_Toc44494969"/>
      <w:bookmarkStart w:id="7" w:name="_Toc44495062"/>
      <w:r w:rsidRPr="0096319E">
        <w:t>V.</w:t>
      </w:r>
      <w:r w:rsidRPr="0096319E">
        <w:tab/>
      </w:r>
      <w:bookmarkEnd w:id="4"/>
      <w:bookmarkEnd w:id="5"/>
      <w:bookmarkEnd w:id="6"/>
      <w:bookmarkEnd w:id="7"/>
      <w:r>
        <w:t>Right</w:t>
      </w:r>
      <w:r w:rsidRPr="0096319E">
        <w:t xml:space="preserve"> of </w:t>
      </w:r>
      <w:r>
        <w:t xml:space="preserve">peaceful </w:t>
      </w:r>
      <w:r w:rsidRPr="0096319E">
        <w:t xml:space="preserve">assembly </w:t>
      </w:r>
    </w:p>
    <w:p w14:paraId="11AC9E0D" w14:textId="6E99DBFF" w:rsidR="00172FBD" w:rsidRDefault="00172FBD" w:rsidP="00172FBD">
      <w:pPr>
        <w:pStyle w:val="SingleTxtG"/>
      </w:pPr>
      <w:r>
        <w:t>21.</w:t>
      </w:r>
      <w:r>
        <w:tab/>
      </w:r>
      <w:r w:rsidRPr="008619AB">
        <w:t xml:space="preserve">Following the coup, </w:t>
      </w:r>
      <w:r>
        <w:t>Myanmar’s people responded with outrage. E</w:t>
      </w:r>
      <w:r w:rsidRPr="008619AB">
        <w:t>xercis</w:t>
      </w:r>
      <w:r>
        <w:t>ing</w:t>
      </w:r>
      <w:r w:rsidRPr="008619AB">
        <w:t xml:space="preserve"> their rights </w:t>
      </w:r>
      <w:r>
        <w:t xml:space="preserve">to </w:t>
      </w:r>
      <w:r w:rsidRPr="008619AB">
        <w:t xml:space="preserve">freedom of expression and </w:t>
      </w:r>
      <w:r>
        <w:t xml:space="preserve">peaceful </w:t>
      </w:r>
      <w:r w:rsidRPr="008619AB">
        <w:t>assembly</w:t>
      </w:r>
      <w:r>
        <w:t>, broad-based demonstrations began throughout cities across the country starting with</w:t>
      </w:r>
      <w:r w:rsidRPr="008619AB">
        <w:t xml:space="preserve"> </w:t>
      </w:r>
      <w:r>
        <w:t xml:space="preserve">nightly </w:t>
      </w:r>
      <w:r w:rsidRPr="008619AB">
        <w:t>campaign</w:t>
      </w:r>
      <w:r>
        <w:t>s</w:t>
      </w:r>
      <w:r w:rsidRPr="008619AB">
        <w:t xml:space="preserve"> </w:t>
      </w:r>
      <w:r w:rsidRPr="00DE0629">
        <w:t xml:space="preserve">of </w:t>
      </w:r>
      <w:r>
        <w:t>banging</w:t>
      </w:r>
      <w:r w:rsidRPr="00DE0629">
        <w:t xml:space="preserve"> </w:t>
      </w:r>
      <w:r w:rsidRPr="008619AB">
        <w:t xml:space="preserve">pots and pans </w:t>
      </w:r>
      <w:r>
        <w:t>from</w:t>
      </w:r>
      <w:r w:rsidRPr="008619AB">
        <w:t xml:space="preserve"> 2 February</w:t>
      </w:r>
      <w:r>
        <w:t xml:space="preserve"> 2021</w:t>
      </w:r>
      <w:r w:rsidRPr="008619AB">
        <w:t xml:space="preserve">. This show of </w:t>
      </w:r>
      <w:r>
        <w:t xml:space="preserve">peaceful </w:t>
      </w:r>
      <w:r w:rsidRPr="008619AB">
        <w:t xml:space="preserve">dissent rapidly evolved into </w:t>
      </w:r>
      <w:r>
        <w:t>a</w:t>
      </w:r>
      <w:r w:rsidRPr="008619AB">
        <w:t xml:space="preserve"> </w:t>
      </w:r>
      <w:r w:rsidRPr="008619AB" w:rsidDel="00B420E0">
        <w:t>“Civil Disobedience Movement”</w:t>
      </w:r>
      <w:r>
        <w:t xml:space="preserve"> (CDM)</w:t>
      </w:r>
      <w:r w:rsidRPr="008619AB">
        <w:t xml:space="preserve">, led </w:t>
      </w:r>
      <w:r>
        <w:t xml:space="preserve">initially </w:t>
      </w:r>
      <w:r w:rsidRPr="008619AB">
        <w:t xml:space="preserve">by doctors and nurses who refused to report to work. </w:t>
      </w:r>
      <w:r>
        <w:t>Drawing</w:t>
      </w:r>
      <w:r w:rsidRPr="008619AB">
        <w:t xml:space="preserve"> support from </w:t>
      </w:r>
      <w:r>
        <w:t xml:space="preserve">trade unions and </w:t>
      </w:r>
      <w:r w:rsidRPr="008619AB">
        <w:t xml:space="preserve">people from all walks of life, </w:t>
      </w:r>
      <w:r w:rsidRPr="00FD67B8">
        <w:t>the CDM grew in strength</w:t>
      </w:r>
      <w:r>
        <w:t>,</w:t>
      </w:r>
      <w:r w:rsidRPr="00FD67B8">
        <w:t xml:space="preserve"> culminating in a </w:t>
      </w:r>
      <w:r w:rsidRPr="00FD67B8">
        <w:lastRenderedPageBreak/>
        <w:t xml:space="preserve">nationwide general strike </w:t>
      </w:r>
      <w:r>
        <w:t>on 21 February</w:t>
      </w:r>
      <w:r w:rsidRPr="00FD67B8">
        <w:t>.</w:t>
      </w:r>
      <w:r w:rsidRPr="008619AB">
        <w:t xml:space="preserve"> </w:t>
      </w:r>
      <w:r>
        <w:t>Large numbers of civil servants joined, notably teachers and even government workers in the capital Naypyidaw. D</w:t>
      </w:r>
      <w:r w:rsidRPr="00DE0629">
        <w:t>ozens of p</w:t>
      </w:r>
      <w:r w:rsidRPr="008619AB">
        <w:t xml:space="preserve">eaceful demonstrations involving hundreds of thousands of people </w:t>
      </w:r>
      <w:r>
        <w:t xml:space="preserve">occurred in </w:t>
      </w:r>
      <w:r w:rsidRPr="008619AB">
        <w:t>the first weekend after the coup</w:t>
      </w:r>
      <w:r>
        <w:t xml:space="preserve">. </w:t>
      </w:r>
      <w:r w:rsidRPr="008619AB">
        <w:t>Protest</w:t>
      </w:r>
      <w:r>
        <w:t>e</w:t>
      </w:r>
      <w:r w:rsidRPr="008619AB">
        <w:t xml:space="preserve">rs also engaged in </w:t>
      </w:r>
      <w:r>
        <w:t>musical and</w:t>
      </w:r>
      <w:r w:rsidRPr="008619AB">
        <w:t xml:space="preserve"> </w:t>
      </w:r>
      <w:r>
        <w:t xml:space="preserve">other </w:t>
      </w:r>
      <w:r w:rsidRPr="008619AB">
        <w:t xml:space="preserve">artistic acts to </w:t>
      </w:r>
      <w:r>
        <w:t xml:space="preserve">peacefully </w:t>
      </w:r>
      <w:r w:rsidRPr="008619AB">
        <w:t>express their dissent</w:t>
      </w:r>
      <w:r>
        <w:t>.</w:t>
      </w:r>
      <w:r w:rsidRPr="0096319E">
        <w:rPr>
          <w:vertAlign w:val="superscript"/>
        </w:rPr>
        <w:footnoteReference w:id="22"/>
      </w:r>
      <w:r>
        <w:t xml:space="preserve"> </w:t>
      </w:r>
    </w:p>
    <w:p w14:paraId="26380AED" w14:textId="3F057351" w:rsidR="00172FBD" w:rsidRDefault="001F3BA2" w:rsidP="00172FBD">
      <w:pPr>
        <w:pStyle w:val="SingleTxtG"/>
      </w:pPr>
      <w:r>
        <w:t>22.</w:t>
      </w:r>
      <w:r>
        <w:tab/>
      </w:r>
      <w:r w:rsidR="00172FBD">
        <w:t>P</w:t>
      </w:r>
      <w:r w:rsidR="00172FBD" w:rsidRPr="008619AB">
        <w:t>olice</w:t>
      </w:r>
      <w:r w:rsidR="00172FBD">
        <w:t xml:space="preserve"> initially relied on less-lethal weapons, including rubber bullets and water cannons, to discourage and disperse peaceful crowds as they grew in size, and spread nationwide during the second week of February. On</w:t>
      </w:r>
      <w:r w:rsidR="00172FBD" w:rsidRPr="008619AB">
        <w:t xml:space="preserve"> 9 February</w:t>
      </w:r>
      <w:r w:rsidR="00172FBD">
        <w:t xml:space="preserve"> 2021 in </w:t>
      </w:r>
      <w:r w:rsidR="00172FBD" w:rsidRPr="00EC4D86">
        <w:t>Naypyidaw</w:t>
      </w:r>
      <w:r w:rsidR="00172FBD">
        <w:t>,</w:t>
      </w:r>
      <w:r w:rsidR="00172FBD" w:rsidDel="00364F24">
        <w:t xml:space="preserve"> </w:t>
      </w:r>
      <w:r w:rsidR="00172FBD">
        <w:t>police used live ammunition to disperse peaceful protesters, resulting in the shooting of a</w:t>
      </w:r>
      <w:r w:rsidR="00172FBD" w:rsidRPr="001A7E80">
        <w:t xml:space="preserve"> young female protest</w:t>
      </w:r>
      <w:r w:rsidR="00172FBD">
        <w:t>e</w:t>
      </w:r>
      <w:r w:rsidR="00172FBD" w:rsidRPr="001A7E80">
        <w:t>r</w:t>
      </w:r>
      <w:r w:rsidR="00172FBD">
        <w:t xml:space="preserve"> who eventually died from a gunshot wound to the head</w:t>
      </w:r>
      <w:r w:rsidR="00172FBD" w:rsidRPr="008619AB">
        <w:t xml:space="preserve">. </w:t>
      </w:r>
    </w:p>
    <w:p w14:paraId="4F07F466" w14:textId="182A2344" w:rsidR="00172FBD" w:rsidRDefault="001F3BA2" w:rsidP="001F3BA2">
      <w:pPr>
        <w:pStyle w:val="SingleTxtG"/>
      </w:pPr>
      <w:r>
        <w:t>23.</w:t>
      </w:r>
      <w:r>
        <w:tab/>
      </w:r>
      <w:r w:rsidR="00172FBD">
        <w:t xml:space="preserve">In parallel, military authorities’ severe restriction of online civic space made it much harder for protesters to assemble. </w:t>
      </w:r>
      <w:r w:rsidR="00172FBD" w:rsidRPr="007179D3">
        <w:t xml:space="preserve">Those leading and participating in </w:t>
      </w:r>
      <w:r w:rsidR="00172FBD">
        <w:t>demonstrations</w:t>
      </w:r>
      <w:r w:rsidR="00172FBD" w:rsidRPr="007179D3">
        <w:t xml:space="preserve"> organized through online applications risked their mobile telephones being searched in random checks by security forces, leading to arrest</w:t>
      </w:r>
      <w:r w:rsidR="00172FBD">
        <w:t>s</w:t>
      </w:r>
      <w:r w:rsidR="00172FBD" w:rsidRPr="007179D3">
        <w:t>.</w:t>
      </w:r>
    </w:p>
    <w:p w14:paraId="7F37BFC6" w14:textId="6C632D7C" w:rsidR="00172FBD" w:rsidRDefault="001F3BA2" w:rsidP="001F3BA2">
      <w:pPr>
        <w:pStyle w:val="SingleTxtG"/>
      </w:pPr>
      <w:r>
        <w:t>24.</w:t>
      </w:r>
      <w:r>
        <w:tab/>
      </w:r>
      <w:r w:rsidR="00172FBD" w:rsidRPr="008619AB">
        <w:t xml:space="preserve">Angered by </w:t>
      </w:r>
      <w:r w:rsidR="00172FBD">
        <w:t>Tatmadaw</w:t>
      </w:r>
      <w:r w:rsidR="00172FBD" w:rsidRPr="008619AB">
        <w:t xml:space="preserve"> </w:t>
      </w:r>
      <w:r w:rsidR="00172FBD">
        <w:t>efforts to shut down rallies</w:t>
      </w:r>
      <w:r w:rsidR="00172FBD" w:rsidRPr="008619AB">
        <w:t xml:space="preserve">, mass protests intensified. </w:t>
      </w:r>
      <w:r w:rsidR="00172FBD">
        <w:t>Security</w:t>
      </w:r>
      <w:r w:rsidR="00172FBD" w:rsidRPr="008619AB">
        <w:t xml:space="preserve"> forces </w:t>
      </w:r>
      <w:r w:rsidR="00172FBD">
        <w:t>escalated violence, relying</w:t>
      </w:r>
      <w:r w:rsidR="00172FBD" w:rsidRPr="008619AB">
        <w:t xml:space="preserve"> </w:t>
      </w:r>
      <w:r w:rsidR="00172FBD">
        <w:t xml:space="preserve">increasingly on </w:t>
      </w:r>
      <w:r w:rsidR="00172FBD" w:rsidRPr="008619AB">
        <w:t>lethal force</w:t>
      </w:r>
      <w:r w:rsidR="00172FBD">
        <w:t>, even employing military tactics and combat-grade weaponry</w:t>
      </w:r>
      <w:r w:rsidR="00172FBD" w:rsidRPr="008619AB">
        <w:t xml:space="preserve">, including </w:t>
      </w:r>
      <w:r w:rsidR="00172FBD">
        <w:t>semi-automatic rifles</w:t>
      </w:r>
      <w:r w:rsidR="00172FBD" w:rsidDel="00A85A1E">
        <w:t xml:space="preserve">, </w:t>
      </w:r>
      <w:r w:rsidR="00172FBD">
        <w:t xml:space="preserve">snipers, </w:t>
      </w:r>
      <w:r w:rsidR="00172FBD" w:rsidDel="00A85A1E">
        <w:t xml:space="preserve">and </w:t>
      </w:r>
      <w:r w:rsidR="00172FBD" w:rsidRPr="008619AB" w:rsidDel="00A85A1E">
        <w:t>live ammunition</w:t>
      </w:r>
      <w:r w:rsidR="00172FBD">
        <w:t>,</w:t>
      </w:r>
      <w:r w:rsidR="00172FBD" w:rsidDel="00A85A1E">
        <w:t xml:space="preserve"> </w:t>
      </w:r>
      <w:r w:rsidR="00172FBD">
        <w:t>to disperse peaceful assemblies</w:t>
      </w:r>
      <w:r w:rsidR="00172FBD" w:rsidRPr="008619AB">
        <w:t>. In March</w:t>
      </w:r>
      <w:r w:rsidR="00172FBD" w:rsidRPr="00DE0629">
        <w:t xml:space="preserve"> and early April</w:t>
      </w:r>
      <w:r w:rsidR="00172FBD" w:rsidRPr="008619AB">
        <w:t xml:space="preserve">, use of lethal </w:t>
      </w:r>
      <w:r w:rsidR="00172FBD">
        <w:t>weapons</w:t>
      </w:r>
      <w:r w:rsidR="00172FBD" w:rsidRPr="008619AB">
        <w:t xml:space="preserve">, alongside </w:t>
      </w:r>
      <w:r w:rsidR="00172FBD">
        <w:t>unnecessary</w:t>
      </w:r>
      <w:r w:rsidR="00172FBD" w:rsidRPr="008619AB">
        <w:t xml:space="preserve"> and disproportionate use of less-lethal </w:t>
      </w:r>
      <w:r w:rsidR="00172FBD">
        <w:t>weapons</w:t>
      </w:r>
      <w:r w:rsidR="00172FBD" w:rsidRPr="008619AB">
        <w:t>, led to a dramatic increase in arbitrary killings and wounding of peaceful protest</w:t>
      </w:r>
      <w:r w:rsidR="00172FBD">
        <w:t>e</w:t>
      </w:r>
      <w:r w:rsidR="00172FBD" w:rsidRPr="008619AB">
        <w:t>rs, including many children</w:t>
      </w:r>
      <w:r w:rsidR="00172FBD">
        <w:t xml:space="preserve">. Four incidents </w:t>
      </w:r>
      <w:r w:rsidR="00172FBD" w:rsidRPr="00DE0629">
        <w:t xml:space="preserve">are </w:t>
      </w:r>
      <w:r w:rsidR="00172FBD">
        <w:t xml:space="preserve">particularly </w:t>
      </w:r>
      <w:r w:rsidR="00172FBD" w:rsidRPr="00DE0629">
        <w:t>illustrative</w:t>
      </w:r>
      <w:r w:rsidR="00172FBD">
        <w:t xml:space="preserve">: North </w:t>
      </w:r>
      <w:proofErr w:type="spellStart"/>
      <w:r w:rsidR="00172FBD">
        <w:t>Okkalapa</w:t>
      </w:r>
      <w:proofErr w:type="spellEnd"/>
      <w:r w:rsidR="00172FBD">
        <w:t xml:space="preserve">, </w:t>
      </w:r>
      <w:proofErr w:type="spellStart"/>
      <w:r w:rsidR="00172FBD">
        <w:t>Hlaingtharya</w:t>
      </w:r>
      <w:proofErr w:type="spellEnd"/>
      <w:r w:rsidR="00172FBD">
        <w:t xml:space="preserve">, Armed Forces Day, and </w:t>
      </w:r>
      <w:proofErr w:type="spellStart"/>
      <w:r w:rsidR="00172FBD">
        <w:t>Bago</w:t>
      </w:r>
      <w:proofErr w:type="spellEnd"/>
      <w:r w:rsidR="00172FBD">
        <w:t>.</w:t>
      </w:r>
      <w:r w:rsidR="00172FBD" w:rsidRPr="006030F6">
        <w:rPr>
          <w:vertAlign w:val="superscript"/>
        </w:rPr>
        <w:footnoteReference w:id="23"/>
      </w:r>
      <w:r w:rsidR="00172FBD">
        <w:t xml:space="preserve"> </w:t>
      </w:r>
    </w:p>
    <w:p w14:paraId="18C4FD27" w14:textId="79088DBE" w:rsidR="00172FBD" w:rsidRDefault="001F3BA2" w:rsidP="001F3BA2">
      <w:pPr>
        <w:pStyle w:val="SingleTxtG"/>
      </w:pPr>
      <w:r>
        <w:t>25.</w:t>
      </w:r>
      <w:r>
        <w:tab/>
      </w:r>
      <w:r w:rsidR="00172FBD">
        <w:t>M</w:t>
      </w:r>
      <w:r w:rsidR="00172FBD" w:rsidRPr="008619AB">
        <w:t>ilitary authorities’ repression of protest</w:t>
      </w:r>
      <w:r w:rsidR="00172FBD">
        <w:t>s</w:t>
      </w:r>
      <w:r w:rsidR="00172FBD" w:rsidRPr="008619AB">
        <w:t xml:space="preserve"> in North </w:t>
      </w:r>
      <w:proofErr w:type="spellStart"/>
      <w:r w:rsidR="00172FBD" w:rsidRPr="008619AB">
        <w:t>Okkalapa</w:t>
      </w:r>
      <w:proofErr w:type="spellEnd"/>
      <w:r w:rsidR="00172FBD" w:rsidRPr="008619AB">
        <w:t xml:space="preserve"> Township, Yangon, on 3 </w:t>
      </w:r>
      <w:r w:rsidR="00172FBD">
        <w:t>March</w:t>
      </w:r>
      <w:r w:rsidR="00172FBD" w:rsidRPr="008619AB">
        <w:t xml:space="preserve"> </w:t>
      </w:r>
      <w:r w:rsidR="00172FBD">
        <w:t xml:space="preserve">2021 </w:t>
      </w:r>
      <w:r w:rsidR="00172FBD" w:rsidRPr="008619AB">
        <w:t xml:space="preserve">marked </w:t>
      </w:r>
      <w:r w:rsidR="00172FBD">
        <w:t>a clear</w:t>
      </w:r>
      <w:r w:rsidR="00172FBD" w:rsidRPr="008619AB">
        <w:t xml:space="preserve"> escalation </w:t>
      </w:r>
      <w:r w:rsidR="00172FBD">
        <w:t>in</w:t>
      </w:r>
      <w:r w:rsidR="00172FBD" w:rsidRPr="008619AB">
        <w:t xml:space="preserve"> use of lethal force</w:t>
      </w:r>
      <w:r w:rsidR="00172FBD">
        <w:t>, which t</w:t>
      </w:r>
      <w:r w:rsidR="00172FBD" w:rsidRPr="008619AB">
        <w:t xml:space="preserve">estimonies consistently </w:t>
      </w:r>
      <w:r w:rsidR="00172FBD">
        <w:t>indicate</w:t>
      </w:r>
      <w:r w:rsidR="00172FBD" w:rsidRPr="008619AB">
        <w:t xml:space="preserve"> was deliberate and intentionally aimed at </w:t>
      </w:r>
      <w:r w:rsidR="00172FBD">
        <w:t xml:space="preserve">peaceful </w:t>
      </w:r>
      <w:r w:rsidR="00172FBD" w:rsidRPr="008619AB">
        <w:t>protest</w:t>
      </w:r>
      <w:r w:rsidR="00172FBD">
        <w:t>e</w:t>
      </w:r>
      <w:r w:rsidR="00172FBD" w:rsidRPr="008619AB">
        <w:t>rs</w:t>
      </w:r>
      <w:r w:rsidR="00172FBD">
        <w:t xml:space="preserve">. Victims of security forces often </w:t>
      </w:r>
      <w:r w:rsidR="00172FBD">
        <w:lastRenderedPageBreak/>
        <w:t>sustained wounds to their heads and torsos, indicating that they were targeted for maximum harm.</w:t>
      </w:r>
      <w:r w:rsidR="00172FBD" w:rsidRPr="008619AB">
        <w:t xml:space="preserve"> </w:t>
      </w:r>
      <w:r w:rsidR="00172FBD">
        <w:t>Security</w:t>
      </w:r>
      <w:r w:rsidR="00172FBD" w:rsidRPr="001D5353">
        <w:t xml:space="preserve"> forces attacked medical equipment and facilities</w:t>
      </w:r>
      <w:r w:rsidR="00172FBD">
        <w:t xml:space="preserve"> and health workers</w:t>
      </w:r>
      <w:r w:rsidR="00172FBD" w:rsidRPr="001D5353">
        <w:t xml:space="preserve">, </w:t>
      </w:r>
      <w:r w:rsidR="00172FBD">
        <w:t xml:space="preserve">including </w:t>
      </w:r>
      <w:r w:rsidR="00172FBD" w:rsidRPr="001D5353">
        <w:t>those assisting protest</w:t>
      </w:r>
      <w:r w:rsidR="00172FBD">
        <w:t>e</w:t>
      </w:r>
      <w:r w:rsidR="00172FBD" w:rsidRPr="001D5353">
        <w:t>rs.</w:t>
      </w:r>
      <w:r w:rsidR="00172FBD" w:rsidRPr="008619AB">
        <w:t xml:space="preserve"> </w:t>
      </w:r>
      <w:r w:rsidR="00172FBD" w:rsidRPr="002A372F">
        <w:t>On 14 March</w:t>
      </w:r>
      <w:r w:rsidR="00172FBD">
        <w:t xml:space="preserve"> 2021</w:t>
      </w:r>
      <w:r w:rsidR="00172FBD" w:rsidRPr="002A372F">
        <w:t>, large</w:t>
      </w:r>
      <w:r w:rsidR="00172FBD">
        <w:t>-scale</w:t>
      </w:r>
      <w:r w:rsidR="00172FBD" w:rsidRPr="002A372F">
        <w:t xml:space="preserve"> protests </w:t>
      </w:r>
      <w:r w:rsidR="00172FBD">
        <w:t xml:space="preserve">erupted </w:t>
      </w:r>
      <w:r w:rsidR="00172FBD" w:rsidRPr="002A372F">
        <w:t xml:space="preserve">in another Yangon township, </w:t>
      </w:r>
      <w:proofErr w:type="spellStart"/>
      <w:r w:rsidR="00172FBD" w:rsidRPr="002A372F">
        <w:t>Hlaingtharya</w:t>
      </w:r>
      <w:proofErr w:type="spellEnd"/>
      <w:r w:rsidR="00172FBD">
        <w:t xml:space="preserve">. During the day, several Chinese-linked factories also suffered significant damage from arson and vandalism. </w:t>
      </w:r>
      <w:r w:rsidR="00172FBD" w:rsidRPr="002A372F">
        <w:t xml:space="preserve">Security forces </w:t>
      </w:r>
      <w:r w:rsidR="00172FBD">
        <w:t xml:space="preserve">responded to the situation with lethal force, </w:t>
      </w:r>
      <w:r w:rsidR="00172FBD" w:rsidRPr="002A372F">
        <w:t xml:space="preserve">reportedly </w:t>
      </w:r>
      <w:r w:rsidR="00172FBD">
        <w:t xml:space="preserve">firing weapons into homes, seemingly at random, conducting raids </w:t>
      </w:r>
      <w:r w:rsidR="00172FBD" w:rsidRPr="002A372F">
        <w:t>and arrest</w:t>
      </w:r>
      <w:r w:rsidR="00172FBD">
        <w:t>ing</w:t>
      </w:r>
      <w:r w:rsidR="00172FBD" w:rsidRPr="002A372F">
        <w:t xml:space="preserve"> those perceived to be anti-military</w:t>
      </w:r>
      <w:r w:rsidR="00172FBD">
        <w:t xml:space="preserve">. This continued </w:t>
      </w:r>
      <w:r w:rsidR="00172FBD" w:rsidRPr="002A372F">
        <w:t xml:space="preserve">into the night and </w:t>
      </w:r>
      <w:r w:rsidR="00172FBD">
        <w:t xml:space="preserve">during the </w:t>
      </w:r>
      <w:r w:rsidR="00172FBD" w:rsidRPr="002A372F">
        <w:t xml:space="preserve">following days. </w:t>
      </w:r>
      <w:r w:rsidR="00172FBD">
        <w:t xml:space="preserve">Subsequently, over </w:t>
      </w:r>
      <w:r w:rsidR="00172FBD" w:rsidRPr="00C70C39">
        <w:t>100,000</w:t>
      </w:r>
      <w:r w:rsidR="00172FBD">
        <w:t xml:space="preserve"> residents fled the area over the next week</w:t>
      </w:r>
      <w:r w:rsidR="00172FBD" w:rsidRPr="002A372F">
        <w:t>.</w:t>
      </w:r>
    </w:p>
    <w:p w14:paraId="58307C23" w14:textId="355B7F1F" w:rsidR="00172FBD" w:rsidRDefault="001F3BA2" w:rsidP="001F3BA2">
      <w:pPr>
        <w:pStyle w:val="SingleTxtG"/>
      </w:pPr>
      <w:r>
        <w:t>26.</w:t>
      </w:r>
      <w:r>
        <w:tab/>
      </w:r>
      <w:r w:rsidR="00172FBD" w:rsidRPr="00B6102F">
        <w:t>On 27 March 202</w:t>
      </w:r>
      <w:r w:rsidR="00172FBD">
        <w:t>1</w:t>
      </w:r>
      <w:r w:rsidR="00172FBD" w:rsidRPr="00B6102F">
        <w:t>, SAC</w:t>
      </w:r>
      <w:r w:rsidR="00172FBD">
        <w:t>-</w:t>
      </w:r>
      <w:r w:rsidR="00172FBD" w:rsidRPr="00B6102F">
        <w:t xml:space="preserve">affiliated </w:t>
      </w:r>
      <w:r w:rsidR="00172FBD">
        <w:t>“</w:t>
      </w:r>
      <w:r w:rsidR="00172FBD" w:rsidRPr="00B6102F">
        <w:t xml:space="preserve">Myanmar </w:t>
      </w:r>
      <w:proofErr w:type="spellStart"/>
      <w:r w:rsidR="00172FBD" w:rsidRPr="00B6102F">
        <w:t>Alin</w:t>
      </w:r>
      <w:proofErr w:type="spellEnd"/>
      <w:r w:rsidR="00172FBD">
        <w:t>”</w:t>
      </w:r>
      <w:r w:rsidR="00172FBD" w:rsidRPr="00B6102F">
        <w:t xml:space="preserve"> newspaper published a warning for young people to “learn from earlier ugly deaths that you are in danger of getting shot in the head and back</w:t>
      </w:r>
      <w:r w:rsidR="00172FBD">
        <w:t>”</w:t>
      </w:r>
      <w:r w:rsidR="00172FBD" w:rsidRPr="00B6102F">
        <w:t>.</w:t>
      </w:r>
      <w:r w:rsidR="00172FBD" w:rsidDel="00B6102F">
        <w:t xml:space="preserve"> </w:t>
      </w:r>
      <w:r w:rsidR="00172FBD">
        <w:t>This echoed verbatim ominous statements made on a military-affiliated TV station the previous day.</w:t>
      </w:r>
      <w:r w:rsidR="00172FBD">
        <w:rPr>
          <w:rStyle w:val="FootnoteReference"/>
        </w:rPr>
        <w:footnoteReference w:id="24"/>
      </w:r>
      <w:r w:rsidR="00172FBD">
        <w:t xml:space="preserve"> Nonetheless, demonstrators organized further public protests throughout the country</w:t>
      </w:r>
      <w:r w:rsidR="00172FBD" w:rsidRPr="00DE0629">
        <w:t>.</w:t>
      </w:r>
      <w:r w:rsidR="00172FBD">
        <w:t xml:space="preserve"> </w:t>
      </w:r>
      <w:r w:rsidR="00172FBD" w:rsidRPr="00DE0629">
        <w:t>B</w:t>
      </w:r>
      <w:r w:rsidR="00172FBD" w:rsidRPr="00606CC3">
        <w:t xml:space="preserve">y this point, </w:t>
      </w:r>
      <w:r w:rsidR="00172FBD">
        <w:t>opposition activist</w:t>
      </w:r>
      <w:r w:rsidR="00172FBD" w:rsidRPr="00606CC3">
        <w:t xml:space="preserve">s had adopted </w:t>
      </w:r>
      <w:r w:rsidR="00172FBD">
        <w:t>mitigation</w:t>
      </w:r>
      <w:r w:rsidR="00172FBD" w:rsidRPr="00606CC3">
        <w:t xml:space="preserve"> strategies</w:t>
      </w:r>
      <w:r w:rsidR="00172FBD" w:rsidRPr="00DE0629" w:rsidDel="00D07FE0">
        <w:t xml:space="preserve"> </w:t>
      </w:r>
      <w:r w:rsidR="00172FBD" w:rsidRPr="00DE0629">
        <w:t>to avoid</w:t>
      </w:r>
      <w:r w:rsidR="00172FBD" w:rsidRPr="00606CC3">
        <w:t xml:space="preserve"> violence by security forces, including using short</w:t>
      </w:r>
      <w:r w:rsidR="00172FBD">
        <w:t>,</w:t>
      </w:r>
      <w:r w:rsidR="00172FBD" w:rsidRPr="00606CC3">
        <w:t xml:space="preserve"> </w:t>
      </w:r>
      <w:r w:rsidR="00172FBD">
        <w:t>“</w:t>
      </w:r>
      <w:r w:rsidR="00172FBD" w:rsidRPr="00606CC3">
        <w:t>flash mob</w:t>
      </w:r>
      <w:r w:rsidR="00172FBD">
        <w:t>”-</w:t>
      </w:r>
      <w:r w:rsidR="00172FBD" w:rsidRPr="00606CC3">
        <w:t xml:space="preserve">style protests, </w:t>
      </w:r>
      <w:r w:rsidR="00172FBD">
        <w:t xml:space="preserve">and </w:t>
      </w:r>
      <w:r w:rsidR="00172FBD" w:rsidRPr="00606CC3">
        <w:t xml:space="preserve">protesting when security forces were likely to be </w:t>
      </w:r>
      <w:r w:rsidR="00172FBD" w:rsidRPr="00DE0629">
        <w:t>on break</w:t>
      </w:r>
      <w:r w:rsidR="00172FBD">
        <w:t>s</w:t>
      </w:r>
      <w:r w:rsidR="00172FBD" w:rsidRPr="00DE0629">
        <w:t xml:space="preserve">. While many </w:t>
      </w:r>
      <w:r w:rsidR="00172FBD">
        <w:t xml:space="preserve">demonstrators </w:t>
      </w:r>
      <w:r w:rsidR="00172FBD" w:rsidRPr="00DE0629">
        <w:t xml:space="preserve">had no defences, some set up sandbags at protest sites </w:t>
      </w:r>
      <w:r w:rsidR="00172FBD">
        <w:t xml:space="preserve">or improvised protective equipment </w:t>
      </w:r>
      <w:r w:rsidR="00172FBD" w:rsidRPr="00DE0629">
        <w:t xml:space="preserve">to shield themselves from ammunition. In </w:t>
      </w:r>
      <w:r w:rsidR="00172FBD">
        <w:t>a few</w:t>
      </w:r>
      <w:r w:rsidR="00172FBD" w:rsidRPr="00DE0629">
        <w:t xml:space="preserve"> cases, p</w:t>
      </w:r>
      <w:r w:rsidR="00172FBD">
        <w:t>articipant</w:t>
      </w:r>
      <w:r w:rsidR="00172FBD" w:rsidRPr="00DE0629">
        <w:t>s had rudimentary weapons, such as slingshots, catapults, firecrackers and</w:t>
      </w:r>
      <w:r w:rsidR="00172FBD">
        <w:t>,</w:t>
      </w:r>
      <w:r w:rsidR="00172FBD" w:rsidRPr="00DE0629">
        <w:t xml:space="preserve"> occasionally</w:t>
      </w:r>
      <w:r w:rsidR="00172FBD">
        <w:t>,</w:t>
      </w:r>
      <w:r w:rsidR="00172FBD" w:rsidRPr="00DE0629">
        <w:t xml:space="preserve"> Molotov cocktails.</w:t>
      </w:r>
      <w:r w:rsidR="00172FBD" w:rsidRPr="00606CC3">
        <w:t xml:space="preserve"> </w:t>
      </w:r>
    </w:p>
    <w:p w14:paraId="571722AE" w14:textId="733A079F" w:rsidR="00172FBD" w:rsidRDefault="001F3BA2" w:rsidP="001F3BA2">
      <w:pPr>
        <w:pStyle w:val="SingleTxtG"/>
      </w:pPr>
      <w:r>
        <w:t>27.</w:t>
      </w:r>
      <w:r>
        <w:tab/>
      </w:r>
      <w:r w:rsidR="00172FBD">
        <w:t>W</w:t>
      </w:r>
      <w:r w:rsidR="00172FBD" w:rsidRPr="008619AB">
        <w:t>idespread attacks against protest</w:t>
      </w:r>
      <w:r w:rsidR="00172FBD">
        <w:t>e</w:t>
      </w:r>
      <w:r w:rsidR="00172FBD" w:rsidRPr="008619AB">
        <w:t xml:space="preserve">rs </w:t>
      </w:r>
      <w:r w:rsidR="00172FBD">
        <w:t xml:space="preserve">ensued </w:t>
      </w:r>
      <w:r w:rsidR="00172FBD" w:rsidRPr="008619AB">
        <w:t xml:space="preserve">on Armed Forces Day </w:t>
      </w:r>
      <w:r w:rsidR="00172FBD">
        <w:t xml:space="preserve">on 27 March 2021 </w:t>
      </w:r>
      <w:r w:rsidR="00172FBD" w:rsidRPr="008619AB">
        <w:t xml:space="preserve">in </w:t>
      </w:r>
      <w:r w:rsidR="00172FBD">
        <w:t>12</w:t>
      </w:r>
      <w:r w:rsidR="00172FBD" w:rsidRPr="008619AB">
        <w:t xml:space="preserve"> of Myanmar’s </w:t>
      </w:r>
      <w:r w:rsidR="00172FBD">
        <w:t>15</w:t>
      </w:r>
      <w:r w:rsidR="00172FBD" w:rsidRPr="008619AB">
        <w:t xml:space="preserve"> </w:t>
      </w:r>
      <w:r w:rsidR="00172FBD">
        <w:t>s</w:t>
      </w:r>
      <w:r w:rsidR="00172FBD" w:rsidRPr="008619AB">
        <w:t>tates</w:t>
      </w:r>
      <w:r w:rsidR="00172FBD">
        <w:t>,</w:t>
      </w:r>
      <w:r w:rsidR="00172FBD" w:rsidRPr="008619AB">
        <w:t xml:space="preserve"> </w:t>
      </w:r>
      <w:r w:rsidR="00172FBD">
        <w:t>r</w:t>
      </w:r>
      <w:r w:rsidR="00172FBD" w:rsidRPr="008619AB">
        <w:t>egions,</w:t>
      </w:r>
      <w:r w:rsidR="00172FBD">
        <w:t xml:space="preserve"> and union territory. In different parts of the country, the military used firearms without warning against peaceful demonstrations. Security forces shot at people who were running away or helping the injured. </w:t>
      </w:r>
      <w:r w:rsidR="00172FBD" w:rsidRPr="00D84B27">
        <w:t>Multiple credible sources</w:t>
      </w:r>
      <w:r w:rsidR="00172FBD">
        <w:t xml:space="preserve"> reported a minimum of 130 deaths,</w:t>
      </w:r>
      <w:r w:rsidR="00172FBD" w:rsidRPr="008619AB">
        <w:t xml:space="preserve"> the highest </w:t>
      </w:r>
      <w:r w:rsidR="00172FBD">
        <w:t xml:space="preserve">daily </w:t>
      </w:r>
      <w:r w:rsidR="00172FBD" w:rsidRPr="008619AB">
        <w:t>to</w:t>
      </w:r>
      <w:r w:rsidR="00172FBD">
        <w:t>ll</w:t>
      </w:r>
      <w:r w:rsidR="00172FBD" w:rsidRPr="008619AB">
        <w:t xml:space="preserve">, </w:t>
      </w:r>
      <w:r w:rsidR="00172FBD" w:rsidRPr="00DE0629">
        <w:t xml:space="preserve">almost all apparently due to gunshot wounds, </w:t>
      </w:r>
      <w:r w:rsidR="00172FBD">
        <w:t>many to the head or torso</w:t>
      </w:r>
      <w:r w:rsidR="00172FBD" w:rsidRPr="00DE0629">
        <w:t xml:space="preserve">, </w:t>
      </w:r>
      <w:r w:rsidR="00172FBD" w:rsidRPr="008619AB">
        <w:t>including at least 1</w:t>
      </w:r>
      <w:r w:rsidR="00172FBD">
        <w:t>7</w:t>
      </w:r>
      <w:r w:rsidR="00172FBD" w:rsidRPr="008619AB">
        <w:t xml:space="preserve"> children. </w:t>
      </w:r>
      <w:r w:rsidR="00172FBD">
        <w:t>A</w:t>
      </w:r>
      <w:r w:rsidR="00172FBD" w:rsidDel="009B2CCC">
        <w:t xml:space="preserve"> </w:t>
      </w:r>
      <w:r w:rsidR="00172FBD">
        <w:t>person recounted how their relative’s body, killed by security forces,</w:t>
      </w:r>
      <w:r w:rsidR="00172FBD" w:rsidDel="009B2CCC">
        <w:t xml:space="preserve"> </w:t>
      </w:r>
      <w:r w:rsidR="00172FBD">
        <w:t>was</w:t>
      </w:r>
      <w:r w:rsidR="00172FBD" w:rsidRPr="00DE0629">
        <w:t xml:space="preserve"> </w:t>
      </w:r>
      <w:r w:rsidR="00172FBD">
        <w:t xml:space="preserve">later </w:t>
      </w:r>
      <w:r w:rsidR="00172FBD" w:rsidRPr="00DE0629">
        <w:t>cremat</w:t>
      </w:r>
      <w:r w:rsidR="00172FBD">
        <w:t xml:space="preserve">ed </w:t>
      </w:r>
      <w:r w:rsidR="00172FBD" w:rsidRPr="00DE0629">
        <w:t xml:space="preserve">without </w:t>
      </w:r>
      <w:r w:rsidR="00172FBD">
        <w:t xml:space="preserve">the family’s </w:t>
      </w:r>
      <w:r w:rsidR="00172FBD" w:rsidRPr="00DE0629">
        <w:t>consent</w:t>
      </w:r>
      <w:r w:rsidR="00172FBD">
        <w:t xml:space="preserve">. Other individuals </w:t>
      </w:r>
      <w:r w:rsidR="00172FBD" w:rsidRPr="00DE0629">
        <w:t>receiv</w:t>
      </w:r>
      <w:r w:rsidR="00172FBD">
        <w:t>ed</w:t>
      </w:r>
      <w:r w:rsidR="00172FBD" w:rsidRPr="00DE0629">
        <w:t xml:space="preserve"> calls </w:t>
      </w:r>
      <w:r w:rsidR="00172FBD" w:rsidRPr="00DE0629">
        <w:lastRenderedPageBreak/>
        <w:t>and visits from police seeking the remains</w:t>
      </w:r>
      <w:r w:rsidR="00172FBD">
        <w:t xml:space="preserve"> of the deceased </w:t>
      </w:r>
      <w:r w:rsidR="00172FBD" w:rsidRPr="00DA1AF4">
        <w:t>–</w:t>
      </w:r>
      <w:r w:rsidR="00172FBD" w:rsidRPr="00DE0629">
        <w:t xml:space="preserve"> in one case </w:t>
      </w:r>
      <w:r w:rsidR="00172FBD">
        <w:t xml:space="preserve">even </w:t>
      </w:r>
      <w:r w:rsidR="00172FBD" w:rsidRPr="00DE0629">
        <w:t xml:space="preserve">threatening </w:t>
      </w:r>
      <w:r w:rsidR="00172FBD">
        <w:t xml:space="preserve">to </w:t>
      </w:r>
      <w:r w:rsidR="00172FBD" w:rsidRPr="00DE0629">
        <w:t>exhum</w:t>
      </w:r>
      <w:r w:rsidR="00172FBD">
        <w:t>e a child’s</w:t>
      </w:r>
      <w:r w:rsidR="00172FBD" w:rsidRPr="00DE0629">
        <w:t xml:space="preserve"> body.</w:t>
      </w:r>
      <w:r w:rsidR="00172FBD">
        <w:t xml:space="preserve"> Warnings issued the day before, tactics used, high death tolls and widespread coordination of crackdowns across the country appear indicative of a </w:t>
      </w:r>
      <w:r w:rsidR="00172FBD" w:rsidRPr="008619AB">
        <w:t xml:space="preserve">strategy </w:t>
      </w:r>
      <w:r w:rsidR="00172FBD">
        <w:t>or planned operation by</w:t>
      </w:r>
      <w:r w:rsidR="00172FBD" w:rsidRPr="008619AB">
        <w:t xml:space="preserve"> military authorities </w:t>
      </w:r>
      <w:r w:rsidR="00172FBD">
        <w:t xml:space="preserve">that deliberately entailed the use of lethal </w:t>
      </w:r>
      <w:r w:rsidR="00172FBD" w:rsidRPr="008619AB">
        <w:t xml:space="preserve">force </w:t>
      </w:r>
      <w:r w:rsidR="00172FBD">
        <w:t>intended to dissuade further demonstrations and to consolidate their control nationwide.</w:t>
      </w:r>
    </w:p>
    <w:p w14:paraId="2D9A507E" w14:textId="45C73EF6" w:rsidR="00172FBD" w:rsidRDefault="001F3BA2" w:rsidP="001F3BA2">
      <w:pPr>
        <w:pStyle w:val="SingleTxtG"/>
      </w:pPr>
      <w:r>
        <w:t>28.</w:t>
      </w:r>
      <w:r>
        <w:tab/>
      </w:r>
      <w:r w:rsidR="00172FBD">
        <w:t>I</w:t>
      </w:r>
      <w:r w:rsidR="00172FBD" w:rsidRPr="008619AB">
        <w:t xml:space="preserve">n </w:t>
      </w:r>
      <w:proofErr w:type="spellStart"/>
      <w:r w:rsidR="00172FBD" w:rsidRPr="008619AB">
        <w:t>Bago</w:t>
      </w:r>
      <w:proofErr w:type="spellEnd"/>
      <w:r w:rsidR="00172FBD" w:rsidRPr="008619AB">
        <w:t xml:space="preserve"> </w:t>
      </w:r>
      <w:r w:rsidR="00172FBD">
        <w:t xml:space="preserve">on </w:t>
      </w:r>
      <w:r w:rsidR="00172FBD" w:rsidRPr="008619AB">
        <w:t>9 April</w:t>
      </w:r>
      <w:r w:rsidR="00172FBD">
        <w:t>,</w:t>
      </w:r>
      <w:r w:rsidR="00172FBD" w:rsidRPr="008619AB" w:rsidDel="00D07FE0">
        <w:t xml:space="preserve"> </w:t>
      </w:r>
      <w:r w:rsidR="00172FBD" w:rsidRPr="00126B9A">
        <w:t>security forces surrounded</w:t>
      </w:r>
      <w:r w:rsidR="00172FBD">
        <w:t xml:space="preserve"> wards where </w:t>
      </w:r>
      <w:r w:rsidR="00172FBD" w:rsidRPr="00DE0629">
        <w:t>demonstrat</w:t>
      </w:r>
      <w:r w:rsidR="00172FBD">
        <w:t>ors had erected roadblocks to protect themselves</w:t>
      </w:r>
      <w:r w:rsidR="00172FBD" w:rsidRPr="00126B9A">
        <w:t xml:space="preserve">. </w:t>
      </w:r>
      <w:r w:rsidR="00172FBD">
        <w:t xml:space="preserve">Following </w:t>
      </w:r>
      <w:r w:rsidR="00172FBD" w:rsidRPr="00DE0629">
        <w:t xml:space="preserve">drone </w:t>
      </w:r>
      <w:r w:rsidR="00172FBD">
        <w:t xml:space="preserve">surveillance, </w:t>
      </w:r>
      <w:r w:rsidR="00172FBD" w:rsidRPr="00DE0629">
        <w:t>the</w:t>
      </w:r>
      <w:r w:rsidR="00172FBD">
        <w:t>y</w:t>
      </w:r>
      <w:r w:rsidR="00172FBD" w:rsidRPr="00DE0629">
        <w:t xml:space="preserve"> </w:t>
      </w:r>
      <w:r w:rsidR="00172FBD">
        <w:t xml:space="preserve">launched attacks, </w:t>
      </w:r>
      <w:r w:rsidR="00172FBD" w:rsidRPr="00126B9A">
        <w:t>employ</w:t>
      </w:r>
      <w:r w:rsidR="00172FBD">
        <w:t>ing</w:t>
      </w:r>
      <w:r w:rsidR="00172FBD" w:rsidRPr="00126B9A">
        <w:t xml:space="preserve"> grenade launchers and artillery to destroy roadblocks without apparent care for the impact of explosive</w:t>
      </w:r>
      <w:r w:rsidR="00172FBD">
        <w:t xml:space="preserve"> weapons</w:t>
      </w:r>
      <w:r w:rsidR="00172FBD" w:rsidRPr="00126B9A">
        <w:t xml:space="preserve"> within a residential area</w:t>
      </w:r>
      <w:r w:rsidR="00172FBD">
        <w:t>,</w:t>
      </w:r>
      <w:r w:rsidR="00172FBD" w:rsidRPr="00DE0629">
        <w:t xml:space="preserve"> putting both</w:t>
      </w:r>
      <w:r w:rsidR="00172FBD">
        <w:t xml:space="preserve"> p</w:t>
      </w:r>
      <w:r w:rsidR="00172FBD" w:rsidRPr="00126B9A">
        <w:t>rotest</w:t>
      </w:r>
      <w:r w:rsidR="00172FBD">
        <w:t>e</w:t>
      </w:r>
      <w:r w:rsidR="00172FBD" w:rsidRPr="00126B9A">
        <w:t xml:space="preserve">rs and residents at risk </w:t>
      </w:r>
      <w:r w:rsidR="00172FBD">
        <w:t>from</w:t>
      </w:r>
      <w:r w:rsidR="00172FBD" w:rsidRPr="00126B9A">
        <w:t xml:space="preserve"> </w:t>
      </w:r>
      <w:r w:rsidR="00172FBD">
        <w:t>blast</w:t>
      </w:r>
      <w:r w:rsidR="00172FBD" w:rsidRPr="00126B9A">
        <w:t xml:space="preserve">s </w:t>
      </w:r>
      <w:r w:rsidR="00172FBD" w:rsidRPr="00DE0629">
        <w:t>and</w:t>
      </w:r>
      <w:r w:rsidR="00172FBD" w:rsidRPr="00126B9A">
        <w:t xml:space="preserve"> shrapnel. </w:t>
      </w:r>
      <w:r w:rsidR="00172FBD">
        <w:t xml:space="preserve">Reportedly, these salvos killed at least </w:t>
      </w:r>
      <w:r w:rsidR="00172FBD" w:rsidRPr="008619AB">
        <w:t xml:space="preserve">82 </w:t>
      </w:r>
      <w:r w:rsidR="00172FBD" w:rsidRPr="00DE0629">
        <w:t>people</w:t>
      </w:r>
      <w:r w:rsidR="00172FBD">
        <w:t>. In one documented instance, soldiers fired upon an already injured protester who was being taken away for</w:t>
      </w:r>
      <w:r w:rsidR="00172FBD" w:rsidRPr="00DE0629">
        <w:t xml:space="preserve"> </w:t>
      </w:r>
      <w:r w:rsidR="00172FBD">
        <w:t>medical attention</w:t>
      </w:r>
      <w:r w:rsidR="00172FBD" w:rsidRPr="008619AB">
        <w:t xml:space="preserve">. </w:t>
      </w:r>
      <w:r w:rsidR="00172FBD" w:rsidRPr="000F41A7">
        <w:t>It was</w:t>
      </w:r>
      <w:r w:rsidR="00172FBD" w:rsidRPr="00DE0629">
        <w:t xml:space="preserve"> </w:t>
      </w:r>
      <w:r w:rsidR="00172FBD" w:rsidRPr="000F41A7">
        <w:t xml:space="preserve">widely reported that security forces </w:t>
      </w:r>
      <w:r w:rsidR="00172FBD" w:rsidRPr="00DE0629">
        <w:t>occupied a pagoda</w:t>
      </w:r>
      <w:r w:rsidR="00172FBD">
        <w:t>,</w:t>
      </w:r>
      <w:r w:rsidR="00172FBD" w:rsidRPr="00DE0629">
        <w:t xml:space="preserve"> </w:t>
      </w:r>
      <w:r w:rsidR="00172FBD">
        <w:t>using the premises as a repository for dead and</w:t>
      </w:r>
      <w:r w:rsidR="00172FBD" w:rsidRPr="000F41A7">
        <w:t xml:space="preserve"> injured </w:t>
      </w:r>
      <w:r w:rsidR="00172FBD">
        <w:t>persons</w:t>
      </w:r>
      <w:r w:rsidR="00172FBD" w:rsidRPr="00DE0629">
        <w:t>.</w:t>
      </w:r>
      <w:r w:rsidR="00172FBD" w:rsidRPr="000F41A7">
        <w:t xml:space="preserve"> </w:t>
      </w:r>
      <w:r w:rsidR="00172FBD">
        <w:t>Requests by m</w:t>
      </w:r>
      <w:r w:rsidR="00172FBD" w:rsidRPr="000F41A7">
        <w:t>onks and local medics</w:t>
      </w:r>
      <w:r w:rsidR="00172FBD">
        <w:t xml:space="preserve"> </w:t>
      </w:r>
      <w:r w:rsidR="00172FBD" w:rsidRPr="000F41A7">
        <w:t xml:space="preserve">to </w:t>
      </w:r>
      <w:r w:rsidR="00172FBD">
        <w:t>treat</w:t>
      </w:r>
      <w:r w:rsidR="00172FBD" w:rsidRPr="000F41A7">
        <w:t xml:space="preserve"> th</w:t>
      </w:r>
      <w:r w:rsidR="00172FBD" w:rsidRPr="00DE0629">
        <w:t>e</w:t>
      </w:r>
      <w:r w:rsidR="00172FBD" w:rsidRPr="000F41A7">
        <w:t xml:space="preserve"> injured</w:t>
      </w:r>
      <w:r w:rsidR="00172FBD">
        <w:t xml:space="preserve"> were denied</w:t>
      </w:r>
      <w:r w:rsidR="00172FBD" w:rsidRPr="000F41A7">
        <w:t>.</w:t>
      </w:r>
    </w:p>
    <w:p w14:paraId="140EBF1A" w14:textId="23A432F3" w:rsidR="00172FBD" w:rsidRDefault="001F3BA2" w:rsidP="001F3BA2">
      <w:pPr>
        <w:pStyle w:val="SingleTxtG"/>
      </w:pPr>
      <w:r>
        <w:t>29.</w:t>
      </w:r>
      <w:r>
        <w:tab/>
      </w:r>
      <w:r w:rsidR="00172FBD">
        <w:t>Peaceful protests</w:t>
      </w:r>
      <w:r w:rsidR="00172FBD">
        <w:rPr>
          <w:color w:val="000000" w:themeColor="text1"/>
          <w:lang w:eastAsia="en-GB"/>
        </w:rPr>
        <w:t xml:space="preserve"> should be</w:t>
      </w:r>
      <w:r w:rsidR="00172FBD" w:rsidRPr="1004F845">
        <w:rPr>
          <w:color w:val="000000" w:themeColor="text1"/>
          <w:lang w:eastAsia="en-GB"/>
        </w:rPr>
        <w:t xml:space="preserve"> respected and </w:t>
      </w:r>
      <w:r w:rsidR="00172FBD">
        <w:rPr>
          <w:color w:val="000000" w:themeColor="text1"/>
          <w:lang w:eastAsia="en-GB"/>
        </w:rPr>
        <w:t>ensured.</w:t>
      </w:r>
      <w:r w:rsidR="00172FBD" w:rsidRPr="1004F845">
        <w:rPr>
          <w:color w:val="000000" w:themeColor="text1"/>
          <w:lang w:eastAsia="en-GB"/>
        </w:rPr>
        <w:t xml:space="preserve"> </w:t>
      </w:r>
      <w:r w:rsidR="00172FBD" w:rsidRPr="001662A1">
        <w:t>Should it become necessary</w:t>
      </w:r>
      <w:r w:rsidR="00172FBD">
        <w:t>, pursuant to a legitimate law enforcement purpose,</w:t>
      </w:r>
      <w:r w:rsidR="00172FBD" w:rsidRPr="001662A1">
        <w:t xml:space="preserve"> to disperse such</w:t>
      </w:r>
      <w:r w:rsidR="00172FBD" w:rsidRPr="007E1A11">
        <w:t xml:space="preserve"> </w:t>
      </w:r>
      <w:r w:rsidR="00172FBD" w:rsidRPr="005772B5">
        <w:t>assemblies</w:t>
      </w:r>
      <w:r w:rsidR="00172FBD" w:rsidRPr="001662A1">
        <w:t>, all reasonable attempts</w:t>
      </w:r>
      <w:r w:rsidR="00172FBD" w:rsidRPr="005772B5">
        <w:t xml:space="preserve"> should </w:t>
      </w:r>
      <w:r w:rsidR="00172FBD" w:rsidRPr="001662A1">
        <w:t>be made to have</w:t>
      </w:r>
      <w:r w:rsidR="00172FBD">
        <w:t xml:space="preserve"> </w:t>
      </w:r>
      <w:r w:rsidR="00172FBD" w:rsidRPr="001662A1">
        <w:t>participants do so voluntarily</w:t>
      </w:r>
      <w:r w:rsidR="00172FBD">
        <w:t xml:space="preserve"> and </w:t>
      </w:r>
      <w:r w:rsidR="00172FBD" w:rsidRPr="001662A1">
        <w:t xml:space="preserve">force </w:t>
      </w:r>
      <w:r w:rsidR="00172FBD">
        <w:t>should</w:t>
      </w:r>
      <w:r w:rsidR="00172FBD" w:rsidRPr="005772B5">
        <w:t xml:space="preserve"> only be used </w:t>
      </w:r>
      <w:r w:rsidR="00172FBD" w:rsidRPr="001662A1">
        <w:t xml:space="preserve">if absolutely necessary and </w:t>
      </w:r>
      <w:r w:rsidR="00172FBD" w:rsidRPr="005772B5">
        <w:t xml:space="preserve">only </w:t>
      </w:r>
      <w:r w:rsidR="00172FBD" w:rsidRPr="001662A1">
        <w:t>to</w:t>
      </w:r>
      <w:r w:rsidR="00172FBD">
        <w:t xml:space="preserve"> </w:t>
      </w:r>
      <w:r w:rsidR="00172FBD" w:rsidRPr="005772B5">
        <w:t xml:space="preserve">the minimum </w:t>
      </w:r>
      <w:r w:rsidR="00172FBD" w:rsidRPr="001662A1">
        <w:t>extent required</w:t>
      </w:r>
      <w:r w:rsidR="00172FBD" w:rsidRPr="0088227B">
        <w:t>. Any use of force must comply with the fundamental principles of legality, necessity, proportionality, precaution</w:t>
      </w:r>
      <w:r w:rsidR="00172FBD">
        <w:t>,</w:t>
      </w:r>
      <w:r w:rsidR="00172FBD" w:rsidRPr="0088227B">
        <w:t xml:space="preserve"> and non-discrimination. Firearms must not be used by law enforcement officials in the context of assemblies, </w:t>
      </w:r>
      <w:r w:rsidR="00172FBD">
        <w:t>unless</w:t>
      </w:r>
      <w:r w:rsidR="00172FBD" w:rsidRPr="0088227B">
        <w:t xml:space="preserve"> it is limited to targeted individual(s)</w:t>
      </w:r>
      <w:r w:rsidR="00172FBD">
        <w:t xml:space="preserve"> under circumstances strictly necessary to protect life or to prevent serious injuries</w:t>
      </w:r>
      <w:r w:rsidR="00172FBD" w:rsidRPr="00A9202C">
        <w:t xml:space="preserve"> </w:t>
      </w:r>
      <w:r w:rsidR="00172FBD">
        <w:t>against imminent threats and only against individuals representing such threats.</w:t>
      </w:r>
      <w:r w:rsidR="00172FBD">
        <w:rPr>
          <w:color w:val="000000" w:themeColor="text1"/>
          <w:lang w:eastAsia="en-GB"/>
        </w:rPr>
        <w:t xml:space="preserve"> Myanmar s</w:t>
      </w:r>
      <w:r w:rsidR="00172FBD">
        <w:t xml:space="preserve">ecurity forces’ actions are in clear contravention of these standards and therefore amount to violations of the </w:t>
      </w:r>
      <w:r w:rsidR="00172FBD" w:rsidRPr="00ED71E1">
        <w:t>rights to life and to peaceful assembly. Many of the deaths reported, if found to be part of a widespread or systematic attack directed against</w:t>
      </w:r>
      <w:r w:rsidR="00172FBD">
        <w:t xml:space="preserve"> a civilian population, may further amount to a crime against humanity.</w:t>
      </w:r>
    </w:p>
    <w:p w14:paraId="793BE6AA" w14:textId="335A3831" w:rsidR="0000282B" w:rsidRPr="0096319E" w:rsidRDefault="0000282B" w:rsidP="0000282B">
      <w:pPr>
        <w:pStyle w:val="HChG"/>
        <w:rPr>
          <w:rStyle w:val="HChGChar"/>
        </w:rPr>
      </w:pPr>
      <w:r>
        <w:lastRenderedPageBreak/>
        <w:tab/>
      </w:r>
      <w:r w:rsidRPr="00DA1AF4">
        <w:t>V</w:t>
      </w:r>
      <w:r>
        <w:t>I</w:t>
      </w:r>
      <w:r w:rsidRPr="0096319E">
        <w:t>.</w:t>
      </w:r>
      <w:r w:rsidRPr="0096319E">
        <w:tab/>
      </w:r>
      <w:r w:rsidRPr="00ED71E1">
        <w:t>Prohibition against torture and ill-treatment, and the right to liberty of person and security of person</w:t>
      </w:r>
      <w:r w:rsidRPr="0096319E">
        <w:t xml:space="preserve"> </w:t>
      </w:r>
    </w:p>
    <w:p w14:paraId="5E2E811C" w14:textId="4B24DD43" w:rsidR="0000282B" w:rsidRPr="0096319E" w:rsidRDefault="0000282B" w:rsidP="0000282B">
      <w:pPr>
        <w:pStyle w:val="SingleTxtG"/>
      </w:pPr>
      <w:r>
        <w:t>30.</w:t>
      </w:r>
      <w:r>
        <w:tab/>
        <w:t xml:space="preserve">Between 1 February and </w:t>
      </w:r>
      <w:r w:rsidRPr="00322904">
        <w:t>15 July</w:t>
      </w:r>
      <w:r>
        <w:t xml:space="preserve"> 2021, the SAC detained at </w:t>
      </w:r>
      <w:r w:rsidRPr="00F358F7">
        <w:t>least 6,493 individuals</w:t>
      </w:r>
      <w:r w:rsidRPr="003E5A3B">
        <w:t>:</w:t>
      </w:r>
      <w:r w:rsidRPr="0068730A">
        <w:t xml:space="preserve"> </w:t>
      </w:r>
      <w:r>
        <w:t xml:space="preserve">at least </w:t>
      </w:r>
      <w:r w:rsidRPr="00D65130">
        <w:t>655 in February</w:t>
      </w:r>
      <w:r>
        <w:t>;</w:t>
      </w:r>
      <w:r w:rsidRPr="00D65130">
        <w:t xml:space="preserve"> 2,023 in March</w:t>
      </w:r>
      <w:r>
        <w:t>;</w:t>
      </w:r>
      <w:r w:rsidRPr="00D65130">
        <w:t xml:space="preserve"> 1,025 in April</w:t>
      </w:r>
      <w:r>
        <w:t>;</w:t>
      </w:r>
      <w:r w:rsidRPr="00D65130">
        <w:t xml:space="preserve"> 826 in May</w:t>
      </w:r>
      <w:r>
        <w:t>;</w:t>
      </w:r>
      <w:r w:rsidRPr="00D65130">
        <w:t xml:space="preserve"> 430 in June</w:t>
      </w:r>
      <w:r>
        <w:t xml:space="preserve">; and 136 as of 15 July. As </w:t>
      </w:r>
      <w:r w:rsidRPr="00322904">
        <w:t>of mid-July,</w:t>
      </w:r>
      <w:r>
        <w:t xml:space="preserve"> only 2,924 of those arrested were subsequently released.</w:t>
      </w:r>
      <w:r w:rsidRPr="006030F6">
        <w:rPr>
          <w:vertAlign w:val="superscript"/>
        </w:rPr>
        <w:footnoteReference w:id="25"/>
      </w:r>
    </w:p>
    <w:p w14:paraId="391BFC58" w14:textId="127E6B4E" w:rsidR="0000282B" w:rsidRDefault="0000282B" w:rsidP="0000282B">
      <w:pPr>
        <w:pStyle w:val="SingleTxtG"/>
      </w:pPr>
      <w:r>
        <w:t>31.</w:t>
      </w:r>
      <w:r>
        <w:tab/>
        <w:t xml:space="preserve">There is a discernible pattern to the ongoing arrests and detentions carried out by the SAC. In the first hours of the coup, the Tatmadaw detained the country’s political leadership and hundreds of parliamentarians who </w:t>
      </w:r>
      <w:r w:rsidDel="00B36D79">
        <w:t>had gathered</w:t>
      </w:r>
      <w:r>
        <w:t xml:space="preserve"> for the opening of the new Parliament. Around the same time, members of the outgoing State and Regional Governments and other politicians were also targeted. Given the Commander-in-Chief’s allegation of electoral fraud as pretext for seizing power, scores of Union Election Commission officials were also arrested, as were dozens of civil society activists.</w:t>
      </w:r>
    </w:p>
    <w:p w14:paraId="01AC8866" w14:textId="43C0F7F3" w:rsidR="0000282B" w:rsidRDefault="0000282B" w:rsidP="0000282B">
      <w:pPr>
        <w:pStyle w:val="SingleTxtG"/>
      </w:pPr>
      <w:r>
        <w:t>32.</w:t>
      </w:r>
      <w:r>
        <w:tab/>
        <w:t>As young people mobilized to demonstrate peacefully against the takeover, mass arrests of students soared over the following month. For six weeks between mid-April and end-May 2021, the SAC published daily lists of individuals wanted for arrest</w:t>
      </w:r>
      <w:r w:rsidRPr="0087637A">
        <w:t xml:space="preserve"> </w:t>
      </w:r>
      <w:r>
        <w:t xml:space="preserve">pursuant to section 505A of the PC, primarily Myanmar celebrities, artists, doctors, educators, nurses, and others for their criticism of the coup, support for CRPH or participation in the CDM – and clearly targeting those with influence in galvanizing protests and strikes. Journalists were consistently targeted by the SAC: over the first three months of the coup, around 30 media workers were either detained or named in lists of people wanted by the military authorities each month. Military authorities have also taken at least 93 family members into custody in lieu of wanted individuals, presumably to pressure those in hiding to surrender themselves. </w:t>
      </w:r>
    </w:p>
    <w:p w14:paraId="52F96F05" w14:textId="77777777" w:rsidR="0000282B" w:rsidRPr="0096319E" w:rsidRDefault="0000282B" w:rsidP="0000282B">
      <w:pPr>
        <w:pStyle w:val="H1G"/>
      </w:pPr>
      <w:r>
        <w:lastRenderedPageBreak/>
        <w:tab/>
      </w:r>
      <w:r w:rsidRPr="0096319E">
        <w:t>A.</w:t>
      </w:r>
      <w:r w:rsidRPr="0096319E">
        <w:tab/>
      </w:r>
      <w:r w:rsidRPr="003F3A12">
        <w:t xml:space="preserve">Arbitrary </w:t>
      </w:r>
      <w:r>
        <w:t xml:space="preserve">Arrest and </w:t>
      </w:r>
      <w:r w:rsidRPr="003F3A12">
        <w:t>Detention, Torture and Deaths in Custody</w:t>
      </w:r>
    </w:p>
    <w:p w14:paraId="64876841" w14:textId="40DD2733" w:rsidR="00AA1AFF" w:rsidRDefault="0000282B" w:rsidP="00AA1AFF">
      <w:pPr>
        <w:pStyle w:val="SingleTxtG"/>
      </w:pPr>
      <w:r>
        <w:t>33.</w:t>
      </w:r>
      <w:r>
        <w:tab/>
        <w:t>From the foregoing, individuals have been deprived of their liberty for exercising their rights to participate in public life and to freedom of opinion and expression. Although the Tatmadaw has attempted to cloak mass detentions relying on newly promulgated legal provisions, proceedings in both military tribunals and “prison courts” have failed to</w:t>
      </w:r>
      <w:r w:rsidDel="00FC3D51">
        <w:t xml:space="preserve"> </w:t>
      </w:r>
      <w:r>
        <w:t xml:space="preserve">meet due process or fair trial standards (see Section III.B.). </w:t>
      </w:r>
      <w:r w:rsidR="00AA1AFF">
        <w:t>A vast majority</w:t>
      </w:r>
      <w:r w:rsidR="00AA1AFF" w:rsidRPr="0058086E">
        <w:t xml:space="preserve"> of the deprivations of liberty</w:t>
      </w:r>
      <w:r w:rsidR="00AA1AFF">
        <w:t xml:space="preserve"> since the coup were carried out without respect for the rule of law and imposed in procedures which do not observe international human rights standards, therefore constituting arbitrary and unlawful detention. </w:t>
      </w:r>
    </w:p>
    <w:p w14:paraId="12D6E35B" w14:textId="61A4AD24" w:rsidR="0000282B" w:rsidRDefault="0000282B" w:rsidP="0000282B">
      <w:pPr>
        <w:pStyle w:val="SingleTxtG"/>
      </w:pPr>
      <w:r>
        <w:t>34.</w:t>
      </w:r>
      <w:r>
        <w:tab/>
        <w:t xml:space="preserve">In some cases, individuals were sent first to police stations upon arrest, before being transferred to military interrogation centres and/or prisons. Credible reports have been received in several cases alleging that security forces sexually assaulted detainees, both male and female, including an LGBT person, whilst being held at police stations.   </w:t>
      </w:r>
    </w:p>
    <w:p w14:paraId="58DCC6F1" w14:textId="6871E972" w:rsidR="0000282B" w:rsidRDefault="0000282B" w:rsidP="0000282B">
      <w:pPr>
        <w:pStyle w:val="SingleTxtG"/>
      </w:pPr>
      <w:r>
        <w:t>35.</w:t>
      </w:r>
      <w:r>
        <w:tab/>
        <w:t>Some detainees have been taken to military interrogation centres for varying durations before transfer to prisons. Credible reports indicate that security forces in these facilities have consistently used interrogation techniques that may amount to torture</w:t>
      </w:r>
      <w:r w:rsidRPr="00ED71E1">
        <w:t>.</w:t>
      </w:r>
      <w:r>
        <w:t xml:space="preserve"> Descriptions of treatment generally involve being blindfolded, handcuffed, beaten, and deprived of water, food and sleep for two to three days during interrogation. </w:t>
      </w:r>
      <w:r w:rsidRPr="00B91318">
        <w:t xml:space="preserve">One individual was made to kneel for </w:t>
      </w:r>
      <w:r>
        <w:t xml:space="preserve">almost </w:t>
      </w:r>
      <w:r w:rsidRPr="00B91318">
        <w:t xml:space="preserve">the entire period and suffered cigarette burns on </w:t>
      </w:r>
      <w:r>
        <w:t>the</w:t>
      </w:r>
      <w:r w:rsidRPr="00B91318">
        <w:t xml:space="preserve"> knees; another was made to kneel</w:t>
      </w:r>
      <w:r>
        <w:t xml:space="preserve"> and </w:t>
      </w:r>
      <w:r w:rsidRPr="00B91318">
        <w:t xml:space="preserve">asked to choose between a gun </w:t>
      </w:r>
      <w:r>
        <w:t>or</w:t>
      </w:r>
      <w:r w:rsidRPr="00B91318">
        <w:t xml:space="preserve"> a knife, </w:t>
      </w:r>
      <w:r>
        <w:t>which was then</w:t>
      </w:r>
      <w:r w:rsidRPr="00B91318">
        <w:t xml:space="preserve"> pointed </w:t>
      </w:r>
      <w:r>
        <w:t xml:space="preserve">at </w:t>
      </w:r>
      <w:r w:rsidRPr="00B91318">
        <w:t>the</w:t>
      </w:r>
      <w:r>
        <w:t>ir</w:t>
      </w:r>
      <w:r w:rsidRPr="00B91318">
        <w:t xml:space="preserve"> head </w:t>
      </w:r>
      <w:r>
        <w:t>during</w:t>
      </w:r>
      <w:r w:rsidRPr="00B91318">
        <w:t xml:space="preserve"> question</w:t>
      </w:r>
      <w:r>
        <w:t>ing</w:t>
      </w:r>
      <w:r w:rsidRPr="00B91318">
        <w:t xml:space="preserve">. </w:t>
      </w:r>
      <w:r>
        <w:t xml:space="preserve">Military authorities have also broadcast on military-controlled television footage of detainees with visible injuries, allegedly suffered whilst in detention. </w:t>
      </w:r>
    </w:p>
    <w:p w14:paraId="28C8DDD3" w14:textId="3804B55A" w:rsidR="0000282B" w:rsidRDefault="0000282B" w:rsidP="0000282B">
      <w:pPr>
        <w:pStyle w:val="SingleTxtG"/>
      </w:pPr>
      <w:r>
        <w:t>36.</w:t>
      </w:r>
      <w:r>
        <w:tab/>
        <w:t xml:space="preserve">Particularly during the first weeks of the coup, detainees’ relatives received no information about the fate or whereabouts of their family members; it appeared that in most cases, there was not even any official acknowledgement by the SAC of those detentions. Such detentions may constitute enforced disappearances. </w:t>
      </w:r>
    </w:p>
    <w:p w14:paraId="3CF2AC10" w14:textId="7C0534C9" w:rsidR="0000282B" w:rsidRPr="0096319E" w:rsidRDefault="0000282B" w:rsidP="0000282B">
      <w:pPr>
        <w:pStyle w:val="SingleTxtG"/>
      </w:pPr>
      <w:r>
        <w:lastRenderedPageBreak/>
        <w:t>37.</w:t>
      </w:r>
      <w:r>
        <w:tab/>
        <w:t xml:space="preserve">At least 50 detention-related deaths have been reported. Some individuals suffered injuries during arrests, raids or at checkpoints, thereafter they were reportedly denied access to medical treatment. Deaths in custody have occurred in various regions; however, at least six, reportedly occurred in Pyay District, </w:t>
      </w:r>
      <w:proofErr w:type="spellStart"/>
      <w:r>
        <w:t>Bago</w:t>
      </w:r>
      <w:proofErr w:type="spellEnd"/>
      <w:r>
        <w:t xml:space="preserve"> Region -- the highest number in a single district. Four of those who died in custody were reportedly members of the National League for Democracy (NLD). Several families stated they received telephone calls from police the day after the arrest of their relatives instructing them to go to</w:t>
      </w:r>
      <w:r w:rsidDel="00D5571A">
        <w:t xml:space="preserve"> </w:t>
      </w:r>
      <w:r>
        <w:t>a military hospital where they were briefly able see the body of their loved-ones prior to cremation. In other cases, authorities reportedly conducted cremations</w:t>
      </w:r>
      <w:r w:rsidDel="00372AFC">
        <w:t xml:space="preserve"> </w:t>
      </w:r>
      <w:r>
        <w:t>prior to informing families of the deaths. Where</w:t>
      </w:r>
      <w:r w:rsidDel="00372AFC">
        <w:t xml:space="preserve"> </w:t>
      </w:r>
      <w:r>
        <w:t>family members were permitted to receive or see bodies,</w:t>
      </w:r>
      <w:r w:rsidDel="00372AFC">
        <w:t xml:space="preserve"> </w:t>
      </w:r>
      <w:r>
        <w:t>many showed</w:t>
      </w:r>
      <w:r w:rsidDel="00372AFC">
        <w:t xml:space="preserve"> </w:t>
      </w:r>
      <w:r>
        <w:t xml:space="preserve">visible signs of injuries, including bruising, broken noses and ribs, head injuries, sewn-up incisions, and burn marks. Families received no information concerning any medical examinations conducted during detention or of any subsequent investigation into causes of death. </w:t>
      </w:r>
    </w:p>
    <w:p w14:paraId="44BFB56F" w14:textId="5CDD57D0" w:rsidR="0000282B" w:rsidRDefault="0000282B" w:rsidP="0000282B">
      <w:pPr>
        <w:pStyle w:val="SingleTxtG"/>
      </w:pPr>
      <w:r>
        <w:t>38.</w:t>
      </w:r>
      <w:r>
        <w:tab/>
        <w:t>On 1 February 2021, military authorities began arresting and detaining elected officials, protesters, and journalists, before broadening their net to include anyone suspected of opposing the SAC. These</w:t>
      </w:r>
      <w:r w:rsidRPr="00653043">
        <w:t xml:space="preserve"> arrests</w:t>
      </w:r>
      <w:r>
        <w:t xml:space="preserve"> and detentions</w:t>
      </w:r>
      <w:r w:rsidRPr="00653043">
        <w:t xml:space="preserve">, in all appearance for the legitimate exercise of </w:t>
      </w:r>
      <w:r w:rsidRPr="00ED71E1">
        <w:t>their</w:t>
      </w:r>
      <w:r>
        <w:t xml:space="preserve"> human</w:t>
      </w:r>
      <w:r w:rsidRPr="00653043">
        <w:t xml:space="preserve"> rights, are </w:t>
      </w:r>
      <w:r>
        <w:t xml:space="preserve">to that extent arbitrary, violating the right to liberty and security of person. </w:t>
      </w:r>
      <w:r w:rsidRPr="008A621B">
        <w:t>If committed as part of a widespread or systematic attack directed against the civilian population, th</w:t>
      </w:r>
      <w:r>
        <w:t>es</w:t>
      </w:r>
      <w:r w:rsidRPr="008A621B">
        <w:t>e</w:t>
      </w:r>
      <w:r>
        <w:t xml:space="preserve"> detentions may further amount to a crime against humanity. In addition, ill-treatment in detention causing </w:t>
      </w:r>
      <w:r w:rsidRPr="00130DAB">
        <w:t xml:space="preserve">physical pain </w:t>
      </w:r>
      <w:r>
        <w:t xml:space="preserve">or </w:t>
      </w:r>
      <w:r w:rsidRPr="00130DAB">
        <w:t>mental suffering to the victim</w:t>
      </w:r>
      <w:r>
        <w:t xml:space="preserve"> and in some cases leading to deaths in custody, are violations of the right to life and the prohibition of torture or other cruel or inhuman treatment, also potentially amounting to international crimes.</w:t>
      </w:r>
    </w:p>
    <w:p w14:paraId="09A03214" w14:textId="77777777" w:rsidR="0000282B" w:rsidRPr="0096319E" w:rsidRDefault="0000282B" w:rsidP="0000282B">
      <w:pPr>
        <w:pStyle w:val="H1G"/>
      </w:pPr>
      <w:r w:rsidRPr="0096319E">
        <w:tab/>
      </w:r>
      <w:r>
        <w:t>B</w:t>
      </w:r>
      <w:r w:rsidRPr="0096319E">
        <w:t>.</w:t>
      </w:r>
      <w:r w:rsidRPr="0096319E">
        <w:tab/>
      </w:r>
      <w:r>
        <w:rPr>
          <w:bCs/>
        </w:rPr>
        <w:t>Children</w:t>
      </w:r>
    </w:p>
    <w:p w14:paraId="61ADD911" w14:textId="30650F34" w:rsidR="0000282B" w:rsidRDefault="0000282B" w:rsidP="0000282B">
      <w:pPr>
        <w:pStyle w:val="SingleTxtG"/>
      </w:pPr>
      <w:r>
        <w:t>39.</w:t>
      </w:r>
      <w:r>
        <w:tab/>
        <w:t>Children have also been subject to arbitrary detention and processed through military interrogation centres. While some children were taken into custody at the same time as</w:t>
      </w:r>
      <w:r w:rsidDel="006D4CF0">
        <w:t xml:space="preserve"> </w:t>
      </w:r>
      <w:r>
        <w:t xml:space="preserve">their parents, others were not. In these latter </w:t>
      </w:r>
      <w:r>
        <w:lastRenderedPageBreak/>
        <w:t xml:space="preserve">cases, parents do not discover their children’s whereabouts until they are contacted by the police – typically following interrogation at military facilities – to present documents certifying their children’s ages. </w:t>
      </w:r>
      <w:r w:rsidRPr="00752638">
        <w:t xml:space="preserve">Detention during this period, which </w:t>
      </w:r>
      <w:r>
        <w:t xml:space="preserve">often </w:t>
      </w:r>
      <w:r w:rsidRPr="00752638">
        <w:t xml:space="preserve">lasts days, </w:t>
      </w:r>
      <w:r>
        <w:t xml:space="preserve">combined with the concealment of the whereabouts of the child </w:t>
      </w:r>
      <w:r w:rsidRPr="00ED71E1">
        <w:t>would</w:t>
      </w:r>
      <w:r w:rsidRPr="00752638">
        <w:t xml:space="preserve"> amount to enforced disappearance.</w:t>
      </w:r>
      <w:r>
        <w:t xml:space="preserve"> Children have also allegedly been subject to torture and ill-treatment whilst in SAC custody. </w:t>
      </w:r>
    </w:p>
    <w:p w14:paraId="656D5D08" w14:textId="7180A042" w:rsidR="0000282B" w:rsidRPr="0096319E" w:rsidRDefault="0000282B" w:rsidP="0000282B">
      <w:pPr>
        <w:pStyle w:val="SingleTxtG"/>
      </w:pPr>
      <w:r>
        <w:t>40.</w:t>
      </w:r>
      <w:r>
        <w:tab/>
        <w:t xml:space="preserve">In Yangon Region, children charged with offences have been tried at the Juvenile Court, except for those from townships where martial law is imposed, and in South </w:t>
      </w:r>
      <w:proofErr w:type="spellStart"/>
      <w:r>
        <w:t>Okkalapa</w:t>
      </w:r>
      <w:proofErr w:type="spellEnd"/>
      <w:r>
        <w:t xml:space="preserve"> and </w:t>
      </w:r>
      <w:proofErr w:type="spellStart"/>
      <w:r>
        <w:t>Thingangyun</w:t>
      </w:r>
      <w:proofErr w:type="spellEnd"/>
      <w:r>
        <w:t xml:space="preserve"> townships where cases</w:t>
      </w:r>
      <w:r w:rsidDel="006D4CF0">
        <w:t xml:space="preserve"> </w:t>
      </w:r>
      <w:r>
        <w:t xml:space="preserve">have been tried in Township Courts with judges sitting as Juvenile Court judges. These proceedings have reportedly focussed on securing convictions, with children pressured to confess. </w:t>
      </w:r>
      <w:bookmarkStart w:id="8" w:name="OLE_LINK3"/>
      <w:bookmarkStart w:id="9" w:name="OLE_LINK4"/>
      <w:r>
        <w:t xml:space="preserve">As part of a larger prisoner release on 30 June, authorities required children charged under penal code section 505 to sign </w:t>
      </w:r>
      <w:r w:rsidRPr="004E2057">
        <w:t>personal undertakings</w:t>
      </w:r>
      <w:r>
        <w:t xml:space="preserve"> prior to their release pledging not to reoffend.</w:t>
      </w:r>
      <w:bookmarkEnd w:id="8"/>
      <w:bookmarkEnd w:id="9"/>
      <w:r w:rsidRPr="00A9538D" w:rsidDel="00A04569">
        <w:t xml:space="preserve"> </w:t>
      </w:r>
      <w:r>
        <w:t>S</w:t>
      </w:r>
      <w:r w:rsidRPr="00A9538D">
        <w:t xml:space="preserve">ome </w:t>
      </w:r>
      <w:r>
        <w:t xml:space="preserve">children </w:t>
      </w:r>
      <w:r w:rsidRPr="00A9538D">
        <w:t xml:space="preserve">remain </w:t>
      </w:r>
      <w:r>
        <w:t>in</w:t>
      </w:r>
      <w:r w:rsidRPr="00A9538D">
        <w:t xml:space="preserve"> juvenile correction facilities.</w:t>
      </w:r>
    </w:p>
    <w:p w14:paraId="7528CFB0" w14:textId="20BE9752" w:rsidR="004915F2" w:rsidRDefault="0000282B" w:rsidP="0000282B">
      <w:pPr>
        <w:tabs>
          <w:tab w:val="left" w:pos="1701"/>
        </w:tabs>
        <w:kinsoku w:val="0"/>
        <w:overflowPunct w:val="0"/>
        <w:autoSpaceDE w:val="0"/>
        <w:autoSpaceDN w:val="0"/>
        <w:adjustRightInd w:val="0"/>
        <w:snapToGrid w:val="0"/>
        <w:spacing w:after="120"/>
        <w:ind w:left="1134" w:right="1134"/>
        <w:jc w:val="both"/>
      </w:pPr>
      <w:r>
        <w:t>41.</w:t>
      </w:r>
      <w:r>
        <w:tab/>
      </w:r>
      <w:r w:rsidRPr="00ED71E1">
        <w:t>In light of the foregoing, the children’s detentions and the judicial proceedings against them are not compatible with international human rights law, including the</w:t>
      </w:r>
      <w:r>
        <w:t xml:space="preserve"> Convention on the Rights of the Child, to which Myanmar is State Party.</w:t>
      </w:r>
    </w:p>
    <w:p w14:paraId="4ABFE90C" w14:textId="0185CA57" w:rsidR="0055783C" w:rsidRDefault="0055783C" w:rsidP="0055783C">
      <w:pPr>
        <w:pStyle w:val="HChG"/>
      </w:pPr>
      <w:r w:rsidRPr="0055783C">
        <w:tab/>
        <w:t>VII.</w:t>
      </w:r>
      <w:r w:rsidRPr="0055783C">
        <w:tab/>
        <w:t>Growing insecurity and expanding armed conflicts</w:t>
      </w:r>
    </w:p>
    <w:p w14:paraId="4A872AE9" w14:textId="5DE379B9" w:rsidR="0055783C" w:rsidRPr="0096319E" w:rsidRDefault="0055783C" w:rsidP="0055783C">
      <w:pPr>
        <w:tabs>
          <w:tab w:val="left" w:pos="1701"/>
        </w:tabs>
        <w:kinsoku w:val="0"/>
        <w:overflowPunct w:val="0"/>
        <w:autoSpaceDE w:val="0"/>
        <w:autoSpaceDN w:val="0"/>
        <w:adjustRightInd w:val="0"/>
        <w:snapToGrid w:val="0"/>
        <w:spacing w:after="120"/>
        <w:ind w:left="1134" w:right="1134"/>
        <w:jc w:val="both"/>
      </w:pPr>
      <w:r>
        <w:rPr>
          <w:rStyle w:val="normaltextrun"/>
        </w:rPr>
        <w:t>42.</w:t>
      </w:r>
      <w:r>
        <w:rPr>
          <w:rStyle w:val="normaltextrun"/>
        </w:rPr>
        <w:tab/>
        <w:t xml:space="preserve">Myanmar has faced multiple armed conflicts for decades, and following the coup, armed violence exponentially increased around the country. </w:t>
      </w:r>
      <w:r>
        <w:t>A</w:t>
      </w:r>
      <w:r w:rsidRPr="0096319E">
        <w:t>rmed conflict</w:t>
      </w:r>
      <w:r>
        <w:t>s</w:t>
      </w:r>
      <w:r w:rsidRPr="0096319E">
        <w:t xml:space="preserve"> between the Tatmadaw and </w:t>
      </w:r>
      <w:r>
        <w:rPr>
          <w:rStyle w:val="normaltextrun"/>
        </w:rPr>
        <w:t xml:space="preserve">ethnic </w:t>
      </w:r>
      <w:r w:rsidRPr="0055783C">
        <w:t>armed</w:t>
      </w:r>
      <w:r>
        <w:rPr>
          <w:rStyle w:val="normaltextrun"/>
        </w:rPr>
        <w:t xml:space="preserve"> organizations (</w:t>
      </w:r>
      <w:r>
        <w:t>EAOs), which existed prior to the coup</w:t>
      </w:r>
      <w:r w:rsidRPr="0096319E">
        <w:t xml:space="preserve"> in different states and regions of Myanmar ha</w:t>
      </w:r>
      <w:r>
        <w:t xml:space="preserve">ve </w:t>
      </w:r>
      <w:r w:rsidRPr="0096319E">
        <w:t>continued</w:t>
      </w:r>
      <w:r>
        <w:t xml:space="preserve">, intensified, and reignited. Separately, armed resistance has emerged, including in urban areas, made up of numerous new armed elements. Tatmadaw responses to these groups have led to serious violence in areas that had not previously seen conflict between the Tatmadaw and EAOs. From April, increasing numbers of killings and </w:t>
      </w:r>
      <w:r>
        <w:lastRenderedPageBreak/>
        <w:t xml:space="preserve">explosions created insecurity in different parts of the country. There are several areas where EAOs and new armed elements are fighting together. Civilians continue to be targeted by the Tatmadaw </w:t>
      </w:r>
      <w:r>
        <w:rPr>
          <w:rStyle w:val="normaltextrun"/>
        </w:rPr>
        <w:t>through its long-held “Four Cuts” strategy which aims to restrict its enemies’ access to funding, food, intelligence, and recruits.</w:t>
      </w:r>
      <w:r>
        <w:rPr>
          <w:rStyle w:val="FootnoteReference"/>
        </w:rPr>
        <w:footnoteReference w:id="26"/>
      </w:r>
      <w:r>
        <w:rPr>
          <w:rStyle w:val="normaltextrun"/>
        </w:rPr>
        <w:t xml:space="preserve"> By implementing such a policy </w:t>
      </w:r>
      <w:r w:rsidRPr="002279D5">
        <w:rPr>
          <w:rStyle w:val="normaltextrun"/>
        </w:rPr>
        <w:t xml:space="preserve">against </w:t>
      </w:r>
      <w:r>
        <w:rPr>
          <w:rStyle w:val="normaltextrun"/>
        </w:rPr>
        <w:t>the population</w:t>
      </w:r>
      <w:r w:rsidRPr="002279D5">
        <w:rPr>
          <w:rStyle w:val="normaltextrun"/>
        </w:rPr>
        <w:t xml:space="preserve"> across many areas of </w:t>
      </w:r>
      <w:r>
        <w:rPr>
          <w:rStyle w:val="normaltextrun"/>
        </w:rPr>
        <w:t>the country</w:t>
      </w:r>
      <w:r w:rsidRPr="002279D5">
        <w:rPr>
          <w:rStyle w:val="normaltextrun"/>
        </w:rPr>
        <w:t>,</w:t>
      </w:r>
      <w:r>
        <w:rPr>
          <w:rStyle w:val="normaltextrun"/>
        </w:rPr>
        <w:t xml:space="preserve"> Myanmar is violating a range of human rights </w:t>
      </w:r>
      <w:r>
        <w:t xml:space="preserve">as well as international humanitarian law in certain situations (see below). </w:t>
      </w:r>
    </w:p>
    <w:p w14:paraId="3E860715" w14:textId="77777777" w:rsidR="0055783C" w:rsidRPr="0055783C" w:rsidRDefault="0055783C" w:rsidP="0055783C">
      <w:pPr>
        <w:pStyle w:val="H1G"/>
      </w:pPr>
      <w:r w:rsidRPr="0055783C">
        <w:tab/>
        <w:t>A.</w:t>
      </w:r>
      <w:r w:rsidRPr="0055783C">
        <w:tab/>
      </w:r>
      <w:r w:rsidRPr="0055783C">
        <w:tab/>
        <w:t>E</w:t>
      </w:r>
      <w:r w:rsidRPr="0055783C">
        <w:rPr>
          <w:rStyle w:val="HChGChar"/>
          <w:b/>
          <w:sz w:val="24"/>
        </w:rPr>
        <w:t>merging armed resistance and other retaliatory action</w:t>
      </w:r>
    </w:p>
    <w:p w14:paraId="36CA93AF" w14:textId="77777777" w:rsidR="0055783C" w:rsidRPr="00B664C7" w:rsidRDefault="0055783C" w:rsidP="0055783C">
      <w:pPr>
        <w:pStyle w:val="SingleTxtG"/>
        <w:numPr>
          <w:ilvl w:val="0"/>
          <w:numId w:val="36"/>
        </w:numPr>
        <w:ind w:left="1134" w:firstLine="0"/>
      </w:pPr>
      <w:r>
        <w:rPr>
          <w:rStyle w:val="normaltextrun"/>
        </w:rPr>
        <w:t>Use of lethal force</w:t>
      </w:r>
      <w:r w:rsidRPr="0096319E">
        <w:rPr>
          <w:rStyle w:val="normaltextrun"/>
        </w:rPr>
        <w:t xml:space="preserve"> </w:t>
      </w:r>
      <w:r>
        <w:rPr>
          <w:rStyle w:val="normaltextrun"/>
        </w:rPr>
        <w:t xml:space="preserve">against </w:t>
      </w:r>
      <w:r w:rsidRPr="0096319E">
        <w:rPr>
          <w:rStyle w:val="normaltextrun"/>
        </w:rPr>
        <w:t>peaceful protest</w:t>
      </w:r>
      <w:r>
        <w:rPr>
          <w:rStyle w:val="normaltextrun"/>
        </w:rPr>
        <w:t>er</w:t>
      </w:r>
      <w:r w:rsidRPr="0096319E">
        <w:rPr>
          <w:rStyle w:val="normaltextrun"/>
        </w:rPr>
        <w:t>s</w:t>
      </w:r>
      <w:r>
        <w:rPr>
          <w:rStyle w:val="normaltextrun"/>
        </w:rPr>
        <w:t xml:space="preserve"> and night </w:t>
      </w:r>
      <w:r w:rsidRPr="0096319E">
        <w:rPr>
          <w:rStyle w:val="normaltextrun"/>
        </w:rPr>
        <w:t>raids</w:t>
      </w:r>
      <w:r>
        <w:rPr>
          <w:rStyle w:val="normaltextrun"/>
        </w:rPr>
        <w:t xml:space="preserve"> on communities by security forces have prompted some opponents of the coup to take </w:t>
      </w:r>
      <w:r w:rsidRPr="00B664C7">
        <w:rPr>
          <w:rStyle w:val="normaltextrun"/>
        </w:rPr>
        <w:t>up arms. Armed elements began to form in many areas of Myanmar, some of which grew out of community-based neighbourhood watch movements or local formations that demanded detainee</w:t>
      </w:r>
      <w:r>
        <w:rPr>
          <w:rStyle w:val="normaltextrun"/>
        </w:rPr>
        <w:t xml:space="preserve"> release</w:t>
      </w:r>
      <w:r w:rsidRPr="00B664C7">
        <w:rPr>
          <w:rStyle w:val="normaltextrun"/>
        </w:rPr>
        <w:t xml:space="preserve">s or tried to </w:t>
      </w:r>
      <w:r>
        <w:rPr>
          <w:rStyle w:val="normaltextrun"/>
        </w:rPr>
        <w:t>protect</w:t>
      </w:r>
      <w:r w:rsidRPr="00B664C7">
        <w:rPr>
          <w:rStyle w:val="normaltextrun"/>
        </w:rPr>
        <w:t xml:space="preserve"> demonstrators. Others banded together to launch attacks against security forces</w:t>
      </w:r>
      <w:r w:rsidRPr="00B664C7" w:rsidDel="00D50ABD">
        <w:rPr>
          <w:rStyle w:val="normaltextrun"/>
        </w:rPr>
        <w:t xml:space="preserve"> </w:t>
      </w:r>
      <w:r w:rsidRPr="00B664C7">
        <w:rPr>
          <w:rStyle w:val="normaltextrun"/>
        </w:rPr>
        <w:t>to secure control of their local areas. Some members of these groups and other individuals have undertaken forms of military training – in some cases provided by established armed groups.</w:t>
      </w:r>
      <w:r w:rsidRPr="00B664C7">
        <w:t xml:space="preserve"> </w:t>
      </w:r>
    </w:p>
    <w:p w14:paraId="14907F5D" w14:textId="77777777" w:rsidR="0055783C" w:rsidRPr="00B664C7" w:rsidRDefault="0055783C" w:rsidP="0055783C">
      <w:pPr>
        <w:pStyle w:val="SingleTxtG"/>
        <w:numPr>
          <w:ilvl w:val="0"/>
          <w:numId w:val="36"/>
        </w:numPr>
        <w:ind w:left="1134" w:firstLine="0"/>
        <w:rPr>
          <w:rStyle w:val="CommentReference"/>
        </w:rPr>
      </w:pPr>
      <w:r w:rsidRPr="00B664C7">
        <w:t xml:space="preserve">After CRPH declared that any responses to SAC’s violence </w:t>
      </w:r>
      <w:r>
        <w:t>were</w:t>
      </w:r>
      <w:r w:rsidRPr="00B664C7">
        <w:t xml:space="preserve"> </w:t>
      </w:r>
      <w:r>
        <w:t xml:space="preserve">legitimate </w:t>
      </w:r>
      <w:r w:rsidRPr="00B664C7">
        <w:t xml:space="preserve">self-defence, the NUG announced </w:t>
      </w:r>
      <w:r w:rsidRPr="00B664C7">
        <w:rPr>
          <w:rStyle w:val="normaltextrun"/>
        </w:rPr>
        <w:t xml:space="preserve">its People’s Defence Force (PDF) </w:t>
      </w:r>
      <w:r w:rsidRPr="00B664C7">
        <w:t>in early May</w:t>
      </w:r>
      <w:r>
        <w:t xml:space="preserve"> 2021</w:t>
      </w:r>
      <w:r w:rsidRPr="00B664C7">
        <w:t xml:space="preserve">, </w:t>
      </w:r>
      <w:r w:rsidRPr="00B664C7">
        <w:rPr>
          <w:rStyle w:val="normaltextrun"/>
        </w:rPr>
        <w:t>as a forerunner to “Federal Democratic Armed Forces”. Thereafter a number of newly-formed armed elements throughout Myanmar publicly align</w:t>
      </w:r>
      <w:r>
        <w:rPr>
          <w:rStyle w:val="normaltextrun"/>
        </w:rPr>
        <w:t xml:space="preserve">ed themselves </w:t>
      </w:r>
      <w:r w:rsidRPr="00B664C7">
        <w:rPr>
          <w:rStyle w:val="normaltextrun"/>
        </w:rPr>
        <w:t xml:space="preserve">with the NUG. On 26 May, NUG issued a Code of Conduct for its PDF, </w:t>
      </w:r>
      <w:r>
        <w:rPr>
          <w:rStyle w:val="normaltextrun"/>
        </w:rPr>
        <w:t>including</w:t>
      </w:r>
      <w:r w:rsidRPr="00B664C7">
        <w:t xml:space="preserve"> provisions on key international norms (see Section IX)</w:t>
      </w:r>
      <w:r w:rsidRPr="00B664C7">
        <w:rPr>
          <w:rStyle w:val="normaltextrun"/>
        </w:rPr>
        <w:t xml:space="preserve">.  To date, however, the NUG does not appear to have control over the multitude of groups, including those who have and have not declared their allegiance. These new armed elements </w:t>
      </w:r>
      <w:r>
        <w:rPr>
          <w:rStyle w:val="normaltextrun"/>
        </w:rPr>
        <w:t xml:space="preserve">differ in </w:t>
      </w:r>
      <w:r w:rsidRPr="00B664C7">
        <w:rPr>
          <w:rStyle w:val="normaltextrun"/>
        </w:rPr>
        <w:t xml:space="preserve">size, training, equipment, affiliation, levels of organization </w:t>
      </w:r>
      <w:r w:rsidRPr="00B664C7">
        <w:rPr>
          <w:rStyle w:val="normaltextrun"/>
        </w:rPr>
        <w:lastRenderedPageBreak/>
        <w:t>including command structures, and capacity to conduct attacks. From mid-May</w:t>
      </w:r>
      <w:r>
        <w:rPr>
          <w:rStyle w:val="normaltextrun"/>
        </w:rPr>
        <w:t xml:space="preserve"> 2021</w:t>
      </w:r>
      <w:r w:rsidRPr="00B664C7">
        <w:rPr>
          <w:rStyle w:val="normaltextrun"/>
        </w:rPr>
        <w:t xml:space="preserve">, pro-military armed elements called </w:t>
      </w:r>
      <w:proofErr w:type="spellStart"/>
      <w:r w:rsidRPr="00B664C7">
        <w:rPr>
          <w:rStyle w:val="normaltextrun"/>
        </w:rPr>
        <w:t>Pyu</w:t>
      </w:r>
      <w:proofErr w:type="spellEnd"/>
      <w:r w:rsidRPr="00B664C7">
        <w:rPr>
          <w:rStyle w:val="normaltextrun"/>
        </w:rPr>
        <w:t xml:space="preserve"> Saw </w:t>
      </w:r>
      <w:proofErr w:type="spellStart"/>
      <w:r w:rsidRPr="00B664C7">
        <w:rPr>
          <w:rStyle w:val="normaltextrun"/>
        </w:rPr>
        <w:t>Htee</w:t>
      </w:r>
      <w:proofErr w:type="spellEnd"/>
      <w:r w:rsidRPr="00B664C7">
        <w:rPr>
          <w:rStyle w:val="normaltextrun"/>
        </w:rPr>
        <w:t xml:space="preserve"> also formed across the country, some of which the Tatmadaw reportedly trained.</w:t>
      </w:r>
    </w:p>
    <w:p w14:paraId="0672BDA6" w14:textId="77777777" w:rsidR="0055783C" w:rsidRPr="00B664C7" w:rsidRDefault="0055783C" w:rsidP="0055783C">
      <w:pPr>
        <w:pStyle w:val="SingleTxtG"/>
        <w:numPr>
          <w:ilvl w:val="0"/>
          <w:numId w:val="36"/>
        </w:numPr>
        <w:ind w:left="1134" w:firstLine="0"/>
        <w:rPr>
          <w:rStyle w:val="normaltextrun"/>
        </w:rPr>
      </w:pPr>
      <w:r w:rsidRPr="00B664C7">
        <w:rPr>
          <w:rStyle w:val="normaltextrun"/>
        </w:rPr>
        <w:t>Armed clashes between these groups and security forces have occurred in at least 12 states, regions, and union territory,</w:t>
      </w:r>
      <w:r w:rsidRPr="00B664C7">
        <w:rPr>
          <w:rStyle w:val="FootnoteReference"/>
        </w:rPr>
        <w:footnoteReference w:id="27"/>
      </w:r>
      <w:r w:rsidRPr="00B664C7">
        <w:rPr>
          <w:rStyle w:val="normaltextrun"/>
        </w:rPr>
        <w:t xml:space="preserve"> with</w:t>
      </w:r>
      <w:r w:rsidRPr="00B664C7" w:rsidDel="00C37083">
        <w:rPr>
          <w:rStyle w:val="normaltextrun"/>
        </w:rPr>
        <w:t xml:space="preserve"> </w:t>
      </w:r>
      <w:r w:rsidRPr="00B664C7">
        <w:rPr>
          <w:rStyle w:val="normaltextrun"/>
        </w:rPr>
        <w:t xml:space="preserve">particularly intense fighting in </w:t>
      </w:r>
      <w:proofErr w:type="spellStart"/>
      <w:r w:rsidRPr="00B664C7">
        <w:rPr>
          <w:rStyle w:val="normaltextrun"/>
        </w:rPr>
        <w:t>Sagaing</w:t>
      </w:r>
      <w:proofErr w:type="spellEnd"/>
      <w:r w:rsidRPr="00B664C7">
        <w:rPr>
          <w:rStyle w:val="normaltextrun"/>
        </w:rPr>
        <w:t xml:space="preserve"> Region, and Chin and </w:t>
      </w:r>
      <w:proofErr w:type="spellStart"/>
      <w:r w:rsidRPr="00B664C7">
        <w:rPr>
          <w:rStyle w:val="normaltextrun"/>
        </w:rPr>
        <w:t>Kayah</w:t>
      </w:r>
      <w:proofErr w:type="spellEnd"/>
      <w:r w:rsidRPr="00B664C7">
        <w:rPr>
          <w:rStyle w:val="normaltextrun"/>
        </w:rPr>
        <w:t xml:space="preserve"> states.</w:t>
      </w:r>
      <w:r w:rsidRPr="00B664C7" w:rsidDel="00EA19EB">
        <w:rPr>
          <w:rStyle w:val="normaltextrun"/>
        </w:rPr>
        <w:t xml:space="preserve"> </w:t>
      </w:r>
      <w:r w:rsidRPr="00B664C7">
        <w:rPr>
          <w:rStyle w:val="normaltextrun"/>
        </w:rPr>
        <w:t>In several instances, the Tatmadaw launched punitive reprisals against local communities after skirmishes with defence groups, or during searches, leading to killings or injuries and forced displacement.</w:t>
      </w:r>
    </w:p>
    <w:p w14:paraId="7AE238E2" w14:textId="77777777" w:rsidR="0055783C" w:rsidRPr="00B664C7" w:rsidRDefault="0055783C" w:rsidP="0055783C">
      <w:pPr>
        <w:pStyle w:val="SingleTxtG"/>
        <w:numPr>
          <w:ilvl w:val="0"/>
          <w:numId w:val="36"/>
        </w:numPr>
        <w:ind w:left="1134" w:firstLine="0"/>
        <w:rPr>
          <w:rStyle w:val="normaltextrun"/>
        </w:rPr>
      </w:pPr>
      <w:r w:rsidRPr="00B664C7">
        <w:rPr>
          <w:rStyle w:val="normaltextrun"/>
        </w:rPr>
        <w:t xml:space="preserve">In </w:t>
      </w:r>
      <w:proofErr w:type="spellStart"/>
      <w:r w:rsidRPr="00B664C7">
        <w:rPr>
          <w:rStyle w:val="normaltextrun"/>
        </w:rPr>
        <w:t>Sagaing</w:t>
      </w:r>
      <w:proofErr w:type="spellEnd"/>
      <w:r w:rsidRPr="00B664C7">
        <w:rPr>
          <w:rStyle w:val="normaltextrun"/>
        </w:rPr>
        <w:t xml:space="preserve"> Region, armed elements have launched attacks in several locations since early April, precipitating a steady deterioration in the situation. In early July</w:t>
      </w:r>
      <w:r>
        <w:rPr>
          <w:rStyle w:val="normaltextrun"/>
        </w:rPr>
        <w:t xml:space="preserve"> 2021</w:t>
      </w:r>
      <w:r w:rsidRPr="00B664C7">
        <w:rPr>
          <w:rStyle w:val="normaltextrun"/>
        </w:rPr>
        <w:t xml:space="preserve">, Tatmadaw units deployed heavy weapons and guns in </w:t>
      </w:r>
      <w:proofErr w:type="spellStart"/>
      <w:r w:rsidRPr="00B664C7">
        <w:rPr>
          <w:rStyle w:val="normaltextrun"/>
        </w:rPr>
        <w:t>Kani</w:t>
      </w:r>
      <w:proofErr w:type="spellEnd"/>
      <w:r w:rsidRPr="00B664C7">
        <w:rPr>
          <w:rStyle w:val="normaltextrun"/>
        </w:rPr>
        <w:t xml:space="preserve"> and </w:t>
      </w:r>
      <w:proofErr w:type="spellStart"/>
      <w:r w:rsidRPr="00B664C7">
        <w:rPr>
          <w:rStyle w:val="normaltextrun"/>
        </w:rPr>
        <w:t>Depayin</w:t>
      </w:r>
      <w:proofErr w:type="spellEnd"/>
      <w:r w:rsidRPr="00B664C7">
        <w:rPr>
          <w:rStyle w:val="normaltextrun"/>
        </w:rPr>
        <w:t xml:space="preserve"> townships, killing scores of individuals, some after arrest, some of whom were alleged to be members of armed elements. Fighting has displaced 5,000 civilians to religious sites or jungle areas and neighbouring India. </w:t>
      </w:r>
    </w:p>
    <w:p w14:paraId="53AD1D0D" w14:textId="77777777" w:rsidR="0055783C" w:rsidRDefault="0055783C" w:rsidP="0055783C">
      <w:pPr>
        <w:pStyle w:val="SingleTxtG"/>
        <w:numPr>
          <w:ilvl w:val="0"/>
          <w:numId w:val="36"/>
        </w:numPr>
        <w:ind w:left="1134" w:firstLine="0"/>
        <w:rPr>
          <w:rStyle w:val="normaltextrun"/>
        </w:rPr>
      </w:pPr>
      <w:r w:rsidRPr="0096319E">
        <w:rPr>
          <w:rStyle w:val="normaltextrun"/>
        </w:rPr>
        <w:t xml:space="preserve">In Chin State, the </w:t>
      </w:r>
      <w:proofErr w:type="spellStart"/>
      <w:r w:rsidRPr="0096319E">
        <w:rPr>
          <w:rStyle w:val="normaltextrun"/>
        </w:rPr>
        <w:t>Chinland</w:t>
      </w:r>
      <w:proofErr w:type="spellEnd"/>
      <w:r w:rsidRPr="0096319E">
        <w:rPr>
          <w:rStyle w:val="normaltextrun"/>
        </w:rPr>
        <w:t xml:space="preserve"> </w:t>
      </w:r>
      <w:r w:rsidRPr="00B643B0">
        <w:rPr>
          <w:rStyle w:val="normaltextrun"/>
        </w:rPr>
        <w:t>Defence</w:t>
      </w:r>
      <w:r w:rsidRPr="0096319E">
        <w:rPr>
          <w:rStyle w:val="normaltextrun"/>
        </w:rPr>
        <w:t xml:space="preserve"> Force (CDF) has </w:t>
      </w:r>
      <w:r>
        <w:rPr>
          <w:rStyle w:val="normaltextrun"/>
        </w:rPr>
        <w:t>attacked</w:t>
      </w:r>
      <w:r w:rsidRPr="0096319E">
        <w:rPr>
          <w:rStyle w:val="normaltextrun"/>
        </w:rPr>
        <w:t xml:space="preserve"> the Tatmadaw in several townships. In </w:t>
      </w:r>
      <w:proofErr w:type="spellStart"/>
      <w:r w:rsidRPr="0096319E">
        <w:rPr>
          <w:rStyle w:val="normaltextrun"/>
        </w:rPr>
        <w:t>Mindat</w:t>
      </w:r>
      <w:proofErr w:type="spellEnd"/>
      <w:r w:rsidRPr="0096319E">
        <w:rPr>
          <w:rStyle w:val="normaltextrun"/>
        </w:rPr>
        <w:t xml:space="preserve"> </w:t>
      </w:r>
      <w:r>
        <w:rPr>
          <w:rStyle w:val="normaltextrun"/>
        </w:rPr>
        <w:t>T</w:t>
      </w:r>
      <w:r w:rsidRPr="0096319E">
        <w:rPr>
          <w:rStyle w:val="normaltextrun"/>
        </w:rPr>
        <w:t xml:space="preserve">ownship, </w:t>
      </w:r>
      <w:r>
        <w:rPr>
          <w:rStyle w:val="normaltextrun"/>
        </w:rPr>
        <w:t xml:space="preserve">after declaring </w:t>
      </w:r>
      <w:r w:rsidRPr="0096319E">
        <w:rPr>
          <w:rStyle w:val="normaltextrun"/>
        </w:rPr>
        <w:t>martial law on 13 May</w:t>
      </w:r>
      <w:r>
        <w:rPr>
          <w:rStyle w:val="normaltextrun"/>
        </w:rPr>
        <w:t xml:space="preserve"> 2021, </w:t>
      </w:r>
      <w:r w:rsidRPr="0096319E">
        <w:rPr>
          <w:rStyle w:val="normaltextrun"/>
        </w:rPr>
        <w:t xml:space="preserve">Tatmadaw </w:t>
      </w:r>
      <w:r>
        <w:rPr>
          <w:rStyle w:val="normaltextrun"/>
        </w:rPr>
        <w:t xml:space="preserve">units assaulted </w:t>
      </w:r>
      <w:r w:rsidRPr="0096319E">
        <w:rPr>
          <w:rStyle w:val="normaltextrun"/>
        </w:rPr>
        <w:t>the town</w:t>
      </w:r>
      <w:r>
        <w:rPr>
          <w:rStyle w:val="normaltextrun"/>
        </w:rPr>
        <w:t xml:space="preserve"> using artillery and</w:t>
      </w:r>
      <w:r w:rsidRPr="0096319E">
        <w:rPr>
          <w:rStyle w:val="normaltextrun"/>
        </w:rPr>
        <w:t xml:space="preserve"> 15 people as human shields</w:t>
      </w:r>
      <w:r>
        <w:rPr>
          <w:rStyle w:val="normaltextrun"/>
        </w:rPr>
        <w:t>.</w:t>
      </w:r>
      <w:r w:rsidRPr="0096319E">
        <w:rPr>
          <w:rStyle w:val="normaltextrun"/>
        </w:rPr>
        <w:t xml:space="preserve"> </w:t>
      </w:r>
      <w:r>
        <w:rPr>
          <w:rStyle w:val="normaltextrun"/>
        </w:rPr>
        <w:t>At least f</w:t>
      </w:r>
      <w:r w:rsidRPr="0096319E">
        <w:rPr>
          <w:rStyle w:val="normaltextrun"/>
        </w:rPr>
        <w:t>ive civilians</w:t>
      </w:r>
      <w:r>
        <w:rPr>
          <w:rStyle w:val="normaltextrun"/>
        </w:rPr>
        <w:t xml:space="preserve"> were killed and more than 50 were</w:t>
      </w:r>
      <w:r w:rsidRPr="0096319E">
        <w:rPr>
          <w:rStyle w:val="normaltextrun"/>
        </w:rPr>
        <w:t xml:space="preserve"> injured</w:t>
      </w:r>
      <w:r>
        <w:rPr>
          <w:rStyle w:val="normaltextrun"/>
        </w:rPr>
        <w:t xml:space="preserve"> along with damage to </w:t>
      </w:r>
      <w:r w:rsidRPr="0096319E">
        <w:rPr>
          <w:rStyle w:val="normaltextrun"/>
        </w:rPr>
        <w:t>civilian buildings</w:t>
      </w:r>
      <w:r>
        <w:rPr>
          <w:rStyle w:val="normaltextrun"/>
        </w:rPr>
        <w:t xml:space="preserve"> and displacement of thousands of residents</w:t>
      </w:r>
      <w:r w:rsidRPr="0096319E">
        <w:rPr>
          <w:rStyle w:val="normaltextrun"/>
        </w:rPr>
        <w:t>.</w:t>
      </w:r>
      <w:r w:rsidRPr="0096319E">
        <w:rPr>
          <w:rStyle w:val="superscript"/>
          <w:sz w:val="16"/>
          <w:szCs w:val="16"/>
        </w:rPr>
        <w:t xml:space="preserve"> </w:t>
      </w:r>
      <w:r>
        <w:rPr>
          <w:rStyle w:val="normaltextrun"/>
        </w:rPr>
        <w:t>Security forces</w:t>
      </w:r>
      <w:r w:rsidRPr="0096319E">
        <w:rPr>
          <w:rStyle w:val="normaltextrun"/>
        </w:rPr>
        <w:t xml:space="preserve"> trapped </w:t>
      </w:r>
      <w:r>
        <w:rPr>
          <w:rStyle w:val="normaltextrun"/>
        </w:rPr>
        <w:t xml:space="preserve">other civilians </w:t>
      </w:r>
      <w:r w:rsidRPr="0096319E">
        <w:rPr>
          <w:rStyle w:val="normaltextrun"/>
        </w:rPr>
        <w:t xml:space="preserve">in the town, </w:t>
      </w:r>
      <w:r>
        <w:rPr>
          <w:rStyle w:val="normaltextrun"/>
        </w:rPr>
        <w:t xml:space="preserve">after reportedly cutting their </w:t>
      </w:r>
      <w:r w:rsidRPr="0096319E">
        <w:rPr>
          <w:rStyle w:val="normaltextrun"/>
        </w:rPr>
        <w:t>water and electricity</w:t>
      </w:r>
      <w:r>
        <w:rPr>
          <w:rStyle w:val="normaltextrun"/>
        </w:rPr>
        <w:t xml:space="preserve"> supplies</w:t>
      </w:r>
      <w:r w:rsidRPr="0096319E">
        <w:t xml:space="preserve">. </w:t>
      </w:r>
      <w:r>
        <w:rPr>
          <w:rStyle w:val="normaltextrun"/>
        </w:rPr>
        <w:t>In</w:t>
      </w:r>
      <w:r w:rsidRPr="0096319E">
        <w:rPr>
          <w:rStyle w:val="normaltextrun"/>
        </w:rPr>
        <w:t xml:space="preserve"> early June</w:t>
      </w:r>
      <w:r>
        <w:rPr>
          <w:rStyle w:val="normaltextrun"/>
        </w:rPr>
        <w:t>, f</w:t>
      </w:r>
      <w:r w:rsidRPr="0096319E">
        <w:rPr>
          <w:rStyle w:val="normaltextrun"/>
        </w:rPr>
        <w:t xml:space="preserve">ighting in </w:t>
      </w:r>
      <w:r>
        <w:rPr>
          <w:rStyle w:val="normaltextrun"/>
        </w:rPr>
        <w:t xml:space="preserve">nearby </w:t>
      </w:r>
      <w:r w:rsidRPr="0096319E">
        <w:rPr>
          <w:rStyle w:val="normaltextrun"/>
        </w:rPr>
        <w:t xml:space="preserve">villages </w:t>
      </w:r>
      <w:r>
        <w:rPr>
          <w:rStyle w:val="normaltextrun"/>
        </w:rPr>
        <w:t>forced some internally displaced persons (IDPs) into secondary displacement</w:t>
      </w:r>
      <w:r w:rsidRPr="0096319E">
        <w:rPr>
          <w:rStyle w:val="normaltextrun"/>
        </w:rPr>
        <w:t xml:space="preserve">. </w:t>
      </w:r>
      <w:r w:rsidRPr="71453204">
        <w:rPr>
          <w:rStyle w:val="normaltextrun"/>
        </w:rPr>
        <w:t>Reportedly,</w:t>
      </w:r>
      <w:r w:rsidRPr="00346ECE">
        <w:rPr>
          <w:rStyle w:val="normaltextrun"/>
        </w:rPr>
        <w:t xml:space="preserve"> Tatmadaw</w:t>
      </w:r>
      <w:r w:rsidRPr="71453204">
        <w:rPr>
          <w:rStyle w:val="normaltextrun"/>
        </w:rPr>
        <w:t xml:space="preserve"> also fired </w:t>
      </w:r>
      <w:r w:rsidRPr="00346ECE">
        <w:rPr>
          <w:rStyle w:val="normaltextrun"/>
        </w:rPr>
        <w:t>on IDP camps marked with white flags</w:t>
      </w:r>
      <w:r>
        <w:rPr>
          <w:rStyle w:val="normaltextrun"/>
        </w:rPr>
        <w:t xml:space="preserve"> and restricted humanitarian access</w:t>
      </w:r>
      <w:r w:rsidRPr="00346ECE">
        <w:rPr>
          <w:rStyle w:val="normaltextrun"/>
        </w:rPr>
        <w:t>.</w:t>
      </w:r>
      <w:r w:rsidRPr="0096319E" w:rsidDel="00DC3EF4">
        <w:rPr>
          <w:rStyle w:val="normaltextrun"/>
        </w:rPr>
        <w:t xml:space="preserve"> </w:t>
      </w:r>
      <w:r w:rsidDel="00DC3EF4">
        <w:rPr>
          <w:rStyle w:val="normaltextrun"/>
        </w:rPr>
        <w:t>Armed c</w:t>
      </w:r>
      <w:r w:rsidRPr="0096319E" w:rsidDel="00DC3EF4">
        <w:rPr>
          <w:rStyle w:val="normaltextrun"/>
        </w:rPr>
        <w:t>lashes</w:t>
      </w:r>
      <w:r w:rsidDel="00DC3EF4">
        <w:rPr>
          <w:rStyle w:val="normaltextrun"/>
        </w:rPr>
        <w:t xml:space="preserve"> </w:t>
      </w:r>
      <w:r w:rsidRPr="0096319E" w:rsidDel="00DC3EF4">
        <w:rPr>
          <w:rStyle w:val="normaltextrun"/>
        </w:rPr>
        <w:t xml:space="preserve">have </w:t>
      </w:r>
      <w:r>
        <w:rPr>
          <w:rStyle w:val="normaltextrun"/>
        </w:rPr>
        <w:t>occurred</w:t>
      </w:r>
      <w:r w:rsidDel="00DC3EF4">
        <w:rPr>
          <w:rStyle w:val="normaltextrun"/>
        </w:rPr>
        <w:t xml:space="preserve"> in other townships</w:t>
      </w:r>
      <w:r>
        <w:rPr>
          <w:rStyle w:val="normaltextrun"/>
        </w:rPr>
        <w:t xml:space="preserve"> resulting in at least seven reported civilian deaths</w:t>
      </w:r>
      <w:r w:rsidRPr="0096319E">
        <w:rPr>
          <w:rStyle w:val="normaltextrun"/>
        </w:rPr>
        <w:t xml:space="preserve">.  </w:t>
      </w:r>
    </w:p>
    <w:p w14:paraId="33406BBE" w14:textId="77777777" w:rsidR="0055783C" w:rsidRDefault="0055783C" w:rsidP="0055783C">
      <w:pPr>
        <w:pStyle w:val="SingleTxtG"/>
        <w:numPr>
          <w:ilvl w:val="0"/>
          <w:numId w:val="36"/>
        </w:numPr>
        <w:ind w:left="1134" w:firstLine="0"/>
        <w:rPr>
          <w:rStyle w:val="normaltextrun"/>
        </w:rPr>
      </w:pPr>
      <w:r>
        <w:rPr>
          <w:rStyle w:val="normaltextrun"/>
        </w:rPr>
        <w:t xml:space="preserve">Members of local defence groups and EAOs formed the </w:t>
      </w:r>
      <w:proofErr w:type="spellStart"/>
      <w:r>
        <w:rPr>
          <w:rStyle w:val="normaltextrun"/>
        </w:rPr>
        <w:t>Karenni</w:t>
      </w:r>
      <w:proofErr w:type="spellEnd"/>
      <w:r>
        <w:rPr>
          <w:rStyle w:val="normaltextrun"/>
        </w:rPr>
        <w:t xml:space="preserve"> Nationalities Defence Force (KNDF), and in late May 2021 they seized control of </w:t>
      </w:r>
      <w:r w:rsidRPr="0096319E">
        <w:rPr>
          <w:rStyle w:val="normaltextrun"/>
        </w:rPr>
        <w:t xml:space="preserve">several police stations and </w:t>
      </w:r>
      <w:proofErr w:type="spellStart"/>
      <w:r w:rsidRPr="0096319E">
        <w:rPr>
          <w:rStyle w:val="normaltextrun"/>
        </w:rPr>
        <w:t>Tatmadaw</w:t>
      </w:r>
      <w:proofErr w:type="spellEnd"/>
      <w:r w:rsidRPr="0096319E">
        <w:rPr>
          <w:rStyle w:val="normaltextrun"/>
        </w:rPr>
        <w:t xml:space="preserve"> bases in </w:t>
      </w:r>
      <w:proofErr w:type="spellStart"/>
      <w:r w:rsidRPr="0096319E">
        <w:rPr>
          <w:rStyle w:val="normaltextrun"/>
        </w:rPr>
        <w:t>Demoso</w:t>
      </w:r>
      <w:proofErr w:type="spellEnd"/>
      <w:r>
        <w:rPr>
          <w:rStyle w:val="normaltextrun"/>
        </w:rPr>
        <w:t xml:space="preserve"> and</w:t>
      </w:r>
      <w:r w:rsidRPr="0096319E">
        <w:rPr>
          <w:rStyle w:val="normaltextrun"/>
        </w:rPr>
        <w:t xml:space="preserve"> </w:t>
      </w:r>
      <w:proofErr w:type="spellStart"/>
      <w:r w:rsidRPr="0096319E">
        <w:rPr>
          <w:rStyle w:val="normaltextrun"/>
        </w:rPr>
        <w:lastRenderedPageBreak/>
        <w:t>Loikaw</w:t>
      </w:r>
      <w:proofErr w:type="spellEnd"/>
      <w:r w:rsidRPr="0096319E">
        <w:rPr>
          <w:rStyle w:val="normaltextrun"/>
        </w:rPr>
        <w:t xml:space="preserve"> </w:t>
      </w:r>
      <w:r>
        <w:rPr>
          <w:rStyle w:val="normaltextrun"/>
        </w:rPr>
        <w:t xml:space="preserve">Townships of </w:t>
      </w:r>
      <w:proofErr w:type="spellStart"/>
      <w:r>
        <w:rPr>
          <w:rStyle w:val="normaltextrun"/>
        </w:rPr>
        <w:t>Kayah</w:t>
      </w:r>
      <w:proofErr w:type="spellEnd"/>
      <w:r>
        <w:rPr>
          <w:rStyle w:val="normaltextrun"/>
        </w:rPr>
        <w:t xml:space="preserve"> State </w:t>
      </w:r>
      <w:r w:rsidRPr="0096319E">
        <w:rPr>
          <w:rStyle w:val="normaltextrun"/>
        </w:rPr>
        <w:t xml:space="preserve">and </w:t>
      </w:r>
      <w:proofErr w:type="spellStart"/>
      <w:r w:rsidRPr="00FA1113">
        <w:rPr>
          <w:rStyle w:val="normaltextrun"/>
        </w:rPr>
        <w:t>Pekon</w:t>
      </w:r>
      <w:proofErr w:type="spellEnd"/>
      <w:r w:rsidRPr="0096319E">
        <w:rPr>
          <w:rStyle w:val="normaltextrun"/>
        </w:rPr>
        <w:t xml:space="preserve"> Township</w:t>
      </w:r>
      <w:r>
        <w:rPr>
          <w:rStyle w:val="normaltextrun"/>
        </w:rPr>
        <w:t xml:space="preserve"> in southern Shan State. Tatmadaw units deployed heavy weapons and conducted airstrikes </w:t>
      </w:r>
      <w:r w:rsidRPr="00FA1113">
        <w:rPr>
          <w:rStyle w:val="normaltextrun"/>
        </w:rPr>
        <w:t xml:space="preserve">in </w:t>
      </w:r>
      <w:r>
        <w:rPr>
          <w:rStyle w:val="normaltextrun"/>
        </w:rPr>
        <w:t>populated</w:t>
      </w:r>
      <w:r w:rsidRPr="00FA1113">
        <w:rPr>
          <w:rStyle w:val="normaltextrun"/>
        </w:rPr>
        <w:t xml:space="preserve"> areas</w:t>
      </w:r>
      <w:r>
        <w:rPr>
          <w:rStyle w:val="normaltextrun"/>
        </w:rPr>
        <w:t>, resulting in over 55 reported civilian deaths. Remains found in school g</w:t>
      </w:r>
      <w:r w:rsidRPr="00601297">
        <w:rPr>
          <w:rStyle w:val="normaltextrun"/>
        </w:rPr>
        <w:t>rounds</w:t>
      </w:r>
      <w:r>
        <w:rPr>
          <w:rStyle w:val="normaltextrun"/>
        </w:rPr>
        <w:t xml:space="preserve"> and other locations after the fighting subsided in June 2021, included 22 bodies found with their hands bound, indicating they had been likely summarily executed</w:t>
      </w:r>
      <w:r w:rsidRPr="00601297">
        <w:rPr>
          <w:rStyle w:val="normaltextrun"/>
        </w:rPr>
        <w:t xml:space="preserve">. Tatmadaw </w:t>
      </w:r>
      <w:r>
        <w:rPr>
          <w:rStyle w:val="normaltextrun"/>
        </w:rPr>
        <w:t xml:space="preserve">troops occupied, </w:t>
      </w:r>
      <w:r w:rsidRPr="00601297">
        <w:rPr>
          <w:rStyle w:val="normaltextrun"/>
        </w:rPr>
        <w:t>destroyed, burned</w:t>
      </w:r>
      <w:r>
        <w:rPr>
          <w:rStyle w:val="normaltextrun"/>
        </w:rPr>
        <w:t>,</w:t>
      </w:r>
      <w:r w:rsidRPr="00601297">
        <w:rPr>
          <w:rStyle w:val="normaltextrun"/>
        </w:rPr>
        <w:t xml:space="preserve"> and looted civilian objects</w:t>
      </w:r>
      <w:r>
        <w:rPr>
          <w:rStyle w:val="normaltextrun"/>
        </w:rPr>
        <w:t>,</w:t>
      </w:r>
      <w:r w:rsidRPr="00601297">
        <w:rPr>
          <w:rStyle w:val="normaltextrun"/>
        </w:rPr>
        <w:t xml:space="preserve"> including </w:t>
      </w:r>
      <w:r>
        <w:rPr>
          <w:rStyle w:val="normaltextrun"/>
        </w:rPr>
        <w:t xml:space="preserve">schools and </w:t>
      </w:r>
      <w:r w:rsidRPr="00601297">
        <w:rPr>
          <w:rStyle w:val="normaltextrun"/>
        </w:rPr>
        <w:t xml:space="preserve">religious buildings, </w:t>
      </w:r>
      <w:r>
        <w:rPr>
          <w:rStyle w:val="normaltextrun"/>
        </w:rPr>
        <w:t>including</w:t>
      </w:r>
      <w:r w:rsidRPr="00601297">
        <w:rPr>
          <w:rStyle w:val="normaltextrun"/>
        </w:rPr>
        <w:t xml:space="preserve"> one sheltering elderly people, resulting in eight reported deaths</w:t>
      </w:r>
      <w:r>
        <w:rPr>
          <w:rStyle w:val="normaltextrun"/>
        </w:rPr>
        <w:t>. Over</w:t>
      </w:r>
      <w:r w:rsidRPr="0096319E">
        <w:rPr>
          <w:rStyle w:val="normaltextrun"/>
        </w:rPr>
        <w:t xml:space="preserve"> 10</w:t>
      </w:r>
      <w:r>
        <w:rPr>
          <w:rStyle w:val="normaltextrun"/>
        </w:rPr>
        <w:t>8</w:t>
      </w:r>
      <w:r w:rsidRPr="0096319E">
        <w:rPr>
          <w:rStyle w:val="normaltextrun"/>
        </w:rPr>
        <w:t xml:space="preserve">,000 </w:t>
      </w:r>
      <w:r>
        <w:rPr>
          <w:rStyle w:val="normaltextrun"/>
        </w:rPr>
        <w:t>civilians</w:t>
      </w:r>
      <w:r w:rsidRPr="0096319E">
        <w:rPr>
          <w:rStyle w:val="normaltextrun"/>
        </w:rPr>
        <w:t xml:space="preserve"> </w:t>
      </w:r>
      <w:r>
        <w:rPr>
          <w:rStyle w:val="normaltextrun"/>
        </w:rPr>
        <w:t>fled to religious sites and the jungle with little food, medicine and shelter. Tatmadaw forces also restricted humanitarian access and allegedly burned rice intended for IDPs</w:t>
      </w:r>
      <w:r w:rsidRPr="0096319E">
        <w:rPr>
          <w:rStyle w:val="normaltextrun"/>
        </w:rPr>
        <w:t>.</w:t>
      </w:r>
    </w:p>
    <w:p w14:paraId="497220B4" w14:textId="77777777" w:rsidR="0055783C" w:rsidRDefault="0055783C" w:rsidP="0055783C">
      <w:pPr>
        <w:pStyle w:val="SingleTxtG"/>
        <w:numPr>
          <w:ilvl w:val="0"/>
          <w:numId w:val="36"/>
        </w:numPr>
        <w:ind w:left="1134" w:firstLine="0"/>
      </w:pPr>
      <w:r>
        <w:t xml:space="preserve">Rising criminality, targeted killings and use of explosive devices by unidentified actors have also exacerbated insecurity. </w:t>
      </w:r>
      <w:r w:rsidRPr="000455BE">
        <w:t xml:space="preserve">Over </w:t>
      </w:r>
      <w:r w:rsidRPr="0048433B">
        <w:t>130</w:t>
      </w:r>
      <w:r w:rsidRPr="000455BE">
        <w:t xml:space="preserve"> persons</w:t>
      </w:r>
      <w:r>
        <w:t xml:space="preserve"> have allegedly been killed and others injured since May 2021, mostly resulting from shootings or stabbings. A majority of those targeted were said to have been current or former ward/village administrators or suspected military informants.</w:t>
      </w:r>
      <w:r w:rsidDel="5509B94C">
        <w:t xml:space="preserve"> </w:t>
      </w:r>
      <w:r>
        <w:t xml:space="preserve">Thus far, anti-military elements have publicly claimed responsibility in approximately a dozen cases. In several cases, unidentified perpetrators have killed NLD and other political figures using similar methods, some reportedly linked to </w:t>
      </w:r>
      <w:proofErr w:type="spellStart"/>
      <w:r>
        <w:t>Pyu</w:t>
      </w:r>
      <w:proofErr w:type="spellEnd"/>
      <w:r>
        <w:t xml:space="preserve"> Saw </w:t>
      </w:r>
      <w:proofErr w:type="spellStart"/>
      <w:r>
        <w:t>Htee</w:t>
      </w:r>
      <w:proofErr w:type="spellEnd"/>
      <w:r>
        <w:t xml:space="preserve">. </w:t>
      </w:r>
    </w:p>
    <w:p w14:paraId="3A5D7A93" w14:textId="77777777" w:rsidR="0055783C" w:rsidRPr="00DA1AF4" w:rsidRDefault="0055783C" w:rsidP="0055783C">
      <w:pPr>
        <w:pStyle w:val="SingleTxtG"/>
        <w:numPr>
          <w:ilvl w:val="0"/>
          <w:numId w:val="36"/>
        </w:numPr>
        <w:ind w:left="1134" w:firstLine="0"/>
      </w:pPr>
      <w:r w:rsidRPr="000455BE">
        <w:t>Since</w:t>
      </w:r>
      <w:r w:rsidRPr="0088381B">
        <w:t xml:space="preserve"> April</w:t>
      </w:r>
      <w:r w:rsidRPr="000455BE">
        <w:t xml:space="preserve"> 2021</w:t>
      </w:r>
      <w:r>
        <w:t xml:space="preserve">, </w:t>
      </w:r>
      <w:r w:rsidDel="00D061AC">
        <w:t xml:space="preserve">there have been </w:t>
      </w:r>
      <w:r>
        <w:t>increasing numbers of explosions occurring close to seemingly military-affiliated structures, including administrative buildings, checkpoints, and police stations, as well as education facilities in the lead up</w:t>
      </w:r>
      <w:r w:rsidDel="00AC1566">
        <w:t xml:space="preserve"> to </w:t>
      </w:r>
      <w:r>
        <w:t xml:space="preserve">reopening of schools by the SAC. Improvised explosive and incendiary devices </w:t>
      </w:r>
      <w:r w:rsidDel="00E61D38">
        <w:t xml:space="preserve">of varying degrees of sophistication </w:t>
      </w:r>
      <w:r>
        <w:t>have been identified as the cause of these explosions, some of which were reported to have resulted in deaths or injuries.</w:t>
      </w:r>
    </w:p>
    <w:p w14:paraId="2F34236F" w14:textId="77777777" w:rsidR="0055783C" w:rsidRPr="0096319E" w:rsidRDefault="0055783C" w:rsidP="0055783C">
      <w:pPr>
        <w:pStyle w:val="SingleTxtG"/>
        <w:numPr>
          <w:ilvl w:val="0"/>
          <w:numId w:val="36"/>
        </w:numPr>
        <w:ind w:left="1134" w:firstLine="0"/>
      </w:pPr>
      <w:r>
        <w:t>In any situation amounting to a non-international armed conflict,</w:t>
      </w:r>
      <w:r>
        <w:rPr>
          <w:rStyle w:val="FootnoteReference"/>
        </w:rPr>
        <w:footnoteReference w:id="28"/>
      </w:r>
      <w:r>
        <w:t xml:space="preserve"> international humanitarian law applies</w:t>
      </w:r>
      <w:r w:rsidRPr="002B395E">
        <w:t xml:space="preserve">, in addition to international human </w:t>
      </w:r>
      <w:r w:rsidRPr="002B395E">
        <w:lastRenderedPageBreak/>
        <w:t>rights law</w:t>
      </w:r>
      <w:r>
        <w:t xml:space="preserve">. Particularly, </w:t>
      </w:r>
      <w:r w:rsidRPr="000A5C43">
        <w:t xml:space="preserve">common article 3 to the Geneva Conventions </w:t>
      </w:r>
      <w:r>
        <w:t>and</w:t>
      </w:r>
      <w:r w:rsidRPr="000A5C43">
        <w:t xml:space="preserve"> applicable rules of customary international humanitarian law </w:t>
      </w:r>
      <w:r>
        <w:t xml:space="preserve">apply to military forces and to armed groups that are parties to the conflict. </w:t>
      </w:r>
      <w:r w:rsidRPr="002B395E">
        <w:t>The</w:t>
      </w:r>
      <w:r>
        <w:t>se</w:t>
      </w:r>
      <w:r w:rsidRPr="002B395E">
        <w:t xml:space="preserve"> incidents above involve violations and abuses of the rights to life, to liberty and security, of freedom from arbitrary arrest and detention, and to food housing, education and health, among others. </w:t>
      </w:r>
      <w:r>
        <w:t>S</w:t>
      </w:r>
      <w:r w:rsidRPr="002B395E">
        <w:t>ome incidents detailed above could</w:t>
      </w:r>
      <w:r>
        <w:t xml:space="preserve"> be violations of international humanitarian law applicable in armed conflict and may amount to war crimes. </w:t>
      </w:r>
    </w:p>
    <w:p w14:paraId="7E401E7B" w14:textId="77777777" w:rsidR="0055783C" w:rsidRPr="0096319E" w:rsidRDefault="0055783C" w:rsidP="0055783C">
      <w:pPr>
        <w:pStyle w:val="H1G"/>
      </w:pPr>
      <w:r>
        <w:tab/>
        <w:t>B.</w:t>
      </w:r>
      <w:r w:rsidRPr="0096319E">
        <w:tab/>
        <w:t>Armed conflict between Myanmar security forces and ethnic armed organizations</w:t>
      </w:r>
    </w:p>
    <w:p w14:paraId="7CDE479F" w14:textId="77777777" w:rsidR="0055783C" w:rsidRDefault="0055783C" w:rsidP="0055783C">
      <w:pPr>
        <w:pStyle w:val="SingleTxtG"/>
        <w:numPr>
          <w:ilvl w:val="0"/>
          <w:numId w:val="36"/>
        </w:numPr>
        <w:ind w:left="1134" w:firstLine="0"/>
      </w:pPr>
      <w:r>
        <w:t>Pre-existing a</w:t>
      </w:r>
      <w:r w:rsidRPr="0096319E">
        <w:t>rmed conflict</w:t>
      </w:r>
      <w:r>
        <w:t>s</w:t>
      </w:r>
      <w:r w:rsidRPr="0096319E">
        <w:t xml:space="preserve"> between the Tatmadaw and </w:t>
      </w:r>
      <w:r>
        <w:t>EAOs</w:t>
      </w:r>
      <w:r w:rsidRPr="0096319E">
        <w:t xml:space="preserve"> in different states and regions of Myanmar ha</w:t>
      </w:r>
      <w:r>
        <w:t xml:space="preserve">ve </w:t>
      </w:r>
      <w:r w:rsidRPr="0096319E">
        <w:t xml:space="preserve">continued </w:t>
      </w:r>
      <w:r>
        <w:t>or re-emerged since 1 February 2021.</w:t>
      </w:r>
      <w:r w:rsidRPr="0096319E">
        <w:t xml:space="preserve"> While Rakhine State saw significant violence </w:t>
      </w:r>
      <w:r>
        <w:t>throughout most of</w:t>
      </w:r>
      <w:r w:rsidRPr="0096319E">
        <w:t xml:space="preserve"> 2020, </w:t>
      </w:r>
      <w:r>
        <w:t xml:space="preserve">a fragile ceasefire from late-2020 between the </w:t>
      </w:r>
      <w:proofErr w:type="spellStart"/>
      <w:r>
        <w:t>Tatmadaw</w:t>
      </w:r>
      <w:proofErr w:type="spellEnd"/>
      <w:r>
        <w:t xml:space="preserve"> and the </w:t>
      </w:r>
      <w:proofErr w:type="spellStart"/>
      <w:r>
        <w:t>Arakan</w:t>
      </w:r>
      <w:proofErr w:type="spellEnd"/>
      <w:r>
        <w:t xml:space="preserve"> Army (AA) has continued to date</w:t>
      </w:r>
      <w:r w:rsidRPr="0096319E">
        <w:t xml:space="preserve">. </w:t>
      </w:r>
      <w:r>
        <w:t>In other</w:t>
      </w:r>
      <w:r w:rsidRPr="0096319E">
        <w:t xml:space="preserve"> </w:t>
      </w:r>
      <w:r>
        <w:t>areas</w:t>
      </w:r>
      <w:r w:rsidRPr="0096319E">
        <w:t xml:space="preserve"> </w:t>
      </w:r>
      <w:r>
        <w:t xml:space="preserve">that have been less volatile </w:t>
      </w:r>
      <w:r w:rsidRPr="0096319E">
        <w:t xml:space="preserve">in recent years, notably Kachin and </w:t>
      </w:r>
      <w:proofErr w:type="spellStart"/>
      <w:r w:rsidRPr="0096319E">
        <w:t>Kayin</w:t>
      </w:r>
      <w:proofErr w:type="spellEnd"/>
      <w:r w:rsidRPr="0096319E">
        <w:t xml:space="preserve"> </w:t>
      </w:r>
      <w:r>
        <w:t>s</w:t>
      </w:r>
      <w:r w:rsidRPr="0096319E">
        <w:t>tate</w:t>
      </w:r>
      <w:r>
        <w:t>s,</w:t>
      </w:r>
      <w:r w:rsidRPr="0096319E">
        <w:t xml:space="preserve"> </w:t>
      </w:r>
      <w:r>
        <w:t>hostilities have resurged</w:t>
      </w:r>
      <w:r w:rsidRPr="0096319E">
        <w:t xml:space="preserve">. </w:t>
      </w:r>
      <w:r>
        <w:t xml:space="preserve">Regular, credible reports indicate that several parties </w:t>
      </w:r>
      <w:r w:rsidRPr="00091075">
        <w:t>to armed conflict have not respected their obligations to protect civilians in accordance with international human rights and h</w:t>
      </w:r>
      <w:r>
        <w:t>umanitarian law. P</w:t>
      </w:r>
      <w:r w:rsidRPr="0096319E">
        <w:t>articular</w:t>
      </w:r>
      <w:r>
        <w:t>ly,</w:t>
      </w:r>
      <w:r w:rsidRPr="0096319E">
        <w:t xml:space="preserve"> the Tatmadaw has continued to conduct attacks </w:t>
      </w:r>
      <w:r>
        <w:t xml:space="preserve">apparently directly targeting </w:t>
      </w:r>
      <w:r w:rsidRPr="0096319E">
        <w:t>civilians</w:t>
      </w:r>
      <w:r>
        <w:t xml:space="preserve"> and</w:t>
      </w:r>
      <w:r w:rsidRPr="0096319E">
        <w:t xml:space="preserve"> </w:t>
      </w:r>
      <w:r>
        <w:t xml:space="preserve">civilian </w:t>
      </w:r>
      <w:r w:rsidRPr="0096319E">
        <w:t>objects</w:t>
      </w:r>
      <w:r>
        <w:t>,</w:t>
      </w:r>
      <w:r w:rsidRPr="0096319E">
        <w:t xml:space="preserve"> or which were </w:t>
      </w:r>
      <w:r>
        <w:t xml:space="preserve">carried out </w:t>
      </w:r>
      <w:r w:rsidRPr="0096319E">
        <w:t>indiscriminate</w:t>
      </w:r>
      <w:r>
        <w:t>ly,</w:t>
      </w:r>
      <w:r w:rsidRPr="0096319E">
        <w:t xml:space="preserve"> in flagrant disregard of civilian population</w:t>
      </w:r>
      <w:r>
        <w:t>s</w:t>
      </w:r>
      <w:r w:rsidRPr="0096319E">
        <w:t>.</w:t>
      </w:r>
      <w:r>
        <w:rPr>
          <w:rStyle w:val="FootnoteReference"/>
        </w:rPr>
        <w:footnoteReference w:id="29"/>
      </w:r>
      <w:r w:rsidRPr="0096319E">
        <w:t xml:space="preserve"> Landmines also continue to </w:t>
      </w:r>
      <w:r>
        <w:t xml:space="preserve">kill and injure </w:t>
      </w:r>
      <w:r w:rsidRPr="0096319E">
        <w:t xml:space="preserve">civilians </w:t>
      </w:r>
      <w:r>
        <w:t xml:space="preserve">and affect </w:t>
      </w:r>
      <w:r w:rsidRPr="0096319E">
        <w:t>livelihood</w:t>
      </w:r>
      <w:r>
        <w:t>s</w:t>
      </w:r>
      <w:r w:rsidRPr="0096319E">
        <w:t xml:space="preserve"> and humanitarian access.</w:t>
      </w:r>
    </w:p>
    <w:p w14:paraId="766E912D" w14:textId="77777777" w:rsidR="0055783C" w:rsidRPr="0096319E" w:rsidRDefault="0055783C" w:rsidP="0055783C">
      <w:pPr>
        <w:pStyle w:val="SingleTxtG"/>
        <w:numPr>
          <w:ilvl w:val="0"/>
          <w:numId w:val="36"/>
        </w:numPr>
        <w:ind w:left="1134" w:firstLine="0"/>
      </w:pPr>
      <w:r>
        <w:t xml:space="preserve">As noted previously, wherever a non-international armed conflict exists, international humanitarian law applies </w:t>
      </w:r>
      <w:r w:rsidRPr="00C3592C">
        <w:t xml:space="preserve">in addition to </w:t>
      </w:r>
      <w:r>
        <w:t xml:space="preserve">international </w:t>
      </w:r>
      <w:r w:rsidRPr="00C3592C">
        <w:lastRenderedPageBreak/>
        <w:t>human rights law</w:t>
      </w:r>
      <w:r>
        <w:t xml:space="preserve">. As such, all parties to the conflict are required to take constant care to spare civilians and civilian objects, including by taking all feasible precautions to avoid and in any event minimize loss of civilian life and damage to civilian objects. Some violations </w:t>
      </w:r>
      <w:r w:rsidRPr="00672F26">
        <w:t xml:space="preserve">of these obligations, including </w:t>
      </w:r>
      <w:r>
        <w:t>the deliberate targeting of civilians</w:t>
      </w:r>
      <w:r w:rsidRPr="00672F26">
        <w:t>, using human shields, forced displacement</w:t>
      </w:r>
      <w:r>
        <w:t xml:space="preserve">, </w:t>
      </w:r>
      <w:r w:rsidRPr="00672F26">
        <w:t xml:space="preserve">and </w:t>
      </w:r>
      <w:r>
        <w:t>attacking</w:t>
      </w:r>
      <w:r w:rsidRPr="00672F26">
        <w:t xml:space="preserve"> civilian objects</w:t>
      </w:r>
      <w:r>
        <w:t xml:space="preserve"> unless required for the security of the civilians involved or justified by imperative military necessity, may amount to war crimes.</w:t>
      </w:r>
    </w:p>
    <w:p w14:paraId="0AC45347" w14:textId="77777777" w:rsidR="0055783C" w:rsidRPr="005F189E" w:rsidRDefault="0055783C" w:rsidP="0055783C">
      <w:pPr>
        <w:pStyle w:val="H23G"/>
      </w:pPr>
      <w:bookmarkStart w:id="10" w:name="_Toc44494643"/>
      <w:bookmarkStart w:id="11" w:name="_Toc44494839"/>
      <w:bookmarkStart w:id="12" w:name="_Toc44494974"/>
      <w:bookmarkStart w:id="13" w:name="_Toc44495067"/>
      <w:r w:rsidRPr="0096319E">
        <w:tab/>
      </w:r>
      <w:r w:rsidRPr="005F189E">
        <w:t>1.</w:t>
      </w:r>
      <w:r w:rsidRPr="005F189E">
        <w:tab/>
      </w:r>
      <w:bookmarkEnd w:id="10"/>
      <w:bookmarkEnd w:id="11"/>
      <w:bookmarkEnd w:id="12"/>
      <w:bookmarkEnd w:id="13"/>
      <w:r w:rsidRPr="005F189E">
        <w:t xml:space="preserve">South-east Myanmar </w:t>
      </w:r>
    </w:p>
    <w:p w14:paraId="28BB7BDF" w14:textId="77777777" w:rsidR="0055783C" w:rsidRPr="0096319E" w:rsidRDefault="0055783C" w:rsidP="0055783C">
      <w:pPr>
        <w:pStyle w:val="SingleTxtG"/>
        <w:numPr>
          <w:ilvl w:val="0"/>
          <w:numId w:val="36"/>
        </w:numPr>
        <w:ind w:left="1134" w:firstLine="0"/>
      </w:pPr>
      <w:r w:rsidRPr="0096319E">
        <w:t>In south-east Myanmar, skirmishes broke out in late 2020, following several years of relative peace after the Karen National Union (KNU) signed a ceasefire agreement with the Tatmadaw in 2012. By January 2021, 4</w:t>
      </w:r>
      <w:r>
        <w:t>,</w:t>
      </w:r>
      <w:r w:rsidRPr="0096319E">
        <w:t xml:space="preserve">000 people were newly displaced, in addition to </w:t>
      </w:r>
      <w:r>
        <w:t xml:space="preserve">around </w:t>
      </w:r>
      <w:r w:rsidRPr="0096319E">
        <w:t xml:space="preserve">131,000 people in protracted displacement and </w:t>
      </w:r>
      <w:r>
        <w:t xml:space="preserve">nearly </w:t>
      </w:r>
      <w:r w:rsidRPr="0096319E">
        <w:t>97,000 refugees along the Thai-Myanmar border</w:t>
      </w:r>
      <w:r>
        <w:t>.</w:t>
      </w:r>
      <w:r>
        <w:rPr>
          <w:rStyle w:val="FootnoteReference"/>
        </w:rPr>
        <w:footnoteReference w:id="30"/>
      </w:r>
      <w:r>
        <w:t xml:space="preserve"> S</w:t>
      </w:r>
      <w:r w:rsidRPr="00724F84">
        <w:t xml:space="preserve">poradic </w:t>
      </w:r>
      <w:r w:rsidRPr="005D539D">
        <w:t>armed clashes continued after the coup</w:t>
      </w:r>
      <w:r>
        <w:t xml:space="preserve">. </w:t>
      </w:r>
    </w:p>
    <w:p w14:paraId="3B8BF2E1" w14:textId="77777777" w:rsidR="0055783C" w:rsidRPr="00B63C21" w:rsidRDefault="0055783C" w:rsidP="0055783C">
      <w:pPr>
        <w:pStyle w:val="SingleTxtG"/>
        <w:numPr>
          <w:ilvl w:val="0"/>
          <w:numId w:val="36"/>
        </w:numPr>
        <w:ind w:left="1134" w:firstLine="0"/>
      </w:pPr>
      <w:r>
        <w:t xml:space="preserve">Significant escalation in hostilities occurred after 27 March 2021, when the Karen National Liberation Army (KNLA) captured a </w:t>
      </w:r>
      <w:proofErr w:type="spellStart"/>
      <w:r>
        <w:t>Tatmadaw</w:t>
      </w:r>
      <w:proofErr w:type="spellEnd"/>
      <w:r>
        <w:t xml:space="preserve"> base in </w:t>
      </w:r>
      <w:proofErr w:type="spellStart"/>
      <w:r>
        <w:t>Hpapun</w:t>
      </w:r>
      <w:proofErr w:type="spellEnd"/>
      <w:r>
        <w:t xml:space="preserve"> District, </w:t>
      </w:r>
      <w:proofErr w:type="spellStart"/>
      <w:r>
        <w:t>Kayin</w:t>
      </w:r>
      <w:proofErr w:type="spellEnd"/>
      <w:r>
        <w:t xml:space="preserve"> State. In apparent retaliation, the military carried out airstrikes in </w:t>
      </w:r>
      <w:proofErr w:type="spellStart"/>
      <w:r>
        <w:t>Kayin</w:t>
      </w:r>
      <w:proofErr w:type="spellEnd"/>
      <w:r>
        <w:t xml:space="preserve"> State and </w:t>
      </w:r>
      <w:proofErr w:type="spellStart"/>
      <w:r>
        <w:t>Bago</w:t>
      </w:r>
      <w:proofErr w:type="spellEnd"/>
      <w:r>
        <w:t xml:space="preserve"> Region for the first time in over two decades,</w:t>
      </w:r>
      <w:r w:rsidDel="136EAF21">
        <w:t xml:space="preserve"> </w:t>
      </w:r>
      <w:r>
        <w:t>killing and injuring civilians, triggering displacements, and damaging or destroying schools, civilian property and livelihoods. Some of these airstrikes were carried out in areas with no apparent military objectives.</w:t>
      </w:r>
      <w:r>
        <w:rPr>
          <w:rStyle w:val="FootnoteReference"/>
        </w:rPr>
        <w:footnoteReference w:id="31"/>
      </w:r>
      <w:r w:rsidRPr="00B63C21">
        <w:t xml:space="preserve"> </w:t>
      </w:r>
    </w:p>
    <w:p w14:paraId="02F1658D" w14:textId="77777777" w:rsidR="0055783C" w:rsidRPr="00EE3B5B" w:rsidRDefault="0055783C" w:rsidP="0055783C">
      <w:pPr>
        <w:pStyle w:val="SingleTxtG"/>
        <w:numPr>
          <w:ilvl w:val="0"/>
          <w:numId w:val="36"/>
        </w:numPr>
        <w:ind w:left="1134" w:firstLine="0"/>
      </w:pPr>
      <w:r w:rsidRPr="00EE3B5B">
        <w:t>Hundreds of armed clashes were reported by mid-May</w:t>
      </w:r>
      <w:r w:rsidRPr="00EE3B5B">
        <w:rPr>
          <w:vertAlign w:val="superscript"/>
        </w:rPr>
        <w:footnoteReference w:id="32"/>
      </w:r>
      <w:r w:rsidRPr="00EE3B5B">
        <w:t xml:space="preserve"> and Tatmadaw use of artillery </w:t>
      </w:r>
      <w:r>
        <w:t xml:space="preserve">reportedly </w:t>
      </w:r>
      <w:r w:rsidRPr="00EE3B5B">
        <w:t xml:space="preserve">resulted in civilian injuries, destruction of property, damage to a health clinic, looting and displacement. There are </w:t>
      </w:r>
      <w:r w:rsidRPr="00EE3B5B">
        <w:lastRenderedPageBreak/>
        <w:t xml:space="preserve">credible reports of two extrajudicial executions by the Tatmadaw. In June, SAC-affiliated media alleged the KNU’s Karen National Defence Organization (KNDO) had abducted 47 civilians and killed 25 of them, </w:t>
      </w:r>
      <w:r>
        <w:t>while the rest managed to escape</w:t>
      </w:r>
      <w:r w:rsidRPr="00EE3B5B">
        <w:t>.</w:t>
      </w:r>
      <w:r w:rsidRPr="00EE3B5B">
        <w:rPr>
          <w:vertAlign w:val="superscript"/>
        </w:rPr>
        <w:footnoteReference w:id="33"/>
      </w:r>
      <w:r w:rsidRPr="00EE3B5B">
        <w:t xml:space="preserve"> KNDO reportedly claimed they had released the civilians and </w:t>
      </w:r>
      <w:r>
        <w:t xml:space="preserve">that </w:t>
      </w:r>
      <w:r w:rsidRPr="00EE3B5B">
        <w:t>the remaining 25 individuals were soldiers, some of whom were shot. On 16 June, the KNU stated that it is investigating the incident.</w:t>
      </w:r>
    </w:p>
    <w:p w14:paraId="01D19477" w14:textId="77777777" w:rsidR="0055783C" w:rsidRPr="0096319E" w:rsidRDefault="0055783C" w:rsidP="0055783C">
      <w:pPr>
        <w:pStyle w:val="SingleTxtG"/>
        <w:numPr>
          <w:ilvl w:val="0"/>
          <w:numId w:val="36"/>
        </w:numPr>
        <w:ind w:left="1134" w:firstLine="0"/>
      </w:pPr>
      <w:r w:rsidRPr="0096319E">
        <w:t xml:space="preserve">As of </w:t>
      </w:r>
      <w:r>
        <w:t>mid-July</w:t>
      </w:r>
      <w:r w:rsidRPr="0096319E">
        <w:t>, around 4</w:t>
      </w:r>
      <w:r>
        <w:t>7</w:t>
      </w:r>
      <w:r w:rsidRPr="0096319E">
        <w:t>,</w:t>
      </w:r>
      <w:r>
        <w:t>6</w:t>
      </w:r>
      <w:r w:rsidRPr="0096319E">
        <w:t>00 people</w:t>
      </w:r>
      <w:r>
        <w:t xml:space="preserve"> </w:t>
      </w:r>
      <w:r w:rsidRPr="0096319E">
        <w:t xml:space="preserve">were newly displaced in </w:t>
      </w:r>
      <w:proofErr w:type="spellStart"/>
      <w:r w:rsidRPr="0096319E">
        <w:t>Kayin</w:t>
      </w:r>
      <w:proofErr w:type="spellEnd"/>
      <w:r w:rsidRPr="0096319E">
        <w:t xml:space="preserve"> State</w:t>
      </w:r>
      <w:r w:rsidRPr="0096319E">
        <w:rPr>
          <w:vertAlign w:val="superscript"/>
        </w:rPr>
        <w:footnoteReference w:id="34"/>
      </w:r>
      <w:r>
        <w:t xml:space="preserve"> in temporary she</w:t>
      </w:r>
      <w:r w:rsidRPr="00BF16B5">
        <w:t>lters or caves</w:t>
      </w:r>
      <w:r w:rsidRPr="0096319E">
        <w:t xml:space="preserve">. </w:t>
      </w:r>
      <w:r>
        <w:t xml:space="preserve">Non-IDPs’ livelihoods have also been affected due to travel restrictions, insecurity, COVID-19 or the </w:t>
      </w:r>
      <w:r w:rsidRPr="006D07A8">
        <w:t xml:space="preserve">Tatmadaw preventing </w:t>
      </w:r>
      <w:r>
        <w:t xml:space="preserve">humanitarian </w:t>
      </w:r>
      <w:r w:rsidRPr="006D07A8">
        <w:t>deliveries.</w:t>
      </w:r>
      <w:r>
        <w:t xml:space="preserve"> </w:t>
      </w:r>
    </w:p>
    <w:p w14:paraId="60393C39" w14:textId="77777777" w:rsidR="0055783C" w:rsidRPr="008511D4" w:rsidRDefault="0055783C" w:rsidP="0055783C">
      <w:pPr>
        <w:pStyle w:val="H23G"/>
      </w:pPr>
      <w:bookmarkStart w:id="14" w:name="_Toc44494644"/>
      <w:bookmarkStart w:id="15" w:name="_Toc44494840"/>
      <w:bookmarkStart w:id="16" w:name="_Toc44494975"/>
      <w:bookmarkStart w:id="17" w:name="_Toc44495068"/>
      <w:r w:rsidRPr="0096319E">
        <w:tab/>
      </w:r>
      <w:r>
        <w:t>2</w:t>
      </w:r>
      <w:r w:rsidRPr="008511D4">
        <w:t>.</w:t>
      </w:r>
      <w:r w:rsidRPr="008511D4">
        <w:tab/>
      </w:r>
      <w:bookmarkEnd w:id="14"/>
      <w:bookmarkEnd w:id="15"/>
      <w:bookmarkEnd w:id="16"/>
      <w:bookmarkEnd w:id="17"/>
      <w:r w:rsidRPr="008511D4">
        <w:t xml:space="preserve">Northern Myanmar </w:t>
      </w:r>
    </w:p>
    <w:p w14:paraId="0EC840E1" w14:textId="77777777" w:rsidR="0055783C" w:rsidRPr="0096319E" w:rsidRDefault="0055783C" w:rsidP="0055783C">
      <w:pPr>
        <w:pStyle w:val="SingleTxtG"/>
        <w:numPr>
          <w:ilvl w:val="0"/>
          <w:numId w:val="36"/>
        </w:numPr>
        <w:ind w:left="1134" w:firstLine="0"/>
      </w:pPr>
      <w:r w:rsidRPr="00091075">
        <w:t xml:space="preserve">While there had been relative peace in Kachin State since 2018, some approximately 95,000 people remain in situations of protracted displacement. </w:t>
      </w:r>
      <w:r w:rsidRPr="007A1A52">
        <w:t>Aft</w:t>
      </w:r>
      <w:r w:rsidRPr="00091075">
        <w:t>er</w:t>
      </w:r>
      <w:r>
        <w:t xml:space="preserve"> the Kachin Independence Army (KIA) attacked a </w:t>
      </w:r>
      <w:proofErr w:type="spellStart"/>
      <w:r>
        <w:t>Tatmadaw</w:t>
      </w:r>
      <w:proofErr w:type="spellEnd"/>
      <w:r>
        <w:t xml:space="preserve"> base in </w:t>
      </w:r>
      <w:proofErr w:type="spellStart"/>
      <w:r>
        <w:t>Hpakant</w:t>
      </w:r>
      <w:proofErr w:type="spellEnd"/>
      <w:r>
        <w:t xml:space="preserve"> Township on 11 March 2021, there has been fighting between the Tatmadaw and KIA across up to </w:t>
      </w:r>
      <w:r w:rsidRPr="00DC6CF3">
        <w:t>1</w:t>
      </w:r>
      <w:r>
        <w:t>4</w:t>
      </w:r>
      <w:r w:rsidRPr="00DC6CF3">
        <w:t xml:space="preserve"> townships</w:t>
      </w:r>
      <w:r>
        <w:t xml:space="preserve"> of Kachin State, northern Shan State and northern </w:t>
      </w:r>
      <w:proofErr w:type="spellStart"/>
      <w:r>
        <w:t>Sagaing</w:t>
      </w:r>
      <w:proofErr w:type="spellEnd"/>
      <w:r>
        <w:t xml:space="preserve"> Region.</w:t>
      </w:r>
    </w:p>
    <w:p w14:paraId="336DB255" w14:textId="77777777" w:rsidR="0055783C" w:rsidRPr="0096319E" w:rsidRDefault="0055783C" w:rsidP="0055783C">
      <w:pPr>
        <w:pStyle w:val="SingleTxtG"/>
        <w:numPr>
          <w:ilvl w:val="0"/>
          <w:numId w:val="36"/>
        </w:numPr>
        <w:ind w:left="1134" w:firstLine="0"/>
      </w:pPr>
      <w:r w:rsidRPr="00D240C5">
        <w:t xml:space="preserve">Fighting </w:t>
      </w:r>
      <w:r>
        <w:t>intensified</w:t>
      </w:r>
      <w:r w:rsidRPr="00D240C5">
        <w:t xml:space="preserve"> from late March when the KIA regained a strategic mountaintop base near </w:t>
      </w:r>
      <w:proofErr w:type="spellStart"/>
      <w:r w:rsidRPr="00D240C5">
        <w:t>Momauk</w:t>
      </w:r>
      <w:proofErr w:type="spellEnd"/>
      <w:r w:rsidRPr="00D240C5">
        <w:t xml:space="preserve"> Township. Tatmadaw </w:t>
      </w:r>
      <w:r>
        <w:t xml:space="preserve">forces regularly launched </w:t>
      </w:r>
      <w:r w:rsidRPr="00D240C5">
        <w:t xml:space="preserve">airstrikes and artillery attacks from its bases near </w:t>
      </w:r>
      <w:proofErr w:type="spellStart"/>
      <w:r w:rsidRPr="00D240C5">
        <w:t>Myo</w:t>
      </w:r>
      <w:proofErr w:type="spellEnd"/>
      <w:r w:rsidRPr="00D240C5">
        <w:t xml:space="preserve"> </w:t>
      </w:r>
      <w:proofErr w:type="spellStart"/>
      <w:r w:rsidRPr="00D240C5">
        <w:t>Thit</w:t>
      </w:r>
      <w:proofErr w:type="spellEnd"/>
      <w:r w:rsidRPr="00D240C5">
        <w:t xml:space="preserve"> and </w:t>
      </w:r>
      <w:proofErr w:type="spellStart"/>
      <w:r w:rsidRPr="00D240C5">
        <w:t>Konlaw</w:t>
      </w:r>
      <w:proofErr w:type="spellEnd"/>
      <w:r w:rsidRPr="00D240C5">
        <w:t xml:space="preserve"> villages mostly towards KIA mountain bases. </w:t>
      </w:r>
      <w:r>
        <w:t>T</w:t>
      </w:r>
      <w:r w:rsidRPr="00D240C5">
        <w:t>here w</w:t>
      </w:r>
      <w:r>
        <w:t>ere also</w:t>
      </w:r>
      <w:r w:rsidRPr="00D240C5">
        <w:t xml:space="preserve"> indiscriminate </w:t>
      </w:r>
      <w:r>
        <w:t>attacks</w:t>
      </w:r>
      <w:r w:rsidRPr="00D240C5">
        <w:t xml:space="preserve"> in </w:t>
      </w:r>
      <w:r>
        <w:t>populated</w:t>
      </w:r>
      <w:r w:rsidRPr="00D240C5">
        <w:t xml:space="preserve"> areas causing civilian casualties, damage to civilian property including religious sites, and displacement</w:t>
      </w:r>
      <w:r>
        <w:t>. No advance warnings of these attacks appeared to have been given</w:t>
      </w:r>
      <w:r w:rsidRPr="00D240C5">
        <w:t>. In one incident on 11 April</w:t>
      </w:r>
      <w:r>
        <w:t xml:space="preserve"> 2021</w:t>
      </w:r>
      <w:r w:rsidRPr="00D240C5">
        <w:t xml:space="preserve">, after KIA attacks on </w:t>
      </w:r>
      <w:r>
        <w:t xml:space="preserve">military </w:t>
      </w:r>
      <w:r w:rsidRPr="00D240C5">
        <w:t xml:space="preserve">bases near </w:t>
      </w:r>
      <w:proofErr w:type="spellStart"/>
      <w:r w:rsidRPr="00D240C5">
        <w:t>Myo</w:t>
      </w:r>
      <w:proofErr w:type="spellEnd"/>
      <w:r w:rsidRPr="00D240C5">
        <w:t xml:space="preserve"> </w:t>
      </w:r>
      <w:proofErr w:type="spellStart"/>
      <w:r w:rsidRPr="00D240C5">
        <w:t>Thit</w:t>
      </w:r>
      <w:proofErr w:type="spellEnd"/>
      <w:r w:rsidRPr="00D240C5">
        <w:t xml:space="preserve">, </w:t>
      </w:r>
      <w:r>
        <w:t xml:space="preserve">the </w:t>
      </w:r>
      <w:proofErr w:type="spellStart"/>
      <w:r>
        <w:t>Tatmadaw</w:t>
      </w:r>
      <w:proofErr w:type="spellEnd"/>
      <w:r>
        <w:t xml:space="preserve"> carried out </w:t>
      </w:r>
      <w:r w:rsidRPr="00D240C5">
        <w:t xml:space="preserve">airstrikes and indiscriminate artillery </w:t>
      </w:r>
      <w:r>
        <w:t>barrages</w:t>
      </w:r>
      <w:r w:rsidRPr="00D240C5">
        <w:t xml:space="preserve"> that killed three civilians and reportedly damaged many civilian objects. </w:t>
      </w:r>
      <w:r>
        <w:t>O</w:t>
      </w:r>
      <w:r w:rsidRPr="00D240C5">
        <w:t>n 3 May</w:t>
      </w:r>
      <w:r>
        <w:t xml:space="preserve"> 2021</w:t>
      </w:r>
      <w:r w:rsidRPr="00D240C5">
        <w:t>, the Tatmadaw and KIA</w:t>
      </w:r>
      <w:r>
        <w:t xml:space="preserve"> reportedly</w:t>
      </w:r>
      <w:r w:rsidRPr="00D240C5">
        <w:t xml:space="preserve"> </w:t>
      </w:r>
      <w:r>
        <w:t>exchanged</w:t>
      </w:r>
      <w:r w:rsidRPr="00D240C5">
        <w:t xml:space="preserve"> </w:t>
      </w:r>
      <w:r w:rsidRPr="00D240C5">
        <w:lastRenderedPageBreak/>
        <w:t xml:space="preserve">artillery </w:t>
      </w:r>
      <w:r>
        <w:t>fire</w:t>
      </w:r>
      <w:r w:rsidRPr="00D240C5">
        <w:t xml:space="preserve"> near </w:t>
      </w:r>
      <w:proofErr w:type="spellStart"/>
      <w:r w:rsidRPr="00D240C5">
        <w:t>Konlaw</w:t>
      </w:r>
      <w:proofErr w:type="spellEnd"/>
      <w:r w:rsidRPr="00D240C5">
        <w:t xml:space="preserve">, </w:t>
      </w:r>
      <w:r>
        <w:t xml:space="preserve">with </w:t>
      </w:r>
      <w:r w:rsidRPr="00D240C5">
        <w:t>shells hit</w:t>
      </w:r>
      <w:r>
        <w:t>ting</w:t>
      </w:r>
      <w:r w:rsidRPr="00D240C5">
        <w:t xml:space="preserve"> a monastery sheltering civilians. A woman, man and monk were killed and four people seriously injured, including a child</w:t>
      </w:r>
      <w:r>
        <w:t>. Tatmadaw use of human shields and forced labour has also been reported in Kachin State, as have incidents of forced recruitment</w:t>
      </w:r>
      <w:r w:rsidRPr="002D2E12">
        <w:t xml:space="preserve"> </w:t>
      </w:r>
      <w:r>
        <w:t>by the KIA, including of children. At least</w:t>
      </w:r>
      <w:r w:rsidRPr="0096319E">
        <w:t xml:space="preserve"> </w:t>
      </w:r>
      <w:r>
        <w:t>7,800</w:t>
      </w:r>
      <w:r w:rsidRPr="0096319E">
        <w:t xml:space="preserve"> people have been displaced across Kachin State </w:t>
      </w:r>
      <w:r>
        <w:t xml:space="preserve">since </w:t>
      </w:r>
      <w:r w:rsidRPr="0096319E">
        <w:t>mid-March</w:t>
      </w:r>
      <w:r>
        <w:t>,</w:t>
      </w:r>
      <w:r w:rsidRPr="796CEB27">
        <w:rPr>
          <w:sz w:val="18"/>
          <w:szCs w:val="18"/>
          <w:vertAlign w:val="superscript"/>
        </w:rPr>
        <w:footnoteReference w:id="35"/>
      </w:r>
      <w:r>
        <w:t xml:space="preserve"> with most</w:t>
      </w:r>
      <w:r w:rsidRPr="0096319E">
        <w:t xml:space="preserve"> sheltering in monasteries and churches.</w:t>
      </w:r>
    </w:p>
    <w:p w14:paraId="125F425F" w14:textId="77777777" w:rsidR="0055783C" w:rsidRPr="0096319E" w:rsidRDefault="0055783C" w:rsidP="0055783C">
      <w:pPr>
        <w:pStyle w:val="SingleTxtG"/>
        <w:numPr>
          <w:ilvl w:val="0"/>
          <w:numId w:val="36"/>
        </w:numPr>
        <w:ind w:left="1134" w:firstLine="0"/>
      </w:pPr>
      <w:r>
        <w:t xml:space="preserve">Armed conflicts across different areas of Shan State between EAOs, as well as with the Tatmadaw, have resulted in recurrent human rights violations over many years. In northern Shan, </w:t>
      </w:r>
      <w:r w:rsidRPr="0096319E">
        <w:t xml:space="preserve">around 10,000 </w:t>
      </w:r>
      <w:r>
        <w:t>IDPs</w:t>
      </w:r>
      <w:r w:rsidRPr="0096319E">
        <w:t xml:space="preserve"> have been living in camps since 2011</w:t>
      </w:r>
      <w:r>
        <w:t>. Of</w:t>
      </w:r>
      <w:r w:rsidRPr="0096319E">
        <w:t xml:space="preserve"> 1</w:t>
      </w:r>
      <w:r>
        <w:t>7</w:t>
      </w:r>
      <w:r w:rsidRPr="0096319E">
        <w:t>,</w:t>
      </w:r>
      <w:r>
        <w:t>7</w:t>
      </w:r>
      <w:r w:rsidRPr="0096319E">
        <w:t xml:space="preserve">00 </w:t>
      </w:r>
      <w:r>
        <w:t>others</w:t>
      </w:r>
      <w:r w:rsidRPr="0096319E">
        <w:t xml:space="preserve"> displaced </w:t>
      </w:r>
      <w:r w:rsidDel="3FD2D1ED">
        <w:t xml:space="preserve">in </w:t>
      </w:r>
      <w:r w:rsidRPr="0096319E">
        <w:t xml:space="preserve">2021, </w:t>
      </w:r>
      <w:r>
        <w:t>around 3,350</w:t>
      </w:r>
      <w:r w:rsidRPr="0096319E">
        <w:t xml:space="preserve"> people </w:t>
      </w:r>
      <w:r>
        <w:t>remain</w:t>
      </w:r>
      <w:r w:rsidRPr="0096319E">
        <w:t xml:space="preserve"> unable to return due to </w:t>
      </w:r>
      <w:r>
        <w:t xml:space="preserve">property </w:t>
      </w:r>
      <w:r w:rsidRPr="0096319E">
        <w:t>damage</w:t>
      </w:r>
      <w:r>
        <w:t xml:space="preserve">, </w:t>
      </w:r>
      <w:r w:rsidRPr="0096319E">
        <w:t>insecurity and landmine</w:t>
      </w:r>
      <w:r>
        <w:t>s</w:t>
      </w:r>
      <w:r w:rsidRPr="0096319E">
        <w:t>.</w:t>
      </w:r>
      <w:r w:rsidRPr="796CEB27">
        <w:rPr>
          <w:sz w:val="18"/>
          <w:szCs w:val="18"/>
          <w:vertAlign w:val="superscript"/>
        </w:rPr>
        <w:footnoteReference w:id="36"/>
      </w:r>
      <w:r>
        <w:t xml:space="preserve"> Violations and abuses include the Tatmadaw’s alleged use of human shields and forced labour, </w:t>
      </w:r>
      <w:r w:rsidRPr="006D07A8">
        <w:t>abduction</w:t>
      </w:r>
      <w:r>
        <w:t>s</w:t>
      </w:r>
      <w:r w:rsidRPr="006D07A8">
        <w:t xml:space="preserve"> by the Restoration Council of Shan State (RCSS), the Shan State Army-North, and the </w:t>
      </w:r>
      <w:proofErr w:type="spellStart"/>
      <w:r w:rsidRPr="006D07A8">
        <w:t>Ta’ang</w:t>
      </w:r>
      <w:proofErr w:type="spellEnd"/>
      <w:r w:rsidRPr="006D07A8">
        <w:t xml:space="preserve"> National Liberation Army (TNLA)</w:t>
      </w:r>
      <w:r>
        <w:t>,</w:t>
      </w:r>
      <w:r w:rsidRPr="006D07A8">
        <w:t xml:space="preserve"> </w:t>
      </w:r>
      <w:r>
        <w:t>and</w:t>
      </w:r>
      <w:r w:rsidRPr="006D07A8">
        <w:t xml:space="preserve"> forced recruitment and forced labour by the latter two groups</w:t>
      </w:r>
      <w:r w:rsidRPr="00CC2C0C">
        <w:t>.</w:t>
      </w:r>
      <w:r>
        <w:t xml:space="preserve"> </w:t>
      </w:r>
      <w:r w:rsidRPr="00CC2C0C">
        <w:t xml:space="preserve">In one incident, </w:t>
      </w:r>
      <w:r>
        <w:t xml:space="preserve">RCSS abducted and possibly subjected </w:t>
      </w:r>
      <w:proofErr w:type="spellStart"/>
      <w:r>
        <w:t>Ta’ang</w:t>
      </w:r>
      <w:proofErr w:type="spellEnd"/>
      <w:r>
        <w:t xml:space="preserve"> men from Mansa village in </w:t>
      </w:r>
      <w:proofErr w:type="spellStart"/>
      <w:r>
        <w:t>Namtu</w:t>
      </w:r>
      <w:proofErr w:type="spellEnd"/>
      <w:r>
        <w:t xml:space="preserve"> Township</w:t>
      </w:r>
      <w:r w:rsidRPr="00793395">
        <w:t xml:space="preserve"> </w:t>
      </w:r>
      <w:r>
        <w:t xml:space="preserve">to enforced disappearance, burned houses and food and animal storage buildings after villagers fled due to clashes between RCSS and TNLA. Reportedly, </w:t>
      </w:r>
      <w:r w:rsidRPr="0096319E">
        <w:t xml:space="preserve">RCSS </w:t>
      </w:r>
      <w:r>
        <w:t xml:space="preserve">had </w:t>
      </w:r>
      <w:r w:rsidRPr="0096319E">
        <w:t xml:space="preserve">stationed </w:t>
      </w:r>
      <w:r>
        <w:t xml:space="preserve">troops </w:t>
      </w:r>
      <w:r w:rsidRPr="0096319E">
        <w:t>in the village.</w:t>
      </w:r>
      <w:r>
        <w:t xml:space="preserve"> </w:t>
      </w:r>
    </w:p>
    <w:p w14:paraId="6B81E1AB" w14:textId="77777777" w:rsidR="0055783C" w:rsidRPr="003D3DD0" w:rsidRDefault="0055783C" w:rsidP="0055783C">
      <w:pPr>
        <w:pStyle w:val="H23G"/>
      </w:pPr>
      <w:bookmarkStart w:id="18" w:name="_Toc44494645"/>
      <w:bookmarkStart w:id="19" w:name="_Toc44494841"/>
      <w:bookmarkStart w:id="20" w:name="_Toc44494976"/>
      <w:bookmarkStart w:id="21" w:name="_Toc44495069"/>
      <w:r w:rsidRPr="0096319E">
        <w:tab/>
      </w:r>
      <w:r>
        <w:t>3</w:t>
      </w:r>
      <w:r w:rsidRPr="003D3DD0">
        <w:t>.</w:t>
      </w:r>
      <w:r w:rsidRPr="003D3DD0">
        <w:tab/>
      </w:r>
      <w:bookmarkEnd w:id="18"/>
      <w:bookmarkEnd w:id="19"/>
      <w:bookmarkEnd w:id="20"/>
      <w:bookmarkEnd w:id="21"/>
      <w:r w:rsidRPr="003D3DD0">
        <w:t>Western Myanmar</w:t>
      </w:r>
    </w:p>
    <w:p w14:paraId="70BB4EEF" w14:textId="77777777" w:rsidR="0055783C" w:rsidRDefault="0055783C" w:rsidP="0055783C">
      <w:pPr>
        <w:pStyle w:val="SingleTxtG"/>
        <w:numPr>
          <w:ilvl w:val="0"/>
          <w:numId w:val="36"/>
        </w:numPr>
        <w:ind w:left="1134" w:firstLine="0"/>
      </w:pPr>
      <w:r>
        <w:t>While</w:t>
      </w:r>
      <w:r w:rsidRPr="0096319E">
        <w:t xml:space="preserve"> armed conflict between </w:t>
      </w:r>
      <w:r>
        <w:t xml:space="preserve">the </w:t>
      </w:r>
      <w:proofErr w:type="spellStart"/>
      <w:r>
        <w:t>Arakan</w:t>
      </w:r>
      <w:proofErr w:type="spellEnd"/>
      <w:r>
        <w:t xml:space="preserve"> Army </w:t>
      </w:r>
      <w:r w:rsidRPr="0096319E">
        <w:t xml:space="preserve">and </w:t>
      </w:r>
      <w:r>
        <w:t>the</w:t>
      </w:r>
      <w:r w:rsidRPr="0096319E">
        <w:t xml:space="preserve"> Tatmadaw </w:t>
      </w:r>
      <w:r>
        <w:t>paused in Rakhine and Chin states since late 2020, l</w:t>
      </w:r>
      <w:r w:rsidRPr="0096319E">
        <w:t>andmines</w:t>
      </w:r>
      <w:r>
        <w:t xml:space="preserve"> and other explosive devices have caused </w:t>
      </w:r>
      <w:r w:rsidRPr="00C920A8">
        <w:t>12 civilian deaths and 30 injuries as of June 2021.</w:t>
      </w:r>
      <w:r w:rsidRPr="796CEB27">
        <w:rPr>
          <w:rFonts w:cs="Calibri"/>
          <w:sz w:val="18"/>
          <w:szCs w:val="18"/>
          <w:vertAlign w:val="superscript"/>
        </w:rPr>
        <w:footnoteReference w:id="37"/>
      </w:r>
      <w:r>
        <w:t xml:space="preserve"> </w:t>
      </w:r>
      <w:r w:rsidRPr="0096319E">
        <w:t>Further</w:t>
      </w:r>
      <w:r>
        <w:t>more</w:t>
      </w:r>
      <w:r w:rsidRPr="0096319E">
        <w:t xml:space="preserve">, over </w:t>
      </w:r>
      <w:r>
        <w:t>80</w:t>
      </w:r>
      <w:r w:rsidRPr="00A31826">
        <w:t>,000</w:t>
      </w:r>
      <w:r w:rsidRPr="0096319E">
        <w:t xml:space="preserve"> </w:t>
      </w:r>
      <w:r>
        <w:t>people</w:t>
      </w:r>
      <w:r w:rsidRPr="0096319E">
        <w:t xml:space="preserve"> remain </w:t>
      </w:r>
      <w:r>
        <w:t>displaced</w:t>
      </w:r>
      <w:r w:rsidRPr="0096319E">
        <w:t xml:space="preserve"> across northern and central Rakhine</w:t>
      </w:r>
      <w:r>
        <w:t xml:space="preserve">, unable </w:t>
      </w:r>
      <w:r w:rsidRPr="0096319E">
        <w:t xml:space="preserve">to return </w:t>
      </w:r>
      <w:r>
        <w:t>home due to landmines</w:t>
      </w:r>
      <w:r w:rsidRPr="00626065">
        <w:t xml:space="preserve">, ongoing </w:t>
      </w:r>
      <w:r w:rsidRPr="00626065">
        <w:lastRenderedPageBreak/>
        <w:t>presence of armed groups</w:t>
      </w:r>
      <w:r>
        <w:t>,</w:t>
      </w:r>
      <w:r w:rsidRPr="00626065">
        <w:t xml:space="preserve"> and fears of resumed conflict</w:t>
      </w:r>
      <w:r>
        <w:t>, exacerbating concerns for loss of</w:t>
      </w:r>
      <w:r w:rsidRPr="0096319E">
        <w:t xml:space="preserve"> livelihoods and food</w:t>
      </w:r>
      <w:r>
        <w:t xml:space="preserve"> sources</w:t>
      </w:r>
      <w:r w:rsidRPr="0096319E">
        <w:t xml:space="preserve"> for the coming year.</w:t>
      </w:r>
    </w:p>
    <w:p w14:paraId="5CD023BA" w14:textId="77777777" w:rsidR="0055783C" w:rsidRDefault="0055783C" w:rsidP="0055783C">
      <w:pPr>
        <w:pStyle w:val="SingleTxtG"/>
        <w:numPr>
          <w:ilvl w:val="0"/>
          <w:numId w:val="36"/>
        </w:numPr>
        <w:ind w:left="1134" w:firstLine="0"/>
      </w:pPr>
      <w:r>
        <w:t>Meanwhile, approximately 600,000 Rohingya in Rakhine State remain in dire circumstances. P</w:t>
      </w:r>
      <w:r w:rsidRPr="00DA1AF4">
        <w:t>reviously</w:t>
      </w:r>
      <w:r>
        <w:t xml:space="preserve"> reported human rights violations and abuses were not addressed and appeared to continue, including in areas where the AA has expanded its administrative presence. </w:t>
      </w:r>
      <w:r w:rsidRPr="00DF0E6B">
        <w:t>Allegations</w:t>
      </w:r>
      <w:r>
        <w:t xml:space="preserve"> include unlawful killings, arbitrary arrest and detention</w:t>
      </w:r>
      <w:r w:rsidRPr="00DF0E6B">
        <w:t xml:space="preserve">, </w:t>
      </w:r>
      <w:r>
        <w:t>and reportedly high levels of</w:t>
      </w:r>
      <w:r w:rsidRPr="00DF0E6B" w:rsidDel="001A1D97">
        <w:t xml:space="preserve"> </w:t>
      </w:r>
      <w:r>
        <w:t>extortion</w:t>
      </w:r>
      <w:r w:rsidRPr="00DF0E6B">
        <w:t>.</w:t>
      </w:r>
      <w:r>
        <w:t xml:space="preserve"> </w:t>
      </w:r>
      <w:r w:rsidRPr="00FB63F1">
        <w:t xml:space="preserve">Since February 2021, SAC reinstated a policy </w:t>
      </w:r>
      <w:r>
        <w:t>prohibiting</w:t>
      </w:r>
      <w:r w:rsidRPr="00FB63F1" w:rsidDel="00C03E00">
        <w:t xml:space="preserve"> </w:t>
      </w:r>
      <w:r w:rsidRPr="7755AAEC">
        <w:rPr>
          <w:color w:val="000000" w:themeColor="text1"/>
          <w:lang w:eastAsia="en-GB"/>
        </w:rPr>
        <w:t>travel without documentation within Myanmar,</w:t>
      </w:r>
      <w:r w:rsidRPr="00FB63F1">
        <w:t xml:space="preserve"> le</w:t>
      </w:r>
      <w:r>
        <w:t>ading</w:t>
      </w:r>
      <w:r w:rsidRPr="00FB63F1">
        <w:t xml:space="preserve"> to </w:t>
      </w:r>
      <w:r>
        <w:t>about</w:t>
      </w:r>
      <w:r w:rsidRPr="00FB63F1">
        <w:t xml:space="preserve"> </w:t>
      </w:r>
      <w:r w:rsidDel="00B84159">
        <w:t>8</w:t>
      </w:r>
      <w:r w:rsidRPr="00FB63F1" w:rsidDel="00B84159">
        <w:t xml:space="preserve">0 </w:t>
      </w:r>
      <w:r>
        <w:t>Rohingya,</w:t>
      </w:r>
      <w:r w:rsidRPr="00FB63F1">
        <w:t xml:space="preserve"> </w:t>
      </w:r>
      <w:r>
        <w:t xml:space="preserve">the </w:t>
      </w:r>
      <w:r w:rsidRPr="00FB63F1" w:rsidDel="00C03E00">
        <w:t>majority of whom are</w:t>
      </w:r>
      <w:r w:rsidRPr="00FB63F1">
        <w:t xml:space="preserve"> children</w:t>
      </w:r>
      <w:r>
        <w:t xml:space="preserve">, being </w:t>
      </w:r>
      <w:r w:rsidRPr="00FB63F1">
        <w:t xml:space="preserve">sentenced </w:t>
      </w:r>
      <w:r>
        <w:t xml:space="preserve">for </w:t>
      </w:r>
      <w:r w:rsidRPr="7755AAEC">
        <w:rPr>
          <w:color w:val="000000" w:themeColor="text1"/>
          <w:lang w:eastAsia="en-GB"/>
        </w:rPr>
        <w:t>up to two years’ imprisonment</w:t>
      </w:r>
      <w:r w:rsidRPr="7755AAEC" w:rsidDel="00FB4CEE">
        <w:rPr>
          <w:color w:val="000000" w:themeColor="text1"/>
          <w:lang w:eastAsia="en-GB"/>
        </w:rPr>
        <w:t>, and over 60 individuals currently undergoing trial.</w:t>
      </w:r>
      <w:r w:rsidDel="00FB4CEE">
        <w:t xml:space="preserve"> </w:t>
      </w:r>
      <w:r>
        <w:t>Due to entrenched and systemic discrimination, concerns about access to healthcare (see below) disproportionately</w:t>
      </w:r>
      <w:r w:rsidRPr="00622CD5">
        <w:t xml:space="preserve"> </w:t>
      </w:r>
      <w:r>
        <w:t>affect the Rohingya, resulting in,</w:t>
      </w:r>
      <w:r w:rsidRPr="007E0D94">
        <w:t xml:space="preserve"> </w:t>
      </w:r>
      <w:r>
        <w:t xml:space="preserve">inter alia, </w:t>
      </w:r>
      <w:r w:rsidRPr="7755AAEC">
        <w:rPr>
          <w:rFonts w:eastAsiaTheme="minorEastAsia"/>
        </w:rPr>
        <w:t>preventable deaths of children</w:t>
      </w:r>
      <w:r w:rsidRPr="7755AAEC" w:rsidDel="00185156">
        <w:rPr>
          <w:rFonts w:eastAsiaTheme="minorEastAsia"/>
        </w:rPr>
        <w:t xml:space="preserve"> </w:t>
      </w:r>
      <w:r>
        <w:t>from</w:t>
      </w:r>
      <w:r w:rsidDel="00185156">
        <w:t xml:space="preserve"> </w:t>
      </w:r>
      <w:r w:rsidRPr="007E0D94" w:rsidDel="00185156">
        <w:t>Acute Watery Diarrhoea</w:t>
      </w:r>
      <w:r w:rsidRPr="007E0D94">
        <w:t xml:space="preserve">. </w:t>
      </w:r>
      <w:r>
        <w:t xml:space="preserve">Over 130,000 mostly Rohingya people remain detained in camps in central Rakhine </w:t>
      </w:r>
      <w:r w:rsidDel="00F96442">
        <w:t xml:space="preserve">where they have been </w:t>
      </w:r>
      <w:r>
        <w:t xml:space="preserve">since 2012. Ongoing attempts to close these camps under the national strategy, starting with </w:t>
      </w:r>
      <w:proofErr w:type="spellStart"/>
      <w:r>
        <w:t>Kyauk</w:t>
      </w:r>
      <w:proofErr w:type="spellEnd"/>
      <w:r>
        <w:t xml:space="preserve"> Ta Lone camp, </w:t>
      </w:r>
      <w:r w:rsidRPr="00DA1AF4">
        <w:t>fail</w:t>
      </w:r>
      <w:r>
        <w:t xml:space="preserve">ed to meet international standards </w:t>
      </w:r>
      <w:r w:rsidDel="00F96442">
        <w:t>and best practices</w:t>
      </w:r>
      <w:r>
        <w:t>,</w:t>
      </w:r>
      <w:r w:rsidDel="00F96442">
        <w:t xml:space="preserve"> </w:t>
      </w:r>
      <w:r>
        <w:t>without meaningful consultations or efforts to address structural issues having taken place. Conditions conducive for the voluntary, safe, dignified, and sustainable return of Rohingya refugees from Bangladesh are clearly not yet in place.</w:t>
      </w:r>
    </w:p>
    <w:p w14:paraId="04B01FAF" w14:textId="543764A4" w:rsidR="0055783C" w:rsidRDefault="0055783C" w:rsidP="0055783C">
      <w:pPr>
        <w:pStyle w:val="HChG"/>
        <w:rPr>
          <w:rFonts w:eastAsia="SimSun"/>
        </w:rPr>
      </w:pPr>
      <w:r w:rsidRPr="0055783C">
        <w:rPr>
          <w:rFonts w:eastAsia="SimSun"/>
        </w:rPr>
        <w:tab/>
        <w:t>VIII.</w:t>
      </w:r>
      <w:r w:rsidRPr="0055783C">
        <w:rPr>
          <w:rFonts w:eastAsia="SimSun"/>
        </w:rPr>
        <w:tab/>
        <w:t>Economic and social rights</w:t>
      </w:r>
    </w:p>
    <w:p w14:paraId="62396DF8" w14:textId="77777777" w:rsidR="0055783C" w:rsidRPr="0096319E" w:rsidRDefault="0055783C" w:rsidP="0055783C">
      <w:pPr>
        <w:pStyle w:val="SingleTxtG"/>
        <w:numPr>
          <w:ilvl w:val="0"/>
          <w:numId w:val="36"/>
        </w:numPr>
        <w:ind w:left="1134" w:firstLine="0"/>
      </w:pPr>
      <w:r>
        <w:t>E</w:t>
      </w:r>
      <w:r w:rsidRPr="00994BD6">
        <w:t>vents</w:t>
      </w:r>
      <w:r>
        <w:t xml:space="preserve"> following the coup</w:t>
      </w:r>
      <w:r w:rsidRPr="00994BD6">
        <w:t xml:space="preserve"> have had an immeasurable impact on </w:t>
      </w:r>
      <w:r w:rsidRPr="00091075">
        <w:t>enjoyment of</w:t>
      </w:r>
      <w:r>
        <w:t xml:space="preserve"> </w:t>
      </w:r>
      <w:r w:rsidRPr="00994BD6">
        <w:t>economic and social rights of the population.</w:t>
      </w:r>
      <w:r>
        <w:t xml:space="preserve"> Myanmar’s economy has been </w:t>
      </w:r>
      <w:r w:rsidRPr="00DA1AF4">
        <w:t>crippled</w:t>
      </w:r>
      <w:r w:rsidRPr="00994BD6">
        <w:t>, largely result</w:t>
      </w:r>
      <w:r>
        <w:t>ing</w:t>
      </w:r>
      <w:r w:rsidRPr="00994BD6">
        <w:t xml:space="preserve"> </w:t>
      </w:r>
      <w:r>
        <w:t>from</w:t>
      </w:r>
      <w:r w:rsidRPr="00994BD6">
        <w:t xml:space="preserve"> mass </w:t>
      </w:r>
      <w:r>
        <w:t xml:space="preserve">worker </w:t>
      </w:r>
      <w:r w:rsidRPr="00994BD6">
        <w:t>strik</w:t>
      </w:r>
      <w:r>
        <w:t>es</w:t>
      </w:r>
      <w:r w:rsidRPr="00994BD6">
        <w:t xml:space="preserve"> across sectors, including banking, transport, and logistics. </w:t>
      </w:r>
      <w:r>
        <w:t>B</w:t>
      </w:r>
      <w:r w:rsidRPr="00994BD6">
        <w:t xml:space="preserve">anking </w:t>
      </w:r>
      <w:r>
        <w:t>has been</w:t>
      </w:r>
      <w:r w:rsidRPr="00994BD6">
        <w:t xml:space="preserve"> virtually brought to a standstill, severely limiting people’s access to cash and rendering businesses unable to make or receive payments. </w:t>
      </w:r>
      <w:r w:rsidRPr="007B1CF8">
        <w:t>Disruptions in the banking system have also reduced domestic and international remittance</w:t>
      </w:r>
      <w:r>
        <w:t xml:space="preserve"> inflow</w:t>
      </w:r>
      <w:r w:rsidRPr="007B1CF8">
        <w:t xml:space="preserve">s, which provided an important source of income for </w:t>
      </w:r>
      <w:r>
        <w:t xml:space="preserve">millions of </w:t>
      </w:r>
      <w:r w:rsidRPr="007B1CF8">
        <w:t>households.</w:t>
      </w:r>
      <w:r>
        <w:t xml:space="preserve"> S</w:t>
      </w:r>
      <w:r w:rsidRPr="00994BD6">
        <w:t>trik</w:t>
      </w:r>
      <w:r>
        <w:t>es</w:t>
      </w:r>
      <w:r w:rsidRPr="00994BD6">
        <w:t xml:space="preserve"> </w:t>
      </w:r>
      <w:r>
        <w:t>by</w:t>
      </w:r>
      <w:r w:rsidRPr="00994BD6">
        <w:t xml:space="preserve"> transport and logistics workers also disrupted essential imports and exports</w:t>
      </w:r>
      <w:r>
        <w:t xml:space="preserve">, triggering </w:t>
      </w:r>
      <w:r w:rsidRPr="00994BD6">
        <w:t>price</w:t>
      </w:r>
      <w:r>
        <w:t xml:space="preserve"> increases for</w:t>
      </w:r>
      <w:r w:rsidRPr="00994BD6">
        <w:t xml:space="preserve"> fuel </w:t>
      </w:r>
      <w:r w:rsidRPr="00994BD6">
        <w:lastRenderedPageBreak/>
        <w:t>and food</w:t>
      </w:r>
      <w:r>
        <w:t>. This</w:t>
      </w:r>
      <w:r w:rsidRPr="00994BD6">
        <w:t xml:space="preserve"> </w:t>
      </w:r>
      <w:r>
        <w:t xml:space="preserve">has particularly </w:t>
      </w:r>
      <w:r w:rsidRPr="00994BD6">
        <w:t>hit poorer households</w:t>
      </w:r>
      <w:r>
        <w:t xml:space="preserve">, </w:t>
      </w:r>
      <w:r w:rsidRPr="00994BD6">
        <w:t>amplif</w:t>
      </w:r>
      <w:r>
        <w:t>ying</w:t>
      </w:r>
      <w:r w:rsidRPr="00994BD6">
        <w:t xml:space="preserve"> their vulnerability </w:t>
      </w:r>
      <w:r>
        <w:t xml:space="preserve">and </w:t>
      </w:r>
      <w:r w:rsidRPr="00994BD6">
        <w:t>food insecurity</w:t>
      </w:r>
      <w:r w:rsidRPr="0096319E">
        <w:t>.</w:t>
      </w:r>
      <w:r w:rsidRPr="0096319E">
        <w:rPr>
          <w:vertAlign w:val="superscript"/>
        </w:rPr>
        <w:footnoteReference w:id="38"/>
      </w:r>
      <w:r>
        <w:t xml:space="preserve"> </w:t>
      </w:r>
      <w:r w:rsidRPr="00994BD6">
        <w:t xml:space="preserve">Internet restrictions </w:t>
      </w:r>
      <w:r>
        <w:t>have</w:t>
      </w:r>
      <w:r w:rsidRPr="00994BD6">
        <w:t xml:space="preserve"> stifled the emerging digital economy, including mobile money, e-commerce, and online delivery services. </w:t>
      </w:r>
      <w:r>
        <w:t>A</w:t>
      </w:r>
      <w:r w:rsidRPr="00994BD6">
        <w:t>ddition</w:t>
      </w:r>
      <w:r>
        <w:t>ally</w:t>
      </w:r>
      <w:r w:rsidRPr="00994BD6">
        <w:t xml:space="preserve">, CDM supporters, and subsequently the NUG, called for boycotts of goods and services linked to military-owned conglomerates, which reportedly led sales </w:t>
      </w:r>
      <w:r>
        <w:t>to plummet</w:t>
      </w:r>
      <w:r w:rsidRPr="00994BD6">
        <w:t xml:space="preserve"> by 80</w:t>
      </w:r>
      <w:r>
        <w:t>-</w:t>
      </w:r>
      <w:r w:rsidRPr="00994BD6">
        <w:t>90 per cent for some brands.</w:t>
      </w:r>
      <w:r w:rsidRPr="0096319E">
        <w:rPr>
          <w:vertAlign w:val="superscript"/>
        </w:rPr>
        <w:footnoteReference w:id="39"/>
      </w:r>
    </w:p>
    <w:p w14:paraId="503C9C7C" w14:textId="77777777" w:rsidR="0055783C" w:rsidRPr="0096319E" w:rsidRDefault="0055783C" w:rsidP="0055783C">
      <w:pPr>
        <w:pStyle w:val="SingleTxtG"/>
        <w:numPr>
          <w:ilvl w:val="0"/>
          <w:numId w:val="36"/>
        </w:numPr>
        <w:ind w:left="1134" w:firstLine="0"/>
      </w:pPr>
      <w:r w:rsidRPr="00DA1AF4">
        <w:t>Business</w:t>
      </w:r>
      <w:r w:rsidRPr="00994BD6">
        <w:t xml:space="preserve"> </w:t>
      </w:r>
      <w:r>
        <w:t xml:space="preserve">and investor </w:t>
      </w:r>
      <w:r w:rsidRPr="00994BD6">
        <w:t>confidence</w:t>
      </w:r>
      <w:r>
        <w:t xml:space="preserve"> collapsed with the coup, </w:t>
      </w:r>
      <w:r w:rsidRPr="00DA1AF4">
        <w:t>devastat</w:t>
      </w:r>
      <w:r>
        <w:t>ing</w:t>
      </w:r>
      <w:r w:rsidRPr="00994BD6">
        <w:t xml:space="preserve"> employment and livelihoods for many, particularly internal migrant workers. Several major international companies withdrew or suspended sourcing from Myanmar, and many factories closed. By April 2021, around 200,000 </w:t>
      </w:r>
      <w:r>
        <w:t xml:space="preserve">garment </w:t>
      </w:r>
      <w:r w:rsidRPr="00994BD6">
        <w:t>workers, predominantly women, reportedly lost employment</w:t>
      </w:r>
      <w:r>
        <w:t xml:space="preserve">, as </w:t>
      </w:r>
      <w:r w:rsidRPr="00994BD6">
        <w:t>did 300,000</w:t>
      </w:r>
      <w:r>
        <w:t>-</w:t>
      </w:r>
      <w:r w:rsidRPr="00994BD6">
        <w:t xml:space="preserve">400,000 </w:t>
      </w:r>
      <w:r>
        <w:t xml:space="preserve">construction </w:t>
      </w:r>
      <w:r w:rsidRPr="00994BD6">
        <w:t>workers</w:t>
      </w:r>
      <w:r w:rsidRPr="00DA1AF4">
        <w:t>.</w:t>
      </w:r>
      <w:r w:rsidRPr="00994BD6">
        <w:t xml:space="preserve"> </w:t>
      </w:r>
      <w:r>
        <w:t>A</w:t>
      </w:r>
      <w:r w:rsidRPr="00994BD6">
        <w:t>gricultural producers</w:t>
      </w:r>
      <w:r>
        <w:t>’ livelihoods</w:t>
      </w:r>
      <w:r w:rsidRPr="00994BD6">
        <w:t xml:space="preserve"> </w:t>
      </w:r>
      <w:r>
        <w:t xml:space="preserve">have also been strained as harvesting </w:t>
      </w:r>
      <w:r w:rsidRPr="00DA1AF4">
        <w:t>crop</w:t>
      </w:r>
      <w:r>
        <w:t xml:space="preserve"> </w:t>
      </w:r>
      <w:r w:rsidRPr="00994BD6">
        <w:t>became difficult due to disruptions in transport and logistics</w:t>
      </w:r>
      <w:r>
        <w:t xml:space="preserve"> and</w:t>
      </w:r>
      <w:r w:rsidRPr="00994BD6">
        <w:t xml:space="preserve"> </w:t>
      </w:r>
      <w:r w:rsidRPr="00DA1AF4">
        <w:t>increased</w:t>
      </w:r>
      <w:r>
        <w:t xml:space="preserve"> </w:t>
      </w:r>
      <w:r w:rsidRPr="00994BD6">
        <w:t>insecurity in conflict</w:t>
      </w:r>
      <w:r>
        <w:t>-affected</w:t>
      </w:r>
      <w:r w:rsidRPr="00994BD6">
        <w:t xml:space="preserve"> areas, while prices of agricultural inputs, such as fertili</w:t>
      </w:r>
      <w:r>
        <w:t>z</w:t>
      </w:r>
      <w:r w:rsidRPr="00994BD6">
        <w:t>ers and pesticides, increased</w:t>
      </w:r>
      <w:r>
        <w:t xml:space="preserve"> by up to 52 per cent</w:t>
      </w:r>
      <w:r w:rsidRPr="0096319E">
        <w:t>.</w:t>
      </w:r>
      <w:r w:rsidRPr="0096319E">
        <w:rPr>
          <w:vertAlign w:val="superscript"/>
        </w:rPr>
        <w:footnoteReference w:id="40"/>
      </w:r>
      <w:r>
        <w:t xml:space="preserve"> </w:t>
      </w:r>
    </w:p>
    <w:p w14:paraId="404C0F46" w14:textId="77777777" w:rsidR="0055783C" w:rsidRPr="0096319E" w:rsidRDefault="0055783C" w:rsidP="0055783C">
      <w:pPr>
        <w:pStyle w:val="SingleTxtG"/>
        <w:numPr>
          <w:ilvl w:val="0"/>
          <w:numId w:val="36"/>
        </w:numPr>
        <w:ind w:left="1134" w:firstLine="0"/>
      </w:pPr>
      <w:r w:rsidRPr="00994BD6">
        <w:t>Access to education, already severely disrupted by COVID-19-related school closures, was rendered out of reach for almost 12 million children and youth. In addition to mass sanction</w:t>
      </w:r>
      <w:r>
        <w:t>s</w:t>
      </w:r>
      <w:r w:rsidRPr="00994BD6">
        <w:t xml:space="preserve"> and arrest warrants </w:t>
      </w:r>
      <w:r>
        <w:t>against teachers</w:t>
      </w:r>
      <w:r w:rsidRPr="00994BD6">
        <w:t>, educational facilities became the target of attacks</w:t>
      </w:r>
      <w:r>
        <w:t>, including arson and</w:t>
      </w:r>
      <w:r w:rsidRPr="00FA00C8">
        <w:t xml:space="preserve"> </w:t>
      </w:r>
      <w:r>
        <w:t>IED explosions</w:t>
      </w:r>
      <w:r w:rsidRPr="00994BD6">
        <w:t>, depriving children of a safe learning environment. Between 1 February and 31 May</w:t>
      </w:r>
      <w:r>
        <w:t xml:space="preserve"> 2021</w:t>
      </w:r>
      <w:r w:rsidRPr="00994BD6">
        <w:t xml:space="preserve">, </w:t>
      </w:r>
      <w:r>
        <w:t xml:space="preserve">there were 102 incidents of violence or obstruction of education by different actors reported, including 15 </w:t>
      </w:r>
      <w:r>
        <w:lastRenderedPageBreak/>
        <w:t>incidents of</w:t>
      </w:r>
      <w:r w:rsidRPr="00994BD6">
        <w:t xml:space="preserve"> military use of education facilities</w:t>
      </w:r>
      <w:r w:rsidRPr="0096319E">
        <w:t>.</w:t>
      </w:r>
      <w:r w:rsidRPr="0096319E">
        <w:rPr>
          <w:vertAlign w:val="superscript"/>
        </w:rPr>
        <w:footnoteReference w:id="41"/>
      </w:r>
      <w:r>
        <w:t xml:space="preserve"> </w:t>
      </w:r>
      <w:r w:rsidRPr="00994BD6">
        <w:t xml:space="preserve">While </w:t>
      </w:r>
      <w:r w:rsidRPr="00994BD6" w:rsidDel="006672CD">
        <w:t xml:space="preserve">the </w:t>
      </w:r>
      <w:r>
        <w:t>SAC</w:t>
      </w:r>
      <w:r w:rsidRPr="00994BD6">
        <w:t xml:space="preserve"> forced schools to reopen on 1 June</w:t>
      </w:r>
      <w:r>
        <w:t xml:space="preserve"> 2021</w:t>
      </w:r>
      <w:r w:rsidRPr="00994BD6">
        <w:t>, most students refused to attend, signalling the virtual collapse of the education system.</w:t>
      </w:r>
    </w:p>
    <w:p w14:paraId="40F2BC2F" w14:textId="77777777" w:rsidR="0055783C" w:rsidRPr="00091075" w:rsidRDefault="0055783C" w:rsidP="0055783C">
      <w:pPr>
        <w:pStyle w:val="SingleTxtG"/>
        <w:numPr>
          <w:ilvl w:val="0"/>
          <w:numId w:val="36"/>
        </w:numPr>
        <w:ind w:left="1134" w:firstLine="0"/>
      </w:pPr>
      <w:r w:rsidRPr="00994BD6">
        <w:t>Similarly,</w:t>
      </w:r>
      <w:r w:rsidRPr="00994BD6" w:rsidDel="00D1285C">
        <w:t xml:space="preserve"> </w:t>
      </w:r>
      <w:r w:rsidRPr="00994BD6">
        <w:t>the health system, already fragile due</w:t>
      </w:r>
      <w:r>
        <w:t xml:space="preserve"> </w:t>
      </w:r>
      <w:r w:rsidRPr="00994BD6">
        <w:t xml:space="preserve">to lack of infrastructure </w:t>
      </w:r>
      <w:r>
        <w:t xml:space="preserve">investment </w:t>
      </w:r>
      <w:r w:rsidRPr="00994BD6">
        <w:t>and insufficient workforce</w:t>
      </w:r>
      <w:r>
        <w:t>,</w:t>
      </w:r>
      <w:r w:rsidRPr="00D1285C">
        <w:t xml:space="preserve"> collapsed following the coup</w:t>
      </w:r>
      <w:r w:rsidRPr="00994BD6">
        <w:t xml:space="preserve">. </w:t>
      </w:r>
      <w:r>
        <w:t>M</w:t>
      </w:r>
      <w:r w:rsidRPr="00994BD6">
        <w:t xml:space="preserve">ost public hospitals </w:t>
      </w:r>
      <w:r>
        <w:t>closed due to t</w:t>
      </w:r>
      <w:r w:rsidRPr="00994BD6">
        <w:t xml:space="preserve">he </w:t>
      </w:r>
      <w:r>
        <w:t>a</w:t>
      </w:r>
      <w:r w:rsidRPr="00994BD6">
        <w:t>bsence</w:t>
      </w:r>
      <w:r>
        <w:t xml:space="preserve"> of striking</w:t>
      </w:r>
      <w:r w:rsidRPr="00994BD6">
        <w:t xml:space="preserve"> health workers</w:t>
      </w:r>
      <w:r>
        <w:t>, who</w:t>
      </w:r>
      <w:r w:rsidRPr="00994BD6">
        <w:t xml:space="preserve"> </w:t>
      </w:r>
      <w:r>
        <w:t xml:space="preserve">thereafter </w:t>
      </w:r>
      <w:r w:rsidRPr="00994BD6">
        <w:t>became</w:t>
      </w:r>
      <w:r w:rsidRPr="00994BD6" w:rsidDel="00C82D5D">
        <w:t xml:space="preserve"> </w:t>
      </w:r>
      <w:r w:rsidRPr="00994BD6">
        <w:t>target</w:t>
      </w:r>
      <w:r>
        <w:t>s for</w:t>
      </w:r>
      <w:r w:rsidRPr="00994BD6" w:rsidDel="00C82D5D">
        <w:t xml:space="preserve"> </w:t>
      </w:r>
      <w:r w:rsidRPr="00994BD6">
        <w:t>arrest. Many people</w:t>
      </w:r>
      <w:r w:rsidRPr="00994BD6" w:rsidDel="00C82D5D">
        <w:t xml:space="preserve"> </w:t>
      </w:r>
      <w:r>
        <w:t>have</w:t>
      </w:r>
      <w:r w:rsidRPr="00994BD6">
        <w:t xml:space="preserve"> </w:t>
      </w:r>
      <w:r>
        <w:t>been</w:t>
      </w:r>
      <w:r w:rsidRPr="00994BD6">
        <w:t xml:space="preserve"> reportedly</w:t>
      </w:r>
      <w:r>
        <w:t xml:space="preserve"> </w:t>
      </w:r>
      <w:r w:rsidRPr="00994BD6">
        <w:t xml:space="preserve">unable to access healthcare, as they were afraid to </w:t>
      </w:r>
      <w:r>
        <w:t>visit,</w:t>
      </w:r>
      <w:r w:rsidRPr="00994BD6">
        <w:t xml:space="preserve"> </w:t>
      </w:r>
      <w:r>
        <w:t xml:space="preserve">or were refused treatment by military </w:t>
      </w:r>
      <w:r w:rsidRPr="00994BD6">
        <w:t xml:space="preserve">hospitals, </w:t>
      </w:r>
      <w:r>
        <w:t xml:space="preserve">and they </w:t>
      </w:r>
      <w:r w:rsidRPr="00994BD6">
        <w:t xml:space="preserve">could not afford </w:t>
      </w:r>
      <w:r>
        <w:t xml:space="preserve">private </w:t>
      </w:r>
      <w:r w:rsidRPr="00994BD6">
        <w:t>treatment</w:t>
      </w:r>
      <w:r w:rsidRPr="00DA1AF4">
        <w:t>.</w:t>
      </w:r>
      <w:r w:rsidRPr="00994BD6">
        <w:t xml:space="preserve"> Furthermore, health facilities, personnel, transport</w:t>
      </w:r>
      <w:r>
        <w:t>,</w:t>
      </w:r>
      <w:r w:rsidRPr="00994BD6">
        <w:t xml:space="preserve"> and supplies became subject to direct attacks by security forces, in grave violation of the right to health. WHO recorded 2</w:t>
      </w:r>
      <w:r>
        <w:t>48</w:t>
      </w:r>
      <w:r w:rsidRPr="00994BD6">
        <w:t xml:space="preserve"> attacks between 1 February and 30 June</w:t>
      </w:r>
      <w:r>
        <w:t xml:space="preserve"> 2021.</w:t>
      </w:r>
      <w:r w:rsidRPr="0096319E">
        <w:rPr>
          <w:vertAlign w:val="superscript"/>
        </w:rPr>
        <w:footnoteReference w:id="42"/>
      </w:r>
      <w:r w:rsidRPr="00994BD6">
        <w:t xml:space="preserve"> </w:t>
      </w:r>
      <w:r>
        <w:t xml:space="preserve">Multiple sources attributed the vast majority of </w:t>
      </w:r>
      <w:r w:rsidRPr="00994BD6">
        <w:t xml:space="preserve">incidents </w:t>
      </w:r>
      <w:r>
        <w:t>to</w:t>
      </w:r>
      <w:r w:rsidRPr="00994BD6">
        <w:t xml:space="preserve"> </w:t>
      </w:r>
      <w:r>
        <w:t>security forces, including instances of</w:t>
      </w:r>
      <w:r w:rsidRPr="00994BD6">
        <w:t xml:space="preserve"> sho</w:t>
      </w:r>
      <w:r>
        <w:t>o</w:t>
      </w:r>
      <w:r w:rsidRPr="00994BD6">
        <w:t>t</w:t>
      </w:r>
      <w:r>
        <w:t>ings</w:t>
      </w:r>
      <w:r w:rsidRPr="00994BD6">
        <w:t xml:space="preserve"> </w:t>
      </w:r>
      <w:r>
        <w:t>targeting</w:t>
      </w:r>
      <w:r w:rsidRPr="00994BD6">
        <w:t xml:space="preserve"> health workers and </w:t>
      </w:r>
      <w:r w:rsidRPr="00091075">
        <w:t xml:space="preserve">ambulances assisting injured protesters. </w:t>
      </w:r>
    </w:p>
    <w:p w14:paraId="3B2A230D" w14:textId="77777777" w:rsidR="0055783C" w:rsidRPr="00091075" w:rsidRDefault="0055783C" w:rsidP="0055783C">
      <w:pPr>
        <w:pStyle w:val="SingleTxtG"/>
        <w:numPr>
          <w:ilvl w:val="0"/>
          <w:numId w:val="36"/>
        </w:numPr>
        <w:ind w:left="1134" w:firstLine="0"/>
      </w:pPr>
      <w:r w:rsidRPr="00091075">
        <w:t xml:space="preserve">Collapse of the health system has had devastating consequences for Myanmar’s COVID-19 response. It is ill-equipped to test, monitor, treat and prevent infections, and new cases have been rising alarmingly since May 2021. There were mounting reports of deaths due to lack of medical oxygen, as many patients were denied access to treatment at hospitals and the SAC reportedly restricted sales of oxygen to individuals. </w:t>
      </w:r>
    </w:p>
    <w:p w14:paraId="5A8F8A9B" w14:textId="77777777" w:rsidR="0055783C" w:rsidRDefault="0055783C" w:rsidP="0055783C">
      <w:pPr>
        <w:pStyle w:val="SingleTxtG"/>
        <w:numPr>
          <w:ilvl w:val="0"/>
          <w:numId w:val="36"/>
        </w:numPr>
        <w:ind w:left="1134" w:firstLine="0"/>
      </w:pPr>
      <w:r w:rsidRPr="00994BD6">
        <w:t xml:space="preserve">In </w:t>
      </w:r>
      <w:r>
        <w:t>n</w:t>
      </w:r>
      <w:r w:rsidRPr="00994BD6">
        <w:t xml:space="preserve">orth, </w:t>
      </w:r>
      <w:r>
        <w:t>w</w:t>
      </w:r>
      <w:r w:rsidRPr="00994BD6">
        <w:t xml:space="preserve">est, and </w:t>
      </w:r>
      <w:r>
        <w:t>s</w:t>
      </w:r>
      <w:r w:rsidRPr="00994BD6">
        <w:t>outh-</w:t>
      </w:r>
      <w:r>
        <w:t>e</w:t>
      </w:r>
      <w:r w:rsidRPr="00994BD6">
        <w:t xml:space="preserve">ast Myanmar, </w:t>
      </w:r>
      <w:r>
        <w:t>escalating</w:t>
      </w:r>
      <w:r w:rsidRPr="00994BD6">
        <w:t xml:space="preserve"> </w:t>
      </w:r>
      <w:r>
        <w:t>hostilities</w:t>
      </w:r>
      <w:r w:rsidRPr="00994BD6">
        <w:t xml:space="preserve"> between the Tatmadaw and </w:t>
      </w:r>
      <w:r>
        <w:t>EAOs</w:t>
      </w:r>
      <w:r w:rsidRPr="00994BD6">
        <w:t xml:space="preserve"> and growing insecurity triggered significant increase</w:t>
      </w:r>
      <w:r>
        <w:t>s</w:t>
      </w:r>
      <w:r w:rsidRPr="00994BD6">
        <w:t xml:space="preserve"> in internal displacement</w:t>
      </w:r>
      <w:r>
        <w:t xml:space="preserve"> (see above)</w:t>
      </w:r>
      <w:r w:rsidRPr="00994BD6">
        <w:t>. Affected communities lac</w:t>
      </w:r>
      <w:r>
        <w:t>king</w:t>
      </w:r>
      <w:r w:rsidRPr="00994BD6">
        <w:t xml:space="preserve"> access to food, healthcare, shelter, safe drinking water and sanitation facilities, </w:t>
      </w:r>
      <w:r>
        <w:t xml:space="preserve">have been </w:t>
      </w:r>
      <w:r w:rsidRPr="00994BD6">
        <w:t>at risk of disease</w:t>
      </w:r>
      <w:r>
        <w:t>,</w:t>
      </w:r>
      <w:r w:rsidRPr="00994BD6">
        <w:t xml:space="preserve"> and in dire need of humanitarian assistance. </w:t>
      </w:r>
      <w:r>
        <w:t>Despite this</w:t>
      </w:r>
      <w:r w:rsidRPr="00994BD6">
        <w:t>, humanitarian actors face</w:t>
      </w:r>
      <w:r>
        <w:t>d</w:t>
      </w:r>
      <w:r w:rsidRPr="00994BD6">
        <w:t xml:space="preserve"> </w:t>
      </w:r>
      <w:r w:rsidRPr="00994BD6">
        <w:lastRenderedPageBreak/>
        <w:t xml:space="preserve">considerable obstacles in providing </w:t>
      </w:r>
      <w:r>
        <w:t>vital</w:t>
      </w:r>
      <w:r w:rsidRPr="00994BD6">
        <w:t xml:space="preserve"> assistance due to restrictions by the military </w:t>
      </w:r>
      <w:r>
        <w:t xml:space="preserve">on movement </w:t>
      </w:r>
      <w:r w:rsidRPr="00994BD6">
        <w:t>and access in many areas</w:t>
      </w:r>
      <w:r>
        <w:t xml:space="preserve">, and </w:t>
      </w:r>
      <w:r w:rsidRPr="00994BD6">
        <w:t xml:space="preserve">disruptions in the banking sector and supply chains. Due to displacement, </w:t>
      </w:r>
      <w:r>
        <w:t xml:space="preserve">some </w:t>
      </w:r>
      <w:r w:rsidRPr="00994BD6">
        <w:t xml:space="preserve">IDPs </w:t>
      </w:r>
      <w:r>
        <w:t>have been</w:t>
      </w:r>
      <w:r w:rsidRPr="00994BD6">
        <w:t xml:space="preserve"> unable to plant crops, </w:t>
      </w:r>
      <w:r>
        <w:t xml:space="preserve">with attendant risk to </w:t>
      </w:r>
      <w:r w:rsidRPr="00994BD6">
        <w:t>future food security.</w:t>
      </w:r>
    </w:p>
    <w:p w14:paraId="6C1CD7AB" w14:textId="3E61930C" w:rsidR="0055783C" w:rsidRPr="0055783C" w:rsidRDefault="0055783C" w:rsidP="0055783C">
      <w:pPr>
        <w:pStyle w:val="SingleTxtG"/>
        <w:numPr>
          <w:ilvl w:val="0"/>
          <w:numId w:val="36"/>
        </w:numPr>
        <w:ind w:left="1134" w:firstLine="0"/>
        <w:rPr>
          <w:rFonts w:eastAsia="SimSun"/>
        </w:rPr>
      </w:pPr>
      <w:r w:rsidRPr="00994BD6">
        <w:t>As a result of the coup, Myanmar is</w:t>
      </w:r>
      <w:r>
        <w:t xml:space="preserve"> increasingly</w:t>
      </w:r>
      <w:r w:rsidRPr="00994BD6">
        <w:t xml:space="preserve"> at risk of </w:t>
      </w:r>
      <w:r>
        <w:t>s</w:t>
      </w:r>
      <w:r w:rsidRPr="00994BD6">
        <w:t xml:space="preserve">tate </w:t>
      </w:r>
      <w:r>
        <w:t>collapse</w:t>
      </w:r>
      <w:r w:rsidRPr="00994BD6">
        <w:t>, with shattered econom</w:t>
      </w:r>
      <w:r>
        <w:t>ic</w:t>
      </w:r>
      <w:r w:rsidRPr="00994BD6">
        <w:t xml:space="preserve">, education, health, and social protection systems. </w:t>
      </w:r>
      <w:r>
        <w:t>D</w:t>
      </w:r>
      <w:r w:rsidRPr="00994BD6">
        <w:t>ouble shock</w:t>
      </w:r>
      <w:r>
        <w:t>s</w:t>
      </w:r>
      <w:r w:rsidRPr="00994BD6">
        <w:t xml:space="preserve"> of</w:t>
      </w:r>
      <w:r>
        <w:t xml:space="preserve"> </w:t>
      </w:r>
      <w:r w:rsidRPr="00994BD6">
        <w:t xml:space="preserve">COVID-19 and the coup </w:t>
      </w:r>
      <w:r>
        <w:t>are</w:t>
      </w:r>
      <w:r w:rsidRPr="00994BD6">
        <w:t xml:space="preserve"> projected to almost double the poverty rate from 24.8 per cent in 2017 to 48.2 per cent</w:t>
      </w:r>
      <w:r>
        <w:t xml:space="preserve"> by early 2022</w:t>
      </w:r>
      <w:r w:rsidRPr="00DA1AF4">
        <w:t>.</w:t>
      </w:r>
      <w:r w:rsidRPr="0096319E">
        <w:rPr>
          <w:vertAlign w:val="superscript"/>
        </w:rPr>
        <w:footnoteReference w:id="43"/>
      </w:r>
      <w:r w:rsidRPr="00994BD6">
        <w:t xml:space="preserve"> </w:t>
      </w:r>
      <w:r>
        <w:t>I</w:t>
      </w:r>
      <w:r w:rsidRPr="00994BD6">
        <w:t>mpact</w:t>
      </w:r>
      <w:r>
        <w:t>s from</w:t>
      </w:r>
      <w:r w:rsidRPr="00994BD6">
        <w:t xml:space="preserve"> the coup </w:t>
      </w:r>
      <w:r>
        <w:t>are</w:t>
      </w:r>
      <w:r w:rsidRPr="00994BD6">
        <w:t xml:space="preserve"> estimated to put </w:t>
      </w:r>
      <w:r>
        <w:t xml:space="preserve">an </w:t>
      </w:r>
      <w:r w:rsidRPr="00994BD6">
        <w:t xml:space="preserve">additional 1.5 </w:t>
      </w:r>
      <w:r>
        <w:t xml:space="preserve">million </w:t>
      </w:r>
      <w:r w:rsidRPr="00994BD6">
        <w:t>to 3.4 million people at risk of food insecurity.</w:t>
      </w:r>
      <w:r w:rsidRPr="0096319E">
        <w:rPr>
          <w:vertAlign w:val="superscript"/>
        </w:rPr>
        <w:footnoteReference w:id="44"/>
      </w:r>
    </w:p>
    <w:p w14:paraId="6BF65733" w14:textId="77777777" w:rsidR="0055783C" w:rsidRPr="00A46A67" w:rsidRDefault="0055783C" w:rsidP="0055783C">
      <w:pPr>
        <w:pStyle w:val="HChG"/>
      </w:pPr>
      <w:r w:rsidRPr="0096319E">
        <w:tab/>
        <w:t>IX.</w:t>
      </w:r>
      <w:r w:rsidRPr="0096319E">
        <w:tab/>
        <w:t xml:space="preserve">National Unity Government </w:t>
      </w:r>
    </w:p>
    <w:p w14:paraId="00584C81" w14:textId="77777777" w:rsidR="0055783C" w:rsidRDefault="0055783C" w:rsidP="0070144C">
      <w:pPr>
        <w:pStyle w:val="SingleTxtG"/>
        <w:numPr>
          <w:ilvl w:val="0"/>
          <w:numId w:val="36"/>
        </w:numPr>
        <w:ind w:left="1134" w:firstLine="0"/>
      </w:pPr>
      <w:r>
        <w:t xml:space="preserve">Facing Tatmadaw’s violence, people from all communities in Myanmar have near universally rejected the coup and demanded respect for their rights and the 2020 election results. Following the coup, nearly 300 NLD Parliamentarians </w:t>
      </w:r>
      <w:r w:rsidDel="003C2006">
        <w:t xml:space="preserve">who </w:t>
      </w:r>
      <w:r>
        <w:t>were elected in November 2020</w:t>
      </w:r>
      <w:r w:rsidDel="003C2006">
        <w:t xml:space="preserve"> </w:t>
      </w:r>
      <w:r>
        <w:t xml:space="preserve">established the CRPH. This group intended to act </w:t>
      </w:r>
      <w:r w:rsidRPr="00DA1AF4">
        <w:t>as</w:t>
      </w:r>
      <w:r>
        <w:t xml:space="preserve"> the national parliament and to provide political leadership as the legitimately-elected representatives of Myanmar’s people. While there is significant support for CRPH and its legitimacy, civil society criticized the interim cabinet as insufficiently inclusive. </w:t>
      </w:r>
    </w:p>
    <w:p w14:paraId="567B9C78" w14:textId="77777777" w:rsidR="0055783C" w:rsidRDefault="0055783C" w:rsidP="0070144C">
      <w:pPr>
        <w:pStyle w:val="SingleTxtG"/>
        <w:numPr>
          <w:ilvl w:val="0"/>
          <w:numId w:val="36"/>
        </w:numPr>
        <w:ind w:left="1134" w:firstLine="0"/>
      </w:pPr>
      <w:r>
        <w:t xml:space="preserve">On 31 March, CRPH published a Federal Democracy Charter elaborating its objectives </w:t>
      </w:r>
      <w:r w:rsidDel="0080616B">
        <w:t>and political road map</w:t>
      </w:r>
      <w:r>
        <w:t xml:space="preserve">, </w:t>
      </w:r>
      <w:r w:rsidDel="00DA1654">
        <w:t>listing as</w:t>
      </w:r>
      <w:r>
        <w:t xml:space="preserve"> Charter members </w:t>
      </w:r>
      <w:r w:rsidRPr="00D5645A">
        <w:t>elected Parliamentarians, political parties, CDM, general strike committees, women, youth</w:t>
      </w:r>
      <w:r>
        <w:t>,</w:t>
      </w:r>
      <w:r w:rsidRPr="00D5645A">
        <w:t xml:space="preserve"> and other civil society organizations, and EAOs.</w:t>
      </w:r>
      <w:r>
        <w:t xml:space="preserve"> In a significant departure from the 2008 Constitution wherein rights are tied to citizenship, it stated that “every person who lives in the Union shall be </w:t>
      </w:r>
      <w:r>
        <w:lastRenderedPageBreak/>
        <w:t>entitled to fundamental human rights”, and ethnic minorities “</w:t>
      </w:r>
      <w:r w:rsidRPr="001C156C">
        <w:t>have full rights</w:t>
      </w:r>
      <w:r>
        <w:t>…</w:t>
      </w:r>
      <w:r w:rsidRPr="001C156C">
        <w:t xml:space="preserve"> as an individual person and</w:t>
      </w:r>
      <w:r>
        <w:t>…</w:t>
      </w:r>
      <w:r w:rsidRPr="001C156C">
        <w:t xml:space="preserve"> as ethnic groups</w:t>
      </w:r>
      <w:r>
        <w:t>”</w:t>
      </w:r>
      <w:r w:rsidRPr="001C156C">
        <w:t>.</w:t>
      </w:r>
    </w:p>
    <w:p w14:paraId="5F2E9CDB" w14:textId="77777777" w:rsidR="0055783C" w:rsidRPr="0096319E" w:rsidRDefault="0055783C" w:rsidP="0070144C">
      <w:pPr>
        <w:pStyle w:val="SingleTxtG"/>
        <w:numPr>
          <w:ilvl w:val="0"/>
          <w:numId w:val="36"/>
        </w:numPr>
        <w:ind w:left="1134" w:firstLine="0"/>
      </w:pPr>
      <w:r>
        <w:t xml:space="preserve">On 16 April 2021, the CRPH announced the formation of a National Unity Government (NUG) headed by President Win </w:t>
      </w:r>
      <w:proofErr w:type="spellStart"/>
      <w:r>
        <w:t>Myint</w:t>
      </w:r>
      <w:proofErr w:type="spellEnd"/>
      <w:r>
        <w:t xml:space="preserve"> and retaining Aung San Suu Kyi as State Counsellor, notwithstanding both still being in detention. Thereafter, NUG established ministries for Federal Union Affairs, Women, Youth and Children’s Affairs, and Human Rights.</w:t>
      </w:r>
    </w:p>
    <w:p w14:paraId="1A44700D" w14:textId="77777777" w:rsidR="0055783C" w:rsidRDefault="0055783C" w:rsidP="0070144C">
      <w:pPr>
        <w:pStyle w:val="SingleTxtG"/>
        <w:numPr>
          <w:ilvl w:val="0"/>
          <w:numId w:val="36"/>
        </w:numPr>
        <w:ind w:left="1134" w:firstLine="0"/>
        <w:rPr>
          <w:rStyle w:val="normaltextrun"/>
        </w:rPr>
      </w:pPr>
      <w:r w:rsidRPr="00433742">
        <w:rPr>
          <w:rStyle w:val="normaltextrun"/>
        </w:rPr>
        <w:t>On 26 May</w:t>
      </w:r>
      <w:r w:rsidRPr="1BF08ECD">
        <w:rPr>
          <w:rStyle w:val="normaltextrun"/>
        </w:rPr>
        <w:t>, NUG issued a Code of Conduct for its PDF, which</w:t>
      </w:r>
      <w:r>
        <w:t xml:space="preserve"> includes provisions on key international norms of non-discrimination and protection of civilians, including prohibition of attacks on civilian infrastructure such as schools, and barring torture of detainees, taking of civilian hostages, and sexual abuse against women and children. O</w:t>
      </w:r>
      <w:r w:rsidRPr="00091075">
        <w:t>ther human rights aspects</w:t>
      </w:r>
      <w:r>
        <w:t>, h</w:t>
      </w:r>
      <w:r w:rsidRPr="00091075">
        <w:t xml:space="preserve">owever, </w:t>
      </w:r>
      <w:r>
        <w:t xml:space="preserve">are not addressed in </w:t>
      </w:r>
      <w:r w:rsidRPr="00091075">
        <w:t>the Code of Conduct,</w:t>
      </w:r>
      <w:r>
        <w:t xml:space="preserve"> including such serious long-standing issues as forced recruitment, child recruitment, and landmine usage. </w:t>
      </w:r>
    </w:p>
    <w:p w14:paraId="4E8B6B2E" w14:textId="77777777" w:rsidR="0055783C" w:rsidRDefault="0055783C" w:rsidP="0070144C">
      <w:pPr>
        <w:pStyle w:val="SingleTxtG"/>
        <w:numPr>
          <w:ilvl w:val="0"/>
          <w:numId w:val="36"/>
        </w:numPr>
        <w:ind w:left="1134" w:firstLine="0"/>
      </w:pPr>
      <w:r w:rsidRPr="009352A6">
        <w:t xml:space="preserve">Another notable NUG policy statement, issued on 3 June, is </w:t>
      </w:r>
      <w:r>
        <w:t>set out in its</w:t>
      </w:r>
      <w:r w:rsidRPr="009352A6">
        <w:t xml:space="preserve"> position paper regarding the Rohingya. While it acknowledges </w:t>
      </w:r>
      <w:r>
        <w:t>past</w:t>
      </w:r>
      <w:r w:rsidRPr="009352A6">
        <w:t xml:space="preserve"> gross rights violations perpetrated</w:t>
      </w:r>
      <w:r>
        <w:t xml:space="preserve"> against them</w:t>
      </w:r>
      <w:r w:rsidRPr="009352A6">
        <w:t xml:space="preserve">, </w:t>
      </w:r>
      <w:r>
        <w:t>pledges</w:t>
      </w:r>
      <w:r w:rsidRPr="009352A6">
        <w:t xml:space="preserve"> to seek justice and accountability for </w:t>
      </w:r>
      <w:r>
        <w:t xml:space="preserve">perpetrated </w:t>
      </w:r>
      <w:r w:rsidRPr="009352A6">
        <w:t xml:space="preserve">crimes and undertakes to abolish the process </w:t>
      </w:r>
      <w:r>
        <w:t xml:space="preserve">for </w:t>
      </w:r>
      <w:r w:rsidRPr="009352A6">
        <w:t>issu</w:t>
      </w:r>
      <w:r>
        <w:t>ing</w:t>
      </w:r>
      <w:r w:rsidRPr="009352A6">
        <w:t xml:space="preserve"> National Verification Cards, the </w:t>
      </w:r>
      <w:r>
        <w:t xml:space="preserve">policy is </w:t>
      </w:r>
      <w:r w:rsidRPr="009352A6">
        <w:t xml:space="preserve">mostly </w:t>
      </w:r>
      <w:r>
        <w:t xml:space="preserve">a </w:t>
      </w:r>
      <w:r w:rsidRPr="009352A6" w:rsidDel="00FF01D1">
        <w:t>state</w:t>
      </w:r>
      <w:r>
        <w:t>ment of</w:t>
      </w:r>
      <w:r w:rsidRPr="009352A6" w:rsidDel="00FF01D1">
        <w:t xml:space="preserve"> principles for addressing the situation in Rakhine State</w:t>
      </w:r>
      <w:r w:rsidRPr="009352A6">
        <w:t xml:space="preserve"> </w:t>
      </w:r>
      <w:r w:rsidRPr="009352A6" w:rsidDel="00FF01D1">
        <w:t xml:space="preserve">rather than </w:t>
      </w:r>
      <w:r>
        <w:t>addressing</w:t>
      </w:r>
      <w:r w:rsidRPr="009352A6">
        <w:t xml:space="preserve"> </w:t>
      </w:r>
      <w:r w:rsidRPr="009352A6" w:rsidDel="00FF01D1">
        <w:t xml:space="preserve">long-standing state persecution </w:t>
      </w:r>
      <w:r>
        <w:t>of the Rohingya.</w:t>
      </w:r>
    </w:p>
    <w:p w14:paraId="559B8FFD" w14:textId="77777777" w:rsidR="0055783C" w:rsidRPr="00C04C55" w:rsidRDefault="0055783C" w:rsidP="0055783C">
      <w:pPr>
        <w:pStyle w:val="SingleTxtG"/>
        <w:tabs>
          <w:tab w:val="left" w:pos="567"/>
        </w:tabs>
        <w:spacing w:before="360" w:after="240" w:line="300" w:lineRule="exact"/>
        <w:ind w:hanging="1134"/>
        <w:jc w:val="left"/>
        <w:rPr>
          <w:b/>
          <w:bCs/>
          <w:sz w:val="28"/>
          <w:szCs w:val="28"/>
        </w:rPr>
      </w:pPr>
      <w:bookmarkStart w:id="22" w:name="_Toc44494646"/>
      <w:bookmarkStart w:id="23" w:name="_Toc44494842"/>
      <w:bookmarkStart w:id="24" w:name="_Toc44494977"/>
      <w:bookmarkStart w:id="25" w:name="_Toc44495070"/>
      <w:r>
        <w:rPr>
          <w:b/>
          <w:bCs/>
          <w:sz w:val="28"/>
          <w:szCs w:val="28"/>
        </w:rPr>
        <w:tab/>
      </w:r>
      <w:r w:rsidRPr="00C04C55">
        <w:rPr>
          <w:b/>
          <w:bCs/>
          <w:sz w:val="28"/>
          <w:szCs w:val="28"/>
        </w:rPr>
        <w:t>X.</w:t>
      </w:r>
      <w:r w:rsidRPr="00C04C55">
        <w:rPr>
          <w:b/>
          <w:bCs/>
          <w:sz w:val="28"/>
          <w:szCs w:val="28"/>
        </w:rPr>
        <w:tab/>
        <w:t>Conclusions and Recommendations</w:t>
      </w:r>
      <w:bookmarkEnd w:id="22"/>
      <w:bookmarkEnd w:id="23"/>
      <w:bookmarkEnd w:id="24"/>
      <w:bookmarkEnd w:id="25"/>
      <w:r w:rsidRPr="00C04C55">
        <w:rPr>
          <w:b/>
          <w:bCs/>
          <w:sz w:val="28"/>
          <w:szCs w:val="28"/>
        </w:rPr>
        <w:t xml:space="preserve"> </w:t>
      </w:r>
    </w:p>
    <w:p w14:paraId="4BEFB34D" w14:textId="77777777" w:rsidR="0055783C" w:rsidRPr="00D20652" w:rsidRDefault="0055783C" w:rsidP="0070144C">
      <w:pPr>
        <w:pStyle w:val="SingleTxtG"/>
        <w:numPr>
          <w:ilvl w:val="0"/>
          <w:numId w:val="36"/>
        </w:numPr>
        <w:ind w:left="1134" w:firstLine="0"/>
        <w:rPr>
          <w:b/>
          <w:bCs/>
        </w:rPr>
      </w:pPr>
      <w:r w:rsidRPr="00D20652">
        <w:rPr>
          <w:b/>
          <w:bCs/>
        </w:rPr>
        <w:t xml:space="preserve">The coup has evolved into a human rights catastrophe that shows no signs of abating. This report has outlined numerous human rights violations and abuses, as well as </w:t>
      </w:r>
      <w:r w:rsidRPr="0070144C">
        <w:t>violations</w:t>
      </w:r>
      <w:r w:rsidRPr="00D20652">
        <w:rPr>
          <w:b/>
          <w:bCs/>
        </w:rPr>
        <w:t xml:space="preserve"> of </w:t>
      </w:r>
      <w:r>
        <w:rPr>
          <w:b/>
          <w:bCs/>
        </w:rPr>
        <w:t xml:space="preserve">international </w:t>
      </w:r>
      <w:r w:rsidRPr="00D20652">
        <w:rPr>
          <w:b/>
          <w:bCs/>
        </w:rPr>
        <w:t xml:space="preserve">humanitarian law, some of which may amount to war crimes. </w:t>
      </w:r>
      <w:r>
        <w:rPr>
          <w:b/>
          <w:bCs/>
        </w:rPr>
        <w:t>Some violations</w:t>
      </w:r>
      <w:r w:rsidRPr="00D20652">
        <w:rPr>
          <w:b/>
          <w:bCs/>
        </w:rPr>
        <w:t xml:space="preserve"> may </w:t>
      </w:r>
      <w:r>
        <w:rPr>
          <w:b/>
          <w:bCs/>
        </w:rPr>
        <w:t xml:space="preserve">also </w:t>
      </w:r>
      <w:r w:rsidRPr="00D20652">
        <w:rPr>
          <w:b/>
          <w:bCs/>
        </w:rPr>
        <w:t>amount to crimes against humanity</w:t>
      </w:r>
      <w:r>
        <w:rPr>
          <w:b/>
          <w:bCs/>
        </w:rPr>
        <w:t xml:space="preserve"> if they are found to have been committed as part of a widespread and systematic attack against the civilian population</w:t>
      </w:r>
      <w:r w:rsidRPr="00D20652">
        <w:rPr>
          <w:b/>
          <w:bCs/>
        </w:rPr>
        <w:t>.</w:t>
      </w:r>
      <w:r>
        <w:rPr>
          <w:b/>
          <w:bCs/>
        </w:rPr>
        <w:t xml:space="preserve"> There is no sign of any efforts by the military authorities to consider addressing these violations nor </w:t>
      </w:r>
      <w:r>
        <w:rPr>
          <w:b/>
          <w:bCs/>
        </w:rPr>
        <w:lastRenderedPageBreak/>
        <w:t>implement previous recommendations to tackle impunity and security sector reform.</w:t>
      </w:r>
      <w:r w:rsidRPr="00D20652">
        <w:rPr>
          <w:b/>
          <w:bCs/>
        </w:rPr>
        <w:t xml:space="preserve"> For this reason, the international accountability efforts that have been supported by the Human Rights Council must be pursued and enhanced.   </w:t>
      </w:r>
    </w:p>
    <w:p w14:paraId="45BE7B5F" w14:textId="77777777" w:rsidR="0055783C" w:rsidRPr="005368E6" w:rsidRDefault="0055783C" w:rsidP="0070144C">
      <w:pPr>
        <w:pStyle w:val="SingleTxtG"/>
        <w:numPr>
          <w:ilvl w:val="0"/>
          <w:numId w:val="36"/>
        </w:numPr>
        <w:ind w:left="1134" w:firstLine="0"/>
        <w:rPr>
          <w:b/>
          <w:bCs/>
        </w:rPr>
      </w:pPr>
      <w:r w:rsidRPr="00B73704">
        <w:rPr>
          <w:b/>
          <w:bCs/>
        </w:rPr>
        <w:t xml:space="preserve">Member States </w:t>
      </w:r>
      <w:r>
        <w:rPr>
          <w:b/>
          <w:bCs/>
        </w:rPr>
        <w:t xml:space="preserve">must act urgently </w:t>
      </w:r>
      <w:r w:rsidRPr="00B73704">
        <w:rPr>
          <w:b/>
          <w:bCs/>
        </w:rPr>
        <w:t xml:space="preserve">to </w:t>
      </w:r>
      <w:r>
        <w:rPr>
          <w:b/>
          <w:bCs/>
        </w:rPr>
        <w:t xml:space="preserve">prevent a further disintegration of </w:t>
      </w:r>
      <w:r w:rsidRPr="0070144C">
        <w:t>Myanmar</w:t>
      </w:r>
      <w:r>
        <w:rPr>
          <w:b/>
          <w:bCs/>
        </w:rPr>
        <w:t xml:space="preserve"> into a nationwide armed conflict or state collapse</w:t>
      </w:r>
      <w:r w:rsidRPr="00B73704">
        <w:rPr>
          <w:b/>
          <w:bCs/>
        </w:rPr>
        <w:t>.</w:t>
      </w:r>
      <w:r w:rsidRPr="00DA1AF4">
        <w:rPr>
          <w:b/>
        </w:rPr>
        <w:t xml:space="preserve"> </w:t>
      </w:r>
      <w:r>
        <w:rPr>
          <w:b/>
        </w:rPr>
        <w:t xml:space="preserve">At the same time, the international community should support and foster </w:t>
      </w:r>
      <w:r w:rsidRPr="00DA1AF4">
        <w:rPr>
          <w:b/>
        </w:rPr>
        <w:t xml:space="preserve">inclusive politics that </w:t>
      </w:r>
      <w:r>
        <w:rPr>
          <w:b/>
        </w:rPr>
        <w:t xml:space="preserve">have emerged during this crisis that </w:t>
      </w:r>
      <w:r w:rsidRPr="00DA1AF4">
        <w:rPr>
          <w:b/>
        </w:rPr>
        <w:t>transcend Myanmar’s historical cleavages of ethnic and religious differences.</w:t>
      </w:r>
    </w:p>
    <w:p w14:paraId="378FC2A7" w14:textId="77777777" w:rsidR="0055783C" w:rsidRPr="00D55E83" w:rsidRDefault="0055783C" w:rsidP="0070144C">
      <w:pPr>
        <w:pStyle w:val="SingleTxtG"/>
        <w:numPr>
          <w:ilvl w:val="0"/>
          <w:numId w:val="36"/>
        </w:numPr>
        <w:ind w:left="1134" w:firstLine="0"/>
        <w:rPr>
          <w:b/>
          <w:bCs/>
        </w:rPr>
      </w:pPr>
      <w:r w:rsidRPr="65274530">
        <w:rPr>
          <w:b/>
          <w:bCs/>
        </w:rPr>
        <w:t>The High Commissioner recommends t</w:t>
      </w:r>
      <w:r>
        <w:rPr>
          <w:b/>
          <w:bCs/>
        </w:rPr>
        <w:t>hat</w:t>
      </w:r>
      <w:r w:rsidRPr="65274530">
        <w:rPr>
          <w:b/>
          <w:bCs/>
        </w:rPr>
        <w:t>:</w:t>
      </w:r>
    </w:p>
    <w:p w14:paraId="212B6406" w14:textId="77777777" w:rsidR="0055783C" w:rsidRPr="00EC4D86" w:rsidRDefault="0055783C" w:rsidP="0055783C">
      <w:pPr>
        <w:spacing w:after="120"/>
        <w:ind w:left="1134" w:right="1134" w:firstLine="567"/>
        <w:jc w:val="both"/>
        <w:rPr>
          <w:rFonts w:cs="Calibri"/>
          <w:b/>
        </w:rPr>
      </w:pPr>
      <w:r w:rsidRPr="008A0B43">
        <w:rPr>
          <w:rFonts w:cs="Calibri"/>
          <w:bCs/>
        </w:rPr>
        <w:t>(a)</w:t>
      </w:r>
      <w:r w:rsidRPr="00D55E83">
        <w:rPr>
          <w:rFonts w:cs="Calibri"/>
          <w:b/>
          <w:bCs/>
        </w:rPr>
        <w:tab/>
      </w:r>
      <w:r w:rsidRPr="00EC4D86">
        <w:rPr>
          <w:b/>
        </w:rPr>
        <w:t>Myanmar</w:t>
      </w:r>
      <w:r>
        <w:rPr>
          <w:b/>
        </w:rPr>
        <w:t>’s</w:t>
      </w:r>
      <w:r w:rsidRPr="00EC4D86">
        <w:rPr>
          <w:b/>
        </w:rPr>
        <w:t xml:space="preserve"> military cease all violence and attacks immediately against the </w:t>
      </w:r>
      <w:r>
        <w:rPr>
          <w:b/>
        </w:rPr>
        <w:t xml:space="preserve">Myanmar </w:t>
      </w:r>
      <w:r w:rsidRPr="00EC4D86">
        <w:rPr>
          <w:b/>
        </w:rPr>
        <w:t>population in all parts of the country, cease impeding humanitarian assistance</w:t>
      </w:r>
      <w:r>
        <w:rPr>
          <w:b/>
        </w:rPr>
        <w:t>, release all political detainees,</w:t>
      </w:r>
      <w:r w:rsidRPr="00EC4D86">
        <w:rPr>
          <w:b/>
        </w:rPr>
        <w:t xml:space="preserve"> and </w:t>
      </w:r>
      <w:r>
        <w:rPr>
          <w:b/>
        </w:rPr>
        <w:t>respect the results of the 2020 elections</w:t>
      </w:r>
      <w:r w:rsidRPr="00EC4D86">
        <w:rPr>
          <w:rFonts w:cs="Calibri"/>
          <w:b/>
        </w:rPr>
        <w:t>;</w:t>
      </w:r>
    </w:p>
    <w:p w14:paraId="18A90E7A" w14:textId="77777777" w:rsidR="0055783C" w:rsidRPr="00EC4D86" w:rsidRDefault="0055783C" w:rsidP="0055783C">
      <w:pPr>
        <w:spacing w:after="120"/>
        <w:ind w:left="1134" w:right="1134" w:firstLine="567"/>
        <w:jc w:val="both"/>
        <w:rPr>
          <w:b/>
        </w:rPr>
      </w:pPr>
      <w:r w:rsidRPr="008A0B43">
        <w:rPr>
          <w:rFonts w:cs="Calibri"/>
        </w:rPr>
        <w:t>(b)</w:t>
      </w:r>
      <w:r w:rsidRPr="00EC4D86">
        <w:rPr>
          <w:rFonts w:cs="Calibri"/>
          <w:b/>
        </w:rPr>
        <w:tab/>
      </w:r>
      <w:r>
        <w:rPr>
          <w:rFonts w:cs="Calibri"/>
          <w:b/>
        </w:rPr>
        <w:t>Myanmar’s military, a</w:t>
      </w:r>
      <w:r w:rsidRPr="00EC4D86">
        <w:rPr>
          <w:rFonts w:cs="Calibri"/>
          <w:b/>
        </w:rPr>
        <w:t xml:space="preserve">rmed organizations </w:t>
      </w:r>
      <w:r>
        <w:rPr>
          <w:rFonts w:cs="Calibri"/>
          <w:b/>
        </w:rPr>
        <w:t xml:space="preserve">and groups </w:t>
      </w:r>
      <w:r w:rsidRPr="00EC4D86">
        <w:rPr>
          <w:rFonts w:cs="Calibri"/>
          <w:b/>
        </w:rPr>
        <w:t xml:space="preserve">fully </w:t>
      </w:r>
      <w:r>
        <w:rPr>
          <w:rFonts w:cs="Calibri"/>
          <w:b/>
        </w:rPr>
        <w:t xml:space="preserve">respect </w:t>
      </w:r>
      <w:r w:rsidRPr="00EC4D86">
        <w:rPr>
          <w:rFonts w:cs="Calibri"/>
          <w:b/>
        </w:rPr>
        <w:t xml:space="preserve">human rights and </w:t>
      </w:r>
      <w:r>
        <w:rPr>
          <w:rFonts w:cs="Calibri"/>
          <w:b/>
        </w:rPr>
        <w:t xml:space="preserve">comply with </w:t>
      </w:r>
      <w:r w:rsidRPr="00EC4D86">
        <w:rPr>
          <w:rFonts w:cs="Calibri"/>
          <w:b/>
        </w:rPr>
        <w:t>international humanitarian law</w:t>
      </w:r>
      <w:r>
        <w:rPr>
          <w:rFonts w:cs="Calibri"/>
          <w:b/>
        </w:rPr>
        <w:t>, as applicable</w:t>
      </w:r>
      <w:r w:rsidRPr="00EC4D86">
        <w:rPr>
          <w:rFonts w:cs="Calibri"/>
          <w:b/>
        </w:rPr>
        <w:t xml:space="preserve">; </w:t>
      </w:r>
    </w:p>
    <w:p w14:paraId="289D1F0F" w14:textId="77777777" w:rsidR="0055783C" w:rsidRPr="00D55E83" w:rsidRDefault="0055783C" w:rsidP="0055783C">
      <w:pPr>
        <w:spacing w:after="120"/>
        <w:ind w:left="1134" w:right="1134" w:firstLine="567"/>
        <w:jc w:val="both"/>
        <w:rPr>
          <w:b/>
        </w:rPr>
      </w:pPr>
      <w:r w:rsidRPr="008A0B43">
        <w:rPr>
          <w:rFonts w:cs="Calibri"/>
        </w:rPr>
        <w:t>(c)</w:t>
      </w:r>
      <w:r w:rsidRPr="00D55E83">
        <w:rPr>
          <w:rFonts w:cs="Calibri"/>
          <w:b/>
        </w:rPr>
        <w:tab/>
      </w:r>
      <w:r>
        <w:rPr>
          <w:rFonts w:cs="Calibri"/>
          <w:b/>
        </w:rPr>
        <w:t xml:space="preserve">The </w:t>
      </w:r>
      <w:r w:rsidRPr="00D55E83">
        <w:rPr>
          <w:b/>
        </w:rPr>
        <w:t xml:space="preserve">National Unity Government ensure </w:t>
      </w:r>
      <w:r>
        <w:rPr>
          <w:b/>
        </w:rPr>
        <w:t>its</w:t>
      </w:r>
      <w:r w:rsidRPr="00D55E83">
        <w:rPr>
          <w:b/>
        </w:rPr>
        <w:t xml:space="preserve"> actions, policies and programmes are based on broad, inclusive consultation full</w:t>
      </w:r>
      <w:r>
        <w:rPr>
          <w:b/>
        </w:rPr>
        <w:t>y</w:t>
      </w:r>
      <w:r w:rsidRPr="00D55E83">
        <w:rPr>
          <w:b/>
        </w:rPr>
        <w:t xml:space="preserve"> </w:t>
      </w:r>
      <w:r w:rsidRPr="00ED2444">
        <w:rPr>
          <w:b/>
        </w:rPr>
        <w:t>respecting international human rights law</w:t>
      </w:r>
      <w:r>
        <w:rPr>
          <w:b/>
        </w:rPr>
        <w:t>,</w:t>
      </w:r>
      <w:r w:rsidRPr="00D55E83">
        <w:rPr>
          <w:b/>
        </w:rPr>
        <w:t xml:space="preserve"> especially </w:t>
      </w:r>
      <w:r>
        <w:rPr>
          <w:b/>
        </w:rPr>
        <w:t xml:space="preserve">its principles of </w:t>
      </w:r>
      <w:r w:rsidRPr="00D55E83">
        <w:rPr>
          <w:b/>
        </w:rPr>
        <w:t>accountability, equality and non-discrimination</w:t>
      </w:r>
      <w:r w:rsidRPr="00D55E83">
        <w:rPr>
          <w:rFonts w:cs="Calibri"/>
          <w:b/>
        </w:rPr>
        <w:t>;</w:t>
      </w:r>
    </w:p>
    <w:p w14:paraId="2EBD59E4" w14:textId="77777777" w:rsidR="0055783C" w:rsidRPr="00D55E83" w:rsidRDefault="0055783C" w:rsidP="0055783C">
      <w:pPr>
        <w:spacing w:after="120"/>
        <w:ind w:left="1134" w:right="1134" w:firstLine="567"/>
        <w:jc w:val="both"/>
        <w:rPr>
          <w:b/>
        </w:rPr>
      </w:pPr>
      <w:r w:rsidRPr="008A0B43">
        <w:rPr>
          <w:rFonts w:cs="Calibri"/>
        </w:rPr>
        <w:t>(d)</w:t>
      </w:r>
      <w:r w:rsidRPr="00D55E83">
        <w:rPr>
          <w:rFonts w:cs="Calibri"/>
          <w:b/>
        </w:rPr>
        <w:tab/>
      </w:r>
      <w:r>
        <w:rPr>
          <w:b/>
        </w:rPr>
        <w:t>The i</w:t>
      </w:r>
      <w:r w:rsidRPr="00D55E83">
        <w:rPr>
          <w:b/>
        </w:rPr>
        <w:t xml:space="preserve">nternational community stand united against the coup and </w:t>
      </w:r>
      <w:r>
        <w:rPr>
          <w:b/>
        </w:rPr>
        <w:t>act</w:t>
      </w:r>
      <w:r w:rsidRPr="00D55E83">
        <w:rPr>
          <w:b/>
        </w:rPr>
        <w:t xml:space="preserve"> in a coordinated manner to prevent sales of arms </w:t>
      </w:r>
      <w:r>
        <w:rPr>
          <w:b/>
        </w:rPr>
        <w:t xml:space="preserve">or provision of military assistance </w:t>
      </w:r>
      <w:r w:rsidRPr="00D55E83">
        <w:rPr>
          <w:b/>
        </w:rPr>
        <w:t>to Myanmar, ensure accountability for all international crimes</w:t>
      </w:r>
      <w:r>
        <w:rPr>
          <w:b/>
        </w:rPr>
        <w:t xml:space="preserve"> and human rights violations</w:t>
      </w:r>
      <w:r w:rsidRPr="00D55E83">
        <w:rPr>
          <w:b/>
        </w:rPr>
        <w:t>, and work with all stakeholders towards national dialogue</w:t>
      </w:r>
      <w:r>
        <w:rPr>
          <w:b/>
        </w:rPr>
        <w:t xml:space="preserve"> and respect for human rights and IHL</w:t>
      </w:r>
      <w:r w:rsidRPr="00D55E83">
        <w:rPr>
          <w:rFonts w:cs="Calibri"/>
          <w:b/>
        </w:rPr>
        <w:t>; and</w:t>
      </w:r>
    </w:p>
    <w:p w14:paraId="312E58B2" w14:textId="77777777" w:rsidR="0055783C" w:rsidRPr="0096319E" w:rsidRDefault="0055783C" w:rsidP="0055783C">
      <w:pPr>
        <w:spacing w:after="120"/>
        <w:ind w:left="1134" w:right="1134" w:firstLine="567"/>
        <w:jc w:val="both"/>
        <w:rPr>
          <w:b/>
        </w:rPr>
      </w:pPr>
      <w:r w:rsidRPr="008A0B43">
        <w:rPr>
          <w:rFonts w:cs="Calibri"/>
        </w:rPr>
        <w:t>(e)</w:t>
      </w:r>
      <w:r w:rsidRPr="00D55E83">
        <w:rPr>
          <w:rFonts w:cs="Calibri"/>
          <w:b/>
        </w:rPr>
        <w:tab/>
      </w:r>
      <w:r>
        <w:rPr>
          <w:rFonts w:cs="Calibri"/>
          <w:b/>
        </w:rPr>
        <w:t>Association of Southeast Asian Nations (</w:t>
      </w:r>
      <w:r w:rsidRPr="00D55E83">
        <w:rPr>
          <w:b/>
        </w:rPr>
        <w:t>ASEAN</w:t>
      </w:r>
      <w:r>
        <w:rPr>
          <w:b/>
        </w:rPr>
        <w:t>)</w:t>
      </w:r>
      <w:r w:rsidRPr="00D55E83">
        <w:rPr>
          <w:b/>
        </w:rPr>
        <w:t xml:space="preserve"> members expedite effective and meaningful implementation of the Five-Point Consensus, including by deploying an observer team to Myanmar, </w:t>
      </w:r>
      <w:r w:rsidRPr="00D55E83">
        <w:rPr>
          <w:b/>
        </w:rPr>
        <w:lastRenderedPageBreak/>
        <w:t xml:space="preserve">potentially by empowering </w:t>
      </w:r>
      <w:r>
        <w:rPr>
          <w:b/>
        </w:rPr>
        <w:t>the ASEAN</w:t>
      </w:r>
      <w:r w:rsidRPr="00D55E83">
        <w:rPr>
          <w:b/>
        </w:rPr>
        <w:t xml:space="preserve"> intergovernmental commission on human rights and/or in collaboration with the United Nations/OHCHR.</w:t>
      </w:r>
    </w:p>
    <w:p w14:paraId="39B47D43" w14:textId="77777777" w:rsidR="004915F2" w:rsidRPr="008A0B43" w:rsidRDefault="004915F2" w:rsidP="004915F2">
      <w:pPr>
        <w:suppressAutoHyphens w:val="0"/>
        <w:spacing w:before="240" w:line="240" w:lineRule="auto"/>
        <w:ind w:left="1134" w:right="1134"/>
        <w:jc w:val="center"/>
        <w:rPr>
          <w:rFonts w:eastAsia="SimSun"/>
          <w:sz w:val="24"/>
          <w:szCs w:val="24"/>
          <w:u w:val="single"/>
          <w:lang w:eastAsia="zh-CN"/>
        </w:rPr>
      </w:pPr>
      <w:r w:rsidRPr="008A0B43">
        <w:rPr>
          <w:rFonts w:eastAsia="SimSun"/>
          <w:sz w:val="24"/>
          <w:szCs w:val="24"/>
          <w:u w:val="single"/>
          <w:lang w:eastAsia="zh-CN"/>
        </w:rPr>
        <w:tab/>
      </w:r>
      <w:r w:rsidRPr="008A0B43">
        <w:rPr>
          <w:rFonts w:eastAsia="SimSun"/>
          <w:sz w:val="24"/>
          <w:szCs w:val="24"/>
          <w:u w:val="single"/>
          <w:lang w:eastAsia="zh-CN"/>
        </w:rPr>
        <w:tab/>
      </w:r>
      <w:r w:rsidRPr="008A0B43">
        <w:rPr>
          <w:rFonts w:eastAsia="SimSun"/>
          <w:sz w:val="24"/>
          <w:szCs w:val="24"/>
          <w:u w:val="single"/>
          <w:lang w:eastAsia="zh-CN"/>
        </w:rPr>
        <w:tab/>
      </w:r>
      <w:r w:rsidRPr="008A0B43">
        <w:rPr>
          <w:rFonts w:eastAsia="SimSun"/>
          <w:sz w:val="24"/>
          <w:szCs w:val="24"/>
          <w:u w:val="single"/>
          <w:lang w:eastAsia="zh-CN"/>
        </w:rPr>
        <w:tab/>
      </w:r>
    </w:p>
    <w:sectPr w:rsidR="004915F2" w:rsidRPr="008A0B43" w:rsidSect="004915F2">
      <w:headerReference w:type="even" r:id="rId11"/>
      <w:headerReference w:type="default" r:id="rId12"/>
      <w:footerReference w:type="even" r:id="rId13"/>
      <w:footerReference w:type="default" r:id="rId14"/>
      <w:pgSz w:w="11907" w:h="16840" w:code="9"/>
      <w:pgMar w:top="1418" w:right="1134" w:bottom="993" w:left="1134" w:header="851"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8DABC7" w16cex:dateUtc="2020-07-09T01:47:00Z"/>
  <w16cex:commentExtensible w16cex:durableId="53EAD42E" w16cex:dateUtc="2020-07-16T13:43:13.5Z"/>
  <w16cex:commentExtensible w16cex:durableId="26BD7731" w16cex:dateUtc="2020-07-09T02:18:00Z"/>
  <w16cex:commentExtensible w16cex:durableId="24AC29C5" w16cex:dateUtc="2020-07-09T01:53:00Z"/>
  <w16cex:commentExtensible w16cex:durableId="775CC642" w16cex:dateUtc="2020-07-16T13:44:19.757Z"/>
  <w16cex:commentExtensible w16cex:durableId="2C632B1C" w16cex:dateUtc="2020-07-16T14:11:51.4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F70E" w14:textId="77777777" w:rsidR="008F6FAD" w:rsidRDefault="008F6FAD">
      <w:pPr>
        <w:spacing w:line="240" w:lineRule="auto"/>
      </w:pPr>
      <w:r>
        <w:separator/>
      </w:r>
    </w:p>
  </w:endnote>
  <w:endnote w:type="continuationSeparator" w:id="0">
    <w:p w14:paraId="68911B1C" w14:textId="77777777" w:rsidR="008F6FAD" w:rsidRDefault="008F6FAD">
      <w:pPr>
        <w:spacing w:line="240" w:lineRule="auto"/>
      </w:pPr>
      <w:r>
        <w:continuationSeparator/>
      </w:r>
    </w:p>
  </w:endnote>
  <w:endnote w:type="continuationNotice" w:id="1">
    <w:p w14:paraId="5BB527CA" w14:textId="77777777" w:rsidR="008F6FAD" w:rsidRDefault="008F6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D02B" w14:textId="111CA62B" w:rsidR="00611548"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5E4A77">
      <w:rPr>
        <w:b/>
        <w:noProof/>
        <w:sz w:val="18"/>
      </w:rPr>
      <w:t>14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9256" w14:textId="37618555" w:rsidR="00611548"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E4A77">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BE34" w14:textId="77777777" w:rsidR="008F6FAD" w:rsidRDefault="008F6FAD">
      <w:pPr>
        <w:tabs>
          <w:tab w:val="right" w:pos="2155"/>
        </w:tabs>
        <w:spacing w:after="80"/>
        <w:ind w:left="680"/>
        <w:rPr>
          <w:u w:val="single"/>
        </w:rPr>
      </w:pPr>
      <w:r>
        <w:rPr>
          <w:u w:val="single"/>
        </w:rPr>
        <w:tab/>
      </w:r>
    </w:p>
  </w:footnote>
  <w:footnote w:type="continuationSeparator" w:id="0">
    <w:p w14:paraId="3609B35C" w14:textId="77777777" w:rsidR="008F6FAD" w:rsidRDefault="008F6FAD">
      <w:pPr>
        <w:tabs>
          <w:tab w:val="left" w:pos="2155"/>
        </w:tabs>
        <w:spacing w:after="80"/>
        <w:ind w:left="680"/>
        <w:rPr>
          <w:u w:val="single"/>
        </w:rPr>
      </w:pPr>
      <w:r>
        <w:rPr>
          <w:u w:val="single"/>
        </w:rPr>
        <w:tab/>
      </w:r>
    </w:p>
  </w:footnote>
  <w:footnote w:type="continuationNotice" w:id="1">
    <w:p w14:paraId="09143C89" w14:textId="77777777" w:rsidR="008F6FAD" w:rsidRDefault="008F6FAD">
      <w:pPr>
        <w:spacing w:line="240" w:lineRule="auto"/>
      </w:pPr>
    </w:p>
  </w:footnote>
  <w:footnote w:id="2">
    <w:p w14:paraId="1BE821F2" w14:textId="097894CD" w:rsidR="00045148" w:rsidRPr="0007574A" w:rsidRDefault="00045148" w:rsidP="00045148">
      <w:pPr>
        <w:pStyle w:val="FootnoteText"/>
      </w:pPr>
      <w:r w:rsidRPr="0007574A">
        <w:rPr>
          <w:rStyle w:val="Heading3Char"/>
        </w:rPr>
        <w:tab/>
        <w:t>*</w:t>
      </w:r>
      <w:r w:rsidRPr="0007574A">
        <w:rPr>
          <w:rStyle w:val="Heading3Char"/>
        </w:rPr>
        <w:tab/>
      </w:r>
      <w:r w:rsidR="006B2177">
        <w:t>Late submission is due to efforts</w:t>
      </w:r>
      <w:r w:rsidR="006B2177" w:rsidRPr="006B2177">
        <w:t xml:space="preserve"> to reflect properly the most recent information</w:t>
      </w:r>
      <w:r w:rsidR="006B2177">
        <w:t xml:space="preserve"> </w:t>
      </w:r>
      <w:r w:rsidR="006B2177" w:rsidRPr="006B2177">
        <w:t>for the review of the Human Rights Council</w:t>
      </w:r>
      <w:r w:rsidRPr="0007574A">
        <w:t>.</w:t>
      </w:r>
    </w:p>
  </w:footnote>
  <w:footnote w:id="3">
    <w:p w14:paraId="7D4D1FFD" w14:textId="77777777" w:rsidR="006B2177" w:rsidRPr="0047320A" w:rsidRDefault="006B2177" w:rsidP="006B2177">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153063">
        <w:rPr>
          <w:color w:val="000000"/>
          <w:szCs w:val="18"/>
        </w:rPr>
        <w:tab/>
      </w:r>
      <w:r>
        <w:rPr>
          <w:color w:val="000000"/>
          <w:szCs w:val="18"/>
        </w:rPr>
        <w:t xml:space="preserve">See </w:t>
      </w:r>
      <w:r w:rsidRPr="004167C0">
        <w:t>A/HRC/43/18</w:t>
      </w:r>
      <w:r w:rsidRPr="00E50B53">
        <w:t>, A/HRC/39/CRP.2.</w:t>
      </w:r>
    </w:p>
  </w:footnote>
  <w:footnote w:id="4">
    <w:p w14:paraId="12D122ED" w14:textId="77777777" w:rsidR="006B2177" w:rsidRPr="0047320A" w:rsidRDefault="006B2177" w:rsidP="006B2177">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153063">
        <w:rPr>
          <w:color w:val="000000"/>
          <w:szCs w:val="18"/>
        </w:rPr>
        <w:tab/>
      </w:r>
      <w:r>
        <w:rPr>
          <w:color w:val="000000"/>
          <w:szCs w:val="18"/>
        </w:rPr>
        <w:t xml:space="preserve">See </w:t>
      </w:r>
      <w:r>
        <w:t xml:space="preserve">also </w:t>
      </w:r>
      <w:r w:rsidRPr="00DB5888">
        <w:t>A/HRC/46/56</w:t>
      </w:r>
      <w:r>
        <w:t>.</w:t>
      </w:r>
    </w:p>
  </w:footnote>
  <w:footnote w:id="5">
    <w:p w14:paraId="7C3594DE" w14:textId="77777777" w:rsidR="006B2177" w:rsidRPr="00C1679D" w:rsidRDefault="006B2177" w:rsidP="006B2177">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CA1745">
        <w:rPr>
          <w:color w:val="000000"/>
          <w:szCs w:val="18"/>
        </w:rPr>
        <w:tab/>
      </w:r>
      <w:r w:rsidRPr="00304BDE">
        <w:rPr>
          <w:szCs w:val="18"/>
        </w:rPr>
        <w:t xml:space="preserve">See Chronology of Events in </w:t>
      </w:r>
      <w:r w:rsidRPr="00316D42">
        <w:rPr>
          <w:szCs w:val="18"/>
        </w:rPr>
        <w:t>A/HRC/48/CRP.2</w:t>
      </w:r>
      <w:r>
        <w:rPr>
          <w:szCs w:val="18"/>
        </w:rPr>
        <w:t>.</w:t>
      </w:r>
    </w:p>
  </w:footnote>
  <w:footnote w:id="6">
    <w:p w14:paraId="145A4A62" w14:textId="77777777" w:rsidR="00172FBD" w:rsidRPr="006674D7" w:rsidRDefault="00172FBD" w:rsidP="00172FB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t xml:space="preserve">See: OHCHR Myanmar Team, </w:t>
      </w:r>
      <w:r w:rsidRPr="00E57F6D">
        <w:rPr>
          <w:i/>
          <w:iCs/>
        </w:rPr>
        <w:t>Myanmar in Crisis: Human Rights Situation, February 2021</w:t>
      </w:r>
      <w:r>
        <w:t xml:space="preserve"> (11 February 2021), para. 5, at </w:t>
      </w:r>
      <w:hyperlink r:id="rId1" w:history="1">
        <w:r w:rsidRPr="00D33A51">
          <w:rPr>
            <w:rStyle w:val="Hyperlink"/>
          </w:rPr>
          <w:t>https://bangkok.ohchr.org/5902-2/</w:t>
        </w:r>
      </w:hyperlink>
      <w:r>
        <w:rPr>
          <w:rStyle w:val="Hyperlink"/>
        </w:rPr>
        <w:t>.</w:t>
      </w:r>
    </w:p>
  </w:footnote>
  <w:footnote w:id="7">
    <w:p w14:paraId="66E44856" w14:textId="77777777" w:rsidR="00172FBD" w:rsidRPr="006674D7" w:rsidRDefault="00172FBD" w:rsidP="00172FB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hyperlink r:id="rId2" w:history="1">
        <w:r w:rsidRPr="00144474">
          <w:rPr>
            <w:rStyle w:val="Hyperlink"/>
          </w:rPr>
          <w:t>Union</w:t>
        </w:r>
      </w:hyperlink>
      <w:r>
        <w:t xml:space="preserve"> Election Communication Notification No. 2/2021</w:t>
      </w:r>
      <w:r>
        <w:rPr>
          <w:rStyle w:val="Hyperlink"/>
        </w:rPr>
        <w:t>.</w:t>
      </w:r>
    </w:p>
  </w:footnote>
  <w:footnote w:id="8">
    <w:p w14:paraId="5EB7EC4F" w14:textId="77777777" w:rsidR="00172FBD" w:rsidRPr="006674D7" w:rsidRDefault="00172FBD" w:rsidP="00172FB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hyperlink r:id="rId3" w:history="1">
        <w:r w:rsidRPr="00144474">
          <w:rPr>
            <w:rStyle w:val="Hyperlink"/>
          </w:rPr>
          <w:t>SAC</w:t>
        </w:r>
      </w:hyperlink>
      <w:r>
        <w:t xml:space="preserve"> Order No. 152/2021</w:t>
      </w:r>
      <w:r>
        <w:rPr>
          <w:rStyle w:val="Hyperlink"/>
        </w:rPr>
        <w:t>.</w:t>
      </w:r>
    </w:p>
  </w:footnote>
  <w:footnote w:id="9">
    <w:p w14:paraId="50F18BC8" w14:textId="77777777" w:rsidR="00172FBD" w:rsidRPr="00C16452" w:rsidRDefault="00172FBD" w:rsidP="00172FBD">
      <w:pPr>
        <w:pStyle w:val="FootnoteText"/>
        <w:rPr>
          <w:lang w:val="en-US"/>
        </w:rPr>
      </w:pPr>
      <w:r>
        <w:tab/>
      </w:r>
      <w:r>
        <w:rPr>
          <w:rStyle w:val="FootnoteReference"/>
        </w:rPr>
        <w:footnoteRef/>
      </w:r>
      <w:r>
        <w:t xml:space="preserve"> </w:t>
      </w:r>
      <w:r>
        <w:rPr>
          <w:lang w:val="en-US"/>
        </w:rPr>
        <w:tab/>
      </w:r>
      <w:r w:rsidRPr="00C16452">
        <w:t xml:space="preserve">These actions led members of the Union parliament, elected in November 2020, to form the Committee Representing the </w:t>
      </w:r>
      <w:proofErr w:type="spellStart"/>
      <w:r w:rsidRPr="00C16452">
        <w:t>Pyidaungsu</w:t>
      </w:r>
      <w:proofErr w:type="spellEnd"/>
      <w:r w:rsidRPr="00C16452">
        <w:t xml:space="preserve"> </w:t>
      </w:r>
      <w:proofErr w:type="spellStart"/>
      <w:r w:rsidRPr="00C16452">
        <w:t>Hluttaw</w:t>
      </w:r>
      <w:proofErr w:type="spellEnd"/>
      <w:r w:rsidRPr="00C16452">
        <w:t xml:space="preserve"> (CRPH) and a National Unity Government (NUG) to</w:t>
      </w:r>
      <w:r>
        <w:t xml:space="preserve"> act in</w:t>
      </w:r>
      <w:r w:rsidRPr="00C16452">
        <w:t xml:space="preserve"> </w:t>
      </w:r>
      <w:r>
        <w:t>opposition to</w:t>
      </w:r>
      <w:r w:rsidRPr="00C16452">
        <w:t xml:space="preserve"> military</w:t>
      </w:r>
      <w:r>
        <w:t xml:space="preserve"> rule</w:t>
      </w:r>
      <w:r w:rsidRPr="00C16452">
        <w:t>. (see Section IX</w:t>
      </w:r>
      <w:r>
        <w:t xml:space="preserve">). </w:t>
      </w:r>
      <w:r w:rsidRPr="00271D4A">
        <w:t>See A/HRC/48/CRP.2</w:t>
      </w:r>
    </w:p>
  </w:footnote>
  <w:footnote w:id="10">
    <w:p w14:paraId="5D8C65E0"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2F3E3F">
        <w:rPr>
          <w:color w:val="000000"/>
          <w:szCs w:val="18"/>
        </w:rPr>
        <w:tab/>
      </w:r>
      <w:r>
        <w:t xml:space="preserve">Prohibiting “unlawful assembly, talks, using vehicles or in persons in marching around, protests, destroying and violent acts”, limiting public assemblies to less than five persons, and curfews between 8 p.m. and 4 a.m. See: Global New Light of Myanmar (GNLM), </w:t>
      </w:r>
      <w:r w:rsidRPr="009B4367">
        <w:rPr>
          <w:i/>
          <w:iCs/>
        </w:rPr>
        <w:t xml:space="preserve">Section 144 of Criminal Procedure </w:t>
      </w:r>
      <w:r>
        <w:rPr>
          <w:i/>
          <w:iCs/>
        </w:rPr>
        <w:t xml:space="preserve">Code </w:t>
      </w:r>
      <w:r w:rsidRPr="009B4367">
        <w:rPr>
          <w:i/>
          <w:iCs/>
        </w:rPr>
        <w:t>imposed in Nay</w:t>
      </w:r>
      <w:r>
        <w:rPr>
          <w:i/>
          <w:iCs/>
        </w:rPr>
        <w:t>p</w:t>
      </w:r>
      <w:r w:rsidRPr="009B4367">
        <w:rPr>
          <w:i/>
          <w:iCs/>
        </w:rPr>
        <w:t>yi</w:t>
      </w:r>
      <w:r>
        <w:rPr>
          <w:i/>
          <w:iCs/>
        </w:rPr>
        <w:t>d</w:t>
      </w:r>
      <w:r w:rsidRPr="009B4367">
        <w:rPr>
          <w:i/>
          <w:iCs/>
        </w:rPr>
        <w:t>aw territory and townships in states/regions</w:t>
      </w:r>
      <w:r>
        <w:t>, 10 February 2021</w:t>
      </w:r>
      <w:r w:rsidRPr="002F3E3F">
        <w:rPr>
          <w:color w:val="000000"/>
          <w:szCs w:val="18"/>
        </w:rPr>
        <w:t>.</w:t>
      </w:r>
    </w:p>
  </w:footnote>
  <w:footnote w:id="11">
    <w:p w14:paraId="6E2D23A1" w14:textId="5982A199" w:rsidR="00172FBD" w:rsidRPr="002320B4"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t>SAC Law No. 4/2021</w:t>
      </w:r>
      <w:r w:rsidR="008A0B43">
        <w:t>.</w:t>
      </w:r>
    </w:p>
  </w:footnote>
  <w:footnote w:id="12">
    <w:p w14:paraId="54BCCED9" w14:textId="485A578D"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2F3E3F">
        <w:rPr>
          <w:color w:val="000000"/>
          <w:szCs w:val="18"/>
        </w:rPr>
        <w:tab/>
      </w:r>
      <w:r>
        <w:t>SAC Law No. 3/2021</w:t>
      </w:r>
      <w:r w:rsidR="008A0B43">
        <w:t>.</w:t>
      </w:r>
    </w:p>
  </w:footnote>
  <w:footnote w:id="13">
    <w:p w14:paraId="6A58424E" w14:textId="63CF242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2F3E3F">
        <w:rPr>
          <w:color w:val="000000"/>
          <w:szCs w:val="18"/>
        </w:rPr>
        <w:tab/>
      </w:r>
      <w:r>
        <w:t>SAC Law No. 5/2021</w:t>
      </w:r>
      <w:r w:rsidR="008A0B43">
        <w:t>.</w:t>
      </w:r>
    </w:p>
  </w:footnote>
  <w:footnote w:id="14">
    <w:p w14:paraId="56F4A49E" w14:textId="15192AC9"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2F3E3F">
        <w:rPr>
          <w:color w:val="000000"/>
          <w:szCs w:val="18"/>
        </w:rPr>
        <w:tab/>
      </w:r>
      <w:r>
        <w:t>SAC Law No. 6/2021</w:t>
      </w:r>
      <w:r w:rsidR="008A0B43">
        <w:t>.</w:t>
      </w:r>
    </w:p>
  </w:footnote>
  <w:footnote w:id="15">
    <w:p w14:paraId="025C2C07" w14:textId="77777777" w:rsidR="00172FBD" w:rsidRPr="001B2713" w:rsidRDefault="00172FBD" w:rsidP="00172FBD">
      <w:pPr>
        <w:pStyle w:val="FootnoteText"/>
        <w:rPr>
          <w:lang w:val="en-US"/>
        </w:rPr>
      </w:pPr>
      <w:r>
        <w:tab/>
      </w:r>
      <w:r>
        <w:rPr>
          <w:rStyle w:val="FootnoteReference"/>
        </w:rPr>
        <w:footnoteRef/>
      </w:r>
      <w:r>
        <w:t xml:space="preserve"> </w:t>
      </w:r>
      <w:r>
        <w:tab/>
      </w:r>
      <w:proofErr w:type="gramStart"/>
      <w:r>
        <w:t>”Security</w:t>
      </w:r>
      <w:proofErr w:type="gramEnd"/>
      <w:r>
        <w:t xml:space="preserve"> forces” refers to both military and police forces.</w:t>
      </w:r>
    </w:p>
  </w:footnote>
  <w:footnote w:id="16">
    <w:p w14:paraId="2511A7DD"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Pr>
          <w:lang w:val="en-US"/>
        </w:rPr>
        <w:t xml:space="preserve">Martial Law Order 3/2021 </w:t>
      </w:r>
    </w:p>
  </w:footnote>
  <w:footnote w:id="17">
    <w:p w14:paraId="3161A048"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2F3E3F">
        <w:rPr>
          <w:color w:val="000000"/>
          <w:szCs w:val="18"/>
        </w:rPr>
        <w:tab/>
      </w:r>
      <w:r>
        <w:rPr>
          <w:lang w:val="en-US"/>
        </w:rPr>
        <w:t xml:space="preserve">Martial Law Order 5/2021 </w:t>
      </w:r>
    </w:p>
  </w:footnote>
  <w:footnote w:id="18">
    <w:p w14:paraId="14C60D4F" w14:textId="1A987056"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8D0592">
        <w:rPr>
          <w:szCs w:val="18"/>
          <w:lang w:val="en-US"/>
        </w:rPr>
        <w:t xml:space="preserve">A </w:t>
      </w:r>
      <w:r>
        <w:rPr>
          <w:szCs w:val="18"/>
          <w:lang w:val="en-US"/>
        </w:rPr>
        <w:t xml:space="preserve">‘name and shame’ </w:t>
      </w:r>
      <w:r w:rsidRPr="008D0592">
        <w:rPr>
          <w:szCs w:val="18"/>
          <w:lang w:val="en-US"/>
        </w:rPr>
        <w:t xml:space="preserve">campaign </w:t>
      </w:r>
      <w:r>
        <w:rPr>
          <w:szCs w:val="18"/>
          <w:lang w:val="en-US"/>
        </w:rPr>
        <w:t>targeting and publicly identifying families and relatives of high-ranking Tatmadaw officials</w:t>
      </w:r>
      <w:r>
        <w:rPr>
          <w:szCs w:val="18"/>
        </w:rPr>
        <w:t>.</w:t>
      </w:r>
    </w:p>
  </w:footnote>
  <w:footnote w:id="19">
    <w:p w14:paraId="0CF94068"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066840">
        <w:t>7Day News, The Voice, Eleven, The Myanmar Times, and The Standard Time (San Taw Chain)</w:t>
      </w:r>
      <w:r>
        <w:rPr>
          <w:szCs w:val="18"/>
        </w:rPr>
        <w:t>.</w:t>
      </w:r>
    </w:p>
  </w:footnote>
  <w:footnote w:id="20">
    <w:p w14:paraId="51288BCE"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rsidRPr="00066840">
        <w:t xml:space="preserve">Democratic Voice of Burma, </w:t>
      </w:r>
      <w:proofErr w:type="spellStart"/>
      <w:r w:rsidRPr="00066840">
        <w:t>Khit</w:t>
      </w:r>
      <w:proofErr w:type="spellEnd"/>
      <w:r w:rsidRPr="00066840">
        <w:t xml:space="preserve"> </w:t>
      </w:r>
      <w:proofErr w:type="spellStart"/>
      <w:r w:rsidRPr="00066840">
        <w:t>Thit</w:t>
      </w:r>
      <w:proofErr w:type="spellEnd"/>
      <w:r w:rsidRPr="00066840">
        <w:t xml:space="preserve"> Media, </w:t>
      </w:r>
      <w:proofErr w:type="spellStart"/>
      <w:r w:rsidRPr="00066840">
        <w:t>Mizzima</w:t>
      </w:r>
      <w:proofErr w:type="spellEnd"/>
      <w:r w:rsidRPr="00066840">
        <w:t>, Myanmar Now</w:t>
      </w:r>
      <w:r>
        <w:t>,</w:t>
      </w:r>
      <w:r w:rsidRPr="00066840">
        <w:t xml:space="preserve"> 7Day</w:t>
      </w:r>
      <w:r>
        <w:t xml:space="preserve"> News</w:t>
      </w:r>
      <w:r w:rsidRPr="00066840">
        <w:t xml:space="preserve">, </w:t>
      </w:r>
      <w:r>
        <w:t xml:space="preserve">74 Media, </w:t>
      </w:r>
      <w:proofErr w:type="spellStart"/>
      <w:r>
        <w:t>Myitkyina</w:t>
      </w:r>
      <w:proofErr w:type="spellEnd"/>
      <w:r>
        <w:t xml:space="preserve"> Journal, and </w:t>
      </w:r>
      <w:proofErr w:type="spellStart"/>
      <w:r>
        <w:t>Tachileik</w:t>
      </w:r>
      <w:proofErr w:type="spellEnd"/>
      <w:r>
        <w:t xml:space="preserve"> News Agency</w:t>
      </w:r>
      <w:r>
        <w:rPr>
          <w:szCs w:val="18"/>
        </w:rPr>
        <w:t>.</w:t>
      </w:r>
    </w:p>
  </w:footnote>
  <w:footnote w:id="21">
    <w:p w14:paraId="1B883641" w14:textId="77777777" w:rsidR="00172FBD" w:rsidRPr="00A42B2E" w:rsidRDefault="00172FBD" w:rsidP="00172FBD">
      <w:pPr>
        <w:pStyle w:val="FootnoteText"/>
        <w:rPr>
          <w:lang w:val="en-US"/>
        </w:rPr>
      </w:pPr>
      <w:r>
        <w:tab/>
      </w:r>
      <w:r>
        <w:rPr>
          <w:rStyle w:val="FootnoteReference"/>
        </w:rPr>
        <w:footnoteRef/>
      </w:r>
      <w:r>
        <w:t xml:space="preserve"> </w:t>
      </w:r>
      <w:r>
        <w:tab/>
        <w:t>“</w:t>
      </w:r>
      <w:r w:rsidRPr="00A42B2E">
        <w:t xml:space="preserve">Warnings have been issued against the use of military government that staged a coup in news reports, and action will be taken against violators who continue to use such usage in their writings by revoking publishing licences.” </w:t>
      </w:r>
      <w:r>
        <w:t xml:space="preserve">Global </w:t>
      </w:r>
      <w:r w:rsidRPr="00A42B2E">
        <w:t>N</w:t>
      </w:r>
      <w:r>
        <w:t xml:space="preserve">ew </w:t>
      </w:r>
      <w:r w:rsidRPr="00A42B2E">
        <w:t>L</w:t>
      </w:r>
      <w:r>
        <w:t xml:space="preserve">ight of </w:t>
      </w:r>
      <w:r w:rsidRPr="00A42B2E">
        <w:t>M</w:t>
      </w:r>
      <w:r>
        <w:t>yanmar</w:t>
      </w:r>
      <w:r w:rsidRPr="00A42B2E">
        <w:t>, 23 Feb</w:t>
      </w:r>
      <w:r>
        <w:t xml:space="preserve">ruary 2021 </w:t>
      </w:r>
      <w:r w:rsidRPr="0001244F">
        <w:t>https://www.gnlm.com.mm/council-needs-to-put-energy-into-reviving-countrys-ailing-economy-senior-general</w:t>
      </w:r>
      <w:r>
        <w:t xml:space="preserve"> </w:t>
      </w:r>
    </w:p>
  </w:footnote>
  <w:footnote w:id="22">
    <w:p w14:paraId="53961BFA"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t xml:space="preserve">See </w:t>
      </w:r>
      <w:r w:rsidRPr="009C52B1">
        <w:t>A/HRC/48/CRP.2</w:t>
      </w:r>
      <w:r>
        <w:t xml:space="preserve"> for details</w:t>
      </w:r>
      <w:r>
        <w:rPr>
          <w:szCs w:val="18"/>
        </w:rPr>
        <w:t>.</w:t>
      </w:r>
    </w:p>
  </w:footnote>
  <w:footnote w:id="23">
    <w:p w14:paraId="40BC20C9" w14:textId="77777777" w:rsidR="00172FBD" w:rsidRPr="002F3E3F" w:rsidRDefault="00172FBD" w:rsidP="00172FBD">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t>Ibid</w:t>
      </w:r>
      <w:r>
        <w:rPr>
          <w:szCs w:val="18"/>
        </w:rPr>
        <w:t>.</w:t>
      </w:r>
    </w:p>
  </w:footnote>
  <w:footnote w:id="24">
    <w:p w14:paraId="0C428621" w14:textId="651A5793" w:rsidR="00172FBD" w:rsidRPr="00B328DF" w:rsidRDefault="00172FBD" w:rsidP="00172FBD">
      <w:pPr>
        <w:pStyle w:val="FootnoteText"/>
        <w:rPr>
          <w:lang w:val="en-US"/>
        </w:rPr>
      </w:pPr>
      <w:r>
        <w:tab/>
      </w:r>
      <w:r>
        <w:rPr>
          <w:rStyle w:val="FootnoteReference"/>
        </w:rPr>
        <w:footnoteRef/>
      </w:r>
      <w:r>
        <w:tab/>
        <w:t xml:space="preserve">Myanmar Radio and Television broadcasts on 26 March 2021.  </w:t>
      </w:r>
    </w:p>
  </w:footnote>
  <w:footnote w:id="25">
    <w:p w14:paraId="4A05A160" w14:textId="77777777" w:rsidR="0000282B" w:rsidRPr="002F3E3F" w:rsidRDefault="0000282B" w:rsidP="0000282B">
      <w:pPr>
        <w:pStyle w:val="FootnoteText"/>
        <w:widowControl w:val="0"/>
        <w:kinsoku w:val="0"/>
        <w:overflowPunct w:val="0"/>
        <w:autoSpaceDE w:val="0"/>
        <w:autoSpaceDN w:val="0"/>
        <w:adjustRightInd w:val="0"/>
        <w:snapToGrid w:val="0"/>
        <w:rPr>
          <w:color w:val="000000"/>
          <w:szCs w:val="18"/>
        </w:rPr>
      </w:pPr>
      <w:r w:rsidRPr="002F3E3F">
        <w:rPr>
          <w:color w:val="000000"/>
          <w:szCs w:val="18"/>
        </w:rPr>
        <w:tab/>
      </w:r>
      <w:r w:rsidRPr="00812ECF">
        <w:rPr>
          <w:rStyle w:val="FootnoteReference"/>
          <w:color w:val="000000"/>
          <w:szCs w:val="18"/>
        </w:rPr>
        <w:footnoteRef/>
      </w:r>
      <w:r w:rsidRPr="002F3E3F">
        <w:rPr>
          <w:color w:val="000000"/>
          <w:szCs w:val="18"/>
        </w:rPr>
        <w:tab/>
      </w:r>
      <w:r>
        <w:t xml:space="preserve">See </w:t>
      </w:r>
      <w:r w:rsidRPr="009C52B1">
        <w:t>A/HRC/48/CRP.2</w:t>
      </w:r>
      <w:r>
        <w:rPr>
          <w:szCs w:val="18"/>
        </w:rPr>
        <w:t>.</w:t>
      </w:r>
    </w:p>
  </w:footnote>
  <w:footnote w:id="26">
    <w:p w14:paraId="37F78EFB" w14:textId="77777777" w:rsidR="0055783C" w:rsidRPr="00E76F36" w:rsidRDefault="0055783C" w:rsidP="0055783C">
      <w:pPr>
        <w:pStyle w:val="FootnoteText"/>
        <w:tabs>
          <w:tab w:val="left" w:pos="889"/>
        </w:tabs>
        <w:rPr>
          <w:lang w:val="en-US"/>
        </w:rPr>
      </w:pPr>
      <w:r>
        <w:tab/>
      </w:r>
      <w:r>
        <w:tab/>
      </w:r>
      <w:r w:rsidRPr="221DC60E">
        <w:rPr>
          <w:rStyle w:val="FootnoteReference"/>
        </w:rPr>
        <w:footnoteRef/>
      </w:r>
      <w:r w:rsidRPr="221DC60E">
        <w:rPr>
          <w:rStyle w:val="FootnoteReference"/>
        </w:rPr>
        <w:t xml:space="preserve"> </w:t>
      </w:r>
      <w:r>
        <w:rPr>
          <w:rStyle w:val="FootnoteReference"/>
          <w:szCs w:val="18"/>
        </w:rPr>
        <w:tab/>
      </w:r>
      <w:r w:rsidRPr="003F1EF7">
        <w:rPr>
          <w:rStyle w:val="normaltextrun"/>
        </w:rPr>
        <w:t>See</w:t>
      </w:r>
      <w:r>
        <w:rPr>
          <w:rStyle w:val="normaltextrun"/>
        </w:rPr>
        <w:t xml:space="preserve"> </w:t>
      </w:r>
      <w:r>
        <w:t>A/HRC/39/64, among others.</w:t>
      </w:r>
    </w:p>
  </w:footnote>
  <w:footnote w:id="27">
    <w:p w14:paraId="2F35090E" w14:textId="77777777" w:rsidR="0055783C" w:rsidRPr="00E76F36" w:rsidRDefault="0055783C" w:rsidP="0055783C">
      <w:pPr>
        <w:pStyle w:val="FootnoteText"/>
        <w:tabs>
          <w:tab w:val="left" w:pos="889"/>
        </w:tabs>
        <w:rPr>
          <w:lang w:val="en-US"/>
        </w:rPr>
      </w:pPr>
      <w:r>
        <w:tab/>
      </w:r>
      <w:r>
        <w:tab/>
      </w:r>
      <w:r w:rsidRPr="00D50ABD">
        <w:rPr>
          <w:rStyle w:val="FootnoteReference"/>
          <w:szCs w:val="18"/>
        </w:rPr>
        <w:footnoteRef/>
      </w:r>
      <w:r w:rsidRPr="00E76F36">
        <w:rPr>
          <w:rStyle w:val="FootnoteReference"/>
          <w:szCs w:val="18"/>
        </w:rPr>
        <w:t xml:space="preserve"> </w:t>
      </w:r>
      <w:r>
        <w:rPr>
          <w:rStyle w:val="FootnoteReference"/>
          <w:szCs w:val="18"/>
        </w:rPr>
        <w:tab/>
      </w:r>
      <w:r w:rsidRPr="003F1EF7">
        <w:rPr>
          <w:rStyle w:val="normaltextrun"/>
        </w:rPr>
        <w:t>See A/HRC/</w:t>
      </w:r>
      <w:r>
        <w:rPr>
          <w:rStyle w:val="normaltextrun"/>
        </w:rPr>
        <w:t>48/CRP</w:t>
      </w:r>
      <w:r w:rsidRPr="00C22C42">
        <w:rPr>
          <w:rStyle w:val="normaltextrun"/>
        </w:rPr>
        <w:t>.</w:t>
      </w:r>
      <w:r w:rsidRPr="0048433B">
        <w:rPr>
          <w:rStyle w:val="normaltextrun"/>
        </w:rPr>
        <w:t>2</w:t>
      </w:r>
      <w:r>
        <w:rPr>
          <w:rStyle w:val="normaltextrun"/>
        </w:rPr>
        <w:t xml:space="preserve"> for </w:t>
      </w:r>
      <w:r w:rsidRPr="003F1EF7">
        <w:rPr>
          <w:rStyle w:val="normaltextrun"/>
        </w:rPr>
        <w:t>related map</w:t>
      </w:r>
      <w:r>
        <w:rPr>
          <w:rStyle w:val="normaltextrun"/>
        </w:rPr>
        <w:t>.</w:t>
      </w:r>
    </w:p>
  </w:footnote>
  <w:footnote w:id="28">
    <w:p w14:paraId="20A917B5" w14:textId="77777777" w:rsidR="0055783C" w:rsidRPr="006674D7" w:rsidRDefault="0055783C" w:rsidP="0055783C">
      <w:pPr>
        <w:pStyle w:val="FootnoteText"/>
      </w:pPr>
      <w:r>
        <w:tab/>
      </w:r>
      <w:r>
        <w:rPr>
          <w:rStyle w:val="FootnoteReference"/>
        </w:rPr>
        <w:footnoteRef/>
      </w:r>
      <w:r>
        <w:t xml:space="preserve"> </w:t>
      </w:r>
      <w:r>
        <w:rPr>
          <w:szCs w:val="18"/>
        </w:rPr>
        <w:tab/>
      </w:r>
      <w:r>
        <w:t xml:space="preserve">According to ICRC Commentaries of 2016 on Article 3 of Geneva Convention I, para. 425, “Non-international armed conflicts are </w:t>
      </w:r>
      <w:r>
        <w:rPr>
          <w:i/>
          <w:iCs/>
        </w:rPr>
        <w:t>protracted armed confrontations</w:t>
      </w:r>
      <w:r>
        <w:t xml:space="preserve"> occurring between governmental armed forces and the forces of one or more armed groups, or between such groups arising on the territory of a State. The armed confrontation must reach a </w:t>
      </w:r>
      <w:r>
        <w:rPr>
          <w:i/>
          <w:iCs/>
        </w:rPr>
        <w:t>minimum level of intensity</w:t>
      </w:r>
      <w:r>
        <w:t xml:space="preserve"> and the parties involved in the conflict must show a </w:t>
      </w:r>
      <w:r>
        <w:rPr>
          <w:i/>
          <w:iCs/>
        </w:rPr>
        <w:t>minimum of organisation</w:t>
      </w:r>
      <w:r>
        <w:t>.”</w:t>
      </w:r>
    </w:p>
  </w:footnote>
  <w:footnote w:id="29">
    <w:p w14:paraId="11FF4862" w14:textId="77777777" w:rsidR="0055783C" w:rsidRPr="006674D7" w:rsidRDefault="0055783C" w:rsidP="0055783C">
      <w:pPr>
        <w:pStyle w:val="FootnoteText"/>
      </w:pPr>
      <w:r>
        <w:tab/>
      </w:r>
      <w:r>
        <w:rPr>
          <w:rStyle w:val="FootnoteReference"/>
        </w:rPr>
        <w:footnoteRef/>
      </w:r>
      <w:r>
        <w:t xml:space="preserve"> </w:t>
      </w:r>
      <w:r>
        <w:rPr>
          <w:szCs w:val="18"/>
        </w:rPr>
        <w:tab/>
      </w:r>
      <w:r w:rsidRPr="0016084D">
        <w:t>For previous examples</w:t>
      </w:r>
      <w:r>
        <w:t>,</w:t>
      </w:r>
      <w:r w:rsidRPr="0016084D">
        <w:t xml:space="preserve"> see A/HRC/39/CRP.2 </w:t>
      </w:r>
      <w:r>
        <w:t>and</w:t>
      </w:r>
      <w:r w:rsidRPr="0016084D">
        <w:t xml:space="preserve"> A/HRC/42/50</w:t>
      </w:r>
      <w:r>
        <w:t>.</w:t>
      </w:r>
    </w:p>
  </w:footnote>
  <w:footnote w:id="30">
    <w:p w14:paraId="098891F9" w14:textId="77777777" w:rsidR="0055783C" w:rsidRPr="0085777F" w:rsidRDefault="0055783C" w:rsidP="0055783C">
      <w:pPr>
        <w:pStyle w:val="FootnoteText"/>
      </w:pPr>
      <w:r>
        <w:tab/>
      </w:r>
      <w:r>
        <w:rPr>
          <w:rStyle w:val="FootnoteReference"/>
        </w:rPr>
        <w:footnoteRef/>
      </w:r>
      <w:r>
        <w:t xml:space="preserve"> </w:t>
      </w:r>
      <w:r>
        <w:tab/>
      </w:r>
      <w:r w:rsidRPr="41DED6CC" w:rsidDel="41DED6CC">
        <w:rPr>
          <w:rFonts w:eastAsia="Calibri"/>
          <w:color w:val="000000" w:themeColor="text1"/>
        </w:rPr>
        <w:t>OCHA</w:t>
      </w:r>
      <w:r w:rsidRPr="7C6C4162" w:rsidDel="7C6C4162">
        <w:rPr>
          <w:rFonts w:eastAsia="Calibri"/>
          <w:color w:val="000000" w:themeColor="text1"/>
        </w:rPr>
        <w:t>,</w:t>
      </w:r>
      <w:r w:rsidRPr="11A6AB41">
        <w:rPr>
          <w:rFonts w:eastAsia="Calibri"/>
          <w:color w:val="000000" w:themeColor="text1"/>
        </w:rPr>
        <w:t xml:space="preserve"> “M</w:t>
      </w:r>
      <w:r w:rsidRPr="7C6C4162">
        <w:rPr>
          <w:rFonts w:eastAsia="Calibri"/>
          <w:color w:val="000000" w:themeColor="text1"/>
        </w:rPr>
        <w:t xml:space="preserve">yanmar </w:t>
      </w:r>
      <w:r w:rsidRPr="0016084D">
        <w:rPr>
          <w:rFonts w:eastAsia="Calibri"/>
          <w:color w:val="000000" w:themeColor="text1"/>
        </w:rPr>
        <w:t>Humanitarian Update No. 3”</w:t>
      </w:r>
      <w:r w:rsidRPr="62FD4DBC">
        <w:rPr>
          <w:rFonts w:eastAsia="Calibri"/>
          <w:color w:val="000000" w:themeColor="text1"/>
        </w:rPr>
        <w:t>,</w:t>
      </w:r>
      <w:r w:rsidRPr="0016084D">
        <w:rPr>
          <w:rFonts w:eastAsia="Calibri"/>
          <w:color w:val="000000" w:themeColor="text1"/>
        </w:rPr>
        <w:t xml:space="preserve"> 27 January 2021. </w:t>
      </w:r>
      <w:r w:rsidRPr="1ACD9005">
        <w:rPr>
          <w:rFonts w:eastAsia="Calibri"/>
          <w:i/>
          <w:iCs/>
          <w:color w:val="000000" w:themeColor="text1"/>
        </w:rPr>
        <w:t>See also</w:t>
      </w:r>
      <w:r w:rsidRPr="0016084D">
        <w:rPr>
          <w:rFonts w:eastAsia="Calibri"/>
          <w:color w:val="000000" w:themeColor="text1"/>
        </w:rPr>
        <w:t xml:space="preserve"> “OCHA Humanitarian Needs Overview </w:t>
      </w:r>
      <w:r>
        <w:rPr>
          <w:rFonts w:eastAsia="Calibri"/>
          <w:color w:val="000000" w:themeColor="text1"/>
        </w:rPr>
        <w:t>Myanmar</w:t>
      </w:r>
      <w:r w:rsidRPr="0016084D">
        <w:rPr>
          <w:rFonts w:eastAsia="Calibri"/>
          <w:color w:val="000000" w:themeColor="text1"/>
        </w:rPr>
        <w:t xml:space="preserve"> 2021”, p</w:t>
      </w:r>
      <w:r>
        <w:rPr>
          <w:rFonts w:eastAsia="Calibri"/>
          <w:color w:val="000000" w:themeColor="text1"/>
        </w:rPr>
        <w:t>.</w:t>
      </w:r>
      <w:r w:rsidRPr="1A5B293B">
        <w:rPr>
          <w:rFonts w:eastAsia="Calibri"/>
          <w:color w:val="000000"/>
        </w:rPr>
        <w:t>18</w:t>
      </w:r>
      <w:r w:rsidRPr="00CE3457">
        <w:t>.</w:t>
      </w:r>
    </w:p>
  </w:footnote>
  <w:footnote w:id="31">
    <w:p w14:paraId="5754C40A" w14:textId="77777777" w:rsidR="0055783C" w:rsidRPr="0085777F" w:rsidRDefault="0055783C" w:rsidP="0055783C">
      <w:pPr>
        <w:pStyle w:val="FootnoteText"/>
      </w:pPr>
      <w:r>
        <w:tab/>
      </w:r>
      <w:r>
        <w:rPr>
          <w:rStyle w:val="FootnoteReference"/>
        </w:rPr>
        <w:footnoteRef/>
      </w:r>
      <w:r>
        <w:t xml:space="preserve"> </w:t>
      </w:r>
      <w:r>
        <w:tab/>
      </w:r>
      <w:r w:rsidRPr="00CE3457">
        <w:t>See A/HRC/48/CRP.</w:t>
      </w:r>
      <w:r>
        <w:t>2</w:t>
      </w:r>
      <w:r w:rsidRPr="00CE3457">
        <w:t xml:space="preserve"> for more details.</w:t>
      </w:r>
    </w:p>
  </w:footnote>
  <w:footnote w:id="32">
    <w:p w14:paraId="69F19184" w14:textId="77777777" w:rsidR="0055783C" w:rsidRPr="00C1753F" w:rsidRDefault="0055783C" w:rsidP="0055783C">
      <w:pPr>
        <w:pStyle w:val="FootnoteText"/>
        <w:widowControl w:val="0"/>
        <w:kinsoku w:val="0"/>
        <w:overflowPunct w:val="0"/>
        <w:autoSpaceDE w:val="0"/>
        <w:autoSpaceDN w:val="0"/>
        <w:adjustRightInd w:val="0"/>
        <w:snapToGrid w:val="0"/>
      </w:pPr>
      <w:r w:rsidRPr="00C1753F">
        <w:rPr>
          <w:szCs w:val="18"/>
        </w:rPr>
        <w:tab/>
      </w:r>
      <w:r w:rsidRPr="69E6703C">
        <w:rPr>
          <w:rStyle w:val="FootnoteReference"/>
        </w:rPr>
        <w:footnoteRef/>
      </w:r>
      <w:r w:rsidRPr="00C1753F">
        <w:rPr>
          <w:szCs w:val="18"/>
        </w:rPr>
        <w:tab/>
      </w:r>
      <w:r w:rsidDel="3E0120DA">
        <w:t>OCHA,</w:t>
      </w:r>
      <w:r>
        <w:t xml:space="preserve"> “</w:t>
      </w:r>
      <w:r w:rsidRPr="69E6703C">
        <w:t>Myanmar: Humanitarian Snapshot</w:t>
      </w:r>
      <w:r>
        <w:t>”,</w:t>
      </w:r>
      <w:r w:rsidRPr="69E6703C">
        <w:t xml:space="preserve"> 18 May 2021</w:t>
      </w:r>
      <w:r w:rsidRPr="3E0120DA">
        <w:t>.</w:t>
      </w:r>
    </w:p>
  </w:footnote>
  <w:footnote w:id="33">
    <w:p w14:paraId="736865A4" w14:textId="77777777" w:rsidR="0055783C" w:rsidRPr="006674D7" w:rsidRDefault="0055783C" w:rsidP="0055783C">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t xml:space="preserve">GNLM, </w:t>
      </w:r>
      <w:r w:rsidRPr="00801F58">
        <w:rPr>
          <w:i/>
        </w:rPr>
        <w:t>KNDO abducts innocent 47 workers</w:t>
      </w:r>
      <w:r>
        <w:t>, 14 June 2021</w:t>
      </w:r>
      <w:r>
        <w:rPr>
          <w:szCs w:val="18"/>
        </w:rPr>
        <w:t>.</w:t>
      </w:r>
    </w:p>
  </w:footnote>
  <w:footnote w:id="34">
    <w:p w14:paraId="07104BFA" w14:textId="77777777" w:rsidR="0055783C" w:rsidRPr="00831478" w:rsidRDefault="0055783C" w:rsidP="0055783C">
      <w:pPr>
        <w:pStyle w:val="FootnoteText"/>
        <w:widowControl w:val="0"/>
        <w:kinsoku w:val="0"/>
        <w:overflowPunct w:val="0"/>
        <w:autoSpaceDE w:val="0"/>
        <w:autoSpaceDN w:val="0"/>
        <w:adjustRightInd w:val="0"/>
        <w:snapToGrid w:val="0"/>
        <w:rPr>
          <w:color w:val="000000"/>
          <w:szCs w:val="18"/>
        </w:rPr>
      </w:pPr>
      <w:r w:rsidRPr="00054AB0">
        <w:rPr>
          <w:color w:val="000000"/>
          <w:szCs w:val="18"/>
        </w:rPr>
        <w:tab/>
      </w:r>
      <w:r w:rsidRPr="00812ECF">
        <w:rPr>
          <w:rStyle w:val="FootnoteReference"/>
          <w:color w:val="000000"/>
          <w:szCs w:val="18"/>
        </w:rPr>
        <w:footnoteRef/>
      </w:r>
      <w:r w:rsidRPr="00831478">
        <w:rPr>
          <w:color w:val="000000"/>
          <w:szCs w:val="18"/>
        </w:rPr>
        <w:tab/>
      </w:r>
      <w:r w:rsidRPr="00831478">
        <w:t xml:space="preserve">UNHCR Myanmar Emergency Overview Map, </w:t>
      </w:r>
      <w:r>
        <w:t>12 July 2021.</w:t>
      </w:r>
    </w:p>
  </w:footnote>
  <w:footnote w:id="35">
    <w:p w14:paraId="173F71FE" w14:textId="77777777" w:rsidR="0055783C" w:rsidRPr="002F5672" w:rsidRDefault="0055783C" w:rsidP="0055783C">
      <w:pPr>
        <w:pStyle w:val="FootnoteText"/>
        <w:widowControl w:val="0"/>
        <w:kinsoku w:val="0"/>
        <w:overflowPunct w:val="0"/>
        <w:autoSpaceDE w:val="0"/>
        <w:autoSpaceDN w:val="0"/>
        <w:adjustRightInd w:val="0"/>
        <w:snapToGrid w:val="0"/>
        <w:rPr>
          <w:color w:val="000000"/>
          <w:szCs w:val="18"/>
        </w:rPr>
      </w:pPr>
      <w:r w:rsidRPr="00992A60">
        <w:rPr>
          <w:color w:val="000000"/>
          <w:szCs w:val="18"/>
        </w:rPr>
        <w:tab/>
      </w:r>
      <w:r w:rsidRPr="00992A60">
        <w:rPr>
          <w:rStyle w:val="FootnoteReference"/>
          <w:color w:val="000000"/>
          <w:szCs w:val="18"/>
        </w:rPr>
        <w:footnoteRef/>
      </w:r>
      <w:r w:rsidRPr="002F5672">
        <w:rPr>
          <w:color w:val="000000"/>
          <w:szCs w:val="18"/>
        </w:rPr>
        <w:tab/>
      </w:r>
      <w:r w:rsidRPr="002F5672">
        <w:rPr>
          <w:rStyle w:val="Hyperlink"/>
          <w:color w:val="000000"/>
          <w:szCs w:val="18"/>
        </w:rPr>
        <w:t>Ibid.</w:t>
      </w:r>
    </w:p>
  </w:footnote>
  <w:footnote w:id="36">
    <w:p w14:paraId="7804CB47" w14:textId="77777777" w:rsidR="0055783C" w:rsidRPr="00AF40F8" w:rsidRDefault="0055783C" w:rsidP="0055783C">
      <w:pPr>
        <w:pStyle w:val="FootnoteText"/>
        <w:widowControl w:val="0"/>
        <w:kinsoku w:val="0"/>
        <w:overflowPunct w:val="0"/>
        <w:autoSpaceDE w:val="0"/>
        <w:autoSpaceDN w:val="0"/>
        <w:adjustRightInd w:val="0"/>
        <w:snapToGrid w:val="0"/>
        <w:rPr>
          <w:color w:val="000000"/>
          <w:szCs w:val="18"/>
        </w:rPr>
      </w:pPr>
      <w:r w:rsidRPr="00C116B9">
        <w:rPr>
          <w:color w:val="000000"/>
          <w:szCs w:val="18"/>
        </w:rPr>
        <w:tab/>
      </w:r>
      <w:r w:rsidRPr="00812ECF">
        <w:rPr>
          <w:rStyle w:val="FootnoteReference"/>
          <w:color w:val="000000"/>
          <w:szCs w:val="18"/>
        </w:rPr>
        <w:footnoteRef/>
      </w:r>
      <w:r w:rsidRPr="003851E3">
        <w:rPr>
          <w:color w:val="000000"/>
          <w:szCs w:val="18"/>
        </w:rPr>
        <w:tab/>
        <w:t>OCHA Humanitarian Update No. 8, 24 June 2021</w:t>
      </w:r>
      <w:r>
        <w:rPr>
          <w:color w:val="000000"/>
          <w:szCs w:val="18"/>
        </w:rPr>
        <w:t xml:space="preserve">; </w:t>
      </w:r>
      <w:r w:rsidRPr="00CC2C0C">
        <w:rPr>
          <w:color w:val="000000"/>
          <w:szCs w:val="18"/>
        </w:rPr>
        <w:t xml:space="preserve">2021 </w:t>
      </w:r>
      <w:r>
        <w:rPr>
          <w:color w:val="000000"/>
          <w:szCs w:val="18"/>
        </w:rPr>
        <w:t>figures</w:t>
      </w:r>
      <w:r w:rsidRPr="00CC2C0C">
        <w:rPr>
          <w:color w:val="000000"/>
          <w:szCs w:val="18"/>
        </w:rPr>
        <w:t xml:space="preserve"> include </w:t>
      </w:r>
      <w:r>
        <w:rPr>
          <w:color w:val="000000"/>
          <w:szCs w:val="18"/>
        </w:rPr>
        <w:t>two s</w:t>
      </w:r>
      <w:r w:rsidRPr="00CC2C0C">
        <w:rPr>
          <w:color w:val="000000"/>
          <w:szCs w:val="18"/>
        </w:rPr>
        <w:t>outhern Shan State</w:t>
      </w:r>
      <w:r>
        <w:rPr>
          <w:color w:val="000000"/>
          <w:szCs w:val="18"/>
        </w:rPr>
        <w:t xml:space="preserve"> townships.</w:t>
      </w:r>
    </w:p>
  </w:footnote>
  <w:footnote w:id="37">
    <w:p w14:paraId="6AF750DC" w14:textId="3978EB0F" w:rsidR="0055783C" w:rsidRPr="00812ECF" w:rsidRDefault="0055783C" w:rsidP="0055783C">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127695">
        <w:rPr>
          <w:color w:val="000000"/>
          <w:szCs w:val="18"/>
        </w:rPr>
        <w:t xml:space="preserve">See </w:t>
      </w:r>
      <w:r w:rsidRPr="00127695">
        <w:t>UNICEF, Landmines/ERW Incidents information (2021) Factsheet (January – June 2021)</w:t>
      </w:r>
      <w:r w:rsidR="008A0B43">
        <w:t>.</w:t>
      </w:r>
    </w:p>
  </w:footnote>
  <w:footnote w:id="38">
    <w:p w14:paraId="5AEF0AA8" w14:textId="77777777" w:rsidR="0055783C" w:rsidRPr="00812ECF" w:rsidRDefault="0055783C" w:rsidP="0055783C">
      <w:pPr>
        <w:pStyle w:val="FootnoteText"/>
        <w:widowControl w:val="0"/>
        <w:kinsoku w:val="0"/>
        <w:overflowPunct w:val="0"/>
        <w:autoSpaceDE w:val="0"/>
        <w:autoSpaceDN w:val="0"/>
        <w:adjustRightInd w:val="0"/>
        <w:snapToGrid w:val="0"/>
        <w:ind w:hanging="283"/>
        <w:rPr>
          <w:color w:val="000000"/>
        </w:rPr>
      </w:pPr>
      <w:r w:rsidRPr="25F0840B">
        <w:rPr>
          <w:rStyle w:val="FootnoteReference"/>
          <w:color w:val="000000"/>
        </w:rPr>
        <w:footnoteRef/>
      </w:r>
      <w:r w:rsidRPr="00812ECF">
        <w:rPr>
          <w:color w:val="000000"/>
          <w:szCs w:val="18"/>
        </w:rPr>
        <w:tab/>
      </w:r>
      <w:r w:rsidRPr="00812ECF">
        <w:rPr>
          <w:color w:val="000000"/>
          <w:szCs w:val="18"/>
        </w:rPr>
        <w:tab/>
      </w:r>
      <w:r w:rsidRPr="25F0840B">
        <w:t>WFP, “Myanmar: Analysis of the Economic Fallout &amp; Food Insecurity in Wake of the Takeover”, April 2021</w:t>
      </w:r>
      <w:r w:rsidRPr="25F0840B">
        <w:rPr>
          <w:color w:val="000000"/>
        </w:rPr>
        <w:t>.</w:t>
      </w:r>
    </w:p>
  </w:footnote>
  <w:footnote w:id="39">
    <w:p w14:paraId="1F78C07A" w14:textId="4D115B17" w:rsidR="0055783C" w:rsidRPr="00812ECF" w:rsidRDefault="008A0B43" w:rsidP="008A0B43">
      <w:pPr>
        <w:pStyle w:val="FootnoteText"/>
        <w:rPr>
          <w:color w:val="000000"/>
        </w:rPr>
      </w:pPr>
      <w:r>
        <w:rPr>
          <w:color w:val="000000"/>
          <w:szCs w:val="18"/>
        </w:rPr>
        <w:tab/>
      </w:r>
      <w:r w:rsidR="0055783C" w:rsidRPr="25F0840B">
        <w:rPr>
          <w:rStyle w:val="FootnoteReference"/>
          <w:color w:val="000000"/>
        </w:rPr>
        <w:footnoteRef/>
      </w:r>
      <w:r>
        <w:rPr>
          <w:color w:val="000000"/>
          <w:szCs w:val="18"/>
        </w:rPr>
        <w:tab/>
      </w:r>
      <w:r w:rsidR="0055783C" w:rsidRPr="25F0840B">
        <w:rPr>
          <w:color w:val="000000"/>
        </w:rPr>
        <w:t xml:space="preserve">See </w:t>
      </w:r>
      <w:r w:rsidR="0055783C" w:rsidRPr="003157BE">
        <w:t>https://www.re-course.org/wp-content/uploads/2021/06/ALTSEAN-IFI-Watch-Recourse-Junta-Economy-0621.pdf</w:t>
      </w:r>
      <w:r w:rsidR="0055783C">
        <w:t>, p. 3</w:t>
      </w:r>
      <w:r w:rsidR="0055783C" w:rsidRPr="25F0840B">
        <w:rPr>
          <w:color w:val="000000"/>
        </w:rPr>
        <w:t>.</w:t>
      </w:r>
    </w:p>
  </w:footnote>
  <w:footnote w:id="40">
    <w:p w14:paraId="767CBBF1" w14:textId="0CD7F642" w:rsidR="0055783C" w:rsidRPr="00152EFC" w:rsidRDefault="008A0B43" w:rsidP="008A0B43">
      <w:pPr>
        <w:pStyle w:val="FootnoteText"/>
      </w:pPr>
      <w:r>
        <w:rPr>
          <w:color w:val="000000"/>
          <w:szCs w:val="18"/>
        </w:rPr>
        <w:tab/>
      </w:r>
      <w:r w:rsidR="0055783C" w:rsidRPr="25F0840B">
        <w:rPr>
          <w:rStyle w:val="FootnoteReference"/>
          <w:color w:val="000000"/>
        </w:rPr>
        <w:footnoteRef/>
      </w:r>
      <w:r>
        <w:rPr>
          <w:color w:val="000000"/>
          <w:szCs w:val="18"/>
        </w:rPr>
        <w:tab/>
      </w:r>
      <w:r w:rsidR="0055783C" w:rsidRPr="25F0840B">
        <w:t>International Food Policy Research Institute, “Monitoring the Agri-food System in</w:t>
      </w:r>
      <w:r w:rsidR="0055783C">
        <w:rPr>
          <w:szCs w:val="18"/>
        </w:rPr>
        <w:t xml:space="preserve"> </w:t>
      </w:r>
      <w:r w:rsidR="0055783C" w:rsidRPr="25F0840B">
        <w:t>Myanmar”, July 2021, http://ebrary.ifpri.org/utils/getfile/collection/p15738coll2/id/134457/filename/134667.pdf</w:t>
      </w:r>
      <w:r w:rsidR="0055783C">
        <w:rPr>
          <w:szCs w:val="18"/>
        </w:rPr>
        <w:t>.</w:t>
      </w:r>
    </w:p>
  </w:footnote>
  <w:footnote w:id="41">
    <w:p w14:paraId="2A431286" w14:textId="50F0487E" w:rsidR="0055783C" w:rsidRPr="00812ECF" w:rsidRDefault="008A0B43" w:rsidP="008A0B43">
      <w:pPr>
        <w:pStyle w:val="FootnoteText"/>
      </w:pPr>
      <w:r>
        <w:rPr>
          <w:szCs w:val="18"/>
        </w:rPr>
        <w:tab/>
      </w:r>
      <w:r w:rsidR="0055783C" w:rsidRPr="25F0840B">
        <w:rPr>
          <w:rStyle w:val="FootnoteReference"/>
          <w:color w:val="000000"/>
        </w:rPr>
        <w:footnoteRef/>
      </w:r>
      <w:r>
        <w:rPr>
          <w:szCs w:val="18"/>
        </w:rPr>
        <w:tab/>
      </w:r>
      <w:r w:rsidR="0055783C" w:rsidRPr="25F0840B">
        <w:t>Insecurity Insight, “Violence Against or Obstruction of Education in Myanmar v. July 2021”, https://bit.ly/MyanmarEducationJuly2021.</w:t>
      </w:r>
    </w:p>
  </w:footnote>
  <w:footnote w:id="42">
    <w:p w14:paraId="6A2A6FD3" w14:textId="243E4315" w:rsidR="0055783C" w:rsidRPr="00812ECF" w:rsidRDefault="008A0B43" w:rsidP="008A0B43">
      <w:pPr>
        <w:pStyle w:val="FootnoteText"/>
        <w:rPr>
          <w:color w:val="000000"/>
        </w:rPr>
      </w:pPr>
      <w:r>
        <w:rPr>
          <w:color w:val="000000"/>
          <w:szCs w:val="18"/>
        </w:rPr>
        <w:tab/>
      </w:r>
      <w:r w:rsidR="0055783C" w:rsidRPr="25F0840B">
        <w:rPr>
          <w:rStyle w:val="FootnoteReference"/>
          <w:color w:val="000000"/>
        </w:rPr>
        <w:footnoteRef/>
      </w:r>
      <w:r>
        <w:rPr>
          <w:color w:val="000000"/>
          <w:szCs w:val="18"/>
        </w:rPr>
        <w:tab/>
      </w:r>
      <w:r w:rsidR="0055783C" w:rsidRPr="25F0840B">
        <w:t xml:space="preserve">WHO Surveillance System for Attacks on Health Care, </w:t>
      </w:r>
      <w:hyperlink r:id="rId4" w:history="1">
        <w:r w:rsidR="0055783C" w:rsidRPr="008A0B43">
          <w:rPr>
            <w:rStyle w:val="Hyperlink"/>
          </w:rPr>
          <w:t>extranet.who.int/ssa/LeftMenu/Index.aspx?utm_source=Stopping%20attacks%20on%20health%20care%20description&amp;utm_medium=link&amp;utm_campaign=Link_who</w:t>
        </w:r>
      </w:hyperlink>
      <w:r w:rsidR="0055783C" w:rsidRPr="008A0B43">
        <w:rPr>
          <w:color w:val="000000"/>
        </w:rPr>
        <w:t>.</w:t>
      </w:r>
    </w:p>
  </w:footnote>
  <w:footnote w:id="43">
    <w:p w14:paraId="7910E6FD" w14:textId="671CA15F" w:rsidR="0055783C" w:rsidRPr="00812ECF" w:rsidRDefault="008A0B43" w:rsidP="008A0B43">
      <w:pPr>
        <w:pStyle w:val="FootnoteText"/>
        <w:rPr>
          <w:color w:val="000000"/>
        </w:rPr>
      </w:pPr>
      <w:r>
        <w:rPr>
          <w:color w:val="000000"/>
          <w:szCs w:val="18"/>
        </w:rPr>
        <w:tab/>
      </w:r>
      <w:r w:rsidR="0055783C" w:rsidRPr="25F0840B">
        <w:rPr>
          <w:rStyle w:val="FootnoteReference"/>
          <w:color w:val="000000"/>
        </w:rPr>
        <w:footnoteRef/>
      </w:r>
      <w:r>
        <w:rPr>
          <w:color w:val="000000"/>
          <w:szCs w:val="18"/>
        </w:rPr>
        <w:tab/>
      </w:r>
      <w:r w:rsidR="0055783C" w:rsidRPr="25F0840B">
        <w:t>UNDP, “COVID-19, Coup d’état and poverty”, April 2021, p.</w:t>
      </w:r>
      <w:r w:rsidR="0055783C">
        <w:rPr>
          <w:szCs w:val="18"/>
        </w:rPr>
        <w:t xml:space="preserve"> </w:t>
      </w:r>
      <w:r w:rsidR="0055783C" w:rsidRPr="25F0840B">
        <w:t>14</w:t>
      </w:r>
      <w:r w:rsidR="0055783C" w:rsidRPr="25F0840B">
        <w:rPr>
          <w:color w:val="000000"/>
        </w:rPr>
        <w:t>.</w:t>
      </w:r>
    </w:p>
  </w:footnote>
  <w:footnote w:id="44">
    <w:p w14:paraId="187A62FC" w14:textId="0CA8DEC8" w:rsidR="0055783C" w:rsidRPr="00812ECF" w:rsidRDefault="008A0B43" w:rsidP="008A0B43">
      <w:pPr>
        <w:pStyle w:val="FootnoteText"/>
        <w:rPr>
          <w:color w:val="000000"/>
        </w:rPr>
      </w:pPr>
      <w:r>
        <w:rPr>
          <w:color w:val="000000"/>
          <w:szCs w:val="18"/>
        </w:rPr>
        <w:tab/>
      </w:r>
      <w:r w:rsidR="0055783C" w:rsidRPr="25F0840B">
        <w:rPr>
          <w:rStyle w:val="FootnoteReference"/>
          <w:color w:val="000000"/>
        </w:rPr>
        <w:footnoteRef/>
      </w:r>
      <w:r>
        <w:rPr>
          <w:color w:val="000000"/>
          <w:szCs w:val="18"/>
        </w:rPr>
        <w:tab/>
      </w:r>
      <w:r w:rsidR="0055783C" w:rsidRPr="25F0840B">
        <w:t>WFP, “Analysis of the Economic Fallout &amp; Food Insecurity”</w:t>
      </w:r>
      <w:r w:rsidR="0055783C" w:rsidRPr="25F0840B">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6B4D" w14:textId="09568049" w:rsidR="00611548" w:rsidRDefault="00112244" w:rsidP="00611548">
    <w:pPr>
      <w:pStyle w:val="Header"/>
      <w:rPr>
        <w:color w:val="0000FF"/>
      </w:rPr>
    </w:pPr>
    <w:r>
      <w:t>A/</w:t>
    </w:r>
    <w:r w:rsidR="004915F2">
      <w:t>HRC/</w:t>
    </w:r>
    <w:r w:rsidR="00A3379A">
      <w:t>4</w:t>
    </w:r>
    <w:r w:rsidR="0070144C">
      <w:t>8</w:t>
    </w:r>
    <w:r>
      <w:t>/</w:t>
    </w:r>
    <w:r w:rsidR="008A0B43">
      <w:t>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08E1" w14:textId="4B2441BE" w:rsidR="00611548" w:rsidRDefault="00112244" w:rsidP="00611548">
    <w:pPr>
      <w:pStyle w:val="Header"/>
      <w:jc w:val="right"/>
    </w:pPr>
    <w:r>
      <w:t>A/</w:t>
    </w:r>
    <w:r w:rsidR="004915F2">
      <w:t>HRC/</w:t>
    </w:r>
    <w:r w:rsidR="002876BF">
      <w:t>4</w:t>
    </w:r>
    <w:r w:rsidR="0070144C">
      <w:t>8</w:t>
    </w:r>
    <w:r>
      <w:t>/</w:t>
    </w:r>
    <w:r w:rsidR="008A0B43">
      <w:t>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3C96539"/>
    <w:multiLevelType w:val="hybridMultilevel"/>
    <w:tmpl w:val="5D64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4C80"/>
    <w:multiLevelType w:val="hybridMultilevel"/>
    <w:tmpl w:val="E2AED9E8"/>
    <w:lvl w:ilvl="0" w:tplc="757C968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E2ACA"/>
    <w:multiLevelType w:val="hybridMultilevel"/>
    <w:tmpl w:val="1C845F4C"/>
    <w:lvl w:ilvl="0" w:tplc="652A8B76">
      <w:start w:val="1"/>
      <w:numFmt w:val="decimal"/>
      <w:lvlText w:val="%1."/>
      <w:lvlJc w:val="left"/>
      <w:pPr>
        <w:ind w:left="1854"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4A4136"/>
    <w:multiLevelType w:val="hybridMultilevel"/>
    <w:tmpl w:val="1C845F4C"/>
    <w:lvl w:ilvl="0" w:tplc="652A8B76">
      <w:start w:val="1"/>
      <w:numFmt w:val="decimal"/>
      <w:lvlText w:val="%1."/>
      <w:lvlJc w:val="left"/>
      <w:pPr>
        <w:ind w:left="1854"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C0E333B"/>
    <w:multiLevelType w:val="hybridMultilevel"/>
    <w:tmpl w:val="144E3E00"/>
    <w:lvl w:ilvl="0" w:tplc="1E02A63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C861F4"/>
    <w:multiLevelType w:val="hybridMultilevel"/>
    <w:tmpl w:val="760635E8"/>
    <w:lvl w:ilvl="0" w:tplc="5F6E9110">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CC44725"/>
    <w:multiLevelType w:val="hybridMultilevel"/>
    <w:tmpl w:val="171032FA"/>
    <w:lvl w:ilvl="0" w:tplc="88CCA284">
      <w:start w:val="1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C1A85"/>
    <w:multiLevelType w:val="hybridMultilevel"/>
    <w:tmpl w:val="CD04C6DE"/>
    <w:lvl w:ilvl="0" w:tplc="D3749064">
      <w:start w:val="1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05B7FB4"/>
    <w:multiLevelType w:val="hybridMultilevel"/>
    <w:tmpl w:val="E3ACFF62"/>
    <w:lvl w:ilvl="0" w:tplc="EF4CF0A2">
      <w:start w:val="1"/>
      <w:numFmt w:val="lowerLetter"/>
      <w:lvlText w:val="(%1)"/>
      <w:lvlJc w:val="left"/>
      <w:pPr>
        <w:ind w:left="2580" w:hanging="360"/>
      </w:pPr>
      <w:rPr>
        <w:rFonts w:ascii="Times New Roman" w:eastAsiaTheme="minorHAnsi" w:hAnsi="Times New Roman" w:cs="Times New Roman" w:hint="default"/>
        <w:b/>
        <w:bCs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15:restartNumberingAfterBreak="0">
    <w:nsid w:val="21091963"/>
    <w:multiLevelType w:val="hybridMultilevel"/>
    <w:tmpl w:val="BB2C2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77656"/>
    <w:multiLevelType w:val="hybridMultilevel"/>
    <w:tmpl w:val="42B8FA30"/>
    <w:lvl w:ilvl="0" w:tplc="98CEB31C">
      <w:start w:val="1"/>
      <w:numFmt w:val="lowerLetter"/>
      <w:lvlText w:val="(%1)"/>
      <w:lvlJc w:val="left"/>
      <w:pPr>
        <w:ind w:left="1440" w:hanging="360"/>
      </w:pPr>
      <w:rPr>
        <w:rFonts w:ascii="Times New Roman" w:eastAsiaTheme="minorHAnsi" w:hAnsi="Times New Roman" w:cs="Times New Roman" w:hint="default"/>
        <w:b w:val="0"/>
        <w:bCs w:val="0"/>
      </w:rPr>
    </w:lvl>
    <w:lvl w:ilvl="1" w:tplc="133AEB9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2265B6"/>
    <w:multiLevelType w:val="hybridMultilevel"/>
    <w:tmpl w:val="4AA04702"/>
    <w:lvl w:ilvl="0" w:tplc="652A8B76">
      <w:start w:val="1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A332DBF"/>
    <w:multiLevelType w:val="hybridMultilevel"/>
    <w:tmpl w:val="32E27582"/>
    <w:lvl w:ilvl="0" w:tplc="4A04F838">
      <w:start w:val="43"/>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651753"/>
    <w:multiLevelType w:val="hybridMultilevel"/>
    <w:tmpl w:val="2F66BAAE"/>
    <w:lvl w:ilvl="0" w:tplc="24A0558E">
      <w:start w:val="1"/>
      <w:numFmt w:val="upperRoman"/>
      <w:lvlText w:val="%1."/>
      <w:lvlJc w:val="left"/>
      <w:pPr>
        <w:ind w:left="1080" w:hanging="72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A4EAC"/>
    <w:multiLevelType w:val="hybridMultilevel"/>
    <w:tmpl w:val="32E27582"/>
    <w:lvl w:ilvl="0" w:tplc="4A04F838">
      <w:start w:val="43"/>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D191D"/>
    <w:multiLevelType w:val="hybridMultilevel"/>
    <w:tmpl w:val="32E27582"/>
    <w:lvl w:ilvl="0" w:tplc="4A04F838">
      <w:start w:val="43"/>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F973DD9"/>
    <w:multiLevelType w:val="hybridMultilevel"/>
    <w:tmpl w:val="B386C2A4"/>
    <w:lvl w:ilvl="0" w:tplc="652A8B76">
      <w:start w:val="1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6D06B0B"/>
    <w:multiLevelType w:val="hybridMultilevel"/>
    <w:tmpl w:val="305EFCDE"/>
    <w:lvl w:ilvl="0" w:tplc="61E06AC2">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B332451"/>
    <w:multiLevelType w:val="hybridMultilevel"/>
    <w:tmpl w:val="AB3E1446"/>
    <w:lvl w:ilvl="0" w:tplc="C03690E8">
      <w:start w:val="6"/>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D4E6BE7"/>
    <w:multiLevelType w:val="hybridMultilevel"/>
    <w:tmpl w:val="801C3006"/>
    <w:lvl w:ilvl="0" w:tplc="12F81A9E">
      <w:start w:val="3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100451E"/>
    <w:multiLevelType w:val="hybridMultilevel"/>
    <w:tmpl w:val="5C38636A"/>
    <w:lvl w:ilvl="0" w:tplc="BB14868E">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31C1FE4"/>
    <w:multiLevelType w:val="hybridMultilevel"/>
    <w:tmpl w:val="439E7292"/>
    <w:lvl w:ilvl="0" w:tplc="0316D126">
      <w:start w:val="1"/>
      <w:numFmt w:val="upperLetter"/>
      <w:lvlText w:val="%1."/>
      <w:lvlJc w:val="left"/>
      <w:pPr>
        <w:ind w:left="360"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8" w15:restartNumberingAfterBreak="0">
    <w:nsid w:val="56C21ADC"/>
    <w:multiLevelType w:val="hybridMultilevel"/>
    <w:tmpl w:val="808C120E"/>
    <w:lvl w:ilvl="0" w:tplc="652A8B76">
      <w:start w:val="1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E967DF3"/>
    <w:multiLevelType w:val="hybridMultilevel"/>
    <w:tmpl w:val="20409448"/>
    <w:lvl w:ilvl="0" w:tplc="2098A9BC">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40B5152"/>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FF96C6A"/>
    <w:multiLevelType w:val="hybridMultilevel"/>
    <w:tmpl w:val="188042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8346E"/>
    <w:multiLevelType w:val="hybridMultilevel"/>
    <w:tmpl w:val="279E35A2"/>
    <w:lvl w:ilvl="0" w:tplc="AE1E31B4">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49A7C52"/>
    <w:multiLevelType w:val="hybridMultilevel"/>
    <w:tmpl w:val="63EE170C"/>
    <w:lvl w:ilvl="0" w:tplc="86DE8822">
      <w:start w:val="1"/>
      <w:numFmt w:val="decimal"/>
      <w:lvlText w:val="%1."/>
      <w:lvlJc w:val="left"/>
      <w:pPr>
        <w:ind w:left="144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C85044"/>
    <w:multiLevelType w:val="hybridMultilevel"/>
    <w:tmpl w:val="E4C26C92"/>
    <w:lvl w:ilvl="0" w:tplc="2A5EBFD6">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7FA0C3F"/>
    <w:multiLevelType w:val="hybridMultilevel"/>
    <w:tmpl w:val="4D80B000"/>
    <w:lvl w:ilvl="0" w:tplc="8D6AC006">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B5E1FC1"/>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1"/>
  </w:num>
  <w:num w:numId="3">
    <w:abstractNumId w:val="32"/>
  </w:num>
  <w:num w:numId="4">
    <w:abstractNumId w:val="8"/>
  </w:num>
  <w:num w:numId="5">
    <w:abstractNumId w:val="0"/>
  </w:num>
  <w:num w:numId="6">
    <w:abstractNumId w:val="2"/>
  </w:num>
  <w:num w:numId="7">
    <w:abstractNumId w:val="31"/>
  </w:num>
  <w:num w:numId="8">
    <w:abstractNumId w:val="7"/>
  </w:num>
  <w:num w:numId="9">
    <w:abstractNumId w:val="1"/>
  </w:num>
  <w:num w:numId="10">
    <w:abstractNumId w:val="15"/>
  </w:num>
  <w:num w:numId="11">
    <w:abstractNumId w:val="35"/>
  </w:num>
  <w:num w:numId="12">
    <w:abstractNumId w:val="18"/>
  </w:num>
  <w:num w:numId="13">
    <w:abstractNumId w:val="38"/>
  </w:num>
  <w:num w:numId="14">
    <w:abstractNumId w:val="30"/>
  </w:num>
  <w:num w:numId="15">
    <w:abstractNumId w:val="27"/>
  </w:num>
  <w:num w:numId="16">
    <w:abstractNumId w:val="14"/>
  </w:num>
  <w:num w:numId="17">
    <w:abstractNumId w:val="6"/>
  </w:num>
  <w:num w:numId="18">
    <w:abstractNumId w:val="3"/>
  </w:num>
  <w:num w:numId="19">
    <w:abstractNumId w:val="13"/>
  </w:num>
  <w:num w:numId="20">
    <w:abstractNumId w:val="5"/>
  </w:num>
  <w:num w:numId="21">
    <w:abstractNumId w:val="4"/>
  </w:num>
  <w:num w:numId="22">
    <w:abstractNumId w:val="33"/>
  </w:num>
  <w:num w:numId="23">
    <w:abstractNumId w:val="24"/>
  </w:num>
  <w:num w:numId="24">
    <w:abstractNumId w:val="26"/>
  </w:num>
  <w:num w:numId="25">
    <w:abstractNumId w:val="37"/>
  </w:num>
  <w:num w:numId="26">
    <w:abstractNumId w:val="12"/>
  </w:num>
  <w:num w:numId="27">
    <w:abstractNumId w:val="10"/>
  </w:num>
  <w:num w:numId="28">
    <w:abstractNumId w:val="16"/>
  </w:num>
  <w:num w:numId="29">
    <w:abstractNumId w:val="22"/>
  </w:num>
  <w:num w:numId="30">
    <w:abstractNumId w:val="28"/>
  </w:num>
  <w:num w:numId="31">
    <w:abstractNumId w:val="36"/>
  </w:num>
  <w:num w:numId="32">
    <w:abstractNumId w:val="29"/>
  </w:num>
  <w:num w:numId="33">
    <w:abstractNumId w:val="23"/>
  </w:num>
  <w:num w:numId="34">
    <w:abstractNumId w:val="34"/>
  </w:num>
  <w:num w:numId="35">
    <w:abstractNumId w:val="25"/>
  </w:num>
  <w:num w:numId="36">
    <w:abstractNumId w:val="19"/>
  </w:num>
  <w:num w:numId="37">
    <w:abstractNumId w:val="9"/>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282B"/>
    <w:rsid w:val="0000295A"/>
    <w:rsid w:val="00005A00"/>
    <w:rsid w:val="00032801"/>
    <w:rsid w:val="00045148"/>
    <w:rsid w:val="00060CF3"/>
    <w:rsid w:val="00070498"/>
    <w:rsid w:val="000747E5"/>
    <w:rsid w:val="00075F4B"/>
    <w:rsid w:val="00081888"/>
    <w:rsid w:val="00087ABE"/>
    <w:rsid w:val="000955CC"/>
    <w:rsid w:val="00097D0B"/>
    <w:rsid w:val="000A6BC3"/>
    <w:rsid w:val="000B171D"/>
    <w:rsid w:val="000C1800"/>
    <w:rsid w:val="000C1D18"/>
    <w:rsid w:val="000C3EC5"/>
    <w:rsid w:val="000C5705"/>
    <w:rsid w:val="000D03FC"/>
    <w:rsid w:val="000D234E"/>
    <w:rsid w:val="000D7C95"/>
    <w:rsid w:val="000F66D4"/>
    <w:rsid w:val="00111689"/>
    <w:rsid w:val="00112244"/>
    <w:rsid w:val="00114D00"/>
    <w:rsid w:val="00121DB3"/>
    <w:rsid w:val="00136ABF"/>
    <w:rsid w:val="00151813"/>
    <w:rsid w:val="00166722"/>
    <w:rsid w:val="00170AB1"/>
    <w:rsid w:val="00172FBD"/>
    <w:rsid w:val="00177B27"/>
    <w:rsid w:val="00180E59"/>
    <w:rsid w:val="00192260"/>
    <w:rsid w:val="001929FF"/>
    <w:rsid w:val="00197225"/>
    <w:rsid w:val="001B17B9"/>
    <w:rsid w:val="001C446A"/>
    <w:rsid w:val="001D3B95"/>
    <w:rsid w:val="001D7CAF"/>
    <w:rsid w:val="001E7128"/>
    <w:rsid w:val="001F3BA2"/>
    <w:rsid w:val="0023284C"/>
    <w:rsid w:val="00232E49"/>
    <w:rsid w:val="00240BB9"/>
    <w:rsid w:val="0026336E"/>
    <w:rsid w:val="0027710A"/>
    <w:rsid w:val="002804CA"/>
    <w:rsid w:val="002836BA"/>
    <w:rsid w:val="002876BF"/>
    <w:rsid w:val="00287BC8"/>
    <w:rsid w:val="00291870"/>
    <w:rsid w:val="002954BC"/>
    <w:rsid w:val="002A055D"/>
    <w:rsid w:val="002A4FAF"/>
    <w:rsid w:val="002A5982"/>
    <w:rsid w:val="002A6DC2"/>
    <w:rsid w:val="002B2425"/>
    <w:rsid w:val="002B4545"/>
    <w:rsid w:val="002B56F5"/>
    <w:rsid w:val="002B73BB"/>
    <w:rsid w:val="002C7B78"/>
    <w:rsid w:val="002D3C99"/>
    <w:rsid w:val="002F4277"/>
    <w:rsid w:val="00300DFC"/>
    <w:rsid w:val="00306837"/>
    <w:rsid w:val="0031056E"/>
    <w:rsid w:val="0031217A"/>
    <w:rsid w:val="00321FC3"/>
    <w:rsid w:val="00331517"/>
    <w:rsid w:val="00333993"/>
    <w:rsid w:val="003354E8"/>
    <w:rsid w:val="00360122"/>
    <w:rsid w:val="00364415"/>
    <w:rsid w:val="00365E75"/>
    <w:rsid w:val="00372152"/>
    <w:rsid w:val="00382222"/>
    <w:rsid w:val="003879DB"/>
    <w:rsid w:val="003952C6"/>
    <w:rsid w:val="003A378C"/>
    <w:rsid w:val="003AAB9E"/>
    <w:rsid w:val="003C05A8"/>
    <w:rsid w:val="003C4D71"/>
    <w:rsid w:val="003D28EA"/>
    <w:rsid w:val="003D5329"/>
    <w:rsid w:val="003E77F6"/>
    <w:rsid w:val="003F2BED"/>
    <w:rsid w:val="00403B0C"/>
    <w:rsid w:val="0040628D"/>
    <w:rsid w:val="00406687"/>
    <w:rsid w:val="004098A3"/>
    <w:rsid w:val="004148B6"/>
    <w:rsid w:val="00420707"/>
    <w:rsid w:val="00425D70"/>
    <w:rsid w:val="00427601"/>
    <w:rsid w:val="00440B51"/>
    <w:rsid w:val="004411EC"/>
    <w:rsid w:val="00445BAA"/>
    <w:rsid w:val="00447F4C"/>
    <w:rsid w:val="00456D41"/>
    <w:rsid w:val="00465015"/>
    <w:rsid w:val="00475536"/>
    <w:rsid w:val="004915F2"/>
    <w:rsid w:val="00495D72"/>
    <w:rsid w:val="004979A6"/>
    <w:rsid w:val="004A596E"/>
    <w:rsid w:val="004D0A9A"/>
    <w:rsid w:val="004D3C13"/>
    <w:rsid w:val="004D52EF"/>
    <w:rsid w:val="00514E69"/>
    <w:rsid w:val="00516707"/>
    <w:rsid w:val="005212E8"/>
    <w:rsid w:val="00540D96"/>
    <w:rsid w:val="005529F1"/>
    <w:rsid w:val="005565EC"/>
    <w:rsid w:val="0055783C"/>
    <w:rsid w:val="00560465"/>
    <w:rsid w:val="005607A0"/>
    <w:rsid w:val="00561700"/>
    <w:rsid w:val="0056254F"/>
    <w:rsid w:val="00564300"/>
    <w:rsid w:val="00575A35"/>
    <w:rsid w:val="00577777"/>
    <w:rsid w:val="0058080A"/>
    <w:rsid w:val="00582B97"/>
    <w:rsid w:val="00587BD8"/>
    <w:rsid w:val="005943FB"/>
    <w:rsid w:val="005B4B0C"/>
    <w:rsid w:val="005C1DE7"/>
    <w:rsid w:val="005C5F9A"/>
    <w:rsid w:val="005E4A77"/>
    <w:rsid w:val="005F085A"/>
    <w:rsid w:val="005F39AE"/>
    <w:rsid w:val="005F512A"/>
    <w:rsid w:val="00600AF5"/>
    <w:rsid w:val="00604331"/>
    <w:rsid w:val="00607066"/>
    <w:rsid w:val="00611548"/>
    <w:rsid w:val="00615F3A"/>
    <w:rsid w:val="00620BD3"/>
    <w:rsid w:val="0062521F"/>
    <w:rsid w:val="00631FD5"/>
    <w:rsid w:val="00633325"/>
    <w:rsid w:val="00641EB1"/>
    <w:rsid w:val="00650398"/>
    <w:rsid w:val="00654178"/>
    <w:rsid w:val="00660C46"/>
    <w:rsid w:val="006617CB"/>
    <w:rsid w:val="006644A5"/>
    <w:rsid w:val="0066496F"/>
    <w:rsid w:val="00664EEF"/>
    <w:rsid w:val="00685B0A"/>
    <w:rsid w:val="00696BD9"/>
    <w:rsid w:val="006B2177"/>
    <w:rsid w:val="006B28E4"/>
    <w:rsid w:val="006B5C79"/>
    <w:rsid w:val="006B777E"/>
    <w:rsid w:val="006C01AD"/>
    <w:rsid w:val="006C6473"/>
    <w:rsid w:val="006D1852"/>
    <w:rsid w:val="006D58F4"/>
    <w:rsid w:val="006F3B8F"/>
    <w:rsid w:val="0070144C"/>
    <w:rsid w:val="00701B32"/>
    <w:rsid w:val="007061C6"/>
    <w:rsid w:val="007146AB"/>
    <w:rsid w:val="007203FE"/>
    <w:rsid w:val="00735F4A"/>
    <w:rsid w:val="00737FB6"/>
    <w:rsid w:val="007418CF"/>
    <w:rsid w:val="00742BE5"/>
    <w:rsid w:val="00745C24"/>
    <w:rsid w:val="0074737A"/>
    <w:rsid w:val="00752421"/>
    <w:rsid w:val="00761F21"/>
    <w:rsid w:val="00766BA6"/>
    <w:rsid w:val="00770610"/>
    <w:rsid w:val="00776152"/>
    <w:rsid w:val="00786EF3"/>
    <w:rsid w:val="00791614"/>
    <w:rsid w:val="007916CD"/>
    <w:rsid w:val="0079220D"/>
    <w:rsid w:val="007A75EF"/>
    <w:rsid w:val="007B2ABA"/>
    <w:rsid w:val="007B4235"/>
    <w:rsid w:val="007C5494"/>
    <w:rsid w:val="007D2A0F"/>
    <w:rsid w:val="007E019D"/>
    <w:rsid w:val="007E021D"/>
    <w:rsid w:val="00805B80"/>
    <w:rsid w:val="0082666E"/>
    <w:rsid w:val="00836E82"/>
    <w:rsid w:val="00841184"/>
    <w:rsid w:val="008423B3"/>
    <w:rsid w:val="008447FB"/>
    <w:rsid w:val="00847B3F"/>
    <w:rsid w:val="00855EC9"/>
    <w:rsid w:val="00862161"/>
    <w:rsid w:val="00863A6E"/>
    <w:rsid w:val="00894210"/>
    <w:rsid w:val="008968A4"/>
    <w:rsid w:val="008A0B43"/>
    <w:rsid w:val="008A264B"/>
    <w:rsid w:val="008A50F7"/>
    <w:rsid w:val="008A6FB2"/>
    <w:rsid w:val="008B2481"/>
    <w:rsid w:val="008B6A71"/>
    <w:rsid w:val="008C74F0"/>
    <w:rsid w:val="008C7EA7"/>
    <w:rsid w:val="008E0BE6"/>
    <w:rsid w:val="008F05A3"/>
    <w:rsid w:val="008F3348"/>
    <w:rsid w:val="008F6FAD"/>
    <w:rsid w:val="0091687C"/>
    <w:rsid w:val="00917023"/>
    <w:rsid w:val="0092366E"/>
    <w:rsid w:val="0092375B"/>
    <w:rsid w:val="0092584B"/>
    <w:rsid w:val="00932D23"/>
    <w:rsid w:val="00950B12"/>
    <w:rsid w:val="00951408"/>
    <w:rsid w:val="009519F1"/>
    <w:rsid w:val="00951BB0"/>
    <w:rsid w:val="0095714A"/>
    <w:rsid w:val="009640AD"/>
    <w:rsid w:val="00975AAA"/>
    <w:rsid w:val="009B177D"/>
    <w:rsid w:val="009C10E4"/>
    <w:rsid w:val="009C5CF3"/>
    <w:rsid w:val="009D2257"/>
    <w:rsid w:val="009D3909"/>
    <w:rsid w:val="009E16ED"/>
    <w:rsid w:val="009E22C2"/>
    <w:rsid w:val="009E2924"/>
    <w:rsid w:val="009E3286"/>
    <w:rsid w:val="00A07A49"/>
    <w:rsid w:val="00A200D5"/>
    <w:rsid w:val="00A3379A"/>
    <w:rsid w:val="00A43AE1"/>
    <w:rsid w:val="00A51B27"/>
    <w:rsid w:val="00A831FA"/>
    <w:rsid w:val="00A84388"/>
    <w:rsid w:val="00A9034B"/>
    <w:rsid w:val="00AA10F0"/>
    <w:rsid w:val="00AA1AFF"/>
    <w:rsid w:val="00AB296A"/>
    <w:rsid w:val="00AC40C4"/>
    <w:rsid w:val="00AD14ED"/>
    <w:rsid w:val="00AD263A"/>
    <w:rsid w:val="00AD368C"/>
    <w:rsid w:val="00AD415A"/>
    <w:rsid w:val="00AE23AD"/>
    <w:rsid w:val="00AF1BBF"/>
    <w:rsid w:val="00AF2B82"/>
    <w:rsid w:val="00AF50DE"/>
    <w:rsid w:val="00AF5AAB"/>
    <w:rsid w:val="00B01A74"/>
    <w:rsid w:val="00B1079C"/>
    <w:rsid w:val="00B10C87"/>
    <w:rsid w:val="00B17F13"/>
    <w:rsid w:val="00B2127A"/>
    <w:rsid w:val="00B326D7"/>
    <w:rsid w:val="00B33CF5"/>
    <w:rsid w:val="00B4215D"/>
    <w:rsid w:val="00B52338"/>
    <w:rsid w:val="00B550CC"/>
    <w:rsid w:val="00B555B2"/>
    <w:rsid w:val="00B56390"/>
    <w:rsid w:val="00B634BA"/>
    <w:rsid w:val="00B65981"/>
    <w:rsid w:val="00B82791"/>
    <w:rsid w:val="00B84B6F"/>
    <w:rsid w:val="00B87F9A"/>
    <w:rsid w:val="00B93CA1"/>
    <w:rsid w:val="00BC00E0"/>
    <w:rsid w:val="00BE3A9F"/>
    <w:rsid w:val="00C160F7"/>
    <w:rsid w:val="00C33A33"/>
    <w:rsid w:val="00C35E05"/>
    <w:rsid w:val="00C40BE4"/>
    <w:rsid w:val="00C41E11"/>
    <w:rsid w:val="00C452EE"/>
    <w:rsid w:val="00C45F84"/>
    <w:rsid w:val="00C53CC7"/>
    <w:rsid w:val="00C54929"/>
    <w:rsid w:val="00C6527F"/>
    <w:rsid w:val="00C816B9"/>
    <w:rsid w:val="00C848B7"/>
    <w:rsid w:val="00C94D03"/>
    <w:rsid w:val="00C953CE"/>
    <w:rsid w:val="00C95BE0"/>
    <w:rsid w:val="00C96D25"/>
    <w:rsid w:val="00CD76E4"/>
    <w:rsid w:val="00CE667A"/>
    <w:rsid w:val="00CF0A07"/>
    <w:rsid w:val="00CF3847"/>
    <w:rsid w:val="00CF7E9B"/>
    <w:rsid w:val="00D12AB2"/>
    <w:rsid w:val="00D16D9B"/>
    <w:rsid w:val="00D31271"/>
    <w:rsid w:val="00D33C10"/>
    <w:rsid w:val="00D563A8"/>
    <w:rsid w:val="00D63533"/>
    <w:rsid w:val="00D71489"/>
    <w:rsid w:val="00D72DB3"/>
    <w:rsid w:val="00D75912"/>
    <w:rsid w:val="00D80CB6"/>
    <w:rsid w:val="00DA23F4"/>
    <w:rsid w:val="00DB0709"/>
    <w:rsid w:val="00DC1C1A"/>
    <w:rsid w:val="00DE452A"/>
    <w:rsid w:val="00E0307B"/>
    <w:rsid w:val="00E0400A"/>
    <w:rsid w:val="00E1524E"/>
    <w:rsid w:val="00E23709"/>
    <w:rsid w:val="00E258B1"/>
    <w:rsid w:val="00E40E75"/>
    <w:rsid w:val="00E4573B"/>
    <w:rsid w:val="00E55326"/>
    <w:rsid w:val="00E824CE"/>
    <w:rsid w:val="00E830CA"/>
    <w:rsid w:val="00E96EAC"/>
    <w:rsid w:val="00EA0B73"/>
    <w:rsid w:val="00EB23AD"/>
    <w:rsid w:val="00EC2099"/>
    <w:rsid w:val="00EC4773"/>
    <w:rsid w:val="00EC7E99"/>
    <w:rsid w:val="00ED68E0"/>
    <w:rsid w:val="00EE600E"/>
    <w:rsid w:val="00EF13F4"/>
    <w:rsid w:val="00F0471D"/>
    <w:rsid w:val="00F07CD9"/>
    <w:rsid w:val="00F136E0"/>
    <w:rsid w:val="00F149BE"/>
    <w:rsid w:val="00F221B7"/>
    <w:rsid w:val="00F42B62"/>
    <w:rsid w:val="00F61177"/>
    <w:rsid w:val="00F75F08"/>
    <w:rsid w:val="00F765E1"/>
    <w:rsid w:val="00F77EC7"/>
    <w:rsid w:val="00F84F41"/>
    <w:rsid w:val="00F86CB5"/>
    <w:rsid w:val="00F918BF"/>
    <w:rsid w:val="00FB2B28"/>
    <w:rsid w:val="00FF0835"/>
    <w:rsid w:val="00FF62C3"/>
    <w:rsid w:val="01196829"/>
    <w:rsid w:val="0450E5BE"/>
    <w:rsid w:val="06090F76"/>
    <w:rsid w:val="06EFD86C"/>
    <w:rsid w:val="0779B2CB"/>
    <w:rsid w:val="0C69C870"/>
    <w:rsid w:val="0CD8CEA7"/>
    <w:rsid w:val="104D126C"/>
    <w:rsid w:val="10887DBC"/>
    <w:rsid w:val="168CDCCA"/>
    <w:rsid w:val="1B869196"/>
    <w:rsid w:val="20C101D5"/>
    <w:rsid w:val="211DDEA7"/>
    <w:rsid w:val="24051374"/>
    <w:rsid w:val="243BA509"/>
    <w:rsid w:val="26B560E4"/>
    <w:rsid w:val="2C383BA4"/>
    <w:rsid w:val="3135B847"/>
    <w:rsid w:val="31AEB951"/>
    <w:rsid w:val="32FB0B81"/>
    <w:rsid w:val="32FB8DDD"/>
    <w:rsid w:val="3448CA8C"/>
    <w:rsid w:val="35EF8243"/>
    <w:rsid w:val="361A2695"/>
    <w:rsid w:val="38E1BDEE"/>
    <w:rsid w:val="420D55C0"/>
    <w:rsid w:val="43174283"/>
    <w:rsid w:val="45BFE64A"/>
    <w:rsid w:val="46736279"/>
    <w:rsid w:val="484236CA"/>
    <w:rsid w:val="4B6AAB8E"/>
    <w:rsid w:val="4D044863"/>
    <w:rsid w:val="4EC96238"/>
    <w:rsid w:val="5036B54D"/>
    <w:rsid w:val="524487F7"/>
    <w:rsid w:val="526A6913"/>
    <w:rsid w:val="57CF9F13"/>
    <w:rsid w:val="57F83968"/>
    <w:rsid w:val="5CD3EFAF"/>
    <w:rsid w:val="5E34EE86"/>
    <w:rsid w:val="62A6B815"/>
    <w:rsid w:val="632C40EE"/>
    <w:rsid w:val="633E75D7"/>
    <w:rsid w:val="67D7BA42"/>
    <w:rsid w:val="752A7AA0"/>
    <w:rsid w:val="753B5FE1"/>
    <w:rsid w:val="765A3300"/>
    <w:rsid w:val="766123D4"/>
    <w:rsid w:val="787CF2D7"/>
    <w:rsid w:val="792C46FF"/>
    <w:rsid w:val="79DD2153"/>
    <w:rsid w:val="7A2EF2EF"/>
    <w:rsid w:val="7B4F0E0E"/>
    <w:rsid w:val="7B9917CF"/>
    <w:rsid w:val="7BF6D11D"/>
    <w:rsid w:val="7C16C5DD"/>
    <w:rsid w:val="7E1E4F49"/>
    <w:rsid w:val="7E8B2D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CD4A4"/>
  <w15:docId w15:val="{88A761ED-C41B-4560-A8DC-0F12796D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SingleTxtGChar">
    <w:name w:val="_ Single Txt_G Char"/>
    <w:link w:val="SingleTxtG"/>
    <w:rsid w:val="00575A35"/>
    <w:rPr>
      <w:lang w:eastAsia="en-US"/>
    </w:rPr>
  </w:style>
  <w:style w:type="character" w:styleId="CommentReference">
    <w:name w:val="annotation reference"/>
    <w:basedOn w:val="DefaultParagraphFont"/>
    <w:uiPriority w:val="99"/>
    <w:unhideWhenUsed/>
    <w:rsid w:val="000D7C95"/>
    <w:rPr>
      <w:sz w:val="16"/>
      <w:szCs w:val="16"/>
    </w:rPr>
  </w:style>
  <w:style w:type="paragraph" w:styleId="CommentText">
    <w:name w:val="annotation text"/>
    <w:basedOn w:val="Normal"/>
    <w:link w:val="CommentTextChar"/>
    <w:uiPriority w:val="99"/>
    <w:unhideWhenUsed/>
    <w:rsid w:val="000D7C95"/>
    <w:pPr>
      <w:spacing w:line="240" w:lineRule="auto"/>
    </w:pPr>
  </w:style>
  <w:style w:type="character" w:customStyle="1" w:styleId="CommentTextChar">
    <w:name w:val="Comment Text Char"/>
    <w:basedOn w:val="DefaultParagraphFont"/>
    <w:link w:val="CommentText"/>
    <w:uiPriority w:val="99"/>
    <w:rsid w:val="000D7C95"/>
    <w:rPr>
      <w:lang w:eastAsia="en-US"/>
    </w:rPr>
  </w:style>
  <w:style w:type="paragraph" w:styleId="CommentSubject">
    <w:name w:val="annotation subject"/>
    <w:basedOn w:val="CommentText"/>
    <w:next w:val="CommentText"/>
    <w:link w:val="CommentSubjectChar"/>
    <w:semiHidden/>
    <w:unhideWhenUsed/>
    <w:rsid w:val="000D7C95"/>
    <w:rPr>
      <w:b/>
      <w:bCs/>
    </w:rPr>
  </w:style>
  <w:style w:type="character" w:customStyle="1" w:styleId="CommentSubjectChar">
    <w:name w:val="Comment Subject Char"/>
    <w:basedOn w:val="CommentTextChar"/>
    <w:link w:val="CommentSubject"/>
    <w:semiHidden/>
    <w:rsid w:val="000D7C95"/>
    <w:rPr>
      <w:b/>
      <w:bCs/>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uiPriority w:val="99"/>
    <w:rsid w:val="009D3909"/>
    <w:rPr>
      <w:sz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9D3909"/>
    <w:pPr>
      <w:suppressAutoHyphens w:val="0"/>
      <w:spacing w:after="160" w:line="240" w:lineRule="exact"/>
    </w:pPr>
    <w:rPr>
      <w:sz w:val="18"/>
      <w:vertAlign w:val="superscript"/>
      <w:lang w:eastAsia="en-GB"/>
    </w:rPr>
  </w:style>
  <w:style w:type="paragraph" w:styleId="ListParagraph">
    <w:name w:val="List Paragraph"/>
    <w:basedOn w:val="Normal"/>
    <w:uiPriority w:val="34"/>
    <w:semiHidden/>
    <w:qFormat/>
    <w:rsid w:val="009D3909"/>
    <w:pPr>
      <w:ind w:left="720"/>
      <w:contextualSpacing/>
    </w:pPr>
  </w:style>
  <w:style w:type="character" w:customStyle="1" w:styleId="Heading3Char">
    <w:name w:val="Heading 3 Char"/>
    <w:basedOn w:val="DefaultParagraphFont"/>
    <w:link w:val="Heading3"/>
    <w:semiHidden/>
    <w:rsid w:val="00045148"/>
    <w:rPr>
      <w:lang w:eastAsia="en-US"/>
    </w:rPr>
  </w:style>
  <w:style w:type="paragraph" w:customStyle="1" w:styleId="4GCharCharChar">
    <w:name w:val="4_G Char Char Char"/>
    <w:aliases w:val="ftref Char Char Char,16 Point Char Char Char,Superscript 6 Point Char Char Char Char Char Char"/>
    <w:basedOn w:val="Normal"/>
    <w:uiPriority w:val="99"/>
    <w:rsid w:val="00172FBD"/>
    <w:pPr>
      <w:suppressAutoHyphens w:val="0"/>
      <w:spacing w:line="240" w:lineRule="auto"/>
      <w:jc w:val="both"/>
    </w:pPr>
    <w:rPr>
      <w:sz w:val="18"/>
      <w:vertAlign w:val="superscript"/>
      <w:lang w:eastAsia="en-GB"/>
    </w:rPr>
  </w:style>
  <w:style w:type="character" w:customStyle="1" w:styleId="H1GChar">
    <w:name w:val="_ H_1_G Char"/>
    <w:link w:val="H1G"/>
    <w:rsid w:val="00172FBD"/>
    <w:rPr>
      <w:b/>
      <w:sz w:val="24"/>
      <w:lang w:eastAsia="en-US"/>
    </w:rPr>
  </w:style>
  <w:style w:type="character" w:customStyle="1" w:styleId="HChGChar">
    <w:name w:val="_ H _Ch_G Char"/>
    <w:link w:val="HChG"/>
    <w:locked/>
    <w:rsid w:val="00172FBD"/>
    <w:rPr>
      <w:b/>
      <w:sz w:val="28"/>
      <w:lang w:eastAsia="en-US"/>
    </w:rPr>
  </w:style>
  <w:style w:type="character" w:customStyle="1" w:styleId="normaltextrun">
    <w:name w:val="normaltextrun"/>
    <w:basedOn w:val="DefaultParagraphFont"/>
    <w:rsid w:val="0055783C"/>
  </w:style>
  <w:style w:type="character" w:customStyle="1" w:styleId="superscript">
    <w:name w:val="superscript"/>
    <w:basedOn w:val="DefaultParagraphFont"/>
    <w:rsid w:val="0055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nitednations.sharepoint.com/sites/MyanmarTeam/Shared%20Documents/Coup/DRAFTS/Draft%20HRC48%20report+annex/SAC" TargetMode="External"/><Relationship Id="rId2" Type="http://schemas.openxmlformats.org/officeDocument/2006/relationships/hyperlink" Target="https://unitednations.sharepoint.com/sites/MyanmarTeam/Shared%20Documents/Coup/DRAFTS/Draft%20HRC48%20report+annex/Union" TargetMode="External"/><Relationship Id="rId1" Type="http://schemas.openxmlformats.org/officeDocument/2006/relationships/hyperlink" Target="https://bangkok.ohchr.org/5902-2/" TargetMode="External"/><Relationship Id="rId4" Type="http://schemas.openxmlformats.org/officeDocument/2006/relationships/hyperlink" Target="https://extranet.who.int/ssa/LeftMenu/Index.aspx?utm_source=Stopping%20attacks%20on%20health%20care%20description&amp;utm_medium=link&amp;utm_campaign=Link_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8C13-B877-414B-87C0-E0E15CAB963A}">
  <ds:schemaRefs>
    <ds:schemaRef ds:uri="db45806d-a62c-41bf-9916-5b8cbc5ef13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2c1c78-db6e-4c21-967d-f32ecbe94f88"/>
    <ds:schemaRef ds:uri="http://www.w3.org/XML/1998/namespace"/>
    <ds:schemaRef ds:uri="http://purl.org/dc/dcmitype/"/>
  </ds:schemaRefs>
</ds:datastoreItem>
</file>

<file path=customXml/itemProps2.xml><?xml version="1.0" encoding="utf-8"?>
<ds:datastoreItem xmlns:ds="http://schemas.openxmlformats.org/officeDocument/2006/customXml" ds:itemID="{A9F3F272-3527-4EF9-8D0D-1BB492A3E8FD}"/>
</file>

<file path=customXml/itemProps3.xml><?xml version="1.0" encoding="utf-8"?>
<ds:datastoreItem xmlns:ds="http://schemas.openxmlformats.org/officeDocument/2006/customXml" ds:itemID="{0CD7F82E-53B4-4EB2-8F0E-037EE59246E9}"/>
</file>

<file path=customXml/itemProps4.xml><?xml version="1.0" encoding="utf-8"?>
<ds:datastoreItem xmlns:ds="http://schemas.openxmlformats.org/officeDocument/2006/customXml" ds:itemID="{5428A630-94BF-4015-9040-E8ADA6CD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7956</Words>
  <Characters>46151</Characters>
  <Application>Microsoft Office Word</Application>
  <DocSecurity>0</DocSecurity>
  <Lines>678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Myanmar – Report of the United Nations High Commissioner for Human Rights</dc:title>
  <dc:subject/>
  <dc:creator>GONZALEZ PEREZ Marcel</dc:creator>
  <cp:keywords/>
  <cp:lastModifiedBy>Veronique Lanz</cp:lastModifiedBy>
  <cp:revision>2</cp:revision>
  <dcterms:created xsi:type="dcterms:W3CDTF">2021-09-16T13:36:00Z</dcterms:created>
  <dcterms:modified xsi:type="dcterms:W3CDTF">2021-09-16T13:36:00Z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