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4" w:tblpY="284"/>
        <w:tblOverlap w:val="never"/>
        <w:tblW w:w="9593" w:type="dxa"/>
        <w:tblLayout w:type="fixed"/>
        <w:tblCellMar>
          <w:left w:w="0" w:type="dxa"/>
          <w:right w:w="0" w:type="dxa"/>
        </w:tblCellMar>
        <w:tblLook w:val="01E0" w:firstRow="1" w:lastRow="1" w:firstColumn="1" w:lastColumn="1" w:noHBand="0" w:noVBand="0"/>
      </w:tblPr>
      <w:tblGrid>
        <w:gridCol w:w="1259"/>
        <w:gridCol w:w="2236"/>
        <w:gridCol w:w="3168"/>
        <w:gridCol w:w="2930"/>
      </w:tblGrid>
      <w:tr w:rsidR="00963CBA" w:rsidRPr="006500F0" w14:paraId="5B32CA3A" w14:textId="77777777" w:rsidTr="0067379C">
        <w:trPr>
          <w:trHeight w:val="851"/>
        </w:trPr>
        <w:tc>
          <w:tcPr>
            <w:tcW w:w="1259" w:type="dxa"/>
            <w:tcBorders>
              <w:top w:val="nil"/>
              <w:left w:val="nil"/>
              <w:bottom w:val="single" w:sz="4" w:space="0" w:color="auto"/>
              <w:right w:val="nil"/>
            </w:tcBorders>
          </w:tcPr>
          <w:p w14:paraId="2DF68565" w14:textId="77777777" w:rsidR="00446DE4" w:rsidRPr="006500F0" w:rsidRDefault="00446DE4" w:rsidP="0090112E">
            <w:pPr>
              <w:spacing w:before="360" w:after="240"/>
              <w:rPr>
                <w:rFonts w:asciiTheme="majorBidi" w:hAnsiTheme="majorBidi" w:cstheme="majorBidi"/>
                <w:lang w:val="en-CA" w:bidi="ar-LB"/>
              </w:rPr>
            </w:pPr>
          </w:p>
        </w:tc>
        <w:tc>
          <w:tcPr>
            <w:tcW w:w="2236" w:type="dxa"/>
            <w:tcBorders>
              <w:top w:val="nil"/>
              <w:left w:val="nil"/>
              <w:bottom w:val="single" w:sz="4" w:space="0" w:color="auto"/>
              <w:right w:val="nil"/>
            </w:tcBorders>
            <w:vAlign w:val="bottom"/>
          </w:tcPr>
          <w:p w14:paraId="6568401E" w14:textId="61FC3661" w:rsidR="00446DE4" w:rsidRPr="006500F0" w:rsidRDefault="00496D22" w:rsidP="00496D22">
            <w:pPr>
              <w:bidi/>
              <w:spacing w:after="80" w:line="300" w:lineRule="exact"/>
              <w:jc w:val="right"/>
              <w:rPr>
                <w:rFonts w:asciiTheme="majorBidi" w:hAnsiTheme="majorBidi" w:cstheme="majorBidi"/>
                <w:sz w:val="28"/>
                <w:szCs w:val="28"/>
                <w:lang w:val="en-CA" w:bidi="ar-LB"/>
              </w:rPr>
            </w:pPr>
            <w:r w:rsidRPr="006500F0">
              <w:rPr>
                <w:rFonts w:asciiTheme="majorBidi" w:hAnsiTheme="majorBidi" w:cstheme="majorBidi"/>
                <w:sz w:val="40"/>
                <w:lang w:val="en-CA" w:bidi="ar-LB"/>
              </w:rPr>
              <w:t>A</w:t>
            </w:r>
            <w:r w:rsidRPr="006500F0">
              <w:rPr>
                <w:rFonts w:asciiTheme="majorBidi" w:hAnsiTheme="majorBidi" w:cstheme="majorBidi"/>
                <w:lang w:val="en-CA" w:bidi="ar-LB"/>
              </w:rPr>
              <w:t>/HRC/48/83</w:t>
            </w:r>
          </w:p>
        </w:tc>
        <w:tc>
          <w:tcPr>
            <w:tcW w:w="6098" w:type="dxa"/>
            <w:gridSpan w:val="2"/>
            <w:tcBorders>
              <w:top w:val="nil"/>
              <w:left w:val="nil"/>
              <w:bottom w:val="single" w:sz="4" w:space="0" w:color="auto"/>
              <w:right w:val="nil"/>
            </w:tcBorders>
            <w:vAlign w:val="bottom"/>
          </w:tcPr>
          <w:p w14:paraId="6B70A33A" w14:textId="4014CF33" w:rsidR="00446DE4" w:rsidRPr="006500F0" w:rsidRDefault="00446DE4" w:rsidP="00496D22">
            <w:pPr>
              <w:bidi/>
              <w:rPr>
                <w:rFonts w:asciiTheme="majorBidi" w:hAnsiTheme="majorBidi" w:cstheme="majorBidi"/>
                <w:lang w:val="en-CA" w:bidi="ar-LB"/>
              </w:rPr>
            </w:pPr>
          </w:p>
        </w:tc>
      </w:tr>
      <w:tr w:rsidR="003107FA" w:rsidRPr="006500F0" w14:paraId="5441CD8C" w14:textId="77777777" w:rsidTr="0067379C">
        <w:trPr>
          <w:trHeight w:val="2835"/>
        </w:trPr>
        <w:tc>
          <w:tcPr>
            <w:tcW w:w="1259" w:type="dxa"/>
            <w:tcBorders>
              <w:top w:val="single" w:sz="4" w:space="0" w:color="auto"/>
              <w:left w:val="nil"/>
              <w:bottom w:val="single" w:sz="12" w:space="0" w:color="auto"/>
              <w:right w:val="nil"/>
            </w:tcBorders>
          </w:tcPr>
          <w:p w14:paraId="4684EB1C" w14:textId="213564CA" w:rsidR="003107FA" w:rsidRPr="006500F0" w:rsidRDefault="003107FA" w:rsidP="00496D22">
            <w:pPr>
              <w:bidi/>
              <w:spacing w:before="120"/>
              <w:jc w:val="center"/>
              <w:rPr>
                <w:rFonts w:asciiTheme="majorBidi" w:hAnsiTheme="majorBidi" w:cstheme="majorBidi"/>
                <w:lang w:val="en-CA" w:bidi="ar-LB"/>
              </w:rPr>
            </w:pPr>
          </w:p>
        </w:tc>
        <w:tc>
          <w:tcPr>
            <w:tcW w:w="5404" w:type="dxa"/>
            <w:gridSpan w:val="2"/>
            <w:tcBorders>
              <w:top w:val="single" w:sz="4" w:space="0" w:color="auto"/>
              <w:left w:val="nil"/>
              <w:bottom w:val="single" w:sz="12" w:space="0" w:color="auto"/>
              <w:right w:val="nil"/>
            </w:tcBorders>
          </w:tcPr>
          <w:p w14:paraId="29EF9DF2" w14:textId="0B17E9F6" w:rsidR="00496D22" w:rsidRPr="006500F0" w:rsidRDefault="00496D22" w:rsidP="00496D22">
            <w:pPr>
              <w:bidi/>
              <w:spacing w:before="240" w:line="240" w:lineRule="exact"/>
              <w:jc w:val="right"/>
              <w:rPr>
                <w:rFonts w:asciiTheme="majorBidi" w:hAnsiTheme="majorBidi" w:cstheme="majorBidi"/>
                <w:lang w:val="en-CA" w:bidi="ar-LB"/>
              </w:rPr>
            </w:pPr>
            <w:r w:rsidRPr="006500F0">
              <w:rPr>
                <w:rFonts w:asciiTheme="majorBidi" w:hAnsiTheme="majorBidi" w:cstheme="majorBidi"/>
                <w:lang w:val="en-CA" w:bidi="ar-LB"/>
              </w:rPr>
              <w:t>Distr.: General</w:t>
            </w:r>
          </w:p>
          <w:p w14:paraId="688B0B8D" w14:textId="0E06C913" w:rsidR="00496D22" w:rsidRDefault="0067379C" w:rsidP="00496D22">
            <w:pPr>
              <w:bidi/>
              <w:spacing w:line="240" w:lineRule="exact"/>
              <w:jc w:val="right"/>
              <w:rPr>
                <w:rFonts w:asciiTheme="majorBidi" w:hAnsiTheme="majorBidi" w:cstheme="majorBidi"/>
                <w:lang w:val="en-CA" w:bidi="ar-LB"/>
              </w:rPr>
            </w:pPr>
            <w:r>
              <w:rPr>
                <w:rFonts w:asciiTheme="majorBidi" w:hAnsiTheme="majorBidi" w:cstheme="majorBidi"/>
                <w:lang w:val="en-CA" w:bidi="ar-LB"/>
              </w:rPr>
              <w:t>6</w:t>
            </w:r>
            <w:r w:rsidR="00496D22" w:rsidRPr="006500F0">
              <w:rPr>
                <w:rFonts w:asciiTheme="majorBidi" w:hAnsiTheme="majorBidi" w:cstheme="majorBidi"/>
                <w:lang w:val="en-CA" w:bidi="ar-LB"/>
              </w:rPr>
              <w:t xml:space="preserve"> October 2021</w:t>
            </w:r>
          </w:p>
          <w:p w14:paraId="355CA071" w14:textId="77777777" w:rsidR="0067379C" w:rsidRDefault="0067379C" w:rsidP="0067379C">
            <w:pPr>
              <w:bidi/>
              <w:spacing w:line="240" w:lineRule="exact"/>
              <w:jc w:val="right"/>
              <w:rPr>
                <w:rFonts w:asciiTheme="majorBidi" w:hAnsiTheme="majorBidi" w:cstheme="majorBidi"/>
                <w:lang w:val="en-CA" w:bidi="ar-LB"/>
              </w:rPr>
            </w:pPr>
          </w:p>
          <w:p w14:paraId="7EA0637F" w14:textId="77777777" w:rsidR="0067379C" w:rsidRDefault="00EB2CE0" w:rsidP="0067379C">
            <w:pPr>
              <w:bidi/>
              <w:spacing w:line="240" w:lineRule="exact"/>
              <w:jc w:val="right"/>
              <w:rPr>
                <w:rFonts w:asciiTheme="majorBidi" w:hAnsiTheme="majorBidi" w:cstheme="majorBidi"/>
                <w:lang w:val="en-CA" w:bidi="ar-LB"/>
              </w:rPr>
            </w:pPr>
            <w:r>
              <w:rPr>
                <w:rFonts w:asciiTheme="majorBidi" w:hAnsiTheme="majorBidi" w:cstheme="majorBidi"/>
                <w:lang w:val="en-CA" w:bidi="ar-LB"/>
              </w:rPr>
              <w:t>Arabic</w:t>
            </w:r>
          </w:p>
          <w:p w14:paraId="187488DA" w14:textId="15EB4AC7" w:rsidR="006F0131" w:rsidRPr="0067379C" w:rsidRDefault="00496D22" w:rsidP="0067379C">
            <w:pPr>
              <w:bidi/>
              <w:spacing w:line="240" w:lineRule="exact"/>
              <w:jc w:val="right"/>
              <w:rPr>
                <w:rFonts w:asciiTheme="majorBidi" w:hAnsiTheme="majorBidi" w:cstheme="majorBidi"/>
                <w:lang w:val="en-CA" w:bidi="ar-LB"/>
              </w:rPr>
            </w:pPr>
            <w:r w:rsidRPr="006500F0">
              <w:rPr>
                <w:rFonts w:asciiTheme="majorBidi" w:hAnsiTheme="majorBidi" w:cstheme="majorBidi"/>
                <w:lang w:val="en-CA" w:bidi="ar-LB"/>
              </w:rPr>
              <w:t>Original: English</w:t>
            </w:r>
          </w:p>
        </w:tc>
        <w:tc>
          <w:tcPr>
            <w:tcW w:w="2930" w:type="dxa"/>
            <w:tcBorders>
              <w:top w:val="single" w:sz="4" w:space="0" w:color="auto"/>
              <w:left w:val="nil"/>
              <w:bottom w:val="single" w:sz="12" w:space="0" w:color="auto"/>
              <w:right w:val="nil"/>
            </w:tcBorders>
          </w:tcPr>
          <w:p w14:paraId="5D564025" w14:textId="5F6DD16B" w:rsidR="00EB2CE0" w:rsidRPr="00EB2CE0" w:rsidRDefault="00EB2CE0" w:rsidP="00EB2CE0">
            <w:pPr>
              <w:bidi/>
              <w:rPr>
                <w:rFonts w:asciiTheme="majorBidi" w:hAnsiTheme="majorBidi" w:cstheme="majorBidi"/>
                <w:lang w:val="en-CA" w:bidi="ar-LB"/>
              </w:rPr>
            </w:pPr>
          </w:p>
          <w:p w14:paraId="6285C3C6" w14:textId="00405BF7" w:rsidR="00EB2CE0" w:rsidRDefault="00EB2CE0" w:rsidP="00EB2CE0">
            <w:pPr>
              <w:bidi/>
              <w:rPr>
                <w:rFonts w:asciiTheme="majorBidi" w:hAnsiTheme="majorBidi" w:cstheme="majorBidi"/>
                <w:lang w:val="en-CA" w:bidi="ar-LB"/>
              </w:rPr>
            </w:pPr>
          </w:p>
          <w:p w14:paraId="69393F64" w14:textId="2516D0A2" w:rsidR="00EB2CE0" w:rsidRPr="0067379C" w:rsidRDefault="0067379C" w:rsidP="00EB2CE0">
            <w:pPr>
              <w:bidi/>
              <w:jc w:val="center"/>
              <w:rPr>
                <w:rFonts w:asciiTheme="majorBidi" w:hAnsiTheme="majorBidi" w:cstheme="majorBidi"/>
                <w:sz w:val="36"/>
                <w:szCs w:val="36"/>
                <w:lang w:val="en-CA" w:bidi="ar-LB"/>
              </w:rPr>
            </w:pPr>
            <w:bookmarkStart w:id="0" w:name="_GoBack"/>
            <w:bookmarkEnd w:id="0"/>
            <w:r w:rsidRPr="0067379C">
              <w:rPr>
                <w:rFonts w:asciiTheme="majorBidi" w:hAnsiTheme="majorBidi" w:cstheme="majorBidi" w:hint="cs"/>
                <w:sz w:val="36"/>
                <w:szCs w:val="36"/>
                <w:rtl/>
                <w:lang w:val="en-CA" w:bidi="ar-LB"/>
              </w:rPr>
              <w:t>Unofficial Arabic Version</w:t>
            </w:r>
          </w:p>
        </w:tc>
      </w:tr>
    </w:tbl>
    <w:p w14:paraId="7B77551D" w14:textId="6AF33882" w:rsidR="006F0131" w:rsidRPr="006500F0" w:rsidRDefault="0079433A" w:rsidP="0079433A">
      <w:pPr>
        <w:bidi/>
        <w:spacing w:before="120"/>
        <w:rPr>
          <w:rFonts w:asciiTheme="majorBidi" w:hAnsiTheme="majorBidi" w:cstheme="majorBidi"/>
          <w:b/>
          <w:sz w:val="24"/>
          <w:szCs w:val="24"/>
          <w:rtl/>
          <w:lang w:val="en-CA" w:bidi="ar-LB"/>
        </w:rPr>
      </w:pPr>
      <w:r>
        <w:rPr>
          <w:rFonts w:asciiTheme="majorBidi" w:hAnsiTheme="majorBidi" w:cstheme="majorBidi" w:hint="cs"/>
          <w:b/>
          <w:sz w:val="24"/>
          <w:szCs w:val="24"/>
          <w:rtl/>
          <w:lang w:val="en-CA" w:bidi="ar-LB"/>
        </w:rPr>
        <w:t>مجلس حقوق الإنسان</w:t>
      </w:r>
    </w:p>
    <w:p w14:paraId="77A5A8AA" w14:textId="0FB2F594" w:rsidR="006F0131" w:rsidRDefault="0079433A" w:rsidP="0079433A">
      <w:pPr>
        <w:bidi/>
        <w:rPr>
          <w:rFonts w:asciiTheme="majorBidi" w:hAnsiTheme="majorBidi" w:cstheme="majorBidi"/>
          <w:b/>
          <w:rtl/>
          <w:lang w:val="en-CA" w:bidi="ar-LB"/>
        </w:rPr>
      </w:pPr>
      <w:r>
        <w:rPr>
          <w:rFonts w:asciiTheme="majorBidi" w:hAnsiTheme="majorBidi" w:cstheme="majorBidi" w:hint="cs"/>
          <w:b/>
          <w:rtl/>
          <w:lang w:val="en-CA" w:bidi="ar-LB"/>
        </w:rPr>
        <w:t>الدورة الثامنة والأربعون</w:t>
      </w:r>
    </w:p>
    <w:p w14:paraId="6409597C" w14:textId="4208C674" w:rsidR="0079433A" w:rsidRDefault="00F0566B" w:rsidP="0079433A">
      <w:pPr>
        <w:bidi/>
        <w:rPr>
          <w:lang w:val="en-CA"/>
        </w:rPr>
      </w:pPr>
      <w:r>
        <w:rPr>
          <w:rFonts w:hint="cs"/>
          <w:rtl/>
          <w:lang w:val="en-CA"/>
        </w:rPr>
        <w:t xml:space="preserve">13 </w:t>
      </w:r>
      <w:r w:rsidR="0079433A" w:rsidRPr="008E5FFA">
        <w:rPr>
          <w:rtl/>
          <w:lang w:val="en-CA"/>
        </w:rPr>
        <w:t>سبتمبر</w:t>
      </w:r>
      <w:r w:rsidR="0079433A">
        <w:rPr>
          <w:rFonts w:hint="cs"/>
          <w:rtl/>
          <w:lang w:val="en-CA" w:bidi="ar-LB"/>
        </w:rPr>
        <w:t>/أيلول</w:t>
      </w:r>
      <w:r w:rsidR="0079433A" w:rsidRPr="008E5FFA">
        <w:rPr>
          <w:rtl/>
          <w:lang w:val="en-CA"/>
        </w:rPr>
        <w:t xml:space="preserve"> - 8 أكتوبر</w:t>
      </w:r>
      <w:r w:rsidR="0079433A">
        <w:rPr>
          <w:rFonts w:hint="cs"/>
          <w:rtl/>
          <w:lang w:val="en-CA"/>
        </w:rPr>
        <w:t>/تشرين الأول</w:t>
      </w:r>
      <w:r w:rsidR="0079433A" w:rsidRPr="008E5FFA">
        <w:rPr>
          <w:rtl/>
          <w:lang w:val="en-CA"/>
        </w:rPr>
        <w:t xml:space="preserve"> 2021</w:t>
      </w:r>
    </w:p>
    <w:p w14:paraId="55BAC948" w14:textId="77777777" w:rsidR="0079433A" w:rsidRPr="00BF24B4" w:rsidRDefault="0079433A" w:rsidP="0079433A">
      <w:pPr>
        <w:bidi/>
        <w:rPr>
          <w:lang w:val="en-CA"/>
        </w:rPr>
      </w:pPr>
      <w:r>
        <w:rPr>
          <w:rFonts w:hint="cs"/>
          <w:rtl/>
          <w:lang w:val="en-CA"/>
        </w:rPr>
        <w:t>البند 10 من جدول الأعمال</w:t>
      </w:r>
    </w:p>
    <w:p w14:paraId="5F83F2E0" w14:textId="73C2A9F9" w:rsidR="0079433A" w:rsidRPr="00BB67A9" w:rsidRDefault="00BB67A9" w:rsidP="0079433A">
      <w:pPr>
        <w:bidi/>
        <w:rPr>
          <w:rFonts w:asciiTheme="majorBidi" w:hAnsiTheme="majorBidi" w:cstheme="majorBidi"/>
          <w:bCs/>
          <w:lang w:val="en-CA" w:bidi="ar-LB"/>
        </w:rPr>
      </w:pPr>
      <w:r w:rsidRPr="00BB67A9">
        <w:rPr>
          <w:rFonts w:asciiTheme="majorBidi" w:hAnsiTheme="majorBidi" w:cstheme="majorBidi" w:hint="cs"/>
          <w:bCs/>
          <w:rtl/>
          <w:lang w:val="en-CA" w:bidi="ar-LB"/>
        </w:rPr>
        <w:t>المساعدة التقنية ودعم بناء القدرات</w:t>
      </w:r>
    </w:p>
    <w:p w14:paraId="244AF8C4" w14:textId="795DA168" w:rsidR="00BB67A9" w:rsidRDefault="00BB67A9" w:rsidP="00BB67A9">
      <w:pPr>
        <w:pStyle w:val="HChG"/>
        <w:tabs>
          <w:tab w:val="clear" w:pos="851"/>
        </w:tabs>
        <w:bidi/>
        <w:jc w:val="center"/>
        <w:rPr>
          <w:b w:val="0"/>
          <w:bCs/>
          <w:szCs w:val="28"/>
          <w:lang w:val="en-CA"/>
        </w:rPr>
      </w:pPr>
      <w:r w:rsidRPr="00A64052">
        <w:rPr>
          <w:rFonts w:hint="cs"/>
          <w:b w:val="0"/>
          <w:bCs/>
          <w:szCs w:val="28"/>
          <w:rtl/>
          <w:lang w:val="en-CA"/>
        </w:rPr>
        <w:t xml:space="preserve">تقرير </w:t>
      </w:r>
      <w:r w:rsidRPr="00A64052">
        <w:rPr>
          <w:b w:val="0"/>
          <w:bCs/>
          <w:szCs w:val="28"/>
          <w:rtl/>
          <w:lang w:val="en-CA"/>
        </w:rPr>
        <w:t>البعثة المستقلة لتقصي الحقائق بشأن ليبيا</w:t>
      </w:r>
    </w:p>
    <w:p w14:paraId="1805FEC1" w14:textId="390B0236" w:rsidR="003E2517" w:rsidRDefault="003E2517" w:rsidP="003E2517">
      <w:pPr>
        <w:bidi/>
        <w:rPr>
          <w:lang w:val="en-CA"/>
        </w:rPr>
      </w:pPr>
    </w:p>
    <w:p w14:paraId="7660B21F" w14:textId="769E4DAA" w:rsidR="003E2517" w:rsidRDefault="003E2517" w:rsidP="003E2517">
      <w:pPr>
        <w:bidi/>
        <w:rPr>
          <w:lang w:val="en-CA"/>
        </w:rPr>
      </w:pPr>
    </w:p>
    <w:p w14:paraId="32165D15" w14:textId="23E4A177" w:rsidR="003E2517" w:rsidRPr="00860E2E" w:rsidRDefault="003E2517" w:rsidP="003E2517">
      <w:pPr>
        <w:bidi/>
        <w:rPr>
          <w:b/>
          <w:bCs/>
          <w:sz w:val="28"/>
          <w:szCs w:val="28"/>
          <w:rtl/>
          <w:lang w:val="en-CA" w:bidi="ar-LB"/>
        </w:rPr>
      </w:pPr>
      <w:r w:rsidRPr="00860E2E">
        <w:rPr>
          <w:rFonts w:hint="cs"/>
          <w:b/>
          <w:bCs/>
          <w:sz w:val="28"/>
          <w:szCs w:val="28"/>
          <w:rtl/>
          <w:lang w:val="en-CA" w:bidi="ar-LB"/>
        </w:rPr>
        <w:t>ترجمة غير رسمية</w:t>
      </w:r>
    </w:p>
    <w:p w14:paraId="0EA83D74" w14:textId="674A3A7E" w:rsidR="002B7E87" w:rsidRPr="006500F0" w:rsidRDefault="002B7E87" w:rsidP="0090112E">
      <w:pPr>
        <w:suppressAutoHyphens w:val="0"/>
        <w:spacing w:line="240" w:lineRule="auto"/>
        <w:rPr>
          <w:rFonts w:asciiTheme="majorBidi" w:hAnsiTheme="majorBidi" w:cstheme="majorBidi"/>
          <w:lang w:val="en-CA" w:bidi="ar-LB"/>
        </w:rPr>
      </w:pPr>
      <w:r w:rsidRPr="006500F0">
        <w:rPr>
          <w:rFonts w:asciiTheme="majorBidi" w:hAnsiTheme="majorBidi" w:cstheme="majorBidi"/>
          <w:lang w:val="en-CA" w:bidi="ar-LB"/>
        </w:rPr>
        <w:br w:type="page"/>
      </w:r>
    </w:p>
    <w:p w14:paraId="4B413563" w14:textId="6973682E" w:rsidR="00906B62" w:rsidRPr="006500F0" w:rsidRDefault="00FA4CD4" w:rsidP="00E06490">
      <w:pPr>
        <w:pStyle w:val="HChG"/>
        <w:kinsoku w:val="0"/>
        <w:overflowPunct w:val="0"/>
        <w:autoSpaceDE w:val="0"/>
        <w:autoSpaceDN w:val="0"/>
        <w:bidi/>
        <w:adjustRightInd w:val="0"/>
        <w:snapToGrid w:val="0"/>
        <w:rPr>
          <w:rFonts w:asciiTheme="majorBidi" w:hAnsiTheme="majorBidi" w:cstheme="majorBidi"/>
          <w:b w:val="0"/>
          <w:bCs/>
          <w:rtl/>
          <w:lang w:val="en-CA" w:bidi="ar-LB"/>
        </w:rPr>
      </w:pPr>
      <w:r w:rsidRPr="006500F0">
        <w:rPr>
          <w:rFonts w:asciiTheme="majorBidi" w:eastAsiaTheme="minorHAnsi" w:hAnsiTheme="majorBidi" w:cstheme="majorBidi"/>
          <w:b w:val="0"/>
          <w:bCs/>
          <w:lang w:val="en-CA" w:bidi="ar-LB"/>
        </w:rPr>
        <w:lastRenderedPageBreak/>
        <w:tab/>
      </w:r>
      <w:r w:rsidRPr="006500F0">
        <w:rPr>
          <w:rFonts w:asciiTheme="majorBidi" w:hAnsiTheme="majorBidi" w:cstheme="majorBidi"/>
          <w:b w:val="0"/>
          <w:bCs/>
          <w:lang w:val="en-CA" w:bidi="ar-LB"/>
        </w:rPr>
        <w:tab/>
      </w:r>
      <w:r w:rsidR="00E06490" w:rsidRPr="006500F0">
        <w:rPr>
          <w:rFonts w:asciiTheme="majorBidi" w:eastAsiaTheme="minorHAnsi" w:hAnsiTheme="majorBidi" w:cstheme="majorBidi"/>
          <w:b w:val="0"/>
          <w:bCs/>
          <w:rtl/>
          <w:lang w:val="en-CA" w:bidi="ar-LB"/>
        </w:rPr>
        <w:t>أولًا-</w:t>
      </w:r>
      <w:r w:rsidR="00FF7B22">
        <w:rPr>
          <w:rFonts w:asciiTheme="majorBidi" w:eastAsiaTheme="minorHAnsi" w:hAnsiTheme="majorBidi" w:cstheme="majorBidi"/>
          <w:b w:val="0"/>
          <w:bCs/>
          <w:rtl/>
          <w:lang w:val="en-CA" w:bidi="ar-LB"/>
        </w:rPr>
        <w:tab/>
      </w:r>
      <w:r w:rsidR="00E06490" w:rsidRPr="006500F0">
        <w:rPr>
          <w:rFonts w:asciiTheme="majorBidi" w:eastAsiaTheme="minorHAnsi" w:hAnsiTheme="majorBidi" w:cstheme="majorBidi"/>
          <w:b w:val="0"/>
          <w:bCs/>
          <w:rtl/>
          <w:lang w:val="en-CA" w:bidi="ar-LB"/>
        </w:rPr>
        <w:t xml:space="preserve"> المقدمة</w:t>
      </w:r>
    </w:p>
    <w:p w14:paraId="49109D36" w14:textId="27EEAAD9" w:rsidR="002B7E87" w:rsidRPr="006500F0" w:rsidRDefault="00FA4CD4" w:rsidP="005A140B">
      <w:pPr>
        <w:pStyle w:val="ParNoG"/>
        <w:numPr>
          <w:ilvl w:val="0"/>
          <w:numId w:val="0"/>
        </w:numPr>
        <w:tabs>
          <w:tab w:val="left" w:pos="720"/>
        </w:tabs>
        <w:bidi/>
        <w:ind w:left="1134"/>
        <w:rPr>
          <w:rFonts w:asciiTheme="majorBidi" w:hAnsiTheme="majorBidi" w:cstheme="majorBidi"/>
          <w:lang w:val="en-CA" w:eastAsia="fr-FR" w:bidi="ar-LB"/>
        </w:rPr>
      </w:pPr>
      <w:r w:rsidRPr="006500F0">
        <w:rPr>
          <w:rFonts w:asciiTheme="majorBidi" w:hAnsiTheme="majorBidi" w:cstheme="majorBidi"/>
          <w:lang w:eastAsia="fr-FR" w:bidi="ar-LB"/>
        </w:rPr>
        <w:t>1.</w:t>
      </w:r>
      <w:r w:rsidRPr="006500F0">
        <w:rPr>
          <w:rFonts w:asciiTheme="majorBidi" w:hAnsiTheme="majorBidi" w:cstheme="majorBidi"/>
          <w:lang w:eastAsia="fr-FR" w:bidi="ar-LB"/>
        </w:rPr>
        <w:tab/>
      </w:r>
      <w:r w:rsidR="000C0DD8" w:rsidRPr="006500F0">
        <w:rPr>
          <w:rFonts w:asciiTheme="majorBidi" w:hAnsiTheme="majorBidi" w:cstheme="majorBidi"/>
          <w:rtl/>
          <w:lang w:val="en-CA" w:eastAsia="fr-FR" w:bidi="ar-LB"/>
        </w:rPr>
        <w:t>منذ سقوط نظام القذافي في العام 2011، ساهم تفكك الدولة وانتشار الأسلحة والميليشيات التي تتنافس للسيطرة على الأراضي والموارد إلى تقويض سيادة القانون في ليبيا بشدّة. وشكلتْ ليبيا أيضًا مسرحًا لنزاعات مسلحة شبه متواصلة. ويُزعم أن الجهات الفاعلة الحكومية وغير الحكومية على حدّ سواء، من ليبيا ومن خارجها، استفادت من هذا السياق لاقتراف انتهاكات القانون الدولي لحقوق الإنسان وتجاوزات القانون الإنساني الدولي ضد الفئات الأكثر ضعفاً، بما في ذلك النساء، والأطفال، والأقليات الإثنية، والمهاجرين، وطالبي اللجوء، والنازحين داخليًا. وأثّر العنف إلى حدّ كبير على النسيج الاقتصادي الليبي وعلى المساحة المدنية، ولا سيّما بالنسبة للنساء. ومع تنصيب حكومة الوحدة الوطنية مؤخرًا، دخلت ليبيا مرحلة الحوار الوطني وتوحيد مؤسسات الدولة. ولكنْ، لا زالتْ حالة حقوق الإنسان مقلقة،</w:t>
      </w:r>
      <w:r w:rsidR="000C0DD8" w:rsidRPr="006500F0">
        <w:rPr>
          <w:rFonts w:asciiTheme="majorBidi" w:hAnsiTheme="majorBidi" w:cstheme="majorBidi"/>
          <w:rtl/>
          <w:lang w:bidi="ar-LB"/>
        </w:rPr>
        <w:t xml:space="preserve"> </w:t>
      </w:r>
      <w:r w:rsidR="000C0DD8" w:rsidRPr="006500F0">
        <w:rPr>
          <w:rFonts w:asciiTheme="majorBidi" w:hAnsiTheme="majorBidi" w:cstheme="majorBidi"/>
          <w:rtl/>
          <w:lang w:val="en-CA" w:eastAsia="fr-FR" w:bidi="ar-LB"/>
        </w:rPr>
        <w:t xml:space="preserve">وتواجه عملية مساءلة مرتكبي الانتهاكات والتجاوزات تحديات كبيرة. </w:t>
      </w:r>
    </w:p>
    <w:p w14:paraId="6CBF4880" w14:textId="73B37886" w:rsidR="00CB51C7" w:rsidRPr="006500F0" w:rsidRDefault="00FA4CD4" w:rsidP="005A140B">
      <w:pPr>
        <w:pStyle w:val="ParNoG"/>
        <w:numPr>
          <w:ilvl w:val="0"/>
          <w:numId w:val="0"/>
        </w:numPr>
        <w:bidi/>
        <w:ind w:left="1134"/>
        <w:rPr>
          <w:rFonts w:asciiTheme="majorBidi" w:hAnsiTheme="majorBidi" w:cstheme="majorBidi"/>
          <w:lang w:val="en-CA" w:eastAsia="fr-FR" w:bidi="ar-LB"/>
        </w:rPr>
      </w:pPr>
      <w:r w:rsidRPr="006500F0">
        <w:rPr>
          <w:rFonts w:asciiTheme="majorBidi" w:hAnsiTheme="majorBidi" w:cstheme="majorBidi"/>
          <w:lang w:eastAsia="fr-FR" w:bidi="ar-LB"/>
        </w:rPr>
        <w:t>2.</w:t>
      </w:r>
      <w:r w:rsidR="008942EA" w:rsidRPr="006500F0">
        <w:rPr>
          <w:rFonts w:asciiTheme="majorBidi" w:hAnsiTheme="majorBidi" w:cstheme="majorBidi"/>
          <w:lang w:eastAsia="fr-FR" w:bidi="ar-LB"/>
        </w:rPr>
        <w:tab/>
      </w:r>
      <w:r w:rsidR="008942EA" w:rsidRPr="006500F0">
        <w:rPr>
          <w:rFonts w:asciiTheme="majorBidi" w:hAnsiTheme="majorBidi" w:cstheme="majorBidi"/>
          <w:lang w:val="en-CA" w:eastAsia="fr-FR" w:bidi="ar-LB"/>
        </w:rPr>
        <w:t xml:space="preserve"> </w:t>
      </w:r>
      <w:r w:rsidR="008942EA" w:rsidRPr="006500F0">
        <w:rPr>
          <w:rFonts w:asciiTheme="majorBidi" w:hAnsiTheme="majorBidi" w:cstheme="majorBidi"/>
          <w:rtl/>
          <w:lang w:val="en-CA" w:eastAsia="fr-FR" w:bidi="ar-LB"/>
        </w:rPr>
        <w:t>منذ</w:t>
      </w:r>
      <w:r w:rsidR="005A140B" w:rsidRPr="006500F0">
        <w:rPr>
          <w:rFonts w:asciiTheme="majorBidi" w:hAnsiTheme="majorBidi" w:cstheme="majorBidi"/>
          <w:rtl/>
          <w:lang w:val="en-CA" w:eastAsia="fr-FR" w:bidi="ar-LB"/>
        </w:rPr>
        <w:t xml:space="preserve"> العام 2011، كان الوضع في ليبيا موضع تحقيقات أجرتها آليتان مفوضتان من قبل مجلس حقوق الإنسان التابع للأمم المتحدة ("المجلس").</w:t>
      </w:r>
      <w:r w:rsidR="005A140B" w:rsidRPr="006500F0">
        <w:rPr>
          <w:rStyle w:val="FootnoteReference"/>
          <w:rFonts w:asciiTheme="majorBidi" w:hAnsiTheme="majorBidi" w:cstheme="majorBidi"/>
          <w:lang w:val="en-CA" w:eastAsia="fr-FR" w:bidi="ar-LB"/>
        </w:rPr>
        <w:footnoteReference w:id="2"/>
      </w:r>
      <w:r w:rsidR="005A140B" w:rsidRPr="006500F0">
        <w:rPr>
          <w:rFonts w:asciiTheme="majorBidi" w:hAnsiTheme="majorBidi" w:cstheme="majorBidi"/>
          <w:rtl/>
          <w:lang w:val="en-CA" w:eastAsia="fr-FR" w:bidi="ar-LB"/>
        </w:rPr>
        <w:t xml:space="preserve"> وفي 22 يونيو / حزيران 2020، بناءً على طلب الحكومة الليبية، اعتمد المجلس القرار 43/39، وطلب بموجبه من مفوضة الأمم المتحدة السامية لحقوق الإنسان ("المفوضة السامية") إنشاء بعثة تقصي الحقائق وإرسالها إلى ليبيا. في 22 آب / أغسطس 2020، أعلنت المفوضة السامية تعيين السيد محمد أوجار (المغرب)، والسيدة تريسي روبنسون (جامايكا)، والسيد تشالوكا بياني (زامبيا / المملكة المتحدة) كأعضاء البعثة المستقلة لتقصي الحقائق بشأن ليبيا ("البعثة")، مع تعيين السيد أوجار في منصب رئيس البعثة.</w:t>
      </w:r>
    </w:p>
    <w:p w14:paraId="2A59DAF5" w14:textId="13DE4066" w:rsidR="008732CE" w:rsidRPr="006500F0" w:rsidRDefault="00FA4CD4" w:rsidP="000865E7">
      <w:pPr>
        <w:pStyle w:val="ParNoG"/>
        <w:numPr>
          <w:ilvl w:val="0"/>
          <w:numId w:val="0"/>
        </w:numPr>
        <w:bidi/>
        <w:ind w:left="1134"/>
        <w:rPr>
          <w:rFonts w:asciiTheme="majorBidi" w:hAnsiTheme="majorBidi" w:cstheme="majorBidi"/>
          <w:lang w:val="en-CA" w:eastAsia="fr-FR" w:bidi="ar-LB"/>
        </w:rPr>
      </w:pPr>
      <w:r w:rsidRPr="006500F0">
        <w:rPr>
          <w:rFonts w:asciiTheme="majorBidi" w:hAnsiTheme="majorBidi" w:cstheme="majorBidi"/>
          <w:lang w:eastAsia="fr-FR" w:bidi="ar-LB"/>
        </w:rPr>
        <w:t>3.</w:t>
      </w:r>
      <w:r w:rsidRPr="006500F0">
        <w:rPr>
          <w:rFonts w:asciiTheme="majorBidi" w:hAnsiTheme="majorBidi" w:cstheme="majorBidi"/>
          <w:lang w:eastAsia="fr-FR" w:bidi="ar-LB"/>
        </w:rPr>
        <w:tab/>
      </w:r>
      <w:r w:rsidR="00B23CD8" w:rsidRPr="006500F0">
        <w:rPr>
          <w:rFonts w:asciiTheme="majorBidi" w:hAnsiTheme="majorBidi" w:cstheme="majorBidi"/>
          <w:rtl/>
          <w:lang w:bidi="ar-LB"/>
        </w:rPr>
        <w:t>كُلّفتْ البعثة بالعمل بشكل مستقل ومحايد، لتحديد الحقائق والظروف المتعلقة بحالة حقوق الإنسان في جميع أنحاء ليبيا، وتوثيق ادعاءات انتهاكات القانون الدولي لحقوق الإنسان وتجاوزات القانون الإنساني الدولي من قبل جميع الأطراف في ليبيا منذ بداية العام 2016، بما في ذلك أي أبعاد جنسانية لها، والحفاظ على الأدلة بهدف ضمان محاسبة مقترفي الانتهاكات والتجاوزات</w:t>
      </w:r>
      <w:r w:rsidR="00B23CD8" w:rsidRPr="006500F0">
        <w:rPr>
          <w:rFonts w:asciiTheme="majorBidi" w:hAnsiTheme="majorBidi" w:cstheme="majorBidi"/>
          <w:lang w:bidi="ar-LB"/>
        </w:rPr>
        <w:t>.</w:t>
      </w:r>
      <w:r w:rsidR="00B23CD8" w:rsidRPr="006500F0">
        <w:rPr>
          <w:rFonts w:asciiTheme="majorBidi" w:hAnsiTheme="majorBidi" w:cstheme="majorBidi"/>
          <w:rtl/>
          <w:lang w:bidi="ar-LB"/>
        </w:rPr>
        <w:t xml:space="preserve"> أُنشئت البعثة في الأصْل لمدة سنة واحدة، وطُلب منها تقديم تقرير مكتوب شامل إلى المجلس في دورته السادسة والأربعين. وقرر المجلس لاحقًا تأجيل تقديم التقرير إلى الدورة الثامنة والأربعين، لمراعاة </w:t>
      </w:r>
      <w:r w:rsidR="00B23CD8" w:rsidRPr="006500F0">
        <w:rPr>
          <w:rFonts w:asciiTheme="majorBidi" w:hAnsiTheme="majorBidi" w:cstheme="majorBidi"/>
          <w:rtl/>
          <w:lang w:val="en-CA" w:eastAsia="fr-FR" w:bidi="ar-LB"/>
        </w:rPr>
        <w:t>استحالة تعيين الأمانة الداعمة لعمل البعثة.</w:t>
      </w:r>
      <w:r w:rsidR="00B23CD8" w:rsidRPr="006500F0">
        <w:rPr>
          <w:rFonts w:asciiTheme="majorBidi" w:hAnsiTheme="majorBidi" w:cstheme="majorBidi"/>
          <w:rtl/>
          <w:lang w:bidi="ar-LB"/>
        </w:rPr>
        <w:t xml:space="preserve"> و</w:t>
      </w:r>
      <w:r w:rsidR="00B23CD8" w:rsidRPr="006500F0">
        <w:rPr>
          <w:rFonts w:asciiTheme="majorBidi" w:hAnsiTheme="majorBidi" w:cstheme="majorBidi"/>
          <w:rtl/>
          <w:lang w:val="en-CA" w:eastAsia="fr-FR" w:bidi="ar-LB"/>
        </w:rPr>
        <w:t>على الرغم من تأجيل الموعد النهائي للتقرير،</w:t>
      </w:r>
      <w:r w:rsidR="00B23CD8" w:rsidRPr="006500F0">
        <w:rPr>
          <w:rFonts w:asciiTheme="majorBidi" w:hAnsiTheme="majorBidi" w:cstheme="majorBidi"/>
          <w:rtl/>
          <w:lang w:bidi="ar-LB"/>
        </w:rPr>
        <w:t xml:space="preserve"> إلا أنّ</w:t>
      </w:r>
      <w:r w:rsidR="00B23CD8" w:rsidRPr="006500F0">
        <w:rPr>
          <w:rFonts w:asciiTheme="majorBidi" w:hAnsiTheme="majorBidi" w:cstheme="majorBidi"/>
          <w:rtl/>
          <w:lang w:val="en-CA" w:eastAsia="fr-FR" w:bidi="ar-LB"/>
        </w:rPr>
        <w:t xml:space="preserve"> الأمانة</w:t>
      </w:r>
      <w:r w:rsidR="00B23CD8" w:rsidRPr="006500F0">
        <w:rPr>
          <w:rFonts w:asciiTheme="majorBidi" w:hAnsiTheme="majorBidi" w:cstheme="majorBidi"/>
          <w:rtl/>
          <w:lang w:bidi="ar-LB"/>
        </w:rPr>
        <w:t xml:space="preserve"> لم تستهلّ</w:t>
      </w:r>
      <w:r w:rsidR="00B23CD8" w:rsidRPr="006500F0">
        <w:rPr>
          <w:rFonts w:asciiTheme="majorBidi" w:hAnsiTheme="majorBidi" w:cstheme="majorBidi"/>
          <w:rtl/>
          <w:lang w:val="en-CA" w:eastAsia="fr-FR" w:bidi="ar-LB"/>
        </w:rPr>
        <w:t xml:space="preserve"> عمل</w:t>
      </w:r>
      <w:r w:rsidR="00B23CD8" w:rsidRPr="006500F0">
        <w:rPr>
          <w:rFonts w:asciiTheme="majorBidi" w:hAnsiTheme="majorBidi" w:cstheme="majorBidi"/>
          <w:rtl/>
          <w:lang w:bidi="ar-LB"/>
        </w:rPr>
        <w:t>ها</w:t>
      </w:r>
      <w:r w:rsidR="00B23CD8" w:rsidRPr="006500F0">
        <w:rPr>
          <w:rFonts w:asciiTheme="majorBidi" w:hAnsiTheme="majorBidi" w:cstheme="majorBidi"/>
          <w:rtl/>
          <w:lang w:val="en-CA" w:eastAsia="fr-FR" w:bidi="ar-LB"/>
        </w:rPr>
        <w:t xml:space="preserve"> ب</w:t>
      </w:r>
      <w:r w:rsidR="00B23CD8" w:rsidRPr="006500F0">
        <w:rPr>
          <w:rFonts w:asciiTheme="majorBidi" w:hAnsiTheme="majorBidi" w:cstheme="majorBidi"/>
          <w:rtl/>
          <w:lang w:bidi="ar-LB"/>
        </w:rPr>
        <w:t>ال</w:t>
      </w:r>
      <w:r w:rsidR="00B23CD8" w:rsidRPr="006500F0">
        <w:rPr>
          <w:rFonts w:asciiTheme="majorBidi" w:hAnsiTheme="majorBidi" w:cstheme="majorBidi"/>
          <w:rtl/>
          <w:lang w:val="en-CA" w:eastAsia="fr-FR" w:bidi="ar-LB"/>
        </w:rPr>
        <w:t>كامل</w:t>
      </w:r>
      <w:r w:rsidR="00B23CD8" w:rsidRPr="006500F0">
        <w:rPr>
          <w:rFonts w:asciiTheme="majorBidi" w:hAnsiTheme="majorBidi" w:cstheme="majorBidi"/>
          <w:rtl/>
          <w:lang w:bidi="ar-LB"/>
        </w:rPr>
        <w:t xml:space="preserve"> سوى</w:t>
      </w:r>
      <w:r w:rsidR="00B23CD8" w:rsidRPr="006500F0">
        <w:rPr>
          <w:rFonts w:asciiTheme="majorBidi" w:hAnsiTheme="majorBidi" w:cstheme="majorBidi"/>
          <w:rtl/>
          <w:lang w:val="en-CA" w:eastAsia="fr-FR" w:bidi="ar-LB"/>
        </w:rPr>
        <w:t xml:space="preserve"> في يونيو</w:t>
      </w:r>
      <w:r w:rsidR="00B23CD8" w:rsidRPr="006500F0">
        <w:rPr>
          <w:rFonts w:asciiTheme="majorBidi" w:hAnsiTheme="majorBidi" w:cstheme="majorBidi"/>
          <w:rtl/>
          <w:lang w:bidi="ar-LB"/>
        </w:rPr>
        <w:t>/ حزيران</w:t>
      </w:r>
      <w:r w:rsidR="00B23CD8" w:rsidRPr="006500F0">
        <w:rPr>
          <w:rFonts w:asciiTheme="majorBidi" w:hAnsiTheme="majorBidi" w:cstheme="majorBidi"/>
          <w:rtl/>
          <w:lang w:val="en-CA" w:eastAsia="fr-FR" w:bidi="ar-LB"/>
        </w:rPr>
        <w:t xml:space="preserve"> 2021.</w:t>
      </w:r>
    </w:p>
    <w:p w14:paraId="2EB8EB83" w14:textId="4842AC94" w:rsidR="002F1920" w:rsidRPr="006500F0" w:rsidRDefault="00FA4CD4" w:rsidP="000865E7">
      <w:pPr>
        <w:pStyle w:val="ParNoG"/>
        <w:numPr>
          <w:ilvl w:val="0"/>
          <w:numId w:val="0"/>
        </w:numPr>
        <w:bidi/>
        <w:ind w:left="1134"/>
        <w:rPr>
          <w:rFonts w:asciiTheme="majorBidi" w:hAnsiTheme="majorBidi" w:cstheme="majorBidi"/>
          <w:lang w:val="en-CA" w:eastAsia="fr-FR" w:bidi="ar-LB"/>
        </w:rPr>
      </w:pPr>
      <w:r w:rsidRPr="006500F0">
        <w:rPr>
          <w:rFonts w:asciiTheme="majorBidi" w:hAnsiTheme="majorBidi" w:cstheme="majorBidi"/>
          <w:lang w:eastAsia="fr-FR" w:bidi="ar-LB"/>
        </w:rPr>
        <w:t>4.</w:t>
      </w:r>
      <w:r w:rsidRPr="006500F0">
        <w:rPr>
          <w:rFonts w:asciiTheme="majorBidi" w:hAnsiTheme="majorBidi" w:cstheme="majorBidi"/>
          <w:lang w:eastAsia="fr-FR" w:bidi="ar-LB"/>
        </w:rPr>
        <w:tab/>
      </w:r>
      <w:r w:rsidR="000865E7" w:rsidRPr="006500F0">
        <w:rPr>
          <w:rFonts w:asciiTheme="majorBidi" w:hAnsiTheme="majorBidi" w:cstheme="majorBidi"/>
          <w:rtl/>
          <w:lang w:val="en-CA" w:eastAsia="fr-FR" w:bidi="ar-LB"/>
        </w:rPr>
        <w:t xml:space="preserve">يتعذّر على البعثة، في الوقت الراهن، تقديم تقرير شامل عن حالة حقوق الإنسان في ليبيا منذ العام 2016. يتطلّب تحديد كامل الانتهاكات والتجاوزات المقترفة في جميع أنحاء ليبيا على مدى السنوات الستّ الماضية وقتًا أطول بكثير، بما في ذلك تحديد الجناة المتحملين. لكنّ البعثة جمعت مئات الوثائق منذ تأسيسها، وأجرتْ مقابلات مع أكثر من 150 شخصًا، فضلًا عن إتمامها تحقيقات </w:t>
      </w:r>
      <w:r w:rsidR="000865E7" w:rsidRPr="006500F0">
        <w:rPr>
          <w:rFonts w:asciiTheme="majorBidi" w:hAnsiTheme="majorBidi" w:cstheme="majorBidi"/>
          <w:rtl/>
          <w:lang w:val="en-CA" w:eastAsia="fr-FR" w:bidi="ar-LB"/>
        </w:rPr>
        <w:lastRenderedPageBreak/>
        <w:t>في ليبيا وتونس وإيطاليا. يلخّص هذا التقرير النتائج التي توصلتْ إليها البعثة استنادًا إلى المعلومات الموثّقة، في حدود الكلمات المحددة للتقارير المرفوعة إلى المجلس.</w:t>
      </w:r>
    </w:p>
    <w:p w14:paraId="6E845F76" w14:textId="03B02B55" w:rsidR="00E95F68" w:rsidRPr="006500F0" w:rsidRDefault="00FA4CD4" w:rsidP="00E95F68">
      <w:pPr>
        <w:pStyle w:val="ParNoG"/>
        <w:numPr>
          <w:ilvl w:val="0"/>
          <w:numId w:val="0"/>
        </w:numPr>
        <w:bidi/>
        <w:ind w:left="1134"/>
        <w:rPr>
          <w:rFonts w:asciiTheme="majorBidi" w:hAnsiTheme="majorBidi" w:cstheme="majorBidi"/>
          <w:lang w:val="en-US" w:eastAsia="fr-FR" w:bidi="ar-LB"/>
        </w:rPr>
      </w:pPr>
      <w:r w:rsidRPr="006500F0">
        <w:rPr>
          <w:rFonts w:asciiTheme="majorBidi" w:hAnsiTheme="majorBidi" w:cstheme="majorBidi"/>
          <w:lang w:eastAsia="fr-FR" w:bidi="ar-LB"/>
        </w:rPr>
        <w:t>5.</w:t>
      </w:r>
      <w:r w:rsidRPr="006500F0">
        <w:rPr>
          <w:rFonts w:asciiTheme="majorBidi" w:hAnsiTheme="majorBidi" w:cstheme="majorBidi"/>
          <w:lang w:eastAsia="fr-FR" w:bidi="ar-LB"/>
        </w:rPr>
        <w:tab/>
      </w:r>
      <w:r w:rsidR="00E95F68" w:rsidRPr="006500F0">
        <w:rPr>
          <w:rFonts w:asciiTheme="majorBidi" w:hAnsiTheme="majorBidi" w:cstheme="majorBidi"/>
          <w:rtl/>
          <w:lang w:val="en-CA" w:eastAsia="fr-FR" w:bidi="ar-LB"/>
        </w:rPr>
        <w:t>فيما تحرز ليبيا تقدمًا نحو تحقيق السلام، أضحى إجراء عملية كاملة لتقصي مجمل الحقائق ضروريًّا أكثر من أي وقت مضى. وأظهرت التجارب السابقة في سياقات ما بعد الصراع، أنّ التحقيق الشامل في مجال حقوق الإنسان يشكل أداةً فعالة لتعزيز المساءلة، ورادعًا يجنّب المزيد من الانتهاكات، ويروّج للسلام والأمن على المدى الطويل. لذلك، توصي البعثةُ المجلسَ بالنظر في تجديد ولايتها لفترة زمنية تتناسب مع اتساع نطاق عملها.</w:t>
      </w:r>
    </w:p>
    <w:p w14:paraId="338E8E48" w14:textId="674F1765" w:rsidR="00CC6EC5" w:rsidRPr="006500F0" w:rsidRDefault="00CC6EC5" w:rsidP="00FA4CD4">
      <w:pPr>
        <w:pStyle w:val="ParNoG"/>
        <w:numPr>
          <w:ilvl w:val="0"/>
          <w:numId w:val="0"/>
        </w:numPr>
        <w:ind w:left="1134"/>
        <w:rPr>
          <w:rFonts w:asciiTheme="majorBidi" w:hAnsiTheme="majorBidi" w:cstheme="majorBidi"/>
          <w:lang w:val="en-US" w:eastAsia="fr-FR" w:bidi="ar-LB"/>
        </w:rPr>
      </w:pPr>
    </w:p>
    <w:p w14:paraId="017F928D" w14:textId="051BCA74" w:rsidR="002B1D9C" w:rsidRPr="006500F0" w:rsidRDefault="00FA4CD4" w:rsidP="00BC585C">
      <w:pPr>
        <w:pStyle w:val="H23G"/>
        <w:bidi/>
        <w:rPr>
          <w:rFonts w:asciiTheme="majorBidi" w:hAnsiTheme="majorBidi" w:cstheme="majorBidi"/>
          <w:b w:val="0"/>
          <w:bCs/>
          <w:lang w:val="en-CA" w:eastAsia="fr-FR" w:bidi="ar-LB"/>
        </w:rPr>
      </w:pPr>
      <w:r w:rsidRPr="006500F0">
        <w:rPr>
          <w:rFonts w:asciiTheme="majorBidi" w:hAnsiTheme="majorBidi" w:cstheme="majorBidi"/>
          <w:b w:val="0"/>
          <w:bCs/>
          <w:lang w:val="en-CA" w:eastAsia="fr-FR" w:bidi="ar-LB"/>
        </w:rPr>
        <w:tab/>
      </w:r>
      <w:r w:rsidRPr="006500F0">
        <w:rPr>
          <w:rFonts w:asciiTheme="majorBidi" w:hAnsiTheme="majorBidi" w:cstheme="majorBidi"/>
          <w:b w:val="0"/>
          <w:bCs/>
          <w:lang w:val="en-CA" w:eastAsia="fr-FR" w:bidi="ar-LB"/>
        </w:rPr>
        <w:tab/>
      </w:r>
      <w:r w:rsidR="00BC585C" w:rsidRPr="006500F0">
        <w:rPr>
          <w:rFonts w:asciiTheme="majorBidi" w:hAnsiTheme="majorBidi" w:cstheme="majorBidi"/>
          <w:b w:val="0"/>
          <w:bCs/>
          <w:rtl/>
          <w:lang w:val="en-CA" w:eastAsia="fr-FR" w:bidi="ar-LB"/>
        </w:rPr>
        <w:t>الوضع السياسي</w:t>
      </w:r>
      <w:r w:rsidR="002B1D9C" w:rsidRPr="006500F0">
        <w:rPr>
          <w:rFonts w:asciiTheme="majorBidi" w:hAnsiTheme="majorBidi" w:cstheme="majorBidi"/>
          <w:b w:val="0"/>
          <w:bCs/>
          <w:lang w:val="en-CA" w:eastAsia="fr-FR" w:bidi="ar-LB"/>
        </w:rPr>
        <w:t xml:space="preserve"> </w:t>
      </w:r>
    </w:p>
    <w:p w14:paraId="5CE63973" w14:textId="664E8CE2" w:rsidR="002B1D9C" w:rsidRPr="006500F0" w:rsidRDefault="00FA4CD4" w:rsidP="00B7493F">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6.</w:t>
      </w:r>
      <w:r w:rsidRPr="006500F0">
        <w:rPr>
          <w:rFonts w:asciiTheme="majorBidi" w:hAnsiTheme="majorBidi" w:cstheme="majorBidi"/>
          <w:lang w:bidi="ar-LB"/>
        </w:rPr>
        <w:tab/>
      </w:r>
      <w:r w:rsidR="00B7493F" w:rsidRPr="006500F0">
        <w:rPr>
          <w:rFonts w:asciiTheme="majorBidi" w:hAnsiTheme="majorBidi" w:cstheme="majorBidi"/>
          <w:rtl/>
          <w:lang w:val="en-CA" w:bidi="ar-LB"/>
        </w:rPr>
        <w:t>في الأشهر الأولى من العام 2016، عمل أطراف الاتفاق السياسي الليبي على تشكيل حكومة الوفاق الوطني، التي قرّر مجلس الأمن التابع للأمم المتحدة أن يدعمها باعتبارها الحكومة الشرعية الوحيدة في ليبيا.</w:t>
      </w:r>
      <w:r w:rsidR="00B7493F" w:rsidRPr="006500F0">
        <w:rPr>
          <w:rStyle w:val="EndnoteReference"/>
          <w:rFonts w:asciiTheme="majorBidi" w:hAnsiTheme="majorBidi" w:cstheme="majorBidi"/>
          <w:szCs w:val="18"/>
          <w:lang w:val="en-CA" w:bidi="ar-LB"/>
        </w:rPr>
        <w:t xml:space="preserve"> </w:t>
      </w:r>
      <w:r w:rsidR="00B7493F" w:rsidRPr="006500F0">
        <w:rPr>
          <w:rFonts w:asciiTheme="majorBidi" w:hAnsiTheme="majorBidi" w:cstheme="majorBidi"/>
          <w:szCs w:val="18"/>
          <w:rtl/>
          <w:lang w:val="en-CA" w:bidi="ar-LB"/>
        </w:rPr>
        <w:t xml:space="preserve"> </w:t>
      </w:r>
      <w:r w:rsidR="00B7493F" w:rsidRPr="006500F0">
        <w:rPr>
          <w:rFonts w:asciiTheme="majorBidi" w:hAnsiTheme="majorBidi" w:cstheme="majorBidi"/>
          <w:rtl/>
          <w:lang w:val="en-CA" w:bidi="ar-LB"/>
        </w:rPr>
        <w:t>ومع ذلك، فإن مجلس النواب في طبرق، الذي كان متحالفًا مع "الجيش الوطني الليبي" والجماعات المسلحة التابعة له، لم يوافق أبدًا على تشكيل حكومة الوفاق الوطني. ونتيجة لهذه الأزمة السياسية، شهدتْ السنوات التالية مؤسسات موازية تمارس السيطرة على أجزاء مختلفة من البلاد.</w:t>
      </w:r>
    </w:p>
    <w:p w14:paraId="3E86EA18" w14:textId="699152C0" w:rsidR="00F44C25" w:rsidRPr="006500F0" w:rsidRDefault="00FA4CD4" w:rsidP="00F44C25">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7.</w:t>
      </w:r>
      <w:r w:rsidRPr="006500F0">
        <w:rPr>
          <w:rFonts w:asciiTheme="majorBidi" w:hAnsiTheme="majorBidi" w:cstheme="majorBidi"/>
          <w:lang w:bidi="ar-LB"/>
        </w:rPr>
        <w:tab/>
      </w:r>
      <w:r w:rsidR="00F44C25" w:rsidRPr="006500F0">
        <w:rPr>
          <w:rFonts w:asciiTheme="majorBidi" w:hAnsiTheme="majorBidi" w:cstheme="majorBidi"/>
          <w:rtl/>
          <w:lang w:val="en-CA" w:bidi="ar-LB"/>
        </w:rPr>
        <w:t>في يناير/ كانون الثاني 2020، عُقد مؤتمر دولي في برلين (ألمانيا)، انطلقتْ بعده محادثات شارك فيها كبار الضباط العسكريين من حكومة الوفاق الوطني ومن الجيش الوطني الليبي على حدّ سواء، بتيسير من الأمم المتحدة في إطار اللجنة العسكرية الليبية المشتركة (5+5). أدت المناقشات إلى إبرام وقف إطلاق النار في أكتوبر/ تشرين الأول 2020. وعلى المستوى السياسي، انعقد ملتقى جمع ممثلين من جميع الأطراف السياسية الليبية، واعتمد في نوفمبر/ تشرين الثاني 2020 خارطة طريق تنص على تشكيل حكومة الوحدة الوطنية، وإجراء الانتخابات الرئاسية والبرلمانية في ديسمبر/ كانون الأول 2021. وفي مارس/ آذار 2021، تم تنصيب حكومة الوحدة الوطنية بعد تصويت مجلس النواب. وعند تقديم هذا التقرير، كانت القوانين الخاصة بالانتخابات البرلمانية والرئاسية قيد الإعداد.</w:t>
      </w:r>
    </w:p>
    <w:p w14:paraId="0736D4BC" w14:textId="58CF6F9C" w:rsidR="002B1D9C" w:rsidRPr="006500F0" w:rsidRDefault="002B1D9C" w:rsidP="00FA4CD4">
      <w:pPr>
        <w:pStyle w:val="ParNoG"/>
        <w:numPr>
          <w:ilvl w:val="0"/>
          <w:numId w:val="0"/>
        </w:numPr>
        <w:tabs>
          <w:tab w:val="left" w:pos="1701"/>
        </w:tabs>
        <w:ind w:left="1134"/>
        <w:rPr>
          <w:rFonts w:asciiTheme="majorBidi" w:hAnsiTheme="majorBidi" w:cstheme="majorBidi"/>
          <w:lang w:val="en-CA" w:bidi="ar-LB"/>
        </w:rPr>
      </w:pPr>
    </w:p>
    <w:p w14:paraId="3ED177A9" w14:textId="052B2DA0" w:rsidR="0055782E" w:rsidRPr="006500F0" w:rsidRDefault="00AE0A09" w:rsidP="00DC7019">
      <w:pPr>
        <w:pStyle w:val="H23G"/>
        <w:bidi/>
        <w:rPr>
          <w:rFonts w:asciiTheme="majorBidi" w:hAnsiTheme="majorBidi" w:cstheme="majorBidi"/>
          <w:b w:val="0"/>
          <w:bCs/>
          <w:lang w:val="en-CA" w:eastAsia="fr-FR" w:bidi="ar-LB"/>
        </w:rPr>
      </w:pPr>
      <w:r w:rsidRPr="006500F0">
        <w:rPr>
          <w:rFonts w:asciiTheme="majorBidi" w:hAnsiTheme="majorBidi" w:cstheme="majorBidi"/>
          <w:b w:val="0"/>
          <w:bCs/>
          <w:lang w:val="en-CA" w:eastAsia="fr-FR" w:bidi="ar-LB"/>
        </w:rPr>
        <w:tab/>
      </w:r>
      <w:r w:rsidRPr="006500F0">
        <w:rPr>
          <w:rFonts w:asciiTheme="majorBidi" w:hAnsiTheme="majorBidi" w:cstheme="majorBidi"/>
          <w:b w:val="0"/>
          <w:bCs/>
          <w:lang w:val="en-CA" w:eastAsia="fr-FR" w:bidi="ar-LB"/>
        </w:rPr>
        <w:tab/>
      </w:r>
      <w:r w:rsidR="00DC7019" w:rsidRPr="006500F0">
        <w:rPr>
          <w:rFonts w:asciiTheme="majorBidi" w:hAnsiTheme="majorBidi" w:cstheme="majorBidi"/>
          <w:b w:val="0"/>
          <w:bCs/>
          <w:rtl/>
          <w:lang w:val="en-CA" w:eastAsia="fr-FR" w:bidi="ar-LB"/>
        </w:rPr>
        <w:t>تعاون السلطات الليبية</w:t>
      </w:r>
    </w:p>
    <w:p w14:paraId="75169B52" w14:textId="3769CC65" w:rsidR="009C7EE6" w:rsidRPr="006500F0" w:rsidRDefault="00FA4CD4" w:rsidP="00C443B7">
      <w:pPr>
        <w:pStyle w:val="ParNoG"/>
        <w:numPr>
          <w:ilvl w:val="0"/>
          <w:numId w:val="0"/>
        </w:numPr>
        <w:bidi/>
        <w:ind w:left="1134"/>
        <w:rPr>
          <w:rFonts w:asciiTheme="majorBidi" w:hAnsiTheme="majorBidi" w:cstheme="majorBidi"/>
          <w:lang w:val="en-CA" w:eastAsia="fr-FR" w:bidi="ar-LB"/>
        </w:rPr>
      </w:pPr>
      <w:r w:rsidRPr="006500F0">
        <w:rPr>
          <w:rFonts w:asciiTheme="majorBidi" w:hAnsiTheme="majorBidi" w:cstheme="majorBidi"/>
          <w:lang w:eastAsia="fr-FR" w:bidi="ar-LB"/>
        </w:rPr>
        <w:t>8.</w:t>
      </w:r>
      <w:r w:rsidRPr="006500F0">
        <w:rPr>
          <w:rFonts w:asciiTheme="majorBidi" w:hAnsiTheme="majorBidi" w:cstheme="majorBidi"/>
          <w:lang w:eastAsia="fr-FR" w:bidi="ar-LB"/>
        </w:rPr>
        <w:tab/>
      </w:r>
      <w:r w:rsidR="00C443B7" w:rsidRPr="006500F0">
        <w:rPr>
          <w:rFonts w:asciiTheme="majorBidi" w:hAnsiTheme="majorBidi" w:cstheme="majorBidi"/>
          <w:rtl/>
          <w:lang w:val="en-CA" w:eastAsia="fr-FR" w:bidi="ar-LB"/>
        </w:rPr>
        <w:t>بموجب القرار 43/39، حثّ المجلسُ السلطات الليبية على السماح للبعثة بالوصول دون عوائق</w:t>
      </w:r>
      <w:r w:rsidR="00C443B7" w:rsidRPr="006500F0">
        <w:rPr>
          <w:rFonts w:asciiTheme="majorBidi" w:hAnsiTheme="majorBidi" w:cstheme="majorBidi"/>
          <w:lang w:val="en-CA" w:eastAsia="fr-FR" w:bidi="ar-LB"/>
        </w:rPr>
        <w:t xml:space="preserve"> </w:t>
      </w:r>
      <w:r w:rsidR="00C443B7" w:rsidRPr="006500F0">
        <w:rPr>
          <w:rFonts w:asciiTheme="majorBidi" w:hAnsiTheme="majorBidi" w:cstheme="majorBidi"/>
          <w:rtl/>
          <w:lang w:val="en-CA" w:eastAsia="fr-FR" w:bidi="ar-LB"/>
        </w:rPr>
        <w:t>أو تأخير إلى جميع الأراضي الليبية، والسماح لها بزيارة المواقع، ولقاء من ترغب في مقابلتهم والحديث معهم، بحرية وسرية، في الوقت الذي تطلبه.</w:t>
      </w:r>
    </w:p>
    <w:p w14:paraId="41ADC925" w14:textId="6F762ED3" w:rsidR="005F1F5F" w:rsidRPr="006500F0" w:rsidRDefault="00FA4CD4" w:rsidP="00580A65">
      <w:pPr>
        <w:pStyle w:val="ParNoG"/>
        <w:numPr>
          <w:ilvl w:val="0"/>
          <w:numId w:val="0"/>
        </w:numPr>
        <w:bidi/>
        <w:ind w:left="1134"/>
        <w:rPr>
          <w:rFonts w:asciiTheme="majorBidi" w:hAnsiTheme="majorBidi" w:cstheme="majorBidi"/>
          <w:lang w:val="en-CA" w:eastAsia="fr-FR" w:bidi="ar-LB"/>
        </w:rPr>
      </w:pPr>
      <w:r w:rsidRPr="006500F0">
        <w:rPr>
          <w:rFonts w:asciiTheme="majorBidi" w:hAnsiTheme="majorBidi" w:cstheme="majorBidi"/>
          <w:lang w:eastAsia="fr-FR" w:bidi="ar-LB"/>
        </w:rPr>
        <w:lastRenderedPageBreak/>
        <w:t>9.</w:t>
      </w:r>
      <w:r w:rsidRPr="006500F0">
        <w:rPr>
          <w:rFonts w:asciiTheme="majorBidi" w:hAnsiTheme="majorBidi" w:cstheme="majorBidi"/>
          <w:lang w:eastAsia="fr-FR" w:bidi="ar-LB"/>
        </w:rPr>
        <w:tab/>
      </w:r>
      <w:r w:rsidR="00580A65" w:rsidRPr="006500F0">
        <w:rPr>
          <w:rFonts w:asciiTheme="majorBidi" w:hAnsiTheme="majorBidi" w:cstheme="majorBidi"/>
          <w:rtl/>
          <w:lang w:val="en-CA" w:eastAsia="fr-FR" w:bidi="ar-LB"/>
        </w:rPr>
        <w:t>بالتعاون مع السلطات الليبية، تمكنت البعثة من السفر إلى ليبيا، وتبادل وجهات النظر مع السلطات الليبية، وزيارة المواقع. ولكنّ التأخير الكبير في الاستحصال على التأشيرات المطلوبة للسفر أعاق التخطيط، وأخّر وصول البعثة. وخلال اجتماع عُقد في طرابلس في أغسطس/آب 2021، أكّدتْ معالي وزيرة الخارجية للبعثة أنه سيتم تسهيل إصدار تأشيرات السفر في المستقبل. وأدتْ إجراءات التصريح الخاصة بالمنظمات الدولية العاملة في ليبيا إلى إعاقة تفاعل البعثة مع السلطات، وأثّرتْ أيضًا على الزيارات الميدانية للبعثة.</w:t>
      </w:r>
      <w:r w:rsidR="00580A65" w:rsidRPr="006500F0">
        <w:rPr>
          <w:rFonts w:asciiTheme="majorBidi" w:hAnsiTheme="majorBidi" w:cstheme="majorBidi"/>
          <w:lang w:val="en-CA" w:eastAsia="fr-FR" w:bidi="ar-LB"/>
        </w:rPr>
        <w:t xml:space="preserve"> </w:t>
      </w:r>
      <w:r w:rsidR="00580A65" w:rsidRPr="006500F0">
        <w:rPr>
          <w:rFonts w:asciiTheme="majorBidi" w:hAnsiTheme="majorBidi" w:cstheme="majorBidi"/>
          <w:rtl/>
          <w:lang w:val="en-CA" w:eastAsia="fr-FR" w:bidi="ar-LB"/>
        </w:rPr>
        <w:t>إضافة إلى ذلك، لم تتلقَ البعثة أي إجابات عن طلب زيارة بعض المواقع، ولا سيما السجون ومراكز احتجاز المهاجرين.</w:t>
      </w:r>
    </w:p>
    <w:p w14:paraId="1038D9CC" w14:textId="580E5865" w:rsidR="00C97E92" w:rsidRPr="006500F0" w:rsidRDefault="00FA4CD4" w:rsidP="009C49B7">
      <w:pPr>
        <w:pStyle w:val="ParNoG"/>
        <w:numPr>
          <w:ilvl w:val="0"/>
          <w:numId w:val="0"/>
        </w:numPr>
        <w:bidi/>
        <w:ind w:left="1134"/>
        <w:rPr>
          <w:rFonts w:asciiTheme="majorBidi" w:hAnsiTheme="majorBidi" w:cstheme="majorBidi"/>
          <w:lang w:val="en-US" w:eastAsia="fr-FR" w:bidi="ar-LB"/>
        </w:rPr>
      </w:pPr>
      <w:r w:rsidRPr="006500F0">
        <w:rPr>
          <w:rFonts w:asciiTheme="majorBidi" w:hAnsiTheme="majorBidi" w:cstheme="majorBidi"/>
          <w:lang w:eastAsia="fr-FR" w:bidi="ar-LB"/>
        </w:rPr>
        <w:t>10.</w:t>
      </w:r>
      <w:r w:rsidRPr="006500F0">
        <w:rPr>
          <w:rFonts w:asciiTheme="majorBidi" w:hAnsiTheme="majorBidi" w:cstheme="majorBidi"/>
          <w:lang w:eastAsia="fr-FR" w:bidi="ar-LB"/>
        </w:rPr>
        <w:tab/>
      </w:r>
      <w:r w:rsidR="009C49B7" w:rsidRPr="006500F0">
        <w:rPr>
          <w:rFonts w:asciiTheme="majorBidi" w:hAnsiTheme="majorBidi" w:cstheme="majorBidi"/>
          <w:rtl/>
          <w:lang w:val="en-CA" w:eastAsia="fr-FR" w:bidi="ar-LB"/>
        </w:rPr>
        <w:t>ترددتْ منظمات غير حكومية كثيرة موجودة في ليبيا ("المنظمات غير الحكومية") في التعامل مع البعثة، على ضوء مرسوم المجلس الرئاسي للعام 2019 الذي ينظم عمل المنظمات غير الحكومية في ليبيا.</w:t>
      </w:r>
      <w:r w:rsidR="009C49B7" w:rsidRPr="006500F0">
        <w:rPr>
          <w:rStyle w:val="EndnoteReference"/>
          <w:rFonts w:asciiTheme="majorBidi" w:hAnsiTheme="majorBidi" w:cstheme="majorBidi"/>
          <w:lang w:val="en-CA" w:eastAsia="fr-FR" w:bidi="ar-LB"/>
        </w:rPr>
        <w:t xml:space="preserve"> </w:t>
      </w:r>
      <w:r w:rsidR="009C49B7" w:rsidRPr="006500F0">
        <w:rPr>
          <w:rFonts w:asciiTheme="majorBidi" w:hAnsiTheme="majorBidi" w:cstheme="majorBidi"/>
          <w:rtl/>
          <w:lang w:val="en-CA" w:eastAsia="fr-FR" w:bidi="ar-LB"/>
        </w:rPr>
        <w:t>شعرتْ المنظمات غير الحكومية أن إبلاغ السلطات الحكومية بنيتها الاجتماع بالبعثة سيعرضها للانتقام. وتماشيًا مع مبدأ "عدم إلحاق الضرر" خلال التحقيق، قررت البعثة عدم التفاعل مع المنظمات غير الحكومية الموجودة في ليبيا.</w:t>
      </w:r>
    </w:p>
    <w:p w14:paraId="6F728717" w14:textId="452BC158" w:rsidR="007F5F23" w:rsidRPr="006500F0" w:rsidRDefault="00FA4CD4" w:rsidP="007F5F23">
      <w:pPr>
        <w:pStyle w:val="ParNoG"/>
        <w:numPr>
          <w:ilvl w:val="0"/>
          <w:numId w:val="0"/>
        </w:numPr>
        <w:bidi/>
        <w:ind w:left="1134"/>
        <w:rPr>
          <w:rFonts w:asciiTheme="majorBidi" w:hAnsiTheme="majorBidi" w:cstheme="majorBidi"/>
          <w:lang w:val="en-CA" w:eastAsia="fr-FR" w:bidi="ar-LB"/>
        </w:rPr>
      </w:pPr>
      <w:r w:rsidRPr="006500F0">
        <w:rPr>
          <w:rFonts w:asciiTheme="majorBidi" w:hAnsiTheme="majorBidi" w:cstheme="majorBidi"/>
          <w:lang w:eastAsia="fr-FR" w:bidi="ar-LB"/>
        </w:rPr>
        <w:t>11.</w:t>
      </w:r>
      <w:r w:rsidRPr="006500F0">
        <w:rPr>
          <w:rFonts w:asciiTheme="majorBidi" w:hAnsiTheme="majorBidi" w:cstheme="majorBidi"/>
          <w:lang w:eastAsia="fr-FR" w:bidi="ar-LB"/>
        </w:rPr>
        <w:tab/>
      </w:r>
      <w:r w:rsidR="007F5F23" w:rsidRPr="006500F0">
        <w:rPr>
          <w:rFonts w:asciiTheme="majorBidi" w:hAnsiTheme="majorBidi" w:cstheme="majorBidi"/>
          <w:rtl/>
          <w:lang w:val="en-CA" w:eastAsia="fr-FR" w:bidi="ar-LB"/>
        </w:rPr>
        <w:t>قد يفسر تشكيل حكومة الوحدة الوطنية مؤخرًا، على الأقل جزئيًا، التأخيرات والصعوبات الأخرى التي واجهتها البعثة في ليبيا. وفي حال تجديد ولاية البعثة، فلا بدّ من أن تسهّل السلطات الليبية التحقيقات بشكل مناسب، بما في ذلك ضمان وصول البعثة إلى جميع الأماكن والأشخاص موضِع الاهتمام. وتدعو البعثة السلطات الليبية على وجه الخصوص لضمان تحلّي أي شخص في ليبيا بحرية التواصل مع البعثة، بما في ذلك المنظمات غير الحكومية. وفي هذا الصدد، تدعو البعثة ليبيا لمراجعة المرسوم الذي ينظم عمل المنظمات غير الحكومية في ليبيا.</w:t>
      </w:r>
    </w:p>
    <w:p w14:paraId="4563B1D5" w14:textId="17B5625D" w:rsidR="00E3492C" w:rsidRPr="006500F0" w:rsidRDefault="00E3492C" w:rsidP="00FA4CD4">
      <w:pPr>
        <w:pStyle w:val="ParNoG"/>
        <w:numPr>
          <w:ilvl w:val="0"/>
          <w:numId w:val="0"/>
        </w:numPr>
        <w:ind w:left="1134"/>
        <w:rPr>
          <w:rFonts w:asciiTheme="majorBidi" w:hAnsiTheme="majorBidi" w:cstheme="majorBidi"/>
          <w:lang w:val="en-CA" w:eastAsia="fr-FR" w:bidi="ar-LB"/>
        </w:rPr>
      </w:pPr>
    </w:p>
    <w:p w14:paraId="4E9E0F67" w14:textId="6A7436AB" w:rsidR="005E7EAC" w:rsidRPr="006500F0" w:rsidRDefault="00AE0A09" w:rsidP="00E16EC2">
      <w:pPr>
        <w:pStyle w:val="H23G"/>
        <w:bidi/>
        <w:rPr>
          <w:rFonts w:asciiTheme="majorBidi" w:hAnsiTheme="majorBidi" w:cstheme="majorBidi"/>
          <w:b w:val="0"/>
          <w:bCs/>
          <w:lang w:val="en-CA" w:eastAsia="fr-FR" w:bidi="ar-LB"/>
        </w:rPr>
      </w:pPr>
      <w:r w:rsidRPr="006500F0">
        <w:rPr>
          <w:rFonts w:asciiTheme="majorBidi" w:hAnsiTheme="majorBidi" w:cstheme="majorBidi"/>
          <w:b w:val="0"/>
          <w:bCs/>
          <w:lang w:val="en-CA" w:eastAsia="fr-FR" w:bidi="ar-LB"/>
        </w:rPr>
        <w:tab/>
      </w:r>
      <w:r w:rsidRPr="006500F0">
        <w:rPr>
          <w:rFonts w:asciiTheme="majorBidi" w:hAnsiTheme="majorBidi" w:cstheme="majorBidi"/>
          <w:b w:val="0"/>
          <w:bCs/>
          <w:lang w:val="en-CA" w:eastAsia="fr-FR" w:bidi="ar-LB"/>
        </w:rPr>
        <w:tab/>
      </w:r>
      <w:r w:rsidR="00E16EC2" w:rsidRPr="006500F0">
        <w:rPr>
          <w:rFonts w:asciiTheme="majorBidi" w:hAnsiTheme="majorBidi" w:cstheme="majorBidi"/>
          <w:b w:val="0"/>
          <w:bCs/>
          <w:rtl/>
          <w:lang w:val="en-CA" w:eastAsia="fr-FR" w:bidi="ar-LB"/>
        </w:rPr>
        <w:t>التحديات</w:t>
      </w:r>
    </w:p>
    <w:p w14:paraId="20C1B36B" w14:textId="5898CA79" w:rsidR="005E7EAC" w:rsidRPr="006500F0" w:rsidRDefault="00FA4CD4" w:rsidP="00CB0B1F">
      <w:pPr>
        <w:pStyle w:val="ParNoG"/>
        <w:numPr>
          <w:ilvl w:val="0"/>
          <w:numId w:val="0"/>
        </w:numPr>
        <w:bidi/>
        <w:ind w:left="1134"/>
        <w:rPr>
          <w:rFonts w:asciiTheme="majorBidi" w:hAnsiTheme="majorBidi" w:cstheme="majorBidi"/>
          <w:lang w:val="en-CA" w:eastAsia="fr-FR" w:bidi="ar-LB"/>
        </w:rPr>
      </w:pPr>
      <w:r w:rsidRPr="006500F0">
        <w:rPr>
          <w:rFonts w:asciiTheme="majorBidi" w:hAnsiTheme="majorBidi" w:cstheme="majorBidi"/>
          <w:lang w:eastAsia="fr-FR" w:bidi="ar-LB"/>
        </w:rPr>
        <w:t>12.</w:t>
      </w:r>
      <w:r w:rsidRPr="006500F0">
        <w:rPr>
          <w:rFonts w:asciiTheme="majorBidi" w:hAnsiTheme="majorBidi" w:cstheme="majorBidi"/>
          <w:lang w:eastAsia="fr-FR" w:bidi="ar-LB"/>
        </w:rPr>
        <w:tab/>
      </w:r>
      <w:r w:rsidR="00637796" w:rsidRPr="006500F0">
        <w:rPr>
          <w:rFonts w:asciiTheme="majorBidi" w:hAnsiTheme="majorBidi" w:cstheme="majorBidi"/>
          <w:rtl/>
          <w:lang w:val="en-CA" w:eastAsia="fr-FR" w:bidi="ar-LB"/>
        </w:rPr>
        <w:t>حظيتْ البعثة بوقت وموارد أقلّ مما كان متوقعًا لها في البداية، ممّما ساهم في الحدّ بشكل كبير من قدرتها على إجراء تحقيق شامل. ولم تستهلّ الأمانة التي تدعم البعثة عملها بشكل كامل إلا في يونيو/ حزيران 2021، أي قبل ثلاثة أشهر من الموعد النهائي لتقديم هذا التقرير. ويعزى التأخير بشكل رئيسي إلى أزمة السيولة في الميزانية العادية للأمم المتحدة، وتعليق التوظيفات المرتبطة بذلك. وجرى أيضًا تأجيل انتقال الأمانة مؤقتًا إلى العاصمة تونس، بسبب وضع جائحة كوفيد-19 السائد في تونس.</w:t>
      </w:r>
    </w:p>
    <w:p w14:paraId="169EB841" w14:textId="3BB6EBA6" w:rsidR="00B2394D" w:rsidRPr="006500F0" w:rsidRDefault="00FA4CD4" w:rsidP="00B2394D">
      <w:pPr>
        <w:pStyle w:val="ParNoG"/>
        <w:numPr>
          <w:ilvl w:val="0"/>
          <w:numId w:val="0"/>
        </w:numPr>
        <w:bidi/>
        <w:ind w:left="1134"/>
        <w:rPr>
          <w:rFonts w:asciiTheme="majorBidi" w:hAnsiTheme="majorBidi" w:cstheme="majorBidi"/>
          <w:lang w:val="en-CA" w:eastAsia="fr-FR" w:bidi="ar-LB"/>
        </w:rPr>
      </w:pPr>
      <w:r w:rsidRPr="006500F0">
        <w:rPr>
          <w:rFonts w:asciiTheme="majorBidi" w:hAnsiTheme="majorBidi" w:cstheme="majorBidi"/>
          <w:lang w:eastAsia="fr-FR" w:bidi="ar-LB"/>
        </w:rPr>
        <w:t>13.</w:t>
      </w:r>
      <w:r w:rsidRPr="006500F0">
        <w:rPr>
          <w:rFonts w:asciiTheme="majorBidi" w:hAnsiTheme="majorBidi" w:cstheme="majorBidi"/>
          <w:lang w:eastAsia="fr-FR" w:bidi="ar-LB"/>
        </w:rPr>
        <w:tab/>
      </w:r>
      <w:r w:rsidR="00B2394D" w:rsidRPr="006500F0">
        <w:rPr>
          <w:rFonts w:asciiTheme="majorBidi" w:hAnsiTheme="majorBidi" w:cstheme="majorBidi"/>
          <w:rtl/>
          <w:lang w:val="en-CA" w:eastAsia="fr-FR" w:bidi="ar-LB"/>
        </w:rPr>
        <w:t xml:space="preserve">واجهت البعثة صعوبات في جمع المعلومات. جرت التحقيقات في بيئة سريعة التغيير، مع وقوع حوادث تندرج ضمن ولاية البعثة مؤخرًا في سبتمبر/ أيلول 2021. ولا يشجع السياقُ الليبي الحالي الشهودَ على مشاركة المعلومات بحرية. في الواقع، على الرغم من وجود قناة اتصال آمنة، رفض عدّة أفراد التعامل مع البعثة خوفًا من الأعمال الانتقامية من الموظفين الحكوميين أو من الميليشيات. علاوة على ذلك، فضّل الكثير من الضحايا عدم إجراء مقابلات لتجنب استرجاع الصدمة </w:t>
      </w:r>
      <w:r w:rsidR="00B2394D" w:rsidRPr="006500F0">
        <w:rPr>
          <w:rFonts w:asciiTheme="majorBidi" w:hAnsiTheme="majorBidi" w:cstheme="majorBidi"/>
          <w:rtl/>
          <w:lang w:val="en-CA" w:eastAsia="fr-FR" w:bidi="ar-LB"/>
        </w:rPr>
        <w:lastRenderedPageBreak/>
        <w:t>التي تعرضوا لها.</w:t>
      </w:r>
      <w:r w:rsidR="00B2394D" w:rsidRPr="006500F0">
        <w:rPr>
          <w:rFonts w:asciiTheme="majorBidi" w:hAnsiTheme="majorBidi" w:cstheme="majorBidi"/>
          <w:lang w:val="en-CA" w:eastAsia="fr-FR" w:bidi="ar-LB"/>
        </w:rPr>
        <w:t xml:space="preserve"> </w:t>
      </w:r>
      <w:r w:rsidR="00B2394D" w:rsidRPr="006500F0">
        <w:rPr>
          <w:rFonts w:asciiTheme="majorBidi" w:hAnsiTheme="majorBidi" w:cstheme="majorBidi"/>
          <w:rtl/>
          <w:lang w:val="en-CA" w:eastAsia="fr-FR" w:bidi="ar-LB"/>
        </w:rPr>
        <w:t>وفي ليبيا، كان وجود المحققين واضحًا على الأرض بسبب التدابير الأمنية المصاحبة لتحركات البعثة، ما أدى إلى ثني بعض الشهود عن التقدم بمعلوماتهم. ولأسباب أمنية، لم تتمكن البعثة أيضًا من زيارة جنوب ليبيا.</w:t>
      </w:r>
    </w:p>
    <w:p w14:paraId="420CD0E9" w14:textId="620F5D51" w:rsidR="005E7EAC" w:rsidRPr="006500F0" w:rsidRDefault="005E7EAC" w:rsidP="00FA4CD4">
      <w:pPr>
        <w:pStyle w:val="ParNoG"/>
        <w:numPr>
          <w:ilvl w:val="0"/>
          <w:numId w:val="0"/>
        </w:numPr>
        <w:tabs>
          <w:tab w:val="left" w:pos="1701"/>
        </w:tabs>
        <w:ind w:left="1134"/>
        <w:rPr>
          <w:rFonts w:asciiTheme="majorBidi" w:hAnsiTheme="majorBidi" w:cstheme="majorBidi"/>
          <w:lang w:val="en-CA" w:eastAsia="fr-FR" w:bidi="ar-LB"/>
        </w:rPr>
      </w:pPr>
      <w:r w:rsidRPr="006500F0">
        <w:rPr>
          <w:rFonts w:asciiTheme="majorBidi" w:hAnsiTheme="majorBidi" w:cstheme="majorBidi"/>
          <w:lang w:val="en-CA" w:eastAsia="fr-FR" w:bidi="ar-LB"/>
        </w:rPr>
        <w:t xml:space="preserve"> </w:t>
      </w:r>
    </w:p>
    <w:p w14:paraId="17D363AA" w14:textId="7939A61F" w:rsidR="00234040" w:rsidRPr="006500F0" w:rsidRDefault="00FA4CD4" w:rsidP="0064337B">
      <w:pPr>
        <w:pStyle w:val="HChG"/>
        <w:kinsoku w:val="0"/>
        <w:overflowPunct w:val="0"/>
        <w:autoSpaceDE w:val="0"/>
        <w:autoSpaceDN w:val="0"/>
        <w:bidi/>
        <w:adjustRightInd w:val="0"/>
        <w:snapToGrid w:val="0"/>
        <w:rPr>
          <w:rFonts w:asciiTheme="majorBidi" w:hAnsiTheme="majorBidi" w:cstheme="majorBidi"/>
          <w:b w:val="0"/>
          <w:bCs/>
          <w:lang w:val="en-CA" w:bidi="ar-LB"/>
        </w:rPr>
      </w:pPr>
      <w:r w:rsidRPr="006500F0">
        <w:rPr>
          <w:rFonts w:asciiTheme="majorBidi" w:hAnsiTheme="majorBidi" w:cstheme="majorBidi"/>
          <w:b w:val="0"/>
          <w:bCs/>
          <w:lang w:val="en-CA" w:bidi="ar-LB"/>
        </w:rPr>
        <w:tab/>
      </w:r>
      <w:r w:rsidR="00234040" w:rsidRPr="006500F0">
        <w:rPr>
          <w:rFonts w:asciiTheme="majorBidi" w:hAnsiTheme="majorBidi" w:cstheme="majorBidi"/>
          <w:b w:val="0"/>
          <w:bCs/>
          <w:lang w:val="en-CA" w:bidi="ar-LB"/>
        </w:rPr>
        <w:tab/>
      </w:r>
      <w:r w:rsidR="0064337B" w:rsidRPr="006500F0">
        <w:rPr>
          <w:rFonts w:asciiTheme="majorBidi" w:eastAsiaTheme="minorHAnsi" w:hAnsiTheme="majorBidi" w:cstheme="majorBidi"/>
          <w:b w:val="0"/>
          <w:bCs/>
          <w:rtl/>
          <w:lang w:val="en-CA" w:bidi="ar-LB"/>
        </w:rPr>
        <w:t>ثانيًا-</w:t>
      </w:r>
      <w:r w:rsidR="00FF7B22">
        <w:rPr>
          <w:rFonts w:asciiTheme="majorBidi" w:eastAsiaTheme="minorHAnsi" w:hAnsiTheme="majorBidi" w:cstheme="majorBidi"/>
          <w:b w:val="0"/>
          <w:bCs/>
          <w:rtl/>
          <w:lang w:val="en-CA" w:bidi="ar-LB"/>
        </w:rPr>
        <w:tab/>
      </w:r>
      <w:r w:rsidR="0064337B" w:rsidRPr="006500F0">
        <w:rPr>
          <w:rFonts w:asciiTheme="majorBidi" w:eastAsiaTheme="minorHAnsi" w:hAnsiTheme="majorBidi" w:cstheme="majorBidi"/>
          <w:b w:val="0"/>
          <w:bCs/>
          <w:rtl/>
          <w:lang w:val="en-CA" w:bidi="ar-LB"/>
        </w:rPr>
        <w:t xml:space="preserve"> المنهجية</w:t>
      </w:r>
    </w:p>
    <w:p w14:paraId="23A3262F" w14:textId="69830831" w:rsidR="00234040" w:rsidRPr="006500F0" w:rsidRDefault="00E92BA3" w:rsidP="00FF7B22">
      <w:pPr>
        <w:pStyle w:val="H1G"/>
        <w:kinsoku w:val="0"/>
        <w:overflowPunct w:val="0"/>
        <w:autoSpaceDE w:val="0"/>
        <w:autoSpaceDN w:val="0"/>
        <w:bidi/>
        <w:adjustRightInd w:val="0"/>
        <w:snapToGrid w:val="0"/>
        <w:ind w:left="1209" w:firstLine="0"/>
        <w:rPr>
          <w:rFonts w:asciiTheme="majorBidi" w:hAnsiTheme="majorBidi" w:cstheme="majorBidi"/>
          <w:b w:val="0"/>
          <w:bCs/>
          <w:lang w:val="en-CA" w:bidi="ar-LB"/>
        </w:rPr>
      </w:pPr>
      <w:r w:rsidRPr="006500F0">
        <w:rPr>
          <w:rFonts w:asciiTheme="majorBidi" w:eastAsiaTheme="minorHAnsi" w:hAnsiTheme="majorBidi" w:cstheme="majorBidi"/>
          <w:b w:val="0"/>
          <w:bCs/>
          <w:rtl/>
          <w:lang w:val="en-CA" w:bidi="ar-LB"/>
        </w:rPr>
        <w:t>ألف-</w:t>
      </w:r>
      <w:r w:rsidR="00FF7B22">
        <w:rPr>
          <w:rFonts w:asciiTheme="majorBidi" w:eastAsiaTheme="minorHAnsi" w:hAnsiTheme="majorBidi" w:cstheme="majorBidi"/>
          <w:b w:val="0"/>
          <w:bCs/>
          <w:rtl/>
          <w:lang w:val="en-CA" w:bidi="ar-LB"/>
        </w:rPr>
        <w:tab/>
      </w:r>
      <w:r w:rsidRPr="006500F0">
        <w:rPr>
          <w:rFonts w:asciiTheme="majorBidi" w:eastAsiaTheme="minorHAnsi" w:hAnsiTheme="majorBidi" w:cstheme="majorBidi"/>
          <w:b w:val="0"/>
          <w:bCs/>
          <w:rtl/>
          <w:lang w:val="en-CA" w:bidi="ar-LB"/>
        </w:rPr>
        <w:t xml:space="preserve"> </w:t>
      </w:r>
      <w:r w:rsidR="006806E5" w:rsidRPr="006500F0">
        <w:rPr>
          <w:rFonts w:asciiTheme="majorBidi" w:eastAsiaTheme="minorHAnsi" w:hAnsiTheme="majorBidi" w:cstheme="majorBidi"/>
          <w:b w:val="0"/>
          <w:bCs/>
          <w:rtl/>
          <w:lang w:val="en-CA" w:bidi="ar-LB"/>
        </w:rPr>
        <w:t>نطاق التحقيقات</w:t>
      </w:r>
    </w:p>
    <w:p w14:paraId="499E6DFB" w14:textId="6148470A" w:rsidR="00B305CA" w:rsidRPr="006500F0" w:rsidRDefault="00FA4CD4" w:rsidP="0055240C">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20.</w:t>
      </w:r>
      <w:r w:rsidRPr="006500F0">
        <w:rPr>
          <w:rFonts w:asciiTheme="majorBidi" w:hAnsiTheme="majorBidi" w:cstheme="majorBidi"/>
          <w:lang w:bidi="ar-LB"/>
        </w:rPr>
        <w:tab/>
      </w:r>
      <w:r w:rsidR="00E0123B" w:rsidRPr="006500F0">
        <w:rPr>
          <w:rFonts w:asciiTheme="majorBidi" w:hAnsiTheme="majorBidi" w:cstheme="majorBidi"/>
          <w:rtl/>
          <w:lang w:val="en-CA" w:bidi="ar-LB"/>
        </w:rPr>
        <w:t>على ضوء هذه الولاية واسعة النطاق، فإن البعثة ملزمة بتحديد نطاق تحقيقاتها لتركّز على أخطر الانتهاكات والتجاوزات. وحدّدتْ البعثة المجالات التالية قيد التحقيق: سير الأعمال العدائية (أ)؛ والقتل خارج نطاق القانون (ب</w:t>
      </w:r>
      <w:r w:rsidR="0055240C" w:rsidRPr="006500F0">
        <w:rPr>
          <w:rFonts w:asciiTheme="majorBidi" w:hAnsiTheme="majorBidi" w:cstheme="majorBidi"/>
          <w:lang w:val="en-CA" w:bidi="ar-LB"/>
        </w:rPr>
        <w:t>(</w:t>
      </w:r>
      <w:r w:rsidR="00E0123B" w:rsidRPr="006500F0">
        <w:rPr>
          <w:rFonts w:asciiTheme="majorBidi" w:hAnsiTheme="majorBidi" w:cstheme="majorBidi"/>
          <w:rtl/>
          <w:lang w:val="en-CA" w:bidi="ar-LB"/>
        </w:rPr>
        <w:t>؛ والانتهاكات والتجاوزات المتعلقة بالحرمان من الحرية (ج)؛ والعنف الجنسي والجنساني (د)؛ وأوضاع النازحين داخليًا</w:t>
      </w:r>
      <w:r w:rsidR="00E0123B" w:rsidRPr="006500F0">
        <w:rPr>
          <w:rFonts w:asciiTheme="majorBidi" w:hAnsiTheme="majorBidi" w:cstheme="majorBidi"/>
          <w:lang w:val="en-CA" w:bidi="ar-LB"/>
        </w:rPr>
        <w:t xml:space="preserve"> </w:t>
      </w:r>
      <w:r w:rsidR="00E0123B" w:rsidRPr="006500F0">
        <w:rPr>
          <w:rFonts w:asciiTheme="majorBidi" w:hAnsiTheme="majorBidi" w:cstheme="majorBidi"/>
          <w:rtl/>
          <w:lang w:val="en-CA" w:bidi="ar-LB"/>
        </w:rPr>
        <w:t xml:space="preserve"> (ه) </w:t>
      </w:r>
      <w:r w:rsidR="00E0123B" w:rsidRPr="006500F0">
        <w:rPr>
          <w:rFonts w:asciiTheme="majorBidi" w:hAnsiTheme="majorBidi" w:cstheme="majorBidi"/>
          <w:lang w:val="en-CA" w:bidi="ar-LB"/>
        </w:rPr>
        <w:t xml:space="preserve"> </w:t>
      </w:r>
      <w:r w:rsidR="00E0123B" w:rsidRPr="006500F0">
        <w:rPr>
          <w:rFonts w:asciiTheme="majorBidi" w:hAnsiTheme="majorBidi" w:cstheme="majorBidi"/>
          <w:rtl/>
          <w:lang w:val="en-CA" w:bidi="ar-LB"/>
        </w:rPr>
        <w:t>والمهاجرين، واللاجئين وطالبي اللجوء،</w:t>
      </w:r>
      <w:r w:rsidR="00E0123B" w:rsidRPr="006500F0">
        <w:rPr>
          <w:rFonts w:asciiTheme="majorBidi" w:hAnsiTheme="majorBidi" w:cstheme="majorBidi"/>
          <w:lang w:val="en-CA" w:bidi="ar-LB"/>
        </w:rPr>
        <w:t xml:space="preserve"> </w:t>
      </w:r>
      <w:r w:rsidR="00E0123B" w:rsidRPr="006500F0">
        <w:rPr>
          <w:rFonts w:asciiTheme="majorBidi" w:hAnsiTheme="majorBidi" w:cstheme="majorBidi"/>
          <w:rtl/>
          <w:lang w:val="en-CA" w:bidi="ar-LB"/>
        </w:rPr>
        <w:t xml:space="preserve">(و) </w:t>
      </w:r>
      <w:r w:rsidR="00E0123B" w:rsidRPr="006500F0">
        <w:rPr>
          <w:rFonts w:asciiTheme="majorBidi" w:hAnsiTheme="majorBidi" w:cstheme="majorBidi"/>
          <w:lang w:val="en-CA" w:bidi="ar-LB"/>
        </w:rPr>
        <w:t xml:space="preserve"> </w:t>
      </w:r>
      <w:r w:rsidR="00E0123B" w:rsidRPr="006500F0">
        <w:rPr>
          <w:rFonts w:asciiTheme="majorBidi" w:hAnsiTheme="majorBidi" w:cstheme="majorBidi"/>
          <w:rtl/>
          <w:lang w:val="en-CA" w:bidi="ar-LB"/>
        </w:rPr>
        <w:t>وأوضاع النساء</w:t>
      </w:r>
      <w:r w:rsidR="00E0123B" w:rsidRPr="006500F0">
        <w:rPr>
          <w:rFonts w:asciiTheme="majorBidi" w:hAnsiTheme="majorBidi" w:cstheme="majorBidi"/>
          <w:lang w:val="en-CA" w:bidi="ar-LB"/>
        </w:rPr>
        <w:t xml:space="preserve"> </w:t>
      </w:r>
      <w:r w:rsidR="00E0123B" w:rsidRPr="006500F0">
        <w:rPr>
          <w:rFonts w:asciiTheme="majorBidi" w:hAnsiTheme="majorBidi" w:cstheme="majorBidi"/>
          <w:rtl/>
          <w:lang w:val="en-CA" w:bidi="ar-LB"/>
        </w:rPr>
        <w:t>(ز)</w:t>
      </w:r>
      <w:r w:rsidR="00E0123B" w:rsidRPr="006500F0">
        <w:rPr>
          <w:rFonts w:asciiTheme="majorBidi" w:hAnsiTheme="majorBidi" w:cstheme="majorBidi"/>
          <w:lang w:val="en-CA" w:bidi="ar-LB"/>
        </w:rPr>
        <w:t xml:space="preserve"> </w:t>
      </w:r>
      <w:r w:rsidR="00E0123B" w:rsidRPr="006500F0">
        <w:rPr>
          <w:rFonts w:asciiTheme="majorBidi" w:hAnsiTheme="majorBidi" w:cstheme="majorBidi"/>
          <w:rtl/>
          <w:lang w:val="en-CA" w:bidi="ar-LB"/>
        </w:rPr>
        <w:t>وأوضاع الأطفال</w:t>
      </w:r>
      <w:r w:rsidR="00E0123B" w:rsidRPr="006500F0">
        <w:rPr>
          <w:rFonts w:asciiTheme="majorBidi" w:hAnsiTheme="majorBidi" w:cstheme="majorBidi"/>
          <w:lang w:val="en-CA" w:bidi="ar-LB"/>
        </w:rPr>
        <w:t xml:space="preserve"> </w:t>
      </w:r>
      <w:r w:rsidR="00E0123B" w:rsidRPr="006500F0">
        <w:rPr>
          <w:rFonts w:asciiTheme="majorBidi" w:hAnsiTheme="majorBidi" w:cstheme="majorBidi"/>
          <w:rtl/>
          <w:lang w:val="en-CA" w:bidi="ar-LB"/>
        </w:rPr>
        <w:t>(ح). وتستدعي ادعاءات الجرائم الفظيعة التي ارتُكبت في مدينة ترهونة تركيزًا خاصًا (ط).</w:t>
      </w:r>
      <w:r w:rsidR="00E0123B" w:rsidRPr="006500F0">
        <w:rPr>
          <w:rFonts w:asciiTheme="majorBidi" w:hAnsiTheme="majorBidi" w:cstheme="majorBidi"/>
          <w:lang w:val="en-CA" w:bidi="ar-LB"/>
        </w:rPr>
        <w:t xml:space="preserve"> </w:t>
      </w:r>
    </w:p>
    <w:p w14:paraId="233F612A" w14:textId="578BBD82" w:rsidR="007D034A" w:rsidRPr="006500F0" w:rsidRDefault="00FA4CD4" w:rsidP="0044525F">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21.</w:t>
      </w:r>
      <w:r w:rsidRPr="006500F0">
        <w:rPr>
          <w:rFonts w:asciiTheme="majorBidi" w:hAnsiTheme="majorBidi" w:cstheme="majorBidi"/>
          <w:lang w:bidi="ar-LB"/>
        </w:rPr>
        <w:tab/>
      </w:r>
      <w:r w:rsidR="0044525F" w:rsidRPr="006500F0">
        <w:rPr>
          <w:rFonts w:asciiTheme="majorBidi" w:hAnsiTheme="majorBidi" w:cstheme="majorBidi"/>
          <w:rtl/>
          <w:lang w:val="en-CA" w:bidi="ar-LB"/>
        </w:rPr>
        <w:t>وثّقتْ البعثة اتجاهات وأنماط معينة</w:t>
      </w:r>
      <w:r w:rsidR="0044525F" w:rsidRPr="006500F0">
        <w:rPr>
          <w:rFonts w:asciiTheme="majorBidi" w:hAnsiTheme="majorBidi" w:cstheme="majorBidi"/>
          <w:lang w:val="en-CA" w:bidi="ar-LB"/>
        </w:rPr>
        <w:t xml:space="preserve"> </w:t>
      </w:r>
      <w:r w:rsidR="0044525F" w:rsidRPr="006500F0">
        <w:rPr>
          <w:rFonts w:asciiTheme="majorBidi" w:hAnsiTheme="majorBidi" w:cstheme="majorBidi"/>
          <w:rtl/>
          <w:lang w:val="en-CA" w:bidi="ar-LB"/>
        </w:rPr>
        <w:t>من الانتهاكات، فضلًا عن معلومات متعلقة ببعض الحوادث ضمن كل فئة من الفئات المذكورة أعلاه. وحقّقت البعثة من حيث الأولوية في الحوادث التي بدت الأكثر خطورة و/أو الأكثر تمثيلًا للأنماط الأوسع من الانتهاكات والتجاوزات. وإذ تُدرك البعثة أن آليات الإبلاغ أو المساءلة الأخرى أجرت تحقيقات حيال الوضع في ليبيا، لذلك ركزتْ على الحوادث التي لم تندرج ضمن التقارير العامة السابقة، أو التي يمكن للبعثة النظر فيها من منظور قانوني مختلف. نظرًا لتحديات الإثبات المتعلقة بمرور الوقت، يركز هذا التقرير على الأحداث التي حصلتْ مؤخرًا</w:t>
      </w:r>
      <w:r w:rsidR="0044525F" w:rsidRPr="006500F0">
        <w:rPr>
          <w:rFonts w:asciiTheme="majorBidi" w:hAnsiTheme="majorBidi" w:cstheme="majorBidi"/>
          <w:lang w:val="en-CA" w:bidi="ar-LB"/>
        </w:rPr>
        <w:t>.</w:t>
      </w:r>
      <w:r w:rsidR="0004310F" w:rsidRPr="006500F0">
        <w:rPr>
          <w:rFonts w:asciiTheme="majorBidi" w:hAnsiTheme="majorBidi" w:cstheme="majorBidi"/>
          <w:lang w:val="en-CA" w:bidi="ar-LB"/>
        </w:rPr>
        <w:t xml:space="preserve"> </w:t>
      </w:r>
    </w:p>
    <w:p w14:paraId="6740E788" w14:textId="17817879" w:rsidR="00596CC9" w:rsidRPr="006500F0" w:rsidRDefault="00FA4CD4" w:rsidP="00596CC9">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22.</w:t>
      </w:r>
      <w:r w:rsidRPr="006500F0">
        <w:rPr>
          <w:rFonts w:asciiTheme="majorBidi" w:hAnsiTheme="majorBidi" w:cstheme="majorBidi"/>
          <w:lang w:bidi="ar-LB"/>
        </w:rPr>
        <w:tab/>
      </w:r>
      <w:r w:rsidR="00596CC9" w:rsidRPr="006500F0">
        <w:rPr>
          <w:rFonts w:asciiTheme="majorBidi" w:hAnsiTheme="majorBidi" w:cstheme="majorBidi"/>
          <w:rtl/>
          <w:lang w:val="en-CA" w:bidi="ar-LB"/>
        </w:rPr>
        <w:t>لا تُعدّ النتائج الواردة في هذا التقرير شاملة؛ فهي تقدم أساسًا يمكن أن تستند إليه التحقيقات الإضافية بهدف معالجة وضع حقوق الإنسان في ليبيا بشكل شامل منذ العام 2016. وترى البعثة أيضًا أن أي تحقيقات مستقبلية يجب أن تبرهن الأثر الكبير للانتهاكات والتجاوزات على حقوق الضحايا، ومن بينها حقوقهم المدنية، والسياسية، والاقتصادية والاجتماعية، والثقافية</w:t>
      </w:r>
      <w:r w:rsidR="00596CC9" w:rsidRPr="006500F0">
        <w:rPr>
          <w:rFonts w:asciiTheme="majorBidi" w:hAnsiTheme="majorBidi" w:cstheme="majorBidi"/>
          <w:lang w:val="en-CA" w:bidi="ar-LB"/>
        </w:rPr>
        <w:t>.</w:t>
      </w:r>
    </w:p>
    <w:p w14:paraId="14DF08C4" w14:textId="3FFF4664" w:rsidR="00C152EF" w:rsidRPr="006500F0" w:rsidRDefault="00C152EF" w:rsidP="00FA4CD4">
      <w:pPr>
        <w:pStyle w:val="ParNoG"/>
        <w:numPr>
          <w:ilvl w:val="0"/>
          <w:numId w:val="0"/>
        </w:numPr>
        <w:ind w:left="1134"/>
        <w:rPr>
          <w:rFonts w:asciiTheme="majorBidi" w:hAnsiTheme="majorBidi" w:cstheme="majorBidi"/>
          <w:lang w:val="en-CA" w:bidi="ar-LB"/>
        </w:rPr>
      </w:pPr>
    </w:p>
    <w:p w14:paraId="3B66CF3F" w14:textId="002B1BFE" w:rsidR="00A04052" w:rsidRPr="006500F0" w:rsidRDefault="00AE0A09" w:rsidP="00E92BA3">
      <w:pPr>
        <w:pStyle w:val="H1G"/>
        <w:kinsoku w:val="0"/>
        <w:overflowPunct w:val="0"/>
        <w:autoSpaceDE w:val="0"/>
        <w:autoSpaceDN w:val="0"/>
        <w:bidi/>
        <w:adjustRightInd w:val="0"/>
        <w:snapToGrid w:val="0"/>
        <w:rPr>
          <w:rFonts w:asciiTheme="majorBidi" w:hAnsiTheme="majorBidi" w:cstheme="majorBidi"/>
          <w:lang w:val="en-CA" w:bidi="ar-LB"/>
        </w:rPr>
      </w:pPr>
      <w:r w:rsidRPr="006500F0">
        <w:rPr>
          <w:rFonts w:asciiTheme="majorBidi" w:hAnsiTheme="majorBidi" w:cstheme="majorBidi"/>
          <w:lang w:val="en-CA" w:bidi="ar-LB"/>
        </w:rPr>
        <w:lastRenderedPageBreak/>
        <w:tab/>
      </w:r>
      <w:r w:rsidR="00FA4CD4" w:rsidRPr="006500F0">
        <w:rPr>
          <w:rFonts w:asciiTheme="majorBidi" w:hAnsiTheme="majorBidi" w:cstheme="majorBidi"/>
          <w:lang w:val="en-CA" w:bidi="ar-LB"/>
        </w:rPr>
        <w:tab/>
      </w:r>
      <w:r w:rsidR="00030E1E" w:rsidRPr="006500F0">
        <w:rPr>
          <w:rFonts w:asciiTheme="majorBidi" w:eastAsiaTheme="minorHAnsi" w:hAnsiTheme="majorBidi" w:cstheme="majorBidi"/>
          <w:b w:val="0"/>
          <w:bCs/>
          <w:rtl/>
          <w:lang w:val="en-CA" w:bidi="ar-LB"/>
        </w:rPr>
        <w:t>باء-</w:t>
      </w:r>
      <w:r w:rsidR="00FF7B22">
        <w:rPr>
          <w:rFonts w:asciiTheme="majorBidi" w:eastAsiaTheme="minorHAnsi" w:hAnsiTheme="majorBidi" w:cstheme="majorBidi"/>
          <w:b w:val="0"/>
          <w:bCs/>
          <w:rtl/>
          <w:lang w:val="en-CA" w:bidi="ar-LB"/>
        </w:rPr>
        <w:tab/>
      </w:r>
      <w:r w:rsidR="00030E1E" w:rsidRPr="006500F0">
        <w:rPr>
          <w:rFonts w:asciiTheme="majorBidi" w:eastAsiaTheme="minorHAnsi" w:hAnsiTheme="majorBidi" w:cstheme="majorBidi"/>
          <w:b w:val="0"/>
          <w:bCs/>
          <w:rtl/>
          <w:lang w:val="en-CA" w:bidi="ar-LB"/>
        </w:rPr>
        <w:t xml:space="preserve"> المنهجية</w:t>
      </w:r>
    </w:p>
    <w:p w14:paraId="31556E3D" w14:textId="64D71053" w:rsidR="004C395E" w:rsidRPr="006500F0" w:rsidRDefault="00FA4CD4" w:rsidP="00817A16">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23.</w:t>
      </w:r>
      <w:r w:rsidRPr="006500F0">
        <w:rPr>
          <w:rFonts w:asciiTheme="majorBidi" w:hAnsiTheme="majorBidi" w:cstheme="majorBidi"/>
          <w:lang w:bidi="ar-LB"/>
        </w:rPr>
        <w:tab/>
      </w:r>
      <w:r w:rsidR="00817A16" w:rsidRPr="006500F0">
        <w:rPr>
          <w:rFonts w:asciiTheme="majorBidi" w:hAnsiTheme="majorBidi" w:cstheme="majorBidi"/>
          <w:rtl/>
          <w:lang w:bidi="ar-LB"/>
        </w:rPr>
        <w:t>حددتْ البعثة أولويات التحقيق الخاصة بها، بما يتناسب مع القرار 43/39 الذي كلّف البعثة إجراء تحقيقاتها بطريقة مستقلة ومحايدة. لم تلتمس البعثة أيّ موافقة أو تعليمات من أي أصحاب مصلحة خارجيين في أي مرحلة من مراحل عملها. وركزت التحقيقات أيضًا على جميع الجهات الفاعلة المعنية، أكانت محلية أو أجنبية، دون أيّ تمييز</w:t>
      </w:r>
      <w:r w:rsidR="00817A16" w:rsidRPr="006500F0">
        <w:rPr>
          <w:rFonts w:asciiTheme="majorBidi" w:hAnsiTheme="majorBidi" w:cstheme="majorBidi"/>
          <w:lang w:bidi="ar-LB"/>
        </w:rPr>
        <w:t>.</w:t>
      </w:r>
    </w:p>
    <w:p w14:paraId="2957633B" w14:textId="6FD9F7F3" w:rsidR="00002FA3" w:rsidRPr="006500F0" w:rsidRDefault="00FA4CD4" w:rsidP="0006538C">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24.</w:t>
      </w:r>
      <w:r w:rsidRPr="006500F0">
        <w:rPr>
          <w:rFonts w:asciiTheme="majorBidi" w:hAnsiTheme="majorBidi" w:cstheme="majorBidi"/>
          <w:lang w:bidi="ar-LB"/>
        </w:rPr>
        <w:tab/>
      </w:r>
      <w:r w:rsidR="003877E8" w:rsidRPr="006500F0">
        <w:rPr>
          <w:rFonts w:asciiTheme="majorBidi" w:hAnsiTheme="majorBidi" w:cstheme="majorBidi"/>
          <w:rtl/>
          <w:lang w:bidi="ar-LB"/>
        </w:rPr>
        <w:t>تماشيًا مع النهج الذي تتبعه التحقيقات في مجال حقوق الإنسان، استوفتْ النتائج الواردة في هذا التقرير معيار الإثبات المتمثل في وجود</w:t>
      </w:r>
      <w:r w:rsidR="003877E8" w:rsidRPr="006500F0">
        <w:rPr>
          <w:rFonts w:asciiTheme="majorBidi" w:hAnsiTheme="majorBidi" w:cstheme="majorBidi"/>
          <w:lang w:bidi="ar-LB"/>
        </w:rPr>
        <w:t xml:space="preserve"> </w:t>
      </w:r>
      <w:r w:rsidR="003877E8" w:rsidRPr="006500F0">
        <w:rPr>
          <w:rFonts w:asciiTheme="majorBidi" w:hAnsiTheme="majorBidi" w:cstheme="majorBidi"/>
          <w:rtl/>
          <w:lang w:bidi="ar-LB"/>
        </w:rPr>
        <w:t>"أسباب وجيهة تدعو إلى هذا الاعتقاد". توصّلت البعثة إلى تحديد حادث أو نمط من السلوك كلما تمكنت من الحصول على مجموعة موثوقة من المعلومات، يدعمها مصدر مستقل آخر على الأقل، مما قد يؤدي بشخص عاقل وحكيم في العادة إلى الاعتقاد بوقوع هذا الحادث أو النمط. ونظرًا إلى طبيعة بعض الانتهاكات، اعتمدتْ البعثة فقط على الروايات المباشرة من الضحايا.</w:t>
      </w:r>
    </w:p>
    <w:p w14:paraId="7CB99674" w14:textId="11289626" w:rsidR="001102EE" w:rsidRPr="006500F0" w:rsidRDefault="00FA4CD4" w:rsidP="004647BB">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25.</w:t>
      </w:r>
      <w:r w:rsidRPr="006500F0">
        <w:rPr>
          <w:rFonts w:asciiTheme="majorBidi" w:hAnsiTheme="majorBidi" w:cstheme="majorBidi"/>
          <w:lang w:bidi="ar-LB"/>
        </w:rPr>
        <w:tab/>
      </w:r>
      <w:r w:rsidR="00B630F7" w:rsidRPr="006500F0">
        <w:rPr>
          <w:rFonts w:asciiTheme="majorBidi" w:hAnsiTheme="majorBidi" w:cstheme="majorBidi"/>
          <w:rtl/>
          <w:lang w:bidi="ar-LB"/>
        </w:rPr>
        <w:t>في حين أن معيار الإثبات المذكور أعلاه لا يتطلب التوصل إلى نتائج تستبعد الاحتمالات المعقولة الأخرى، إلا أنّ البعثة تعتبر أنّ إثبات الحقائق في سياق ما بعد الصراع يجب أن يستفيد، إلى أقصى حد ممكن، من وجهات نظر جميع أطراف النزاع. بدأت البعثة بالتفاعل مع جميع الأطراف، ويتم تقديم الاستنتاجات الواردة في هذا التقرير مع عدم الإخلال بتلقي مزيد من المعلومات.</w:t>
      </w:r>
    </w:p>
    <w:p w14:paraId="0236AA16" w14:textId="66CF5B71" w:rsidR="003E57A4" w:rsidRPr="006500F0" w:rsidRDefault="00FA4CD4" w:rsidP="004020D6">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26.</w:t>
      </w:r>
      <w:r w:rsidRPr="006500F0">
        <w:rPr>
          <w:rFonts w:asciiTheme="majorBidi" w:hAnsiTheme="majorBidi" w:cstheme="majorBidi"/>
          <w:lang w:bidi="ar-LB"/>
        </w:rPr>
        <w:tab/>
      </w:r>
      <w:r w:rsidR="00FA1333" w:rsidRPr="006500F0">
        <w:rPr>
          <w:rFonts w:asciiTheme="majorBidi" w:hAnsiTheme="majorBidi" w:cstheme="majorBidi"/>
          <w:rtl/>
          <w:lang w:bidi="ar-LB"/>
        </w:rPr>
        <w:t>في حين أن معيار "الأسباب المعقولة التي تدعو للاعتقاد" قد وضع حدًا أدنى للأدلة، إلا أنه في بعض الظروف تم التوصّل إلى مستوى أعلى من اليقين، لا سيما عندما يترتّب عن الاستنتاج توصيفٌ قانونيٌّ يحمل درجة أعلى من الوصم بسبب خطورته، كالجرائم ضد الإنسانية والتعذيب. وفيما يتعلّق بهذا النوع من الاستنتاجات، تخطت البعثة عتبة الحدّ الأدنى للأدلة.</w:t>
      </w:r>
    </w:p>
    <w:p w14:paraId="087ACA58" w14:textId="01E1E24C" w:rsidR="00836DB7" w:rsidRPr="006500F0" w:rsidRDefault="00FA4CD4" w:rsidP="00F71443">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27.</w:t>
      </w:r>
      <w:r w:rsidRPr="006500F0">
        <w:rPr>
          <w:rFonts w:asciiTheme="majorBidi" w:hAnsiTheme="majorBidi" w:cstheme="majorBidi"/>
          <w:lang w:bidi="ar-LB"/>
        </w:rPr>
        <w:tab/>
      </w:r>
      <w:r w:rsidR="0076032B" w:rsidRPr="006500F0">
        <w:rPr>
          <w:rFonts w:asciiTheme="majorBidi" w:hAnsiTheme="majorBidi" w:cstheme="majorBidi"/>
          <w:rtl/>
          <w:lang w:bidi="ar-LB"/>
        </w:rPr>
        <w:t xml:space="preserve">نظرت البعثة في المعلومات الواردة من مجموعة متنوعة من المصادر، بما في ذلك المقابلات مع الضحايا والشهود الآخرين؛ والشهادات والبيانات التحليلية الواردة في تقارير الأمم المتحدة وغيرها من المنظمات غير الحكومية ووسائل الإعلام الموثوقة؛ وملاحظات المحققين المباشرة أثناء الزيارات الميدانية؛ والقوانين الليبية المحلية؛ والمعلومات التي قدمتها السلطات الليبية، والدول الأخرى، وأصحاب المصلحة الموثوقين الذي يعملون في ليبيا؛ وصور الأقمار الصناعية والمواد السمعية والبصرية الموثّقة؛ والمواد المستمدّة من المصادر المفتوحة التي تمّ التحقّق منها. بعد إرسال البعثة دعوة لتقديم الطلبات في 25 يناير/ كانون الثاني 2021، قدّمت منظمات المجتمع المدني والمحامون الذين يمثلون الضحايا معلومات ذات صلة بالقضايا قيد التحقيق ضمن البعثة. </w:t>
      </w:r>
    </w:p>
    <w:p w14:paraId="4D11C3FC" w14:textId="7127CF44" w:rsidR="00836DB7" w:rsidRPr="006500F0" w:rsidRDefault="00FA4CD4" w:rsidP="00347B2E">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28.</w:t>
      </w:r>
      <w:r w:rsidRPr="006500F0">
        <w:rPr>
          <w:rFonts w:asciiTheme="majorBidi" w:hAnsiTheme="majorBidi" w:cstheme="majorBidi"/>
          <w:lang w:bidi="ar-LB"/>
        </w:rPr>
        <w:tab/>
      </w:r>
      <w:r w:rsidR="00E36C95" w:rsidRPr="006500F0">
        <w:rPr>
          <w:rFonts w:asciiTheme="majorBidi" w:hAnsiTheme="majorBidi" w:cstheme="majorBidi"/>
          <w:rtl/>
          <w:lang w:bidi="ar-LB"/>
        </w:rPr>
        <w:t xml:space="preserve">لم يوفر الوضع الأمني مساحة آمنة لعقد اجتماعات شخصية مع الضحايا والشهود. ولذلك أجرت البعثة مقابلات باستخدام وسائل اتصال أخرى عبر القنوات الآمنة. في بعض الحالات، عمدتْ </w:t>
      </w:r>
      <w:r w:rsidR="00E36C95" w:rsidRPr="006500F0">
        <w:rPr>
          <w:rFonts w:asciiTheme="majorBidi" w:hAnsiTheme="majorBidi" w:cstheme="majorBidi"/>
          <w:rtl/>
          <w:lang w:bidi="ar-LB"/>
        </w:rPr>
        <w:lastRenderedPageBreak/>
        <w:t>البعثة إلى تغطية النفقات المتكبدة للسفر إلى مكان آمن خارج ليبيا، وأوضحت لمن أُجريت معهم المقابلات أن المبلغ المدفوع لم يكن تعويضاً عن شهادتهم.</w:t>
      </w:r>
    </w:p>
    <w:p w14:paraId="480F474E" w14:textId="360573A1" w:rsidR="00AD44E3" w:rsidRPr="006500F0" w:rsidRDefault="00FA4CD4" w:rsidP="00FF7AA4">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29.</w:t>
      </w:r>
      <w:r w:rsidRPr="006500F0">
        <w:rPr>
          <w:rFonts w:asciiTheme="majorBidi" w:hAnsiTheme="majorBidi" w:cstheme="majorBidi"/>
          <w:lang w:bidi="ar-LB"/>
        </w:rPr>
        <w:tab/>
      </w:r>
      <w:r w:rsidR="00CA21FB" w:rsidRPr="006500F0">
        <w:rPr>
          <w:rFonts w:asciiTheme="majorBidi" w:hAnsiTheme="majorBidi" w:cstheme="majorBidi"/>
          <w:rtl/>
          <w:lang w:bidi="ar-LB"/>
        </w:rPr>
        <w:t>أجرت البعثة تقييمها الخاص لمصداقية المصادر وموثوقيتها، حتى عندما تم تقديمها من قبل وسطاء موثوق بهم. تتّسم جميع المصادر التي تم الاعتماد عليها في هذا التقرير بالمصداقية والموثوقية. طلبتْ البعثة من كل شخص أو كيان قابلته، موافقته المستنيرة لاستخدام المعلومات الواردة في هذا التقرير و/أو مشاركتها مع أصحاب المصلحة الخارجيين لأغراض المساءلة أو المساعدة. لا يكشف هذا التقرير عن هوية الأفراد الذين قابلتهم البعثة، إلا في حال الموافقة على ذلك.</w:t>
      </w:r>
    </w:p>
    <w:p w14:paraId="6D59AA60" w14:textId="2659BD18" w:rsidR="00882AE8" w:rsidRPr="006500F0" w:rsidRDefault="00FA4CD4" w:rsidP="00DE3B32">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30.</w:t>
      </w:r>
      <w:r w:rsidRPr="006500F0">
        <w:rPr>
          <w:rFonts w:asciiTheme="majorBidi" w:hAnsiTheme="majorBidi" w:cstheme="majorBidi"/>
          <w:lang w:bidi="ar-LB"/>
        </w:rPr>
        <w:tab/>
      </w:r>
      <w:r w:rsidR="0003768F" w:rsidRPr="006500F0">
        <w:rPr>
          <w:rFonts w:asciiTheme="majorBidi" w:hAnsiTheme="majorBidi" w:cstheme="majorBidi"/>
          <w:rtl/>
          <w:lang w:bidi="ar-LB"/>
        </w:rPr>
        <w:t>أولت البعثة أقصى درجات الاهتمام لسلامة الأفراد الذين تعاملت معهم ورفاههم. ووفقًا لمبدأ التحقيق الراسخ المتمثل في "عدم إلحاق الضرر"، ضمنت البعثة أن تعاونهم معها لم يعرضهم للخطر أو يسبّب لهم صدمات إضافية. وعند الاقتضاء، وجّهت البعثة الضحايا والشهود إلى برامج الحماية والمساعدة القائمة.</w:t>
      </w:r>
    </w:p>
    <w:p w14:paraId="3D48D9B0" w14:textId="4E1A6114" w:rsidR="00DE3B32" w:rsidRPr="006500F0" w:rsidRDefault="00FA4CD4" w:rsidP="00DE3B32">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31.</w:t>
      </w:r>
      <w:r w:rsidRPr="006500F0">
        <w:rPr>
          <w:rFonts w:asciiTheme="majorBidi" w:hAnsiTheme="majorBidi" w:cstheme="majorBidi"/>
          <w:lang w:bidi="ar-LB"/>
        </w:rPr>
        <w:tab/>
      </w:r>
      <w:r w:rsidR="00DE3B32" w:rsidRPr="006500F0">
        <w:rPr>
          <w:rFonts w:asciiTheme="majorBidi" w:hAnsiTheme="majorBidi" w:cstheme="majorBidi"/>
          <w:rtl/>
          <w:lang w:bidi="ar-LB"/>
        </w:rPr>
        <w:t>تماشيًا مع ولاية البعثة المتمثلة في حفظ الأدلة لأغراض المساءلة، احتفظت الأمانة بسجل آمن لجميع المواد التي جمعتها ووضعت نظامًا لإدارة السجلات لتبسيط التحقيقات المستقبلية.</w:t>
      </w:r>
    </w:p>
    <w:p w14:paraId="18418C78" w14:textId="2ED40590" w:rsidR="0040761E" w:rsidRPr="006500F0" w:rsidRDefault="0040761E" w:rsidP="00FA4CD4">
      <w:pPr>
        <w:pStyle w:val="ParNoG"/>
        <w:numPr>
          <w:ilvl w:val="0"/>
          <w:numId w:val="0"/>
        </w:numPr>
        <w:tabs>
          <w:tab w:val="left" w:pos="1701"/>
        </w:tabs>
        <w:ind w:left="1134"/>
        <w:rPr>
          <w:rFonts w:asciiTheme="majorBidi" w:hAnsiTheme="majorBidi" w:cstheme="majorBidi"/>
          <w:lang w:bidi="ar-LB"/>
        </w:rPr>
      </w:pPr>
    </w:p>
    <w:p w14:paraId="237E5E91" w14:textId="311D2DEE" w:rsidR="009510F5" w:rsidRPr="006500F0" w:rsidRDefault="00FA4CD4" w:rsidP="00866F83">
      <w:pPr>
        <w:pStyle w:val="HChG"/>
        <w:kinsoku w:val="0"/>
        <w:overflowPunct w:val="0"/>
        <w:autoSpaceDE w:val="0"/>
        <w:autoSpaceDN w:val="0"/>
        <w:bidi/>
        <w:adjustRightInd w:val="0"/>
        <w:snapToGrid w:val="0"/>
        <w:rPr>
          <w:rFonts w:asciiTheme="majorBidi" w:hAnsiTheme="majorBidi" w:cstheme="majorBidi"/>
          <w:b w:val="0"/>
          <w:lang w:val="en-CA" w:bidi="ar-LB"/>
        </w:rPr>
      </w:pPr>
      <w:r w:rsidRPr="006500F0">
        <w:rPr>
          <w:rFonts w:asciiTheme="majorBidi" w:hAnsiTheme="majorBidi" w:cstheme="majorBidi"/>
          <w:lang w:val="en-CA" w:bidi="ar-LB"/>
        </w:rPr>
        <w:tab/>
      </w:r>
      <w:r w:rsidR="00EF3FD9" w:rsidRPr="006500F0">
        <w:rPr>
          <w:rFonts w:asciiTheme="majorBidi" w:hAnsiTheme="majorBidi" w:cstheme="majorBidi"/>
          <w:lang w:val="en-CA" w:bidi="ar-LB"/>
        </w:rPr>
        <w:tab/>
      </w:r>
      <w:r w:rsidR="00523CDC" w:rsidRPr="006500F0">
        <w:rPr>
          <w:rFonts w:asciiTheme="majorBidi" w:hAnsiTheme="majorBidi" w:cstheme="majorBidi"/>
          <w:b w:val="0"/>
          <w:bCs/>
          <w:rtl/>
          <w:lang w:val="en-CA" w:bidi="ar-LB"/>
        </w:rPr>
        <w:t>ثالثًا-</w:t>
      </w:r>
      <w:r w:rsidR="004E2647">
        <w:rPr>
          <w:rFonts w:asciiTheme="majorBidi" w:hAnsiTheme="majorBidi" w:cstheme="majorBidi"/>
          <w:b w:val="0"/>
          <w:bCs/>
          <w:rtl/>
          <w:lang w:val="en-CA" w:bidi="ar-LB"/>
        </w:rPr>
        <w:tab/>
      </w:r>
      <w:r w:rsidR="00523CDC" w:rsidRPr="006500F0">
        <w:rPr>
          <w:rFonts w:asciiTheme="majorBidi" w:hAnsiTheme="majorBidi" w:cstheme="majorBidi"/>
          <w:b w:val="0"/>
          <w:bCs/>
          <w:rtl/>
          <w:lang w:val="en-CA" w:bidi="ar-LB"/>
        </w:rPr>
        <w:t xml:space="preserve"> الانتهاكات والتجاوزات والجرائم بموجب القانون الدولي لحقوق الإنسان والقانون الدولي الإنساني والقانون الجنائي الدولي</w:t>
      </w:r>
      <w:r w:rsidR="00523CDC" w:rsidRPr="006500F0">
        <w:rPr>
          <w:rStyle w:val="FootnoteReference"/>
          <w:rFonts w:asciiTheme="majorBidi" w:hAnsiTheme="majorBidi" w:cstheme="majorBidi"/>
          <w:b w:val="0"/>
          <w:lang w:val="en-CA" w:bidi="ar-LB"/>
        </w:rPr>
        <w:footnoteReference w:id="3"/>
      </w:r>
    </w:p>
    <w:p w14:paraId="170B02A8" w14:textId="61D086CB" w:rsidR="006A0384" w:rsidRPr="006500F0" w:rsidRDefault="00AE0A09" w:rsidP="00872ECA">
      <w:pPr>
        <w:pStyle w:val="H1G"/>
        <w:kinsoku w:val="0"/>
        <w:overflowPunct w:val="0"/>
        <w:autoSpaceDE w:val="0"/>
        <w:autoSpaceDN w:val="0"/>
        <w:bidi/>
        <w:adjustRightInd w:val="0"/>
        <w:snapToGrid w:val="0"/>
        <w:rPr>
          <w:rFonts w:asciiTheme="majorBidi" w:hAnsiTheme="majorBidi" w:cstheme="majorBidi"/>
          <w:lang w:val="en-CA" w:bidi="ar-LB"/>
        </w:rPr>
      </w:pPr>
      <w:r w:rsidRPr="006500F0">
        <w:rPr>
          <w:rFonts w:asciiTheme="majorBidi" w:hAnsiTheme="majorBidi" w:cstheme="majorBidi"/>
          <w:lang w:val="en-CA" w:bidi="ar-LB"/>
        </w:rPr>
        <w:tab/>
      </w:r>
      <w:r w:rsidR="00FA4CD4" w:rsidRPr="006500F0">
        <w:rPr>
          <w:rFonts w:asciiTheme="majorBidi" w:hAnsiTheme="majorBidi" w:cstheme="majorBidi"/>
          <w:lang w:val="en-CA" w:bidi="ar-LB"/>
        </w:rPr>
        <w:tab/>
      </w:r>
      <w:r w:rsidR="00872ECA" w:rsidRPr="006500F0">
        <w:rPr>
          <w:rFonts w:asciiTheme="majorBidi" w:eastAsiaTheme="minorHAnsi" w:hAnsiTheme="majorBidi" w:cstheme="majorBidi"/>
          <w:b w:val="0"/>
          <w:bCs/>
          <w:rtl/>
          <w:lang w:val="en-CA" w:bidi="ar-LB"/>
        </w:rPr>
        <w:t>ألف-</w:t>
      </w:r>
      <w:r w:rsidR="004E2647">
        <w:rPr>
          <w:rFonts w:asciiTheme="majorBidi" w:eastAsiaTheme="minorHAnsi" w:hAnsiTheme="majorBidi" w:cstheme="majorBidi"/>
          <w:b w:val="0"/>
          <w:bCs/>
          <w:rtl/>
          <w:lang w:val="en-CA" w:bidi="ar-LB"/>
        </w:rPr>
        <w:tab/>
      </w:r>
      <w:r w:rsidR="00872ECA" w:rsidRPr="006500F0">
        <w:rPr>
          <w:rFonts w:asciiTheme="majorBidi" w:eastAsiaTheme="minorHAnsi" w:hAnsiTheme="majorBidi" w:cstheme="majorBidi"/>
          <w:b w:val="0"/>
          <w:bCs/>
          <w:rtl/>
          <w:lang w:val="en-CA" w:bidi="ar-LB"/>
        </w:rPr>
        <w:t xml:space="preserve"> سير الأعمال العدائية</w:t>
      </w:r>
    </w:p>
    <w:p w14:paraId="0321F0EA" w14:textId="3804DA85" w:rsidR="002A7443" w:rsidRPr="006500F0" w:rsidRDefault="00FA4CD4" w:rsidP="002A7443">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35.</w:t>
      </w:r>
      <w:r w:rsidRPr="006500F0">
        <w:rPr>
          <w:rFonts w:asciiTheme="majorBidi" w:hAnsiTheme="majorBidi" w:cstheme="majorBidi"/>
          <w:lang w:bidi="ar-LB"/>
        </w:rPr>
        <w:tab/>
      </w:r>
      <w:r w:rsidR="002A7443" w:rsidRPr="006500F0">
        <w:rPr>
          <w:rFonts w:asciiTheme="majorBidi" w:hAnsiTheme="majorBidi" w:cstheme="majorBidi"/>
          <w:rtl/>
          <w:lang w:val="en-CA" w:bidi="ar-LB"/>
        </w:rPr>
        <w:t>شهدت الفترة الزمنية التي تغطيها ولاية البعثة عدة مواجهات مسلحة، بلغتْ مستوىً حادًا ومتواصلًا بمشاركة جماعات مسلحة منظّمة، بما في ذلك القوات المسلحة التابعة للدولة.</w:t>
      </w:r>
      <w:r w:rsidR="002A7443" w:rsidRPr="006500F0">
        <w:rPr>
          <w:rFonts w:asciiTheme="majorBidi" w:hAnsiTheme="majorBidi" w:cstheme="majorBidi"/>
          <w:rtl/>
          <w:lang w:bidi="ar-LB"/>
        </w:rPr>
        <w:t xml:space="preserve"> </w:t>
      </w:r>
      <w:r w:rsidR="002A7443" w:rsidRPr="006500F0">
        <w:rPr>
          <w:rFonts w:asciiTheme="majorBidi" w:hAnsiTheme="majorBidi" w:cstheme="majorBidi"/>
          <w:rtl/>
          <w:lang w:val="en-CA" w:bidi="ar-LB"/>
        </w:rPr>
        <w:t>تم توثيق الأعمال العدائية على نطاق واسع، مما لا يدع مجالًا للشكّ أن هذه المواجهات ترقى إلى نزاع مسلح غير دولي. وتشير التحقيقات إلى مشاركة دول أجنبية في النزاع المسلح غير الدولي، إلى درجة اعتبارها أطرافاً في النزاع. إن مشاركة دولة أجنبية في النزاعات المسلحة غير الدولية دعمًا لأطرف النزاع، وليس ضد الدولة، لا يغير من تصنيف النزاع. وأشارت التحقيقات إلى إقدام عدّة أطراف في النزاع على انتهاك القانون الدولي الإنساني، وربما ارتكاب جرائم الحرب. يحدد هذا القسم الاستنتاجات التي تمكنت البعثة من التوصّل إليها، مع التركيز بشكل خاص على (1) الأعمال العدائية في طرابلس بين العامين 2019-2020 ؛ (2) وحصار قنفودة شرقي ليبيا بين العامين 2016-</w:t>
      </w:r>
      <w:r w:rsidR="002A7443" w:rsidRPr="006500F0">
        <w:rPr>
          <w:rFonts w:asciiTheme="majorBidi" w:hAnsiTheme="majorBidi" w:cstheme="majorBidi"/>
          <w:rtl/>
          <w:lang w:val="en-CA" w:bidi="ar-LB"/>
        </w:rPr>
        <w:lastRenderedPageBreak/>
        <w:t>2017؛ (3) والعمليات العسكرية في جنوب ليبيا في العام 2019. إنّ الاعتبارات الوقائعية التي تقوم عليها الاستنتاجات لا تخلّ بأي دليل قد يتم مشاركته لاحقًا من قبل جهات فاعلة أخرى.</w:t>
      </w:r>
    </w:p>
    <w:p w14:paraId="0A67F061" w14:textId="4823E32D" w:rsidR="006A0384" w:rsidRPr="006500F0" w:rsidRDefault="006A0384" w:rsidP="00FA4CD4">
      <w:pPr>
        <w:pStyle w:val="ParNoG"/>
        <w:numPr>
          <w:ilvl w:val="0"/>
          <w:numId w:val="0"/>
        </w:numPr>
        <w:tabs>
          <w:tab w:val="left" w:pos="1701"/>
        </w:tabs>
        <w:ind w:left="1134"/>
        <w:rPr>
          <w:rFonts w:asciiTheme="majorBidi" w:hAnsiTheme="majorBidi" w:cstheme="majorBidi"/>
          <w:lang w:val="en-CA" w:bidi="ar-LB"/>
        </w:rPr>
      </w:pPr>
    </w:p>
    <w:p w14:paraId="7FA357D0" w14:textId="05E45633" w:rsidR="003A3E80" w:rsidRPr="006500F0" w:rsidRDefault="00B86AE4" w:rsidP="00373C8D">
      <w:pPr>
        <w:pStyle w:val="H23G"/>
        <w:kinsoku w:val="0"/>
        <w:overflowPunct w:val="0"/>
        <w:autoSpaceDE w:val="0"/>
        <w:autoSpaceDN w:val="0"/>
        <w:bidi/>
        <w:adjustRightInd w:val="0"/>
        <w:snapToGrid w:val="0"/>
        <w:rPr>
          <w:rFonts w:asciiTheme="majorBidi" w:hAnsiTheme="majorBidi" w:cstheme="majorBidi"/>
          <w:lang w:val="en-CA" w:bidi="ar-LB"/>
        </w:rPr>
      </w:pPr>
      <w:r w:rsidRPr="006500F0">
        <w:rPr>
          <w:rFonts w:asciiTheme="majorBidi" w:hAnsiTheme="majorBidi" w:cstheme="majorBidi"/>
          <w:lang w:val="en-CA" w:bidi="ar-LB"/>
        </w:rPr>
        <w:tab/>
      </w:r>
      <w:r w:rsidR="00FA4CD4" w:rsidRPr="006500F0">
        <w:rPr>
          <w:rFonts w:asciiTheme="majorBidi" w:hAnsiTheme="majorBidi" w:cstheme="majorBidi"/>
          <w:lang w:val="en-CA" w:bidi="ar-LB"/>
        </w:rPr>
        <w:t>1.</w:t>
      </w:r>
      <w:r w:rsidR="00FA4CD4" w:rsidRPr="006500F0">
        <w:rPr>
          <w:rFonts w:asciiTheme="majorBidi" w:hAnsiTheme="majorBidi" w:cstheme="majorBidi"/>
          <w:lang w:val="en-CA" w:bidi="ar-LB"/>
        </w:rPr>
        <w:tab/>
      </w:r>
      <w:r w:rsidR="00373C8D" w:rsidRPr="004E2647">
        <w:rPr>
          <w:rFonts w:asciiTheme="majorBidi" w:eastAsiaTheme="minorHAnsi" w:hAnsiTheme="majorBidi" w:cstheme="majorBidi"/>
          <w:b w:val="0"/>
          <w:bCs/>
          <w:rtl/>
          <w:lang w:val="en-CA" w:bidi="ar-LB"/>
        </w:rPr>
        <w:t>طرابلس</w:t>
      </w:r>
    </w:p>
    <w:p w14:paraId="3B028623" w14:textId="6FB7ABEF" w:rsidR="003B7A15" w:rsidRPr="006500F0" w:rsidRDefault="00FA4CD4" w:rsidP="00FF6925">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36.</w:t>
      </w:r>
      <w:r w:rsidRPr="006500F0">
        <w:rPr>
          <w:rFonts w:asciiTheme="majorBidi" w:hAnsiTheme="majorBidi" w:cstheme="majorBidi"/>
          <w:lang w:bidi="ar-LB"/>
        </w:rPr>
        <w:tab/>
      </w:r>
      <w:r w:rsidR="0062098A" w:rsidRPr="006500F0">
        <w:rPr>
          <w:rFonts w:asciiTheme="majorBidi" w:hAnsiTheme="majorBidi" w:cstheme="majorBidi"/>
          <w:rtl/>
          <w:lang w:val="en-CA" w:bidi="ar-LB"/>
        </w:rPr>
        <w:t>بين شهر أبريل/ نيسان 2019 وشهر يونيو/حزيران 2020، انخرط كلّ من حكومة الوفاق الوطني والجيش الوطني الليبي، إضافة إلى الجماعات المسلحة التابعة لهما، بدعم من دول أجنبية، في نزاع مسلح في طرابلس والمناطق المحيطة بها. لا تقدّم الاستنتاجات الواردة أدناه سوى رؤية محدودة على الأعمال العدائية، ولا بدّ من إجراء مزيد من التحقيقات لدراسة مزاعم الانتهاكات الأخرى.</w:t>
      </w:r>
      <w:r w:rsidR="0062098A" w:rsidRPr="006500F0">
        <w:rPr>
          <w:rStyle w:val="EndnoteReference"/>
          <w:rFonts w:asciiTheme="majorBidi" w:hAnsiTheme="majorBidi" w:cstheme="majorBidi"/>
          <w:lang w:val="en-CA" w:bidi="ar-LB"/>
        </w:rPr>
        <w:t xml:space="preserve"> </w:t>
      </w:r>
    </w:p>
    <w:p w14:paraId="7CCBD247" w14:textId="15933F7F" w:rsidR="00447B33" w:rsidRPr="006500F0" w:rsidRDefault="00FA4CD4" w:rsidP="00BB54C0">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37.</w:t>
      </w:r>
      <w:r w:rsidRPr="006500F0">
        <w:rPr>
          <w:rFonts w:asciiTheme="majorBidi" w:hAnsiTheme="majorBidi" w:cstheme="majorBidi"/>
          <w:lang w:bidi="ar-LB"/>
        </w:rPr>
        <w:tab/>
      </w:r>
      <w:r w:rsidR="00DD6C7E" w:rsidRPr="006500F0">
        <w:rPr>
          <w:rFonts w:asciiTheme="majorBidi" w:hAnsiTheme="majorBidi" w:cstheme="majorBidi"/>
          <w:rtl/>
          <w:lang w:val="en-CA" w:bidi="ar-LB"/>
        </w:rPr>
        <w:t xml:space="preserve">تضرر ما لا يقل عن </w:t>
      </w:r>
      <w:r w:rsidR="00F1248B" w:rsidRPr="006500F0">
        <w:rPr>
          <w:rFonts w:asciiTheme="majorBidi" w:hAnsiTheme="majorBidi" w:cstheme="majorBidi"/>
          <w:rtl/>
          <w:lang w:val="en-CA" w:bidi="ar-LB"/>
        </w:rPr>
        <w:t>47</w:t>
      </w:r>
      <w:r w:rsidR="00F1248B" w:rsidRPr="006500F0">
        <w:rPr>
          <w:rFonts w:asciiTheme="majorBidi" w:hAnsiTheme="majorBidi" w:cstheme="majorBidi"/>
          <w:lang w:val="en-CA" w:bidi="ar-LB"/>
        </w:rPr>
        <w:t xml:space="preserve"> </w:t>
      </w:r>
      <w:r w:rsidR="00F1248B" w:rsidRPr="006500F0">
        <w:rPr>
          <w:rFonts w:asciiTheme="majorBidi" w:hAnsiTheme="majorBidi" w:cstheme="majorBidi"/>
          <w:b/>
          <w:bCs/>
          <w:rtl/>
          <w:lang w:val="en-CA" w:bidi="ar-LB"/>
        </w:rPr>
        <w:t>مرفقًا</w:t>
      </w:r>
      <w:r w:rsidR="00DD6C7E" w:rsidRPr="006500F0">
        <w:rPr>
          <w:rFonts w:asciiTheme="majorBidi" w:hAnsiTheme="majorBidi" w:cstheme="majorBidi"/>
          <w:b/>
          <w:bCs/>
          <w:rtl/>
          <w:lang w:val="en-CA" w:bidi="ar-LB"/>
        </w:rPr>
        <w:t xml:space="preserve"> صحيًا وأعيان صحية</w:t>
      </w:r>
      <w:r w:rsidR="00DD6C7E" w:rsidRPr="006500F0">
        <w:rPr>
          <w:rFonts w:asciiTheme="majorBidi" w:hAnsiTheme="majorBidi" w:cstheme="majorBidi"/>
          <w:rtl/>
          <w:lang w:val="en-CA" w:bidi="ar-LB"/>
        </w:rPr>
        <w:t xml:space="preserve"> خلال هذه الفترة،</w:t>
      </w:r>
      <w:r w:rsidR="00DD6C7E" w:rsidRPr="006500F0">
        <w:rPr>
          <w:rStyle w:val="FootnoteReference"/>
          <w:rFonts w:asciiTheme="majorBidi" w:hAnsiTheme="majorBidi" w:cstheme="majorBidi"/>
          <w:lang w:val="en-CA" w:bidi="ar-LB"/>
        </w:rPr>
        <w:footnoteReference w:id="4"/>
      </w:r>
      <w:r w:rsidR="00DD6C7E" w:rsidRPr="006500F0">
        <w:rPr>
          <w:rFonts w:asciiTheme="majorBidi" w:hAnsiTheme="majorBidi" w:cstheme="majorBidi"/>
          <w:rtl/>
          <w:lang w:val="en-CA" w:bidi="ar-LB"/>
        </w:rPr>
        <w:t xml:space="preserve"> مما أثّر بشكل فوريّ على الرعاية الصحية (بما في ذلك حصول النساء على الخدمات المتخصصة)، وثمة أسباب وجيهة تدعو للاعتقاد أنّ هذه الهجمات ترقى إلى انتهاكات القانون الدولي الإنساني</w:t>
      </w:r>
      <w:r w:rsidR="00DD6C7E" w:rsidRPr="006500F0">
        <w:rPr>
          <w:rStyle w:val="FootnoteReference"/>
          <w:rFonts w:asciiTheme="majorBidi" w:hAnsiTheme="majorBidi" w:cstheme="majorBidi"/>
          <w:lang w:val="en-CA" w:bidi="ar-LB"/>
        </w:rPr>
        <w:footnoteReference w:id="5"/>
      </w:r>
      <w:r w:rsidR="00DD6C7E" w:rsidRPr="006500F0">
        <w:rPr>
          <w:rFonts w:asciiTheme="majorBidi" w:hAnsiTheme="majorBidi" w:cstheme="majorBidi"/>
          <w:rtl/>
          <w:lang w:val="en-CA" w:bidi="ar-LB"/>
        </w:rPr>
        <w:t xml:space="preserve"> وجرائم الحرب.</w:t>
      </w:r>
      <w:r w:rsidR="00DD6C7E" w:rsidRPr="006500F0">
        <w:rPr>
          <w:rStyle w:val="EndnoteReference"/>
          <w:rFonts w:asciiTheme="majorBidi" w:hAnsiTheme="majorBidi" w:cstheme="majorBidi"/>
          <w:lang w:val="en-CA" w:bidi="ar-LB"/>
        </w:rPr>
        <w:t xml:space="preserve"> </w:t>
      </w:r>
      <w:r w:rsidR="00DD6C7E" w:rsidRPr="006500F0">
        <w:rPr>
          <w:rStyle w:val="FootnoteReference"/>
          <w:rFonts w:asciiTheme="majorBidi" w:hAnsiTheme="majorBidi" w:cstheme="majorBidi"/>
          <w:lang w:val="en-CA" w:bidi="ar-LB"/>
        </w:rPr>
        <w:footnoteReference w:id="6"/>
      </w:r>
      <w:r w:rsidR="00DD6C7E" w:rsidRPr="006500F0">
        <w:rPr>
          <w:rFonts w:asciiTheme="majorBidi" w:hAnsiTheme="majorBidi" w:cstheme="majorBidi"/>
          <w:rtl/>
          <w:lang w:val="en-CA" w:bidi="ar-LB"/>
        </w:rPr>
        <w:t>أثبتتْ الأدلة أنه في مايو/ أيار 2019، في منطقة الطويشة بالقرب من طرابلس، أصاب سلاحٌ سيارةَ إسعاف تحمل شارة الهلال الأحمر على بابها، وأصيب السائق بجروح خطيرة. كانت سيارة الإسعاف تنقل عاملين في المجال الصحي، ولم تنخرط في أغراض عدائية. أكّدتْ التحقيقات أيضًا أنه في أبريل/ نيسان 2020، تعرض مستشفى الخضراء العام (طرابلس) للقصف ثلاث مرات، وكان المستشفى قد اعتُمد كمركز رئيسي في طرابلس للمرضى المصابين بكوفيد-19. كان المستشفى يُستخدم على هذا النحو قبل الهجمات، ولم يُستخدم لارتكاب أعمال عدائية. لا بدّ من إجراء مزيد من التحقيقات لتحديد المسؤوليات إزاء هذه الهجمات، وإزاء هجمات أخرى مماثلة.</w:t>
      </w:r>
    </w:p>
    <w:p w14:paraId="6628E9F1" w14:textId="457C3BE9" w:rsidR="009A65EC" w:rsidRPr="006500F0" w:rsidRDefault="00FA4CD4" w:rsidP="005C110D">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38.</w:t>
      </w:r>
      <w:r w:rsidRPr="006500F0">
        <w:rPr>
          <w:rFonts w:asciiTheme="majorBidi" w:hAnsiTheme="majorBidi" w:cstheme="majorBidi"/>
          <w:lang w:bidi="ar-LB"/>
        </w:rPr>
        <w:tab/>
      </w:r>
      <w:r w:rsidR="00171BFA" w:rsidRPr="006500F0">
        <w:rPr>
          <w:rFonts w:asciiTheme="majorBidi" w:hAnsiTheme="majorBidi" w:cstheme="majorBidi"/>
          <w:rtl/>
          <w:lang w:val="en-CA" w:bidi="ar-LB"/>
        </w:rPr>
        <w:t xml:space="preserve">تعرضت </w:t>
      </w:r>
      <w:r w:rsidR="00171BFA" w:rsidRPr="006500F0">
        <w:rPr>
          <w:rFonts w:asciiTheme="majorBidi" w:hAnsiTheme="majorBidi" w:cstheme="majorBidi"/>
          <w:b/>
          <w:bCs/>
          <w:rtl/>
          <w:lang w:val="en-CA" w:bidi="ar-LB"/>
        </w:rPr>
        <w:t>المدارس</w:t>
      </w:r>
      <w:r w:rsidR="00171BFA" w:rsidRPr="006500F0">
        <w:rPr>
          <w:rFonts w:asciiTheme="majorBidi" w:hAnsiTheme="majorBidi" w:cstheme="majorBidi"/>
          <w:lang w:val="en-CA" w:bidi="ar-LB"/>
        </w:rPr>
        <w:t xml:space="preserve"> </w:t>
      </w:r>
      <w:r w:rsidR="00171BFA" w:rsidRPr="006500F0">
        <w:rPr>
          <w:rFonts w:asciiTheme="majorBidi" w:hAnsiTheme="majorBidi" w:cstheme="majorBidi"/>
          <w:rtl/>
          <w:lang w:val="en-CA" w:bidi="ar-LB"/>
        </w:rPr>
        <w:t>أيضًا لدمار وأضرار جسيمة. حققت البعثة في الأضرار التي لحقت بثلاث مدارس (مدرسة باب بن غشير، ومدرسة الخالدون، ومدرسة الطليعة)، إضافة إلى تدمير مستودع يحوي ملايين الكتب المدرسية في أبريل/ نيسان 2019. لم تسمح المعلومات التي جمعتها البعثة من التوصّل إلى استنتاجات حول ما إذا كانت هذه الحوادث تشكل انتهاكًا للقانون الدولي الإنساني. لا بدّ من إجراء تحقيقات إضافية في هذا الجانب المحدد من الأعمال العدائية،</w:t>
      </w:r>
      <w:r w:rsidR="00171BFA" w:rsidRPr="006500F0">
        <w:rPr>
          <w:rFonts w:asciiTheme="majorBidi" w:hAnsiTheme="majorBidi" w:cstheme="majorBidi"/>
          <w:rtl/>
          <w:lang w:bidi="ar-LB"/>
        </w:rPr>
        <w:t xml:space="preserve"> </w:t>
      </w:r>
      <w:r w:rsidR="00171BFA" w:rsidRPr="006500F0">
        <w:rPr>
          <w:rFonts w:asciiTheme="majorBidi" w:hAnsiTheme="majorBidi" w:cstheme="majorBidi"/>
          <w:rtl/>
          <w:lang w:val="en-CA" w:bidi="ar-LB"/>
        </w:rPr>
        <w:t xml:space="preserve">ولا سيما أن الهجمات على مرافق التعليم تؤثر على حق الأطفال في التعليم. </w:t>
      </w:r>
    </w:p>
    <w:p w14:paraId="2BFBF917" w14:textId="0F1F164F" w:rsidR="00B97D33" w:rsidRPr="006500F0" w:rsidRDefault="00FA4CD4" w:rsidP="00780A9F">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lastRenderedPageBreak/>
        <w:t>39.</w:t>
      </w:r>
      <w:r w:rsidRPr="006500F0">
        <w:rPr>
          <w:rFonts w:asciiTheme="majorBidi" w:hAnsiTheme="majorBidi" w:cstheme="majorBidi"/>
          <w:lang w:bidi="ar-LB"/>
        </w:rPr>
        <w:tab/>
      </w:r>
      <w:r w:rsidR="0022743D" w:rsidRPr="006500F0">
        <w:rPr>
          <w:rFonts w:asciiTheme="majorBidi" w:hAnsiTheme="majorBidi" w:cstheme="majorBidi"/>
          <w:rtl/>
          <w:lang w:val="en-CA" w:bidi="ar-LB"/>
        </w:rPr>
        <w:t xml:space="preserve">في مساء 4 يناير/ كانون الثاني 2020، استهدف صاروخٌ مجموعةَ طلاب تجمعوا في باحة </w:t>
      </w:r>
      <w:r w:rsidR="0022743D" w:rsidRPr="006500F0">
        <w:rPr>
          <w:rFonts w:asciiTheme="majorBidi" w:hAnsiTheme="majorBidi" w:cstheme="majorBidi"/>
          <w:b/>
          <w:bCs/>
          <w:rtl/>
          <w:lang w:val="en-CA" w:bidi="ar-LB"/>
        </w:rPr>
        <w:t>الكلية العسكرية في الهضبة</w:t>
      </w:r>
      <w:r w:rsidR="0022743D" w:rsidRPr="006500F0">
        <w:rPr>
          <w:rFonts w:asciiTheme="majorBidi" w:hAnsiTheme="majorBidi" w:cstheme="majorBidi"/>
          <w:rtl/>
          <w:lang w:val="en-CA" w:bidi="ar-LB"/>
        </w:rPr>
        <w:t>، ما أسفر عن مقتل 25 طالبًا</w:t>
      </w:r>
      <w:r w:rsidR="00780A9F" w:rsidRPr="006500F0">
        <w:rPr>
          <w:rStyle w:val="FootnoteReference"/>
          <w:rFonts w:asciiTheme="majorBidi" w:hAnsiTheme="majorBidi" w:cstheme="majorBidi"/>
          <w:lang w:val="en-CA" w:bidi="ar-LB"/>
        </w:rPr>
        <w:footnoteReference w:id="7"/>
      </w:r>
      <w:r w:rsidR="0022743D" w:rsidRPr="006500F0">
        <w:rPr>
          <w:rFonts w:asciiTheme="majorBidi" w:hAnsiTheme="majorBidi" w:cstheme="majorBidi"/>
          <w:rtl/>
          <w:lang w:val="en-CA" w:bidi="ar-LB"/>
        </w:rPr>
        <w:t xml:space="preserve"> وإصابة ما لا يقل عن 20 طالبًا، من بينهم 12 بجروح خطيرة. نسبتْ بعض التقارير هذا الهجوم إلى الجيش الوطني الليبي.</w:t>
      </w:r>
    </w:p>
    <w:p w14:paraId="57CFD4D9" w14:textId="18F7D97A" w:rsidR="00ED2DED" w:rsidRPr="006500F0" w:rsidRDefault="00FA4CD4" w:rsidP="00F071F8">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40.</w:t>
      </w:r>
      <w:r w:rsidRPr="006500F0">
        <w:rPr>
          <w:rFonts w:asciiTheme="majorBidi" w:hAnsiTheme="majorBidi" w:cstheme="majorBidi"/>
          <w:lang w:bidi="ar-LB"/>
        </w:rPr>
        <w:tab/>
      </w:r>
      <w:r w:rsidR="009C088D" w:rsidRPr="006500F0">
        <w:rPr>
          <w:rFonts w:asciiTheme="majorBidi" w:hAnsiTheme="majorBidi" w:cstheme="majorBidi"/>
          <w:rtl/>
          <w:lang w:val="en-CA" w:bidi="ar-LB"/>
        </w:rPr>
        <w:t>إنّ النتيجة البديهية لغياب "وضع المقاتل" في النزاعات المسلحة غير الدولية، تعني أنه لا يجوز مهاجمة أي شخص ما لم يكن مشاركًا بشكل مباشر في الأعمال العدائية. وعلى الرغم من أن تجنيد الأفراد وتدريبهم يشكل أمرًا حاسمًا بالنسبة للقدرة العسكرية الخاصة بطرف في النزاع، إلا أنّ العلاقة السببية مع الضرر الذي يلحق بالخصم ستظل بشكل عام غير مباشرة. ولا يمكن اعتبار هذه الأنشطة بمثابة مشاركة مباشرة في الأعمال العدائية، سوى عندما يتم تجنيد الأشخاص وتدريبهم على وجه التحديد لتنفيذ عملٍ عدائيّ محدد سلفًا. أشارت الأدلة إلى أن الطلاب كانوا يخضعون لتدريب عام وفقًا للمناهج الدراسية المعتادة، ولم تتلق البعثة أي دليل على أنهم كانوا يشاركون في استعدادات لعمل عدائي محدد.</w:t>
      </w:r>
    </w:p>
    <w:p w14:paraId="7080BA43" w14:textId="3E039DBA" w:rsidR="00FE3AC0" w:rsidRPr="006500F0" w:rsidRDefault="00FA4CD4" w:rsidP="00CE1D85">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41.</w:t>
      </w:r>
      <w:r w:rsidRPr="006500F0">
        <w:rPr>
          <w:rFonts w:asciiTheme="majorBidi" w:hAnsiTheme="majorBidi" w:cstheme="majorBidi"/>
          <w:lang w:bidi="ar-LB"/>
        </w:rPr>
        <w:tab/>
      </w:r>
      <w:r w:rsidR="00DA77EC" w:rsidRPr="006500F0">
        <w:rPr>
          <w:rFonts w:asciiTheme="majorBidi" w:hAnsiTheme="majorBidi" w:cstheme="majorBidi"/>
          <w:rtl/>
          <w:lang w:val="en-CA" w:bidi="ar-LB"/>
        </w:rPr>
        <w:t>يجب اتخاذ جميع الاحتياطات الممكنة عند تحديد ما إذا كان الشخص مدنيًا، وفي هذه الحالة، ما إذا كان هذا المدني يشارك بشكل مباشر في الأعمال العدائية. وعند الشك، يجب افتراض أن الشخص محمي من الهجوم المباشر. وفي هذه القضية، نظرًا إلى أن الطلاب كانوا يخضعون لتمرين في الباحة دون أسلحة، كما هو الحال مع طلاب السنة الأولى، تبرز مؤشرات كافية لا تدع مجالًا للشك في أنهم لم يخضعوا للتدريب لغرض عملٍ معيّن. ويشير وضعهم ووظيفتهم كطلاب السنة الأولى أيضًا إلى أنهم لم يشاركوا في وظيفة قتالية مستمرة. ولم يتم العثور على دليل يشير إلى استخدام المبنى لأغراض عسكرية أخرى.</w:t>
      </w:r>
    </w:p>
    <w:p w14:paraId="5CA9B30B" w14:textId="249684BE" w:rsidR="00AC5C93" w:rsidRPr="006500F0" w:rsidRDefault="00FA4CD4" w:rsidP="00295CAF">
      <w:pPr>
        <w:pStyle w:val="ParNoG"/>
        <w:numPr>
          <w:ilvl w:val="0"/>
          <w:numId w:val="0"/>
        </w:numPr>
        <w:bidi/>
        <w:ind w:left="1134"/>
        <w:rPr>
          <w:rFonts w:asciiTheme="majorBidi" w:hAnsiTheme="majorBidi" w:cstheme="majorBidi"/>
          <w:lang w:val="en-US" w:bidi="ar-LB"/>
        </w:rPr>
      </w:pPr>
      <w:r w:rsidRPr="006500F0">
        <w:rPr>
          <w:rFonts w:asciiTheme="majorBidi" w:hAnsiTheme="majorBidi" w:cstheme="majorBidi"/>
          <w:lang w:bidi="ar-LB"/>
        </w:rPr>
        <w:t>42.</w:t>
      </w:r>
      <w:r w:rsidRPr="006500F0">
        <w:rPr>
          <w:rFonts w:asciiTheme="majorBidi" w:hAnsiTheme="majorBidi" w:cstheme="majorBidi"/>
          <w:lang w:bidi="ar-LB"/>
        </w:rPr>
        <w:tab/>
      </w:r>
      <w:r w:rsidR="00CF2338" w:rsidRPr="006500F0">
        <w:rPr>
          <w:rFonts w:asciiTheme="majorBidi" w:hAnsiTheme="majorBidi" w:cstheme="majorBidi"/>
          <w:rtl/>
          <w:lang w:val="en-CA" w:bidi="ar-LB"/>
        </w:rPr>
        <w:t>على ضوء ما سبق، ثمة أسباب وجيهة تدعو للاعتقاد بأن الهجوم لربما شكل انتهاكًا خطيرًا للقانون الدولي الإنساني</w:t>
      </w:r>
      <w:r w:rsidR="00CF2338" w:rsidRPr="006500F0">
        <w:rPr>
          <w:rStyle w:val="FootnoteReference"/>
          <w:rFonts w:asciiTheme="majorBidi" w:hAnsiTheme="majorBidi" w:cstheme="majorBidi"/>
          <w:lang w:bidi="ar-LB"/>
        </w:rPr>
        <w:footnoteReference w:id="8"/>
      </w:r>
      <w:r w:rsidR="00CF2338" w:rsidRPr="006500F0">
        <w:rPr>
          <w:rFonts w:asciiTheme="majorBidi" w:hAnsiTheme="majorBidi" w:cstheme="majorBidi"/>
          <w:rtl/>
          <w:lang w:bidi="ar-LB"/>
        </w:rPr>
        <w:t xml:space="preserve"> </w:t>
      </w:r>
      <w:r w:rsidR="00CF2338" w:rsidRPr="006500F0">
        <w:rPr>
          <w:rFonts w:asciiTheme="majorBidi" w:hAnsiTheme="majorBidi" w:cstheme="majorBidi"/>
          <w:rtl/>
          <w:lang w:val="en-CA" w:bidi="ar-LB"/>
        </w:rPr>
        <w:t>وجريمة حرب.</w:t>
      </w:r>
      <w:r w:rsidR="00CF2338" w:rsidRPr="006500F0">
        <w:rPr>
          <w:rStyle w:val="FootnoteReference"/>
          <w:rFonts w:asciiTheme="majorBidi" w:hAnsiTheme="majorBidi" w:cstheme="majorBidi"/>
          <w:lang w:bidi="ar-LB"/>
        </w:rPr>
        <w:footnoteReference w:id="9"/>
      </w:r>
      <w:r w:rsidR="00295CAF" w:rsidRPr="006500F0">
        <w:rPr>
          <w:rFonts w:asciiTheme="majorBidi" w:hAnsiTheme="majorBidi" w:cstheme="majorBidi"/>
          <w:rtl/>
          <w:lang w:val="en-CA" w:bidi="ar-LB"/>
        </w:rPr>
        <w:t xml:space="preserve"> </w:t>
      </w:r>
      <w:r w:rsidR="00CF2338" w:rsidRPr="006500F0">
        <w:rPr>
          <w:rStyle w:val="EndnoteReference"/>
          <w:rFonts w:asciiTheme="majorBidi" w:hAnsiTheme="majorBidi" w:cstheme="majorBidi"/>
          <w:lang w:bidi="ar-LB"/>
        </w:rPr>
        <w:t xml:space="preserve"> </w:t>
      </w:r>
      <w:r w:rsidR="00CF2338" w:rsidRPr="006500F0">
        <w:rPr>
          <w:rFonts w:asciiTheme="majorBidi" w:hAnsiTheme="majorBidi" w:cstheme="majorBidi"/>
          <w:rtl/>
          <w:lang w:val="en-CA" w:bidi="ar-LB"/>
        </w:rPr>
        <w:t>ولا بدّ من إجراء مزيد من التحقيقات للتأكد من الأدوار الدقيقة التي أدّاها الجيش الوطني الليبي وأي دولة أخرى في الهجوم.</w:t>
      </w:r>
    </w:p>
    <w:p w14:paraId="075ACA10" w14:textId="4ED13BF8" w:rsidR="00ED73B5" w:rsidRPr="006500F0" w:rsidRDefault="00FA4CD4" w:rsidP="004D5407">
      <w:pPr>
        <w:pStyle w:val="ParNoG"/>
        <w:numPr>
          <w:ilvl w:val="0"/>
          <w:numId w:val="0"/>
        </w:numPr>
        <w:bidi/>
        <w:ind w:left="1134"/>
        <w:rPr>
          <w:rFonts w:asciiTheme="majorBidi" w:hAnsiTheme="majorBidi" w:cstheme="majorBidi"/>
          <w:sz w:val="24"/>
          <w:szCs w:val="24"/>
          <w:lang w:bidi="ar-LB"/>
        </w:rPr>
      </w:pPr>
      <w:r w:rsidRPr="006500F0">
        <w:rPr>
          <w:rFonts w:asciiTheme="majorBidi" w:hAnsiTheme="majorBidi" w:cstheme="majorBidi"/>
          <w:szCs w:val="24"/>
          <w:lang w:bidi="ar-LB"/>
        </w:rPr>
        <w:t>43.</w:t>
      </w:r>
      <w:r w:rsidRPr="006500F0">
        <w:rPr>
          <w:rFonts w:asciiTheme="majorBidi" w:hAnsiTheme="majorBidi" w:cstheme="majorBidi"/>
          <w:szCs w:val="24"/>
          <w:lang w:bidi="ar-LB"/>
        </w:rPr>
        <w:tab/>
      </w:r>
      <w:r w:rsidR="004D5407" w:rsidRPr="006500F0">
        <w:rPr>
          <w:rFonts w:asciiTheme="majorBidi" w:hAnsiTheme="majorBidi" w:cstheme="majorBidi"/>
          <w:rtl/>
          <w:lang w:val="en-CA" w:bidi="ar-LB"/>
        </w:rPr>
        <w:t xml:space="preserve">في 3 يونيو/ حزيران 2020، قتلتْ أربع غارات متتالية بطائرات دون طيار ما لا يقل عن 12 شخصًا في بلدة </w:t>
      </w:r>
      <w:r w:rsidR="004D5407" w:rsidRPr="006500F0">
        <w:rPr>
          <w:rFonts w:asciiTheme="majorBidi" w:hAnsiTheme="majorBidi" w:cstheme="majorBidi"/>
          <w:b/>
          <w:bCs/>
          <w:rtl/>
          <w:lang w:val="en-CA" w:bidi="ar-LB"/>
        </w:rPr>
        <w:t xml:space="preserve">قصر بن غشير، </w:t>
      </w:r>
      <w:r w:rsidR="004D5407" w:rsidRPr="006500F0">
        <w:rPr>
          <w:rFonts w:asciiTheme="majorBidi" w:hAnsiTheme="majorBidi" w:cstheme="majorBidi"/>
          <w:rtl/>
          <w:lang w:val="en-CA" w:bidi="ar-LB"/>
        </w:rPr>
        <w:t>جنوب طرابلس. وزعمتْ التقارير أن الهجوم يمكن أن يُنسب إلى حكومة الوفاق الوطني</w:t>
      </w:r>
      <w:r w:rsidR="004D5407" w:rsidRPr="006500F0">
        <w:rPr>
          <w:rFonts w:asciiTheme="majorBidi" w:hAnsiTheme="majorBidi" w:cstheme="majorBidi"/>
          <w:sz w:val="24"/>
          <w:szCs w:val="24"/>
          <w:lang w:bidi="ar-LB"/>
        </w:rPr>
        <w:t>.</w:t>
      </w:r>
    </w:p>
    <w:p w14:paraId="369A4E5A" w14:textId="747652F9" w:rsidR="005113F6" w:rsidRPr="006500F0" w:rsidRDefault="00FA4CD4" w:rsidP="001105CB">
      <w:pPr>
        <w:pStyle w:val="ParNoG"/>
        <w:numPr>
          <w:ilvl w:val="0"/>
          <w:numId w:val="0"/>
        </w:numPr>
        <w:tabs>
          <w:tab w:val="num" w:pos="2007"/>
        </w:tabs>
        <w:bidi/>
        <w:ind w:left="1134"/>
        <w:rPr>
          <w:rFonts w:asciiTheme="majorBidi" w:hAnsiTheme="majorBidi" w:cstheme="majorBidi"/>
          <w:lang w:bidi="ar-LB"/>
        </w:rPr>
      </w:pPr>
      <w:r w:rsidRPr="006500F0">
        <w:rPr>
          <w:rFonts w:asciiTheme="majorBidi" w:hAnsiTheme="majorBidi" w:cstheme="majorBidi"/>
          <w:lang w:bidi="ar-LB"/>
        </w:rPr>
        <w:t>44.</w:t>
      </w:r>
      <w:r w:rsidRPr="006500F0">
        <w:rPr>
          <w:rFonts w:asciiTheme="majorBidi" w:hAnsiTheme="majorBidi" w:cstheme="majorBidi"/>
          <w:lang w:bidi="ar-LB"/>
        </w:rPr>
        <w:tab/>
      </w:r>
      <w:r w:rsidR="005241F9" w:rsidRPr="006500F0">
        <w:rPr>
          <w:rFonts w:asciiTheme="majorBidi" w:hAnsiTheme="majorBidi" w:cstheme="majorBidi"/>
          <w:rtl/>
          <w:lang w:bidi="ar-LB"/>
        </w:rPr>
        <w:t xml:space="preserve">أثبتت التحقيقات أن الأشخاص الذين تعرضوا للهجوم كانوا غير مسلحين، ومن بينهم نساء وأطفال. وكانت الأسلحة المستخدمة دقيقة، وجرى إطلاقها بواسطة مركبة جوية غير مزوّدة بملّاحين، ويتحكم بها البشر. كانت الضربات متتالية، واستهدفتْ نفس المجموعة من الأشخاص غير </w:t>
      </w:r>
      <w:r w:rsidR="005241F9" w:rsidRPr="006500F0">
        <w:rPr>
          <w:rFonts w:asciiTheme="majorBidi" w:hAnsiTheme="majorBidi" w:cstheme="majorBidi"/>
          <w:rtl/>
          <w:lang w:bidi="ar-LB"/>
        </w:rPr>
        <w:lastRenderedPageBreak/>
        <w:t>المسلحين المتجمعين في مكان واحد. ووقعت الضربات بينما كان الجيش الوطني الليبي ينسحب من المنطقة. استنادًا إلى ذلك، استنتجت البعثة أن الهجمات كانت موجّهة عن قصد ضد أفراد مدنيين لا يشاركون بشكل مباشر في الأعمال العدائية، وبالتالي من المحتمل أن ترقى إلى انتهاك القانون الدولي الإنساني</w:t>
      </w:r>
      <w:r w:rsidR="005241F9" w:rsidRPr="006500F0">
        <w:rPr>
          <w:rStyle w:val="FootnoteReference"/>
          <w:rFonts w:asciiTheme="majorBidi" w:hAnsiTheme="majorBidi" w:cstheme="majorBidi"/>
          <w:lang w:bidi="ar-LB"/>
        </w:rPr>
        <w:footnoteReference w:id="10"/>
      </w:r>
      <w:r w:rsidR="005241F9" w:rsidRPr="006500F0">
        <w:rPr>
          <w:rFonts w:asciiTheme="majorBidi" w:hAnsiTheme="majorBidi" w:cstheme="majorBidi"/>
          <w:rtl/>
          <w:lang w:bidi="ar-LB"/>
        </w:rPr>
        <w:t xml:space="preserve"> وجريمة حرب.</w:t>
      </w:r>
      <w:r w:rsidR="005241F9" w:rsidRPr="006500F0">
        <w:rPr>
          <w:rStyle w:val="EndnoteReference"/>
          <w:rFonts w:asciiTheme="majorBidi" w:hAnsiTheme="majorBidi" w:cstheme="majorBidi"/>
          <w:lang w:bidi="ar-LB"/>
        </w:rPr>
        <w:t xml:space="preserve"> </w:t>
      </w:r>
      <w:r w:rsidR="005241F9" w:rsidRPr="006500F0">
        <w:rPr>
          <w:rStyle w:val="FootnoteReference"/>
          <w:rFonts w:asciiTheme="majorBidi" w:hAnsiTheme="majorBidi" w:cstheme="majorBidi"/>
          <w:lang w:bidi="ar-LB"/>
        </w:rPr>
        <w:footnoteReference w:id="11"/>
      </w:r>
      <w:r w:rsidR="005241F9" w:rsidRPr="006500F0">
        <w:rPr>
          <w:rFonts w:asciiTheme="majorBidi" w:hAnsiTheme="majorBidi" w:cstheme="majorBidi"/>
          <w:rtl/>
          <w:lang w:bidi="ar-LB"/>
        </w:rPr>
        <w:t>ثمة أيضًا أسباب وجيهة تدعو للاعتقاد بأن الهجوم يمكن أن يُنسب إلى حكومة الوفاق الوطني، علمًا أنه: (1) قبل الهجوم بأيام قليلة، أنذرتْ حكومة الوفاق الوطني المدنيين بمغادرة منطقة قصر بن غشير نظرًا إلى أنه سيجري القصف؛ (2) إنّ الأسلحة والمركبات الجويّة دون طيار التي أُطلقت منها كانت تستخدم سابقًا من قبل حكومة الوفاق الوطني في نفس المنطقة. وفي حين أن التحذير يتماشى مع الالتزامات بموجب القانون الدولي الإنساني التي تنصّ على إعطاء تحذير مسبق</w:t>
      </w:r>
      <w:r w:rsidR="005241F9" w:rsidRPr="006500F0">
        <w:rPr>
          <w:rStyle w:val="FootnoteReference"/>
          <w:rFonts w:asciiTheme="majorBidi" w:hAnsiTheme="majorBidi" w:cstheme="majorBidi"/>
          <w:lang w:bidi="ar-LB"/>
        </w:rPr>
        <w:footnoteReference w:id="12"/>
      </w:r>
      <w:r w:rsidR="005241F9" w:rsidRPr="006500F0">
        <w:rPr>
          <w:rFonts w:asciiTheme="majorBidi" w:hAnsiTheme="majorBidi" w:cstheme="majorBidi"/>
          <w:rtl/>
          <w:lang w:bidi="ar-LB"/>
        </w:rPr>
        <w:t xml:space="preserve"> ويمكن اعتباره إجراءً لتقليل الخسائر في صفوف المدنيين، إلا أن حظر مهاجمة المدنيين يبقى ساريًا حتى لو لم يغادر المدنيون بعد إصدار التحذير. ثمة تقارير تفيد بأن: (1) تركيا أبرمت مع حكومة الوفاق الوطني مذكرة تفاهم بشأن التعاون الأمني والعسكري؛ (2) إنّ الأسلحة والمركبات الجوية دون طيار المستخدمة في الهجوم صُنعت في تركيا؛ (3) شوهدت المركبة الجوية دون طيار المستخدمة في الهجوم سابقًا في القواعد الجوية العسكرية الليبية التي كان لتركيا وصولٌ إليها؛ (4) إنّ المسافة بين هذه القواعد وقصر بن غشير تقع ضمن نطاق طيران المركبات دون طيار. ومع ذلك، فإن الدور الدقيق الذي لعبته تركيا في هذا الهجوم، إن وُجد، لم يتم التأكد منه بعد.</w:t>
      </w:r>
    </w:p>
    <w:p w14:paraId="5B9F1A45" w14:textId="22BF7C5B" w:rsidR="00C7489D" w:rsidRPr="006500F0" w:rsidRDefault="00FA4CD4" w:rsidP="00E01236">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45.</w:t>
      </w:r>
      <w:r w:rsidRPr="006500F0">
        <w:rPr>
          <w:rFonts w:asciiTheme="majorBidi" w:hAnsiTheme="majorBidi" w:cstheme="majorBidi"/>
          <w:lang w:bidi="ar-LB"/>
        </w:rPr>
        <w:tab/>
      </w:r>
      <w:r w:rsidR="00E01236" w:rsidRPr="006500F0">
        <w:rPr>
          <w:rFonts w:asciiTheme="majorBidi" w:hAnsiTheme="majorBidi" w:cstheme="majorBidi"/>
          <w:rtl/>
          <w:lang w:bidi="ar-LB"/>
        </w:rPr>
        <w:t xml:space="preserve">اتّسمتْ الأعمال العدائية في طرابلس بمشاركة </w:t>
      </w:r>
      <w:r w:rsidR="00E01236" w:rsidRPr="006500F0">
        <w:rPr>
          <w:rFonts w:asciiTheme="majorBidi" w:hAnsiTheme="majorBidi" w:cstheme="majorBidi"/>
          <w:b/>
          <w:bCs/>
          <w:rtl/>
          <w:lang w:bidi="ar-LB"/>
        </w:rPr>
        <w:t>المرتزقة</w:t>
      </w:r>
      <w:r w:rsidR="00E01236" w:rsidRPr="006500F0">
        <w:rPr>
          <w:rStyle w:val="FootnoteReference"/>
          <w:rFonts w:asciiTheme="majorBidi" w:hAnsiTheme="majorBidi" w:cstheme="majorBidi"/>
          <w:lang w:bidi="ar-LB"/>
        </w:rPr>
        <w:footnoteReference w:id="13"/>
      </w:r>
      <w:r w:rsidR="00E01236" w:rsidRPr="006500F0">
        <w:rPr>
          <w:rFonts w:asciiTheme="majorBidi" w:hAnsiTheme="majorBidi" w:cstheme="majorBidi"/>
          <w:b/>
          <w:bCs/>
          <w:rtl/>
          <w:lang w:bidi="ar-LB"/>
        </w:rPr>
        <w:t xml:space="preserve"> </w:t>
      </w:r>
      <w:r w:rsidR="00E01236" w:rsidRPr="006500F0">
        <w:rPr>
          <w:rFonts w:asciiTheme="majorBidi" w:hAnsiTheme="majorBidi" w:cstheme="majorBidi"/>
          <w:rtl/>
          <w:lang w:bidi="ar-LB"/>
        </w:rPr>
        <w:t>الذين دعموا أطراف النزاع. ونظرًا إلى أنّ أيًا من  القانون الدولي الإنساني أو القانون الدولي لحقوق الإنسان أو القانون الجنائي الدولي لم يحظر المرتزقة بحدّ ذاتهم، إنما حُظروا بموجب قانون المعاهدات أو القانون المحلي لبعض الدول (بما في ذلك</w:t>
      </w:r>
      <w:r w:rsidR="00E01236" w:rsidRPr="006500F0">
        <w:rPr>
          <w:rFonts w:asciiTheme="majorBidi" w:hAnsiTheme="majorBidi" w:cstheme="majorBidi"/>
          <w:lang w:bidi="ar-LB"/>
        </w:rPr>
        <w:t xml:space="preserve"> </w:t>
      </w:r>
      <w:r w:rsidR="00E01236" w:rsidRPr="006500F0">
        <w:rPr>
          <w:rFonts w:asciiTheme="majorBidi" w:hAnsiTheme="majorBidi" w:cstheme="majorBidi"/>
          <w:rtl/>
          <w:lang w:bidi="ar-LB"/>
        </w:rPr>
        <w:t>ليبيا)، لذلك، اقتصرت التحقيقات على توثيق الانتهاكات أو التجاوزات أو الجرائم التي ارتكبها المرتزقة، والشركات العسكرية الخاصة، والمقاتلين الأجانب، تماشيًا مع ولاية البعثة.</w:t>
      </w:r>
    </w:p>
    <w:p w14:paraId="4CB5CF81" w14:textId="11C147BF" w:rsidR="00362872" w:rsidRPr="006500F0" w:rsidRDefault="00FA4CD4" w:rsidP="00634E1B">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46.</w:t>
      </w:r>
      <w:r w:rsidRPr="006500F0">
        <w:rPr>
          <w:rFonts w:asciiTheme="majorBidi" w:hAnsiTheme="majorBidi" w:cstheme="majorBidi"/>
          <w:lang w:bidi="ar-LB"/>
        </w:rPr>
        <w:tab/>
      </w:r>
      <w:r w:rsidR="00634E1B" w:rsidRPr="006500F0">
        <w:rPr>
          <w:rFonts w:asciiTheme="majorBidi" w:hAnsiTheme="majorBidi" w:cstheme="majorBidi"/>
          <w:rtl/>
          <w:lang w:bidi="ar-LB"/>
        </w:rPr>
        <w:t>وجدت البعثة أدلة تشير إلى مشاركة مواطنين سوريين في عمليات قتالية لدعم حكومة الوفاق الوطني. ذكر المقاتلون السوريون الذين قابلتهم البعثة أنه تم تجنيدهم من قبل رؤسائهم في "الجيش السوري الحر"، وأن مواطنين أتراك ساهموا بشكل فعال في نشرهم ليبيا، وأن الحافز وراء انتشارهم</w:t>
      </w:r>
      <w:r w:rsidR="00634E1B" w:rsidRPr="006500F0">
        <w:rPr>
          <w:rFonts w:asciiTheme="majorBidi" w:hAnsiTheme="majorBidi" w:cstheme="majorBidi"/>
          <w:lang w:bidi="ar-LB"/>
        </w:rPr>
        <w:t xml:space="preserve"> </w:t>
      </w:r>
      <w:r w:rsidR="00634E1B" w:rsidRPr="006500F0">
        <w:rPr>
          <w:rFonts w:asciiTheme="majorBidi" w:hAnsiTheme="majorBidi" w:cstheme="majorBidi"/>
          <w:rtl/>
          <w:lang w:bidi="ar-LB"/>
        </w:rPr>
        <w:t>في ليبيا كان المكسب المالي. ولم تحدد التحقيقات بعد ما إذا كان هؤلاء المرتزقة السوريون قد ارتكبوا أي انتهاكات.</w:t>
      </w:r>
      <w:r w:rsidR="00634E1B" w:rsidRPr="006500F0">
        <w:rPr>
          <w:rFonts w:asciiTheme="majorBidi" w:hAnsiTheme="majorBidi" w:cstheme="majorBidi"/>
          <w:lang w:bidi="ar-LB"/>
        </w:rPr>
        <w:t xml:space="preserve"> </w:t>
      </w:r>
    </w:p>
    <w:p w14:paraId="0E261FED" w14:textId="33938249" w:rsidR="00342346" w:rsidRPr="006500F0" w:rsidRDefault="00FA4CD4" w:rsidP="008B76F4">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lastRenderedPageBreak/>
        <w:t>47.</w:t>
      </w:r>
      <w:r w:rsidRPr="006500F0">
        <w:rPr>
          <w:rFonts w:asciiTheme="majorBidi" w:hAnsiTheme="majorBidi" w:cstheme="majorBidi"/>
          <w:lang w:bidi="ar-LB"/>
        </w:rPr>
        <w:tab/>
      </w:r>
      <w:r w:rsidR="00A40965" w:rsidRPr="006500F0">
        <w:rPr>
          <w:rFonts w:asciiTheme="majorBidi" w:hAnsiTheme="majorBidi" w:cstheme="majorBidi"/>
          <w:rtl/>
          <w:lang w:bidi="ar-LB"/>
        </w:rPr>
        <w:t>أشارت مجموعة موثوقة من المعلومات إلى أن أفرادًا مرتبطين بالشركة العسكرية الروسية الخاصة "</w:t>
      </w:r>
      <w:r w:rsidR="00A40965" w:rsidRPr="006500F0">
        <w:rPr>
          <w:rFonts w:asciiTheme="majorBidi" w:hAnsiTheme="majorBidi" w:cstheme="majorBidi"/>
          <w:lang w:bidi="ar-LB"/>
        </w:rPr>
        <w:t>ChVK Wagner</w:t>
      </w:r>
      <w:r w:rsidR="00A40965" w:rsidRPr="006500F0">
        <w:rPr>
          <w:rFonts w:asciiTheme="majorBidi" w:hAnsiTheme="majorBidi" w:cstheme="majorBidi"/>
          <w:rtl/>
          <w:lang w:bidi="ar-LB"/>
        </w:rPr>
        <w:t>" كانوا موجودين في ليبيا كمرتزقة لدعم الجيش الوطني الليبي. ذكرت "بي بي سي نيوز" أنه في سبتمبر/ أيلول 2019، قتل أفرادٌ من مجموعة فاغنر أشخاصًا لا يشاركون بشكل مباشر في الأعمال العدائية في جنوب طرابلس.</w:t>
      </w:r>
      <w:r w:rsidR="00A40965" w:rsidRPr="006500F0">
        <w:rPr>
          <w:rStyle w:val="FootnoteReference"/>
          <w:rFonts w:asciiTheme="majorBidi" w:hAnsiTheme="majorBidi" w:cstheme="majorBidi"/>
          <w:lang w:bidi="ar-LB"/>
        </w:rPr>
        <w:t xml:space="preserve"> </w:t>
      </w:r>
      <w:r w:rsidR="00A40965" w:rsidRPr="006500F0">
        <w:rPr>
          <w:rStyle w:val="FootnoteReference"/>
          <w:rFonts w:asciiTheme="majorBidi" w:hAnsiTheme="majorBidi" w:cstheme="majorBidi"/>
          <w:lang w:bidi="ar-LB"/>
        </w:rPr>
        <w:footnoteReference w:id="14"/>
      </w:r>
      <w:r w:rsidR="00A40965" w:rsidRPr="006500F0">
        <w:rPr>
          <w:rFonts w:asciiTheme="majorBidi" w:hAnsiTheme="majorBidi" w:cstheme="majorBidi"/>
          <w:rtl/>
          <w:lang w:bidi="ar-LB"/>
        </w:rPr>
        <w:t xml:space="preserve"> أكدت الأدلة التي جمعتها البعثة أن أفراد مجموعة فاغنر أطلقوا أعيرة نارية مباشرة على الضحايا بعد القبض عليهم واحتجازهم. ولذلك، ثمة أسباب وجيهة تدعو للاعتقاد بأن أفراد مجموعة فاغنر لربما ارتكبوا جريمة الحرب المتمثلة في القتل العمد.</w:t>
      </w:r>
      <w:r w:rsidR="00A40965" w:rsidRPr="006500F0">
        <w:rPr>
          <w:rStyle w:val="FootnoteReference"/>
          <w:rFonts w:asciiTheme="majorBidi" w:hAnsiTheme="majorBidi" w:cstheme="majorBidi"/>
          <w:lang w:bidi="ar-LB"/>
        </w:rPr>
        <w:footnoteReference w:id="15"/>
      </w:r>
      <w:r w:rsidR="00A40965" w:rsidRPr="006500F0">
        <w:rPr>
          <w:rFonts w:asciiTheme="majorBidi" w:hAnsiTheme="majorBidi" w:cstheme="majorBidi"/>
          <w:lang w:bidi="ar-LB"/>
        </w:rPr>
        <w:t xml:space="preserve"> </w:t>
      </w:r>
    </w:p>
    <w:p w14:paraId="2EC2E929" w14:textId="2C28A35A" w:rsidR="001E21C6" w:rsidRPr="006500F0" w:rsidRDefault="00FA4CD4" w:rsidP="001E21C6">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48.</w:t>
      </w:r>
      <w:r w:rsidRPr="006500F0">
        <w:rPr>
          <w:rFonts w:asciiTheme="majorBidi" w:hAnsiTheme="majorBidi" w:cstheme="majorBidi"/>
          <w:lang w:bidi="ar-LB"/>
        </w:rPr>
        <w:tab/>
      </w:r>
      <w:r w:rsidR="001E21C6" w:rsidRPr="006500F0">
        <w:rPr>
          <w:rFonts w:asciiTheme="majorBidi" w:hAnsiTheme="majorBidi" w:cstheme="majorBidi"/>
          <w:rtl/>
          <w:lang w:bidi="ar-LB"/>
        </w:rPr>
        <w:t>أفادت مصادر موثوقة أيضًا أن المدنيين الذين عادوا إلى منازلهم في جنوب طرابلس بعد انتهاء الأعمال العدائية في يونيو/حزيران 2020 تعرضوا للقتل أو التشويه بسبب الألغام المضادة للأفراد، إضافة إلى تعرّض منازل المدنيين لأضرار. وتوصلت التحقيقات إلى أن مئات الألغام الأرضية، التي تم تصنيع معظمها في روسيا، قد زُرعت بين أبريل/نيسان ومايو/أيار 2020 بجوار منازل ومبان مدنية أخرى، دون تحذيرات أو علامات على وجودها. وأكدت البعثة أنه تم العثور على ألغام أرضية وغيرها من الذخائر غير المنفجرة في 35 موقعًا تم تحديدها على جهاز لوحي تركته مجموعة فاغنر في عين زارة (الرسم 1). أثبتت التحقيقات أيضًا أن هذه المواقع كانت تحت سيطرة الجيش الوطني الليبي قبل اكتشاف الألغام، وأن أفراد مجموعة فاغنر كانوا موجودين أيضًا في المنطقة في ذلك الوقت. ولذلك كانت الخسائر في الأرواح والإصابات والأضرار مفرطة، ولا سيما أنه لم يترتب عن وجود الألغام المضادة للأفراد المتبقية في المناطق المدنية أي ميزة عسكرية بعد وقف الأعمال العدائية. في هذه الظروف، ثمة أسباب وجيهة تدعو للاعتقاد بأن أفراد مجموعة فاغنر والجيش الوطني الليبي لربما انتهكوا مبدأ التناسب</w:t>
      </w:r>
      <w:r w:rsidR="001E21C6" w:rsidRPr="006500F0">
        <w:rPr>
          <w:rStyle w:val="FootnoteReference"/>
          <w:rFonts w:asciiTheme="majorBidi" w:hAnsiTheme="majorBidi" w:cstheme="majorBidi"/>
          <w:lang w:bidi="ar-LB"/>
        </w:rPr>
        <w:footnoteReference w:id="16"/>
      </w:r>
      <w:r w:rsidR="001E21C6" w:rsidRPr="006500F0">
        <w:rPr>
          <w:rFonts w:asciiTheme="majorBidi" w:hAnsiTheme="majorBidi" w:cstheme="majorBidi"/>
          <w:rtl/>
          <w:lang w:bidi="ar-LB"/>
        </w:rPr>
        <w:t xml:space="preserve"> المنصوص عليه في القانون الدولي الإنساني، إضافة إلى انتهاك التزامات القانون الدولي الإنساني العرفي لتقليل الآثار العشوائية للألغام الأرضية وإزالتها في نهاية الأعمال العدائية الفعلية.</w:t>
      </w:r>
      <w:r w:rsidR="001E21C6" w:rsidRPr="006500F0">
        <w:rPr>
          <w:rFonts w:asciiTheme="majorBidi" w:hAnsiTheme="majorBidi" w:cstheme="majorBidi"/>
          <w:lang w:bidi="ar-LB"/>
        </w:rPr>
        <w:t xml:space="preserve"> </w:t>
      </w:r>
      <w:r w:rsidR="001E21C6" w:rsidRPr="006500F0">
        <w:rPr>
          <w:rStyle w:val="FootnoteReference"/>
          <w:rFonts w:asciiTheme="majorBidi" w:hAnsiTheme="majorBidi" w:cstheme="majorBidi"/>
          <w:lang w:bidi="ar-LB"/>
        </w:rPr>
        <w:footnoteReference w:id="17"/>
      </w:r>
      <w:r w:rsidR="001E21C6" w:rsidRPr="006500F0">
        <w:rPr>
          <w:rFonts w:asciiTheme="majorBidi" w:hAnsiTheme="majorBidi" w:cstheme="majorBidi"/>
          <w:rtl/>
          <w:lang w:bidi="ar-LB"/>
        </w:rPr>
        <w:t xml:space="preserve"> ولربما انتهك أفراد مجموعة فاغنر والجيش الوطني الليبي مبدأ الحق في الحياة، من خلال عدم مشاركتهم في إزالة الألغام.</w:t>
      </w:r>
      <w:r w:rsidR="001E21C6" w:rsidRPr="006500F0">
        <w:rPr>
          <w:rStyle w:val="EndnoteReference"/>
          <w:rFonts w:asciiTheme="majorBidi" w:hAnsiTheme="majorBidi" w:cstheme="majorBidi"/>
          <w:lang w:bidi="ar-LB"/>
        </w:rPr>
        <w:t xml:space="preserve"> </w:t>
      </w:r>
      <w:r w:rsidR="001E21C6" w:rsidRPr="006500F0">
        <w:rPr>
          <w:rStyle w:val="FootnoteReference"/>
          <w:rFonts w:asciiTheme="majorBidi" w:hAnsiTheme="majorBidi" w:cstheme="majorBidi"/>
          <w:lang w:bidi="ar-LB"/>
        </w:rPr>
        <w:footnoteReference w:id="18"/>
      </w:r>
    </w:p>
    <w:p w14:paraId="525F6FB2" w14:textId="0677A1A4" w:rsidR="00236887" w:rsidRPr="006500F0" w:rsidRDefault="00236887" w:rsidP="00FA4CD4">
      <w:pPr>
        <w:pStyle w:val="ParNoG"/>
        <w:numPr>
          <w:ilvl w:val="0"/>
          <w:numId w:val="0"/>
        </w:numPr>
        <w:tabs>
          <w:tab w:val="left" w:pos="1701"/>
        </w:tabs>
        <w:ind w:left="1134"/>
        <w:rPr>
          <w:rFonts w:asciiTheme="majorBidi" w:hAnsiTheme="majorBidi" w:cstheme="majorBidi"/>
          <w:lang w:bidi="ar-LB"/>
        </w:rPr>
      </w:pPr>
    </w:p>
    <w:p w14:paraId="791B21D4" w14:textId="77777777" w:rsidR="00A04273" w:rsidRPr="006500F0" w:rsidRDefault="00A04273" w:rsidP="00A04273">
      <w:pPr>
        <w:rPr>
          <w:rFonts w:asciiTheme="majorBidi" w:hAnsiTheme="majorBidi" w:cstheme="majorBidi"/>
          <w:lang w:val="en-CA" w:bidi="ar-LB"/>
        </w:rPr>
      </w:pPr>
    </w:p>
    <w:p w14:paraId="2654B096" w14:textId="77777777" w:rsidR="00A04273" w:rsidRPr="006500F0" w:rsidRDefault="00A04273" w:rsidP="003C2004">
      <w:pPr>
        <w:pStyle w:val="H23G"/>
        <w:ind w:hanging="992"/>
        <w:rPr>
          <w:rFonts w:asciiTheme="majorBidi" w:hAnsiTheme="majorBidi" w:cstheme="majorBidi"/>
          <w:lang w:val="en-CA" w:bidi="ar-LB"/>
        </w:rPr>
        <w:sectPr w:rsidR="00A04273" w:rsidRPr="006500F0" w:rsidSect="00F12F48">
          <w:headerReference w:type="even" r:id="rId11"/>
          <w:headerReference w:type="default" r:id="rId12"/>
          <w:footerReference w:type="even" r:id="rId13"/>
          <w:footerReference w:type="default" r:id="rId14"/>
          <w:headerReference w:type="first" r:id="rId15"/>
          <w:footerReference w:type="first" r:id="rId16"/>
          <w:endnotePr>
            <w:numFmt w:val="decimal"/>
          </w:endnotePr>
          <w:pgSz w:w="11907" w:h="16840" w:code="9"/>
          <w:pgMar w:top="1560" w:right="1134" w:bottom="1134" w:left="1134" w:header="850" w:footer="567" w:gutter="0"/>
          <w:cols w:space="720"/>
          <w:titlePg/>
          <w:docGrid w:linePitch="272"/>
        </w:sectPr>
      </w:pPr>
    </w:p>
    <w:p w14:paraId="002CF05A" w14:textId="2CF420A0" w:rsidR="003C2004" w:rsidRPr="006500F0" w:rsidRDefault="00B86AE4" w:rsidP="00681729">
      <w:pPr>
        <w:pStyle w:val="H23G"/>
        <w:bidi/>
        <w:ind w:hanging="992"/>
        <w:rPr>
          <w:rFonts w:asciiTheme="majorBidi" w:hAnsiTheme="majorBidi" w:cstheme="majorBidi"/>
          <w:b w:val="0"/>
          <w:bCs/>
          <w:rtl/>
          <w:lang w:val="en-US" w:bidi="ar-LB"/>
        </w:rPr>
      </w:pPr>
      <w:r w:rsidRPr="006500F0">
        <w:rPr>
          <w:rFonts w:asciiTheme="majorBidi" w:hAnsiTheme="majorBidi" w:cstheme="majorBidi"/>
          <w:b w:val="0"/>
          <w:bCs/>
          <w:lang w:val="en-CA" w:bidi="ar-LB"/>
        </w:rPr>
        <w:lastRenderedPageBreak/>
        <w:tab/>
      </w:r>
      <w:r w:rsidRPr="006500F0">
        <w:rPr>
          <w:rFonts w:asciiTheme="majorBidi" w:hAnsiTheme="majorBidi" w:cstheme="majorBidi"/>
          <w:b w:val="0"/>
          <w:bCs/>
          <w:lang w:val="en-CA" w:bidi="ar-LB"/>
        </w:rPr>
        <w:tab/>
      </w:r>
      <w:r w:rsidR="00681729" w:rsidRPr="006500F0">
        <w:rPr>
          <w:rFonts w:asciiTheme="majorBidi" w:hAnsiTheme="majorBidi" w:cstheme="majorBidi"/>
          <w:b w:val="0"/>
          <w:bCs/>
          <w:rtl/>
          <w:lang w:val="en-CA" w:bidi="ar-LB"/>
        </w:rPr>
        <w:t>الرسم 1</w:t>
      </w:r>
      <w:r w:rsidR="006325DC" w:rsidRPr="006500F0">
        <w:rPr>
          <w:rFonts w:asciiTheme="majorBidi" w:hAnsiTheme="majorBidi" w:cstheme="majorBidi"/>
          <w:b w:val="0"/>
          <w:bCs/>
          <w:rtl/>
          <w:lang w:val="en-CA" w:bidi="ar-LB"/>
        </w:rPr>
        <w:t xml:space="preserve">: 35 موقعًا </w:t>
      </w:r>
      <w:r w:rsidR="005A1A7F" w:rsidRPr="006500F0">
        <w:rPr>
          <w:rFonts w:asciiTheme="majorBidi" w:hAnsiTheme="majorBidi" w:cstheme="majorBidi"/>
          <w:b w:val="0"/>
          <w:bCs/>
          <w:rtl/>
          <w:lang w:val="en-CA" w:bidi="ar-LB"/>
        </w:rPr>
        <w:t xml:space="preserve">محددًا </w:t>
      </w:r>
      <w:r w:rsidR="005A1A7F" w:rsidRPr="006500F0">
        <w:rPr>
          <w:rFonts w:asciiTheme="majorBidi" w:hAnsiTheme="majorBidi" w:cstheme="majorBidi"/>
          <w:b w:val="0"/>
          <w:bCs/>
          <w:rtl/>
          <w:lang w:val="en-US" w:bidi="ar-LB"/>
        </w:rPr>
        <w:t>على جهاز لوحي يُزعم أنّ مجموعة فاغنر تركته وراءها في عين زارة</w:t>
      </w:r>
    </w:p>
    <w:p w14:paraId="1917D30E" w14:textId="31D3516A" w:rsidR="00DC5DD9" w:rsidRPr="006500F0" w:rsidRDefault="00A04273" w:rsidP="00DC5DD9">
      <w:pPr>
        <w:rPr>
          <w:rFonts w:asciiTheme="majorBidi" w:hAnsiTheme="majorBidi" w:cstheme="majorBidi"/>
          <w:lang w:val="en-CA" w:bidi="ar-LB"/>
        </w:rPr>
      </w:pPr>
      <w:r w:rsidRPr="006500F0">
        <w:rPr>
          <w:rFonts w:asciiTheme="majorBidi" w:hAnsiTheme="majorBidi" w:cstheme="majorBidi"/>
          <w:noProof/>
          <w:lang w:eastAsia="en-GB"/>
        </w:rPr>
        <w:drawing>
          <wp:anchor distT="0" distB="0" distL="114300" distR="114300" simplePos="0" relativeHeight="251707392" behindDoc="0" locked="0" layoutInCell="1" allowOverlap="1" wp14:anchorId="12E72BBF" wp14:editId="51141266">
            <wp:simplePos x="0" y="0"/>
            <wp:positionH relativeFrom="page">
              <wp:posOffset>1138555</wp:posOffset>
            </wp:positionH>
            <wp:positionV relativeFrom="margin">
              <wp:posOffset>323850</wp:posOffset>
            </wp:positionV>
            <wp:extent cx="8412480" cy="5944235"/>
            <wp:effectExtent l="0" t="0" r="762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5 locations- Mines 2.png"/>
                    <pic:cNvPicPr/>
                  </pic:nvPicPr>
                  <pic:blipFill>
                    <a:blip r:embed="rId17">
                      <a:extLst>
                        <a:ext uri="{28A0092B-C50C-407E-A947-70E740481C1C}">
                          <a14:useLocalDpi xmlns:a14="http://schemas.microsoft.com/office/drawing/2010/main" val="0"/>
                        </a:ext>
                      </a:extLst>
                    </a:blip>
                    <a:stretch>
                      <a:fillRect/>
                    </a:stretch>
                  </pic:blipFill>
                  <pic:spPr>
                    <a:xfrm>
                      <a:off x="0" y="0"/>
                      <a:ext cx="8412480" cy="5944235"/>
                    </a:xfrm>
                    <a:prstGeom prst="rect">
                      <a:avLst/>
                    </a:prstGeom>
                  </pic:spPr>
                </pic:pic>
              </a:graphicData>
            </a:graphic>
            <wp14:sizeRelH relativeFrom="margin">
              <wp14:pctWidth>0</wp14:pctWidth>
            </wp14:sizeRelH>
            <wp14:sizeRelV relativeFrom="margin">
              <wp14:pctHeight>0</wp14:pctHeight>
            </wp14:sizeRelV>
          </wp:anchor>
        </w:drawing>
      </w:r>
    </w:p>
    <w:p w14:paraId="32F2D52B" w14:textId="617233B6" w:rsidR="00A04273" w:rsidRPr="006500F0" w:rsidRDefault="00A04273" w:rsidP="00DC5DD9">
      <w:pPr>
        <w:rPr>
          <w:rFonts w:asciiTheme="majorBidi" w:hAnsiTheme="majorBidi" w:cstheme="majorBidi"/>
          <w:lang w:val="en-CA" w:bidi="ar-LB"/>
        </w:rPr>
      </w:pPr>
    </w:p>
    <w:p w14:paraId="7536B5F0" w14:textId="49935797" w:rsidR="00A04273" w:rsidRPr="006500F0" w:rsidRDefault="00A04273" w:rsidP="00DC5DD9">
      <w:pPr>
        <w:rPr>
          <w:rFonts w:asciiTheme="majorBidi" w:hAnsiTheme="majorBidi" w:cstheme="majorBidi"/>
          <w:lang w:val="en-CA" w:bidi="ar-LB"/>
        </w:rPr>
      </w:pPr>
    </w:p>
    <w:p w14:paraId="349413AC" w14:textId="18989445" w:rsidR="00A04273" w:rsidRPr="006500F0" w:rsidRDefault="00A04273" w:rsidP="00DC5DD9">
      <w:pPr>
        <w:rPr>
          <w:rFonts w:asciiTheme="majorBidi" w:hAnsiTheme="majorBidi" w:cstheme="majorBidi"/>
          <w:lang w:val="en-CA" w:bidi="ar-LB"/>
        </w:rPr>
      </w:pPr>
    </w:p>
    <w:p w14:paraId="307CCC38" w14:textId="3EB3602D" w:rsidR="00A04273" w:rsidRPr="006500F0" w:rsidRDefault="00A04273" w:rsidP="00DC5DD9">
      <w:pPr>
        <w:rPr>
          <w:rFonts w:asciiTheme="majorBidi" w:hAnsiTheme="majorBidi" w:cstheme="majorBidi"/>
          <w:lang w:val="en-CA" w:bidi="ar-LB"/>
        </w:rPr>
      </w:pPr>
    </w:p>
    <w:p w14:paraId="027D8467" w14:textId="07F50FA1" w:rsidR="00A04273" w:rsidRPr="006500F0" w:rsidRDefault="00A04273" w:rsidP="00DC5DD9">
      <w:pPr>
        <w:rPr>
          <w:rFonts w:asciiTheme="majorBidi" w:hAnsiTheme="majorBidi" w:cstheme="majorBidi"/>
          <w:lang w:val="en-CA" w:bidi="ar-LB"/>
        </w:rPr>
      </w:pPr>
    </w:p>
    <w:p w14:paraId="5F654C5B" w14:textId="5DE0DCEF" w:rsidR="00A04273" w:rsidRPr="006500F0" w:rsidRDefault="00A04273" w:rsidP="00DC5DD9">
      <w:pPr>
        <w:rPr>
          <w:rFonts w:asciiTheme="majorBidi" w:hAnsiTheme="majorBidi" w:cstheme="majorBidi"/>
          <w:lang w:val="en-CA" w:bidi="ar-LB"/>
        </w:rPr>
      </w:pPr>
    </w:p>
    <w:p w14:paraId="1688B17E" w14:textId="5901D8E4" w:rsidR="00A04273" w:rsidRPr="006500F0" w:rsidRDefault="00A04273" w:rsidP="00DC5DD9">
      <w:pPr>
        <w:rPr>
          <w:rFonts w:asciiTheme="majorBidi" w:hAnsiTheme="majorBidi" w:cstheme="majorBidi"/>
          <w:lang w:val="en-CA" w:bidi="ar-LB"/>
        </w:rPr>
      </w:pPr>
    </w:p>
    <w:p w14:paraId="36EA9625" w14:textId="4072C7E2" w:rsidR="00A04273" w:rsidRPr="006500F0" w:rsidRDefault="00A04273" w:rsidP="00DC5DD9">
      <w:pPr>
        <w:rPr>
          <w:rFonts w:asciiTheme="majorBidi" w:hAnsiTheme="majorBidi" w:cstheme="majorBidi"/>
          <w:lang w:val="en-CA" w:bidi="ar-LB"/>
        </w:rPr>
      </w:pPr>
    </w:p>
    <w:p w14:paraId="0E6AECC4" w14:textId="20F6D64A" w:rsidR="00A04273" w:rsidRPr="006500F0" w:rsidRDefault="00A04273" w:rsidP="00DC5DD9">
      <w:pPr>
        <w:rPr>
          <w:rFonts w:asciiTheme="majorBidi" w:hAnsiTheme="majorBidi" w:cstheme="majorBidi"/>
          <w:lang w:val="en-CA" w:bidi="ar-LB"/>
        </w:rPr>
      </w:pPr>
    </w:p>
    <w:p w14:paraId="3887A73B" w14:textId="55FFD8F0" w:rsidR="00A04273" w:rsidRPr="006500F0" w:rsidRDefault="00A04273" w:rsidP="00DC5DD9">
      <w:pPr>
        <w:rPr>
          <w:rFonts w:asciiTheme="majorBidi" w:hAnsiTheme="majorBidi" w:cstheme="majorBidi"/>
          <w:lang w:val="en-CA" w:bidi="ar-LB"/>
        </w:rPr>
      </w:pPr>
    </w:p>
    <w:p w14:paraId="533241D5" w14:textId="075D0D46" w:rsidR="00A04273" w:rsidRPr="006500F0" w:rsidRDefault="00A04273" w:rsidP="00DC5DD9">
      <w:pPr>
        <w:rPr>
          <w:rFonts w:asciiTheme="majorBidi" w:hAnsiTheme="majorBidi" w:cstheme="majorBidi"/>
          <w:lang w:val="en-CA" w:bidi="ar-LB"/>
        </w:rPr>
      </w:pPr>
    </w:p>
    <w:p w14:paraId="17D2FAFE" w14:textId="299DFADB" w:rsidR="00A04273" w:rsidRPr="006500F0" w:rsidRDefault="00A04273" w:rsidP="00DC5DD9">
      <w:pPr>
        <w:rPr>
          <w:rFonts w:asciiTheme="majorBidi" w:hAnsiTheme="majorBidi" w:cstheme="majorBidi"/>
          <w:lang w:val="en-CA" w:bidi="ar-LB"/>
        </w:rPr>
      </w:pPr>
    </w:p>
    <w:p w14:paraId="2CAD6F8A" w14:textId="149CBBA8" w:rsidR="00A04273" w:rsidRPr="006500F0" w:rsidRDefault="00A04273" w:rsidP="00DC5DD9">
      <w:pPr>
        <w:rPr>
          <w:rFonts w:asciiTheme="majorBidi" w:hAnsiTheme="majorBidi" w:cstheme="majorBidi"/>
          <w:lang w:val="en-CA" w:bidi="ar-LB"/>
        </w:rPr>
      </w:pPr>
    </w:p>
    <w:p w14:paraId="5BD7CA30" w14:textId="00746916" w:rsidR="00A04273" w:rsidRPr="006500F0" w:rsidRDefault="00A04273" w:rsidP="00DC5DD9">
      <w:pPr>
        <w:rPr>
          <w:rFonts w:asciiTheme="majorBidi" w:hAnsiTheme="majorBidi" w:cstheme="majorBidi"/>
          <w:lang w:val="en-CA" w:bidi="ar-LB"/>
        </w:rPr>
      </w:pPr>
    </w:p>
    <w:p w14:paraId="0CF015B6" w14:textId="717D9ABE" w:rsidR="00A04273" w:rsidRPr="006500F0" w:rsidRDefault="00A04273" w:rsidP="00DC5DD9">
      <w:pPr>
        <w:rPr>
          <w:rFonts w:asciiTheme="majorBidi" w:hAnsiTheme="majorBidi" w:cstheme="majorBidi"/>
          <w:lang w:val="en-CA" w:bidi="ar-LB"/>
        </w:rPr>
      </w:pPr>
    </w:p>
    <w:p w14:paraId="7AA65621" w14:textId="5A43362F" w:rsidR="00A04273" w:rsidRPr="006500F0" w:rsidRDefault="00A04273" w:rsidP="00DC5DD9">
      <w:pPr>
        <w:rPr>
          <w:rFonts w:asciiTheme="majorBidi" w:hAnsiTheme="majorBidi" w:cstheme="majorBidi"/>
          <w:lang w:val="en-CA" w:bidi="ar-LB"/>
        </w:rPr>
      </w:pPr>
    </w:p>
    <w:p w14:paraId="5F828F33" w14:textId="2EBC8779" w:rsidR="00A04273" w:rsidRPr="006500F0" w:rsidRDefault="00A04273" w:rsidP="00DC5DD9">
      <w:pPr>
        <w:rPr>
          <w:rFonts w:asciiTheme="majorBidi" w:hAnsiTheme="majorBidi" w:cstheme="majorBidi"/>
          <w:lang w:val="en-CA" w:bidi="ar-LB"/>
        </w:rPr>
      </w:pPr>
    </w:p>
    <w:p w14:paraId="11A5EEAC" w14:textId="25C1FB6D" w:rsidR="00A04273" w:rsidRPr="006500F0" w:rsidRDefault="00A04273" w:rsidP="00DC5DD9">
      <w:pPr>
        <w:rPr>
          <w:rFonts w:asciiTheme="majorBidi" w:hAnsiTheme="majorBidi" w:cstheme="majorBidi"/>
          <w:lang w:val="en-CA" w:bidi="ar-LB"/>
        </w:rPr>
      </w:pPr>
    </w:p>
    <w:p w14:paraId="1DD74E41" w14:textId="67E1DC4B" w:rsidR="00A04273" w:rsidRPr="006500F0" w:rsidRDefault="00A04273" w:rsidP="00DC5DD9">
      <w:pPr>
        <w:rPr>
          <w:rFonts w:asciiTheme="majorBidi" w:hAnsiTheme="majorBidi" w:cstheme="majorBidi"/>
          <w:lang w:val="en-CA" w:bidi="ar-LB"/>
        </w:rPr>
      </w:pPr>
    </w:p>
    <w:p w14:paraId="5ECD0A6D" w14:textId="7B15E7FD" w:rsidR="00A04273" w:rsidRPr="006500F0" w:rsidRDefault="00A04273" w:rsidP="00DC5DD9">
      <w:pPr>
        <w:rPr>
          <w:rFonts w:asciiTheme="majorBidi" w:hAnsiTheme="majorBidi" w:cstheme="majorBidi"/>
          <w:lang w:val="en-CA" w:bidi="ar-LB"/>
        </w:rPr>
      </w:pPr>
    </w:p>
    <w:p w14:paraId="1271C06F" w14:textId="30F02EFA" w:rsidR="00A04273" w:rsidRPr="006500F0" w:rsidRDefault="00A04273" w:rsidP="00DC5DD9">
      <w:pPr>
        <w:rPr>
          <w:rFonts w:asciiTheme="majorBidi" w:hAnsiTheme="majorBidi" w:cstheme="majorBidi"/>
          <w:lang w:val="en-CA" w:bidi="ar-LB"/>
        </w:rPr>
      </w:pPr>
    </w:p>
    <w:p w14:paraId="0946FFB2" w14:textId="03CBFF19" w:rsidR="00A04273" w:rsidRPr="006500F0" w:rsidRDefault="00A04273" w:rsidP="00DC5DD9">
      <w:pPr>
        <w:rPr>
          <w:rFonts w:asciiTheme="majorBidi" w:hAnsiTheme="majorBidi" w:cstheme="majorBidi"/>
          <w:lang w:val="en-CA" w:bidi="ar-LB"/>
        </w:rPr>
      </w:pPr>
    </w:p>
    <w:p w14:paraId="440614BC" w14:textId="3856420B" w:rsidR="00A04273" w:rsidRPr="006500F0" w:rsidRDefault="00A04273" w:rsidP="00DC5DD9">
      <w:pPr>
        <w:rPr>
          <w:rFonts w:asciiTheme="majorBidi" w:hAnsiTheme="majorBidi" w:cstheme="majorBidi"/>
          <w:lang w:val="en-CA" w:bidi="ar-LB"/>
        </w:rPr>
      </w:pPr>
    </w:p>
    <w:p w14:paraId="6030805A" w14:textId="3FB8ED2A" w:rsidR="00A04273" w:rsidRPr="006500F0" w:rsidRDefault="00A04273" w:rsidP="00DC5DD9">
      <w:pPr>
        <w:rPr>
          <w:rFonts w:asciiTheme="majorBidi" w:hAnsiTheme="majorBidi" w:cstheme="majorBidi"/>
          <w:lang w:val="en-CA" w:bidi="ar-LB"/>
        </w:rPr>
      </w:pPr>
    </w:p>
    <w:p w14:paraId="346F3063" w14:textId="28A00E6C" w:rsidR="00A04273" w:rsidRPr="006500F0" w:rsidRDefault="00A04273" w:rsidP="00DC5DD9">
      <w:pPr>
        <w:rPr>
          <w:rFonts w:asciiTheme="majorBidi" w:hAnsiTheme="majorBidi" w:cstheme="majorBidi"/>
          <w:lang w:val="en-CA" w:bidi="ar-LB"/>
        </w:rPr>
      </w:pPr>
    </w:p>
    <w:p w14:paraId="1F561184" w14:textId="43EAA4FB" w:rsidR="00A04273" w:rsidRPr="006500F0" w:rsidRDefault="00A04273" w:rsidP="00DC5DD9">
      <w:pPr>
        <w:rPr>
          <w:rFonts w:asciiTheme="majorBidi" w:hAnsiTheme="majorBidi" w:cstheme="majorBidi"/>
          <w:lang w:val="en-CA" w:bidi="ar-LB"/>
        </w:rPr>
      </w:pPr>
    </w:p>
    <w:p w14:paraId="1BC81B96" w14:textId="66D6FA45" w:rsidR="00A04273" w:rsidRPr="006500F0" w:rsidRDefault="00A04273" w:rsidP="00DC5DD9">
      <w:pPr>
        <w:rPr>
          <w:rFonts w:asciiTheme="majorBidi" w:hAnsiTheme="majorBidi" w:cstheme="majorBidi"/>
          <w:lang w:val="en-CA" w:bidi="ar-LB"/>
        </w:rPr>
      </w:pPr>
    </w:p>
    <w:p w14:paraId="604C0C6B" w14:textId="60855F87" w:rsidR="00A04273" w:rsidRPr="006500F0" w:rsidRDefault="00A04273" w:rsidP="00DC5DD9">
      <w:pPr>
        <w:rPr>
          <w:rFonts w:asciiTheme="majorBidi" w:hAnsiTheme="majorBidi" w:cstheme="majorBidi"/>
          <w:lang w:val="en-CA" w:bidi="ar-LB"/>
        </w:rPr>
      </w:pPr>
    </w:p>
    <w:p w14:paraId="77AEA524" w14:textId="020253E3" w:rsidR="00A04273" w:rsidRPr="006500F0" w:rsidRDefault="00A04273" w:rsidP="00DC5DD9">
      <w:pPr>
        <w:rPr>
          <w:rFonts w:asciiTheme="majorBidi" w:hAnsiTheme="majorBidi" w:cstheme="majorBidi"/>
          <w:lang w:val="en-CA" w:bidi="ar-LB"/>
        </w:rPr>
      </w:pPr>
    </w:p>
    <w:p w14:paraId="2E58DE0B" w14:textId="224B16C7" w:rsidR="00A04273" w:rsidRPr="006500F0" w:rsidRDefault="00A04273" w:rsidP="00DC5DD9">
      <w:pPr>
        <w:rPr>
          <w:rFonts w:asciiTheme="majorBidi" w:hAnsiTheme="majorBidi" w:cstheme="majorBidi"/>
          <w:lang w:val="en-CA" w:bidi="ar-LB"/>
        </w:rPr>
      </w:pPr>
    </w:p>
    <w:p w14:paraId="35B5A56A" w14:textId="1497942D" w:rsidR="00A04273" w:rsidRPr="006500F0" w:rsidRDefault="00A04273" w:rsidP="00DC5DD9">
      <w:pPr>
        <w:rPr>
          <w:rFonts w:asciiTheme="majorBidi" w:hAnsiTheme="majorBidi" w:cstheme="majorBidi"/>
          <w:lang w:val="en-CA" w:bidi="ar-LB"/>
        </w:rPr>
      </w:pPr>
    </w:p>
    <w:p w14:paraId="161C2C76" w14:textId="51E2617D" w:rsidR="00A04273" w:rsidRPr="006500F0" w:rsidRDefault="00A04273" w:rsidP="00DC5DD9">
      <w:pPr>
        <w:rPr>
          <w:rFonts w:asciiTheme="majorBidi" w:hAnsiTheme="majorBidi" w:cstheme="majorBidi"/>
          <w:lang w:val="en-CA" w:bidi="ar-LB"/>
        </w:rPr>
      </w:pPr>
    </w:p>
    <w:p w14:paraId="74C2E235" w14:textId="736CF75F" w:rsidR="00A04273" w:rsidRPr="006500F0" w:rsidRDefault="00A04273" w:rsidP="00DC5DD9">
      <w:pPr>
        <w:rPr>
          <w:rFonts w:asciiTheme="majorBidi" w:hAnsiTheme="majorBidi" w:cstheme="majorBidi"/>
          <w:lang w:val="en-CA" w:bidi="ar-LB"/>
        </w:rPr>
      </w:pPr>
    </w:p>
    <w:p w14:paraId="365AFBE9" w14:textId="5B7EF1FC" w:rsidR="00A04273" w:rsidRPr="006500F0" w:rsidRDefault="00A04273" w:rsidP="00DC5DD9">
      <w:pPr>
        <w:rPr>
          <w:rFonts w:asciiTheme="majorBidi" w:hAnsiTheme="majorBidi" w:cstheme="majorBidi"/>
          <w:lang w:val="en-CA" w:bidi="ar-LB"/>
        </w:rPr>
      </w:pPr>
    </w:p>
    <w:p w14:paraId="3016304E" w14:textId="5E47FF6B" w:rsidR="00A04273" w:rsidRPr="006500F0" w:rsidRDefault="00A04273" w:rsidP="00DC5DD9">
      <w:pPr>
        <w:rPr>
          <w:rFonts w:asciiTheme="majorBidi" w:hAnsiTheme="majorBidi" w:cstheme="majorBidi"/>
          <w:lang w:val="en-CA" w:bidi="ar-LB"/>
        </w:rPr>
      </w:pPr>
    </w:p>
    <w:p w14:paraId="0B1E98F8" w14:textId="2FDF278E" w:rsidR="00A04273" w:rsidRPr="006500F0" w:rsidRDefault="00A04273" w:rsidP="00DC5DD9">
      <w:pPr>
        <w:rPr>
          <w:rFonts w:asciiTheme="majorBidi" w:hAnsiTheme="majorBidi" w:cstheme="majorBidi"/>
          <w:lang w:val="en-CA" w:bidi="ar-LB"/>
        </w:rPr>
      </w:pPr>
    </w:p>
    <w:p w14:paraId="0EADC25D" w14:textId="7C8D8853" w:rsidR="00A04273" w:rsidRPr="006500F0" w:rsidRDefault="00A04273" w:rsidP="00DC5DD9">
      <w:pPr>
        <w:rPr>
          <w:rFonts w:asciiTheme="majorBidi" w:hAnsiTheme="majorBidi" w:cstheme="majorBidi"/>
          <w:lang w:val="en-CA" w:bidi="ar-LB"/>
        </w:rPr>
        <w:sectPr w:rsidR="00A04273" w:rsidRPr="006500F0" w:rsidSect="00C861F4">
          <w:endnotePr>
            <w:numFmt w:val="decimal"/>
          </w:endnotePr>
          <w:pgSz w:w="16840" w:h="11907" w:orient="landscape" w:code="9"/>
          <w:pgMar w:top="1134" w:right="1417" w:bottom="1134" w:left="1134" w:header="850" w:footer="567" w:gutter="0"/>
          <w:cols w:space="720"/>
          <w:docGrid w:linePitch="272"/>
        </w:sectPr>
      </w:pPr>
    </w:p>
    <w:p w14:paraId="3A3E6D69" w14:textId="5FBA008B" w:rsidR="003A3E80" w:rsidRPr="006500F0" w:rsidRDefault="00B86AE4" w:rsidP="0093374C">
      <w:pPr>
        <w:pStyle w:val="H23G"/>
        <w:kinsoku w:val="0"/>
        <w:overflowPunct w:val="0"/>
        <w:autoSpaceDE w:val="0"/>
        <w:autoSpaceDN w:val="0"/>
        <w:bidi/>
        <w:adjustRightInd w:val="0"/>
        <w:snapToGrid w:val="0"/>
        <w:rPr>
          <w:rFonts w:asciiTheme="majorBidi" w:hAnsiTheme="majorBidi" w:cstheme="majorBidi"/>
          <w:lang w:val="en-CA" w:bidi="ar-LB"/>
        </w:rPr>
      </w:pPr>
      <w:r w:rsidRPr="006500F0">
        <w:rPr>
          <w:rFonts w:asciiTheme="majorBidi" w:hAnsiTheme="majorBidi" w:cstheme="majorBidi"/>
          <w:lang w:val="en-CA" w:bidi="ar-LB"/>
        </w:rPr>
        <w:lastRenderedPageBreak/>
        <w:tab/>
      </w:r>
      <w:r w:rsidR="00FA4CD4" w:rsidRPr="006500F0">
        <w:rPr>
          <w:rFonts w:asciiTheme="majorBidi" w:hAnsiTheme="majorBidi" w:cstheme="majorBidi"/>
          <w:lang w:val="en-CA" w:bidi="ar-LB"/>
        </w:rPr>
        <w:t>2.</w:t>
      </w:r>
      <w:r w:rsidR="00FA4CD4" w:rsidRPr="006500F0">
        <w:rPr>
          <w:rFonts w:asciiTheme="majorBidi" w:hAnsiTheme="majorBidi" w:cstheme="majorBidi"/>
          <w:lang w:val="en-CA" w:bidi="ar-LB"/>
        </w:rPr>
        <w:tab/>
      </w:r>
      <w:r w:rsidR="0093374C" w:rsidRPr="006500F0">
        <w:rPr>
          <w:rFonts w:asciiTheme="majorBidi" w:eastAsiaTheme="minorHAnsi" w:hAnsiTheme="majorBidi" w:cstheme="majorBidi"/>
          <w:b w:val="0"/>
          <w:bCs/>
          <w:rtl/>
          <w:lang w:val="en-CA" w:bidi="ar-LB"/>
        </w:rPr>
        <w:t>قنفودة</w:t>
      </w:r>
    </w:p>
    <w:p w14:paraId="5666F6F5" w14:textId="60EFC3AC" w:rsidR="006624F6" w:rsidRPr="006500F0" w:rsidRDefault="00FA4CD4" w:rsidP="00FC0E1C">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49.</w:t>
      </w:r>
      <w:r w:rsidRPr="006500F0">
        <w:rPr>
          <w:rFonts w:asciiTheme="majorBidi" w:hAnsiTheme="majorBidi" w:cstheme="majorBidi"/>
          <w:lang w:bidi="ar-LB"/>
        </w:rPr>
        <w:tab/>
      </w:r>
      <w:r w:rsidR="00FC0E1C" w:rsidRPr="006500F0">
        <w:rPr>
          <w:rFonts w:asciiTheme="majorBidi" w:hAnsiTheme="majorBidi" w:cstheme="majorBidi"/>
          <w:rtl/>
          <w:lang w:bidi="ar-LB"/>
        </w:rPr>
        <w:t>بدءًا من منتصف العام 2016 حتى مارس/ آذار من العام 2017، في سياق النزاع المسلح غير الدولي بين الجيش الوطني الليبي وتحالف الجماعات المسلحة المعروف باسم "مجلس شورى ثوار بنغازي"، حاصر الجيش الوطني الليبي والجماعات المسلحة التابعة له منطقة قنفودة، بالقرب من بنغازي. ثمة ادعاءات تفيد بأنه خلال الحصار المزعوم على قنفودة، قُتل مدنيون وجُرحوا من جراء الغارات، وتضررت البنية التحتية المدنية، وحوصر مئات المدنيين، دون إمكانية وصولهم إلى الماء والغذاء والدواء بشكل كافٍ، وحُرموا من المساعدات الإنسانية. وردت أيضًا تقارير تفيد بأنه في مارس/ آذار 2017، لم يسمح الجيش الوطني الليبي بإجلاء الذكور الذين تتراوح أعمارهم بين 15 و65 عامًا. وشُنّت هجمات ضد المدنيين الفارين من قنفودة، ولم يُسمح للنساء بارتداء النقاب لمنع تسلل الرجال، وتم احتجاز بعض المدنيين بشكل تعسّفي. لم يسمح الوقت المحدود المتاح للبعثة بالتحقق من الظروف الدقيقة لجميع هذه الحوادث، ولا بدّ من إجراء تحقيقات إضافية لتوثيق حصار قنفودة بشكل شامل.</w:t>
      </w:r>
    </w:p>
    <w:p w14:paraId="0BE3FD5D" w14:textId="5922073F" w:rsidR="00D345C9" w:rsidRPr="006500F0" w:rsidRDefault="00FA4CD4" w:rsidP="00D345C9">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50.</w:t>
      </w:r>
      <w:r w:rsidRPr="006500F0">
        <w:rPr>
          <w:rFonts w:asciiTheme="majorBidi" w:hAnsiTheme="majorBidi" w:cstheme="majorBidi"/>
          <w:lang w:bidi="ar-LB"/>
        </w:rPr>
        <w:tab/>
      </w:r>
      <w:bookmarkStart w:id="1" w:name="_Hlk84194700"/>
      <w:r w:rsidR="00D345C9" w:rsidRPr="006500F0">
        <w:rPr>
          <w:rFonts w:asciiTheme="majorBidi" w:hAnsiTheme="majorBidi" w:cstheme="majorBidi"/>
          <w:rtl/>
          <w:lang w:bidi="ar-LB"/>
        </w:rPr>
        <w:t>أثبتت الأدلة أنه في أكتوبر/ تشرين الأول 2016، في منطقة قنفودة ، تعرضت المنازل التي كان يقطنها أشخاص لا يشاركون بشكل مباشر في الأعمال العدائية للقصف بأسلحة أطلقها الجيش الوطني الليبي، مما أدى إلى وقوع إصابات ووفيات، بما في ذلك نساء وأطفال من عائلات مختلفة. على ضوء ظروف هذه الهجمات، ثمة أسباب وجيهة تدعو للاعتقاد بأن الجناة كانوا على علم، أو كان من المفترض أن يكونوا على علم، بأنّ الأشخاص الذين تمت مهاجمتهم يتمتعون بصفة المدنيين. وعند شنّ الغارات الجوية التي أسفرت عن مقتل مدنيين وإلحاق أضرار بممتلكات مدنية، لربما يكون الجيش الوطني الليبي قد انتهك مبادئ القانون الدولي الإنساني المتمثلة في التمييز والتناسب واتخاذ الاحتياطات في الهجوم.</w:t>
      </w:r>
      <w:r w:rsidR="00D345C9" w:rsidRPr="006500F0">
        <w:rPr>
          <w:rFonts w:asciiTheme="majorBidi" w:hAnsiTheme="majorBidi" w:cstheme="majorBidi"/>
          <w:lang w:bidi="ar-LB"/>
        </w:rPr>
        <w:t xml:space="preserve"> </w:t>
      </w:r>
      <w:r w:rsidR="00D345C9" w:rsidRPr="006500F0">
        <w:rPr>
          <w:rStyle w:val="FootnoteReference"/>
          <w:rFonts w:asciiTheme="majorBidi" w:hAnsiTheme="majorBidi" w:cstheme="majorBidi"/>
          <w:lang w:bidi="ar-LB"/>
        </w:rPr>
        <w:footnoteReference w:id="19"/>
      </w:r>
      <w:r w:rsidR="00D345C9" w:rsidRPr="006500F0">
        <w:rPr>
          <w:rStyle w:val="EndnoteReference"/>
          <w:rFonts w:asciiTheme="majorBidi" w:hAnsiTheme="majorBidi" w:cstheme="majorBidi"/>
          <w:lang w:bidi="ar-LB"/>
        </w:rPr>
        <w:t xml:space="preserve"> </w:t>
      </w:r>
      <w:r w:rsidR="00D345C9" w:rsidRPr="006500F0">
        <w:rPr>
          <w:rFonts w:asciiTheme="majorBidi" w:hAnsiTheme="majorBidi" w:cstheme="majorBidi"/>
          <w:rtl/>
          <w:lang w:bidi="ar-LB"/>
        </w:rPr>
        <w:t>كما أثبتت التحقيقات أنه في مارس/ آذار 2017، في منطقة قنفودة، تم تدنيس الجثث وتشويهها على أيدي مقاتلين مرتبطين بالجيش الوطني الليبي. قد يرقى هذا السلوك إلى حد انتهاك القانون الدولي الإنساني</w:t>
      </w:r>
      <w:r w:rsidR="00D345C9" w:rsidRPr="006500F0">
        <w:rPr>
          <w:rStyle w:val="FootnoteReference"/>
          <w:rFonts w:asciiTheme="majorBidi" w:hAnsiTheme="majorBidi" w:cstheme="majorBidi"/>
          <w:lang w:bidi="ar-LB"/>
        </w:rPr>
        <w:footnoteReference w:id="20"/>
      </w:r>
      <w:r w:rsidR="00D345C9" w:rsidRPr="006500F0">
        <w:rPr>
          <w:rFonts w:asciiTheme="majorBidi" w:hAnsiTheme="majorBidi" w:cstheme="majorBidi"/>
          <w:rtl/>
          <w:lang w:bidi="ar-LB"/>
        </w:rPr>
        <w:t xml:space="preserve"> واقتراف جريمة حرب.</w:t>
      </w:r>
      <w:r w:rsidR="00D345C9" w:rsidRPr="006500F0">
        <w:rPr>
          <w:rFonts w:asciiTheme="majorBidi" w:hAnsiTheme="majorBidi" w:cstheme="majorBidi"/>
          <w:lang w:val="en-US" w:bidi="ar-LB"/>
        </w:rPr>
        <w:t xml:space="preserve"> </w:t>
      </w:r>
      <w:r w:rsidR="00D345C9" w:rsidRPr="006500F0">
        <w:rPr>
          <w:rStyle w:val="FootnoteReference"/>
          <w:rFonts w:asciiTheme="majorBidi" w:hAnsiTheme="majorBidi" w:cstheme="majorBidi"/>
          <w:lang w:val="en-US" w:bidi="ar-LB"/>
        </w:rPr>
        <w:footnoteReference w:id="21"/>
      </w:r>
      <w:r w:rsidR="00D345C9" w:rsidRPr="006500F0">
        <w:rPr>
          <w:rFonts w:asciiTheme="majorBidi" w:hAnsiTheme="majorBidi" w:cstheme="majorBidi"/>
          <w:rtl/>
          <w:lang w:val="en-US" w:bidi="ar-LB"/>
        </w:rPr>
        <w:t xml:space="preserve"> </w:t>
      </w:r>
      <w:r w:rsidR="00D345C9" w:rsidRPr="006500F0">
        <w:rPr>
          <w:rFonts w:asciiTheme="majorBidi" w:hAnsiTheme="majorBidi" w:cstheme="majorBidi"/>
          <w:rtl/>
          <w:lang w:bidi="ar-LB"/>
        </w:rPr>
        <w:t xml:space="preserve">أثبتت الأدلة أن القيادة العليا للجيش الوطني الليبي وجّهت القوات الخاضعة لسيطرتها إلى التصرّف وفق مبدأ "عدم إظهار الرأفة" و"عدم إحضار أي سجناء". واعتبرت البعثة أن هذه الأوامر والتصريحات قد تصل إلى حد </w:t>
      </w:r>
      <w:r w:rsidR="00D345C9" w:rsidRPr="006500F0">
        <w:rPr>
          <w:rFonts w:asciiTheme="majorBidi" w:hAnsiTheme="majorBidi" w:cstheme="majorBidi"/>
          <w:rtl/>
          <w:lang w:bidi="ar-LB"/>
        </w:rPr>
        <w:lastRenderedPageBreak/>
        <w:t>انتهاك مبادئ القانون الدولي الإنساني التي تحظر رفض الإبقاء على الحياة،</w:t>
      </w:r>
      <w:r w:rsidR="00D345C9" w:rsidRPr="006500F0">
        <w:rPr>
          <w:rStyle w:val="FootnoteReference"/>
          <w:rFonts w:asciiTheme="majorBidi" w:hAnsiTheme="majorBidi" w:cstheme="majorBidi"/>
          <w:lang w:bidi="ar-LB"/>
        </w:rPr>
        <w:footnoteReference w:id="22"/>
      </w:r>
      <w:r w:rsidR="00D345C9" w:rsidRPr="006500F0">
        <w:rPr>
          <w:rFonts w:asciiTheme="majorBidi" w:hAnsiTheme="majorBidi" w:cstheme="majorBidi"/>
          <w:rtl/>
          <w:lang w:bidi="ar-LB"/>
        </w:rPr>
        <w:t xml:space="preserve"> وقد تشكل جريمة حرب أيضًا.</w:t>
      </w:r>
      <w:bookmarkEnd w:id="1"/>
      <w:r w:rsidR="00D345C9" w:rsidRPr="006500F0">
        <w:rPr>
          <w:rFonts w:asciiTheme="majorBidi" w:hAnsiTheme="majorBidi" w:cstheme="majorBidi"/>
          <w:lang w:bidi="ar-LB"/>
        </w:rPr>
        <w:t xml:space="preserve"> </w:t>
      </w:r>
      <w:r w:rsidR="00D345C9" w:rsidRPr="006500F0">
        <w:rPr>
          <w:rStyle w:val="FootnoteReference"/>
          <w:rFonts w:asciiTheme="majorBidi" w:hAnsiTheme="majorBidi" w:cstheme="majorBidi"/>
          <w:lang w:bidi="ar-LB"/>
        </w:rPr>
        <w:footnoteReference w:id="23"/>
      </w:r>
    </w:p>
    <w:p w14:paraId="07F83249" w14:textId="3A9ECDEE" w:rsidR="003A3E80" w:rsidRPr="006500F0" w:rsidRDefault="00B86AE4" w:rsidP="0016129E">
      <w:pPr>
        <w:pStyle w:val="H23G"/>
        <w:kinsoku w:val="0"/>
        <w:overflowPunct w:val="0"/>
        <w:autoSpaceDE w:val="0"/>
        <w:autoSpaceDN w:val="0"/>
        <w:bidi/>
        <w:adjustRightInd w:val="0"/>
        <w:snapToGrid w:val="0"/>
        <w:rPr>
          <w:rFonts w:asciiTheme="majorBidi" w:hAnsiTheme="majorBidi" w:cstheme="majorBidi"/>
          <w:lang w:val="en-CA" w:bidi="ar-LB"/>
        </w:rPr>
      </w:pPr>
      <w:r w:rsidRPr="006500F0">
        <w:rPr>
          <w:rFonts w:asciiTheme="majorBidi" w:hAnsiTheme="majorBidi" w:cstheme="majorBidi"/>
          <w:lang w:val="en-CA" w:bidi="ar-LB"/>
        </w:rPr>
        <w:tab/>
      </w:r>
      <w:r w:rsidR="00FA4CD4" w:rsidRPr="006500F0">
        <w:rPr>
          <w:rFonts w:asciiTheme="majorBidi" w:hAnsiTheme="majorBidi" w:cstheme="majorBidi"/>
          <w:lang w:val="en-CA" w:bidi="ar-LB"/>
        </w:rPr>
        <w:t>3.</w:t>
      </w:r>
      <w:r w:rsidR="00FA4CD4" w:rsidRPr="006500F0">
        <w:rPr>
          <w:rFonts w:asciiTheme="majorBidi" w:hAnsiTheme="majorBidi" w:cstheme="majorBidi"/>
          <w:lang w:val="en-CA" w:bidi="ar-LB"/>
        </w:rPr>
        <w:tab/>
      </w:r>
      <w:r w:rsidR="0016129E" w:rsidRPr="006500F0">
        <w:rPr>
          <w:rFonts w:asciiTheme="majorBidi" w:eastAsiaTheme="minorHAnsi" w:hAnsiTheme="majorBidi" w:cstheme="majorBidi"/>
          <w:b w:val="0"/>
          <w:bCs/>
          <w:rtl/>
          <w:lang w:val="en-CA" w:bidi="ar-LB"/>
        </w:rPr>
        <w:t>جنوب ليبيا</w:t>
      </w:r>
    </w:p>
    <w:p w14:paraId="3C12D0FD" w14:textId="7B834BC9" w:rsidR="003A3E80" w:rsidRPr="006500F0" w:rsidRDefault="00FA4CD4" w:rsidP="0055570E">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51.</w:t>
      </w:r>
      <w:r w:rsidRPr="006500F0">
        <w:rPr>
          <w:rFonts w:asciiTheme="majorBidi" w:hAnsiTheme="majorBidi" w:cstheme="majorBidi"/>
          <w:lang w:bidi="ar-LB"/>
        </w:rPr>
        <w:tab/>
      </w:r>
      <w:r w:rsidR="0055570E" w:rsidRPr="006500F0">
        <w:rPr>
          <w:rFonts w:asciiTheme="majorBidi" w:hAnsiTheme="majorBidi" w:cstheme="majorBidi"/>
          <w:rtl/>
          <w:lang w:val="en-CA" w:bidi="ar-LB"/>
        </w:rPr>
        <w:t>استمرّ التوتر بين مُكوِّن الأهالي ومُكوِّن التبو في جنوب ليبيا منذ العام 2011، وبلغ ذروته في مواجهات العام 2019 بين الجماعات المسلحة من كلا الطرفين، ضمن السياق الأكبر للنزاع المسلح غير الدولي بين حكومة الوفاق الوطني والجيش الوطني الليبي. وجمعتْ البعثة مؤشرات موثوقة حول ارتكاب انتهاكات ضد أفراد ينتمون إلى المكوّنيْن خلال هذه الفترة، بما في ذلك عمليات الاختطاف والقتل الجماعي. ولكن استنادًا إلى هذه الأدلة، لم تتمكن البعثة من التوصّل إلى استنتاجات نهائية بشأن جميع الادعاءات، ولا بدّ من إجراء مزيد من التحقيقات للتأكد من ظروف الحوادث بدقّة.</w:t>
      </w:r>
    </w:p>
    <w:p w14:paraId="46A680E0" w14:textId="3492BF20" w:rsidR="007A40B3" w:rsidRPr="006500F0" w:rsidRDefault="00FA4CD4" w:rsidP="007A40B3">
      <w:pPr>
        <w:pStyle w:val="ParNoG"/>
        <w:numPr>
          <w:ilvl w:val="0"/>
          <w:numId w:val="0"/>
        </w:numPr>
        <w:bidi/>
        <w:ind w:left="1134"/>
        <w:rPr>
          <w:rFonts w:asciiTheme="majorBidi" w:hAnsiTheme="majorBidi" w:cstheme="majorBidi"/>
          <w:rtl/>
          <w:lang w:bidi="ar-LB"/>
        </w:rPr>
      </w:pPr>
      <w:r w:rsidRPr="006500F0">
        <w:rPr>
          <w:rFonts w:asciiTheme="majorBidi" w:hAnsiTheme="majorBidi" w:cstheme="majorBidi"/>
          <w:lang w:bidi="ar-LB"/>
        </w:rPr>
        <w:t>52.</w:t>
      </w:r>
      <w:r w:rsidRPr="006500F0">
        <w:rPr>
          <w:rFonts w:asciiTheme="majorBidi" w:hAnsiTheme="majorBidi" w:cstheme="majorBidi"/>
          <w:lang w:bidi="ar-LB"/>
        </w:rPr>
        <w:tab/>
      </w:r>
      <w:r w:rsidR="007A40B3" w:rsidRPr="006500F0">
        <w:rPr>
          <w:rFonts w:asciiTheme="majorBidi" w:hAnsiTheme="majorBidi" w:cstheme="majorBidi"/>
          <w:rtl/>
          <w:lang w:bidi="ar-LB"/>
        </w:rPr>
        <w:t>توصّلت التحقيقات إلى أن الغارات الجوية التي نُفذت في أغسطس/آب 2019 على منطقة سكنية مأهولة من التبو في مرزق أسفرت عن مقتل 42 مدنياً وعدد من الضحايا. سقطتْ إحدى الغارات الجوية على مسافة شديدة القُرب من موقع زفاف مدني، وأعقبتها بفترة وجيزة ضربة ثانية بعد حضور المسعفين. كان المبنى المستهدف عبارة عن مبنى حكومي تجمّع فيه أكثر من 200 شخصية محلية، ولم يكن أي منهم مسلحًا أو يشارك بشكل مباشر في الأعمال العدائية وقت الهجوم. وضربت غارتان جويتان أخريان منطقة أخرى. كان ينبغي أن يكون واضحًا للجهة التي شنّتْ الهجوم أن المنطقة المستهدفة هي منطقة مدنية، وأن استهداف مجموعة من المدنيين ليلًا من المرجح أن يؤدي إلى عدد كبير من الضحايا المدنيين، بما لا يتناسب مع أي ميزة عسكرية. قدمت الأدلة أسبابًا وجيهة تدعو للاعتقاد بأن الضربات يمكن أن تُنسب إلى الجيش الوطني الليبي، مع الإشارة إلى ضرورة التأكد من الدور الدقيق الذي لعبته الجهات الفاعلة الأخرى. بناءً على ما سبق، اعتبرت البعثة أنّ الجيش الوطني الليبي لربما لم يحترم مبادئ القانون الدولي الإنساني الخاصة بالتمييز والتناسب، وأنه لربما لم يتخذ الاحتياطات المناسبة في ما يتعلق بهذه الغارات الجوية.</w:t>
      </w:r>
      <w:r w:rsidR="007A40B3" w:rsidRPr="006500F0">
        <w:rPr>
          <w:rStyle w:val="FootnoteReference"/>
          <w:rFonts w:asciiTheme="majorBidi" w:hAnsiTheme="majorBidi" w:cstheme="majorBidi"/>
          <w:lang w:val="en-US" w:bidi="ar-LB"/>
        </w:rPr>
        <w:t xml:space="preserve"> </w:t>
      </w:r>
      <w:r w:rsidR="007A40B3" w:rsidRPr="006500F0">
        <w:rPr>
          <w:rStyle w:val="FootnoteReference"/>
          <w:rFonts w:asciiTheme="majorBidi" w:hAnsiTheme="majorBidi" w:cstheme="majorBidi"/>
          <w:lang w:val="en-US" w:bidi="ar-LB"/>
        </w:rPr>
        <w:footnoteReference w:id="24"/>
      </w:r>
    </w:p>
    <w:p w14:paraId="27F58336" w14:textId="2E13DBF2" w:rsidR="00061491" w:rsidRPr="006500F0" w:rsidRDefault="00AE0A09" w:rsidP="009D299E">
      <w:pPr>
        <w:pStyle w:val="H1G"/>
        <w:kinsoku w:val="0"/>
        <w:overflowPunct w:val="0"/>
        <w:autoSpaceDE w:val="0"/>
        <w:autoSpaceDN w:val="0"/>
        <w:bidi/>
        <w:adjustRightInd w:val="0"/>
        <w:snapToGrid w:val="0"/>
        <w:rPr>
          <w:rFonts w:asciiTheme="majorBidi" w:hAnsiTheme="majorBidi" w:cstheme="majorBidi"/>
          <w:lang w:val="en-CA" w:bidi="ar-LB"/>
        </w:rPr>
      </w:pPr>
      <w:r w:rsidRPr="006500F0">
        <w:rPr>
          <w:rFonts w:asciiTheme="majorBidi" w:hAnsiTheme="majorBidi" w:cstheme="majorBidi"/>
          <w:lang w:val="en-CA" w:bidi="ar-LB"/>
        </w:rPr>
        <w:tab/>
      </w:r>
      <w:r w:rsidR="00FA4CD4" w:rsidRPr="006500F0">
        <w:rPr>
          <w:rFonts w:asciiTheme="majorBidi" w:hAnsiTheme="majorBidi" w:cstheme="majorBidi"/>
          <w:lang w:val="en-CA" w:bidi="ar-LB"/>
        </w:rPr>
        <w:tab/>
      </w:r>
      <w:r w:rsidR="009D299E" w:rsidRPr="006500F0">
        <w:rPr>
          <w:rFonts w:asciiTheme="majorBidi" w:hAnsiTheme="majorBidi" w:cstheme="majorBidi"/>
          <w:b w:val="0"/>
          <w:bCs/>
          <w:rtl/>
          <w:lang w:val="en-CA" w:bidi="ar-LB"/>
        </w:rPr>
        <w:t xml:space="preserve">باء- </w:t>
      </w:r>
      <w:r w:rsidR="004E2647">
        <w:rPr>
          <w:rFonts w:asciiTheme="majorBidi" w:hAnsiTheme="majorBidi" w:cstheme="majorBidi"/>
          <w:b w:val="0"/>
          <w:bCs/>
          <w:rtl/>
          <w:lang w:val="en-CA" w:bidi="ar-LB"/>
        </w:rPr>
        <w:tab/>
      </w:r>
      <w:r w:rsidR="009D299E" w:rsidRPr="006500F0">
        <w:rPr>
          <w:rFonts w:asciiTheme="majorBidi" w:hAnsiTheme="majorBidi" w:cstheme="majorBidi"/>
          <w:b w:val="0"/>
          <w:bCs/>
          <w:rtl/>
          <w:lang w:val="en-CA" w:bidi="ar-LB"/>
        </w:rPr>
        <w:t xml:space="preserve">القتل خارج نطاق القضاء </w:t>
      </w:r>
    </w:p>
    <w:p w14:paraId="2F7FEAFA" w14:textId="00E9564E" w:rsidR="00305B01" w:rsidRPr="006500F0" w:rsidRDefault="00FA4CD4" w:rsidP="00305B01">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53.</w:t>
      </w:r>
      <w:r w:rsidRPr="006500F0">
        <w:rPr>
          <w:rFonts w:asciiTheme="majorBidi" w:hAnsiTheme="majorBidi" w:cstheme="majorBidi"/>
          <w:lang w:bidi="ar-LB"/>
        </w:rPr>
        <w:tab/>
      </w:r>
      <w:r w:rsidR="00305B01" w:rsidRPr="006500F0">
        <w:rPr>
          <w:rFonts w:asciiTheme="majorBidi" w:hAnsiTheme="majorBidi" w:cstheme="majorBidi"/>
          <w:rtl/>
          <w:lang w:bidi="ar-LB"/>
        </w:rPr>
        <w:t>في سياق العنف السائد في ليبيا، يستخدم الموظفون الحكوميون أو شركاؤهم عمليات القتل غير الممتثلة لسيادة القانون كوسيلة للعقاب أو الإسكات، بشكل روتيني. تشكل عمليات القتل هذه</w:t>
      </w:r>
      <w:r w:rsidR="00305B01" w:rsidRPr="006500F0">
        <w:rPr>
          <w:rFonts w:asciiTheme="majorBidi" w:hAnsiTheme="majorBidi" w:cstheme="majorBidi"/>
          <w:lang w:bidi="ar-LB"/>
        </w:rPr>
        <w:t xml:space="preserve"> </w:t>
      </w:r>
      <w:r w:rsidR="00305B01" w:rsidRPr="006500F0">
        <w:rPr>
          <w:rFonts w:asciiTheme="majorBidi" w:hAnsiTheme="majorBidi" w:cstheme="majorBidi"/>
          <w:rtl/>
          <w:lang w:bidi="ar-LB"/>
        </w:rPr>
        <w:t xml:space="preserve">انتهاكًا للحق في الحياة، وقد يكون لها أيضًا تأثير أكبر على الحقوق الأخرى، مثل الحق في معرفة الحقيقة. </w:t>
      </w:r>
      <w:r w:rsidR="00305B01" w:rsidRPr="006500F0">
        <w:rPr>
          <w:rFonts w:asciiTheme="majorBidi" w:hAnsiTheme="majorBidi" w:cstheme="majorBidi"/>
          <w:rtl/>
          <w:lang w:bidi="ar-LB"/>
        </w:rPr>
        <w:lastRenderedPageBreak/>
        <w:t>ولاحظت البعثة أن عددًا من عمليات القتل خارج نطاق القضاء استهدفتْ، في الآونة الأخيرة، أفرادًا يُشتبه بتورطهم في انتهاكات خطيرة لحقوق الإنسان. وعلى وجه الخصوص، حققت البعثة في مقتل محمد الكاني في تموز / يوليو 2021، المشتبه به والشاهد على جرائم فظيعة حصلتْ في ترهونة، الذي قُتل خلال مداهمة منزله في بنغازي من قبل عناصر لواء طارق بن زياد، التابع للجيش الوطني الليبي. وتُفيد تقارير بأن اللواء كان يعمل بموجب مذكرة توقيف. حتى ولو يبدو أنّ إطلاق النار على الكاني قد حصل عمداً، إلا أن التحقيقات جارية لمعرفة ما إذا قاوم الكاني خلال القبض عليه، أو أنه شكل تهديداً للجناة، ما من شأنه أن يبرر استخدامهم للقوة المميتة. في حال ظهرتْ أدلّة تشير إلى استخدام القوة دون مبرّر، فقد تنشأ أسباب وجيهة تدعو لاستنتاج أن قتل الكاني يشكل حالة قتل خارج نطاق القضاء.</w:t>
      </w:r>
      <w:r w:rsidR="00305B01" w:rsidRPr="006500F0">
        <w:rPr>
          <w:rFonts w:asciiTheme="majorBidi" w:hAnsiTheme="majorBidi" w:cstheme="majorBidi"/>
          <w:lang w:bidi="ar-LB"/>
        </w:rPr>
        <w:t xml:space="preserve"> </w:t>
      </w:r>
      <w:r w:rsidR="00305B01" w:rsidRPr="006500F0">
        <w:rPr>
          <w:rStyle w:val="FootnoteReference"/>
          <w:rFonts w:asciiTheme="majorBidi" w:hAnsiTheme="majorBidi" w:cstheme="majorBidi"/>
          <w:lang w:bidi="ar-LB"/>
        </w:rPr>
        <w:footnoteReference w:id="25"/>
      </w:r>
      <w:r w:rsidR="00305B01" w:rsidRPr="006500F0">
        <w:rPr>
          <w:rFonts w:asciiTheme="majorBidi" w:hAnsiTheme="majorBidi" w:cstheme="majorBidi"/>
          <w:rtl/>
          <w:lang w:bidi="ar-LB"/>
        </w:rPr>
        <w:t>على أية حال، فإن عملية قتله وقتل غيره، تحرم ضحايا الانتهاكات من فرصة إثبات الحقيقة. ولاحظت البعثة بقلق أن مثل هذه الحوادث تحدث بينما تحرز ليبيا التقدم نحو عملية المصالحة. وقد واجهتْ البعثة، في الوقت المحدود المتاح لها، تحديات في التحقيق في عمليات القتل الأخرى خارج نطاق القضاء. لذلك، لا بدّ من إجراء مزيد من التحقيقات لتوثيق أعمال القتل خارج نطاق القضاء منذ العام  2016 بشكل شامل.</w:t>
      </w:r>
    </w:p>
    <w:p w14:paraId="5D68FEF7" w14:textId="555321D6" w:rsidR="00454576" w:rsidRPr="006500F0" w:rsidRDefault="00AE0A09" w:rsidP="00B611E9">
      <w:pPr>
        <w:pStyle w:val="H1G"/>
        <w:kinsoku w:val="0"/>
        <w:overflowPunct w:val="0"/>
        <w:autoSpaceDE w:val="0"/>
        <w:autoSpaceDN w:val="0"/>
        <w:bidi/>
        <w:adjustRightInd w:val="0"/>
        <w:snapToGrid w:val="0"/>
        <w:rPr>
          <w:rFonts w:asciiTheme="majorBidi" w:hAnsiTheme="majorBidi" w:cstheme="majorBidi"/>
          <w:b w:val="0"/>
          <w:bCs/>
          <w:lang w:val="en-CA" w:bidi="ar-LB"/>
        </w:rPr>
      </w:pPr>
      <w:r w:rsidRPr="006500F0">
        <w:rPr>
          <w:rFonts w:asciiTheme="majorBidi" w:hAnsiTheme="majorBidi" w:cstheme="majorBidi"/>
          <w:b w:val="0"/>
          <w:bCs/>
          <w:lang w:val="en-CA" w:bidi="ar-LB"/>
        </w:rPr>
        <w:tab/>
      </w:r>
      <w:r w:rsidR="00FA4CD4" w:rsidRPr="006500F0">
        <w:rPr>
          <w:rFonts w:asciiTheme="majorBidi" w:hAnsiTheme="majorBidi" w:cstheme="majorBidi"/>
          <w:b w:val="0"/>
          <w:bCs/>
          <w:lang w:val="en-CA" w:bidi="ar-LB"/>
        </w:rPr>
        <w:tab/>
      </w:r>
      <w:r w:rsidR="00B611E9" w:rsidRPr="006500F0">
        <w:rPr>
          <w:rFonts w:asciiTheme="majorBidi" w:hAnsiTheme="majorBidi" w:cstheme="majorBidi"/>
          <w:b w:val="0"/>
          <w:bCs/>
          <w:rtl/>
          <w:lang w:val="en-CA" w:bidi="ar-LB"/>
        </w:rPr>
        <w:t>جيم-</w:t>
      </w:r>
      <w:r w:rsidR="004E2647">
        <w:rPr>
          <w:rFonts w:asciiTheme="majorBidi" w:hAnsiTheme="majorBidi" w:cstheme="majorBidi"/>
          <w:b w:val="0"/>
          <w:bCs/>
          <w:rtl/>
          <w:lang w:val="en-CA" w:bidi="ar-LB"/>
        </w:rPr>
        <w:tab/>
      </w:r>
      <w:r w:rsidR="00B611E9" w:rsidRPr="006500F0">
        <w:rPr>
          <w:rFonts w:asciiTheme="majorBidi" w:hAnsiTheme="majorBidi" w:cstheme="majorBidi"/>
          <w:b w:val="0"/>
          <w:bCs/>
          <w:rtl/>
          <w:lang w:val="en-CA" w:bidi="ar-LB"/>
        </w:rPr>
        <w:t xml:space="preserve"> الانتهاكات في سياق الحرمان من الحرية</w:t>
      </w:r>
    </w:p>
    <w:p w14:paraId="1357086E" w14:textId="1619D5A8" w:rsidR="00587C2D" w:rsidRPr="006500F0" w:rsidRDefault="00FA4CD4" w:rsidP="00B611E9">
      <w:pPr>
        <w:pStyle w:val="ParNoG"/>
        <w:numPr>
          <w:ilvl w:val="0"/>
          <w:numId w:val="0"/>
        </w:numPr>
        <w:bidi/>
        <w:ind w:left="1134"/>
        <w:rPr>
          <w:rFonts w:asciiTheme="majorBidi" w:eastAsia="Calibri" w:hAnsiTheme="majorBidi" w:cstheme="majorBidi"/>
          <w:lang w:bidi="ar-LB"/>
        </w:rPr>
      </w:pPr>
      <w:r w:rsidRPr="006500F0">
        <w:rPr>
          <w:rFonts w:asciiTheme="majorBidi" w:eastAsia="Calibri" w:hAnsiTheme="majorBidi" w:cstheme="majorBidi"/>
          <w:lang w:bidi="ar-LB"/>
        </w:rPr>
        <w:t>54.</w:t>
      </w:r>
      <w:r w:rsidRPr="006500F0">
        <w:rPr>
          <w:rFonts w:asciiTheme="majorBidi" w:eastAsia="Calibri" w:hAnsiTheme="majorBidi" w:cstheme="majorBidi"/>
          <w:lang w:bidi="ar-LB"/>
        </w:rPr>
        <w:tab/>
      </w:r>
      <w:r w:rsidR="00B611E9" w:rsidRPr="006500F0">
        <w:rPr>
          <w:rFonts w:asciiTheme="majorBidi" w:eastAsia="Calibri" w:hAnsiTheme="majorBidi" w:cstheme="majorBidi"/>
          <w:rtl/>
          <w:lang w:bidi="ar-LB"/>
        </w:rPr>
        <w:t>أبرزت عدة تقارير استخدام الكثير من السجون في ليبيا من قبل الدولة و/أو الجماعات المسلحة لغرض الاحتجاز التعسفي لمن يُعتبر أنهم يشكلون تهديدًا لمصالحها أو آرائها، واستخدام العنف الممنهج على نطاق واسع ضد هؤلاء الأشخاص. شملت السجون التي حققت فيها البعثة، في الوقت المحدود المتاح لها، مرافق الاحتجاز الرسمية وغير الرسمية التالية: معيتيقة وغنيوة (منطقة طرابلس)، والكويفية، وقرنادة وطارق بن زياد (منطقة بنغازي)، فضلًا عن السكت (التابع سابقًا لوزارة الدفاع) والجوية (التابع سابقًا لوزارة العدل) (منطقة مصراتة). بالإضافة إلى مراجعة التقارير الواردة من مصادر موثوقة، قابلتْ البعثة 31 رجلاً، وامرأة واحدة تم احتجازهم في أوقات مختلفة في هذه السجون، بالإضافة إلى مقابلات مع ستة أقارب لأشخاص محتجزين.</w:t>
      </w:r>
      <w:r w:rsidR="00690E25" w:rsidRPr="006500F0">
        <w:rPr>
          <w:rFonts w:asciiTheme="majorBidi" w:eastAsia="Calibri" w:hAnsiTheme="majorBidi" w:cstheme="majorBidi"/>
          <w:lang w:bidi="ar-LB"/>
        </w:rPr>
        <w:t xml:space="preserve"> </w:t>
      </w:r>
    </w:p>
    <w:p w14:paraId="0C2955C2" w14:textId="77777777" w:rsidR="004B3AEF" w:rsidRPr="006500F0" w:rsidRDefault="00FA4CD4" w:rsidP="004B3AEF">
      <w:pPr>
        <w:pStyle w:val="ParNoG"/>
        <w:numPr>
          <w:ilvl w:val="0"/>
          <w:numId w:val="0"/>
        </w:numPr>
        <w:bidi/>
        <w:ind w:left="1134"/>
        <w:rPr>
          <w:rFonts w:asciiTheme="majorBidi" w:eastAsia="Calibri" w:hAnsiTheme="majorBidi" w:cstheme="majorBidi"/>
          <w:lang w:bidi="ar-LB"/>
        </w:rPr>
      </w:pPr>
      <w:r w:rsidRPr="006500F0">
        <w:rPr>
          <w:rFonts w:asciiTheme="majorBidi" w:eastAsia="Calibri" w:hAnsiTheme="majorBidi" w:cstheme="majorBidi"/>
          <w:lang w:bidi="ar-LB"/>
        </w:rPr>
        <w:t>55.</w:t>
      </w:r>
      <w:r w:rsidRPr="006500F0">
        <w:rPr>
          <w:rFonts w:asciiTheme="majorBidi" w:eastAsia="Calibri" w:hAnsiTheme="majorBidi" w:cstheme="majorBidi"/>
          <w:lang w:bidi="ar-LB"/>
        </w:rPr>
        <w:tab/>
      </w:r>
      <w:r w:rsidR="004B3AEF" w:rsidRPr="006500F0">
        <w:rPr>
          <w:rFonts w:asciiTheme="majorBidi" w:eastAsia="Calibri" w:hAnsiTheme="majorBidi" w:cstheme="majorBidi"/>
          <w:rtl/>
          <w:lang w:bidi="ar-LB"/>
        </w:rPr>
        <w:t>أثبتت الأدلة أن عددًا كبيرًا من الأشخاص يُحتجزون في السجون المذكورة أعلاه بعد اختطافهم. لم يتم توجيه التهم إلى معظم هؤلاء السجناء، أو إدانتهم أو الحكم عليهم بالسجن بعد جلسة استماع عادلة وعلنية. يُحتجز الكثير منهم مع منع الاتصال، وبعضهم في سجون سرية غير موجودة رسميًا، أحيانًا لسنوات دون أي احتمال لإطلاق سراحهم.</w:t>
      </w:r>
      <w:r w:rsidR="004B3AEF" w:rsidRPr="006500F0">
        <w:rPr>
          <w:rFonts w:asciiTheme="majorBidi" w:hAnsiTheme="majorBidi" w:cstheme="majorBidi"/>
          <w:rtl/>
          <w:lang w:bidi="ar-LB"/>
        </w:rPr>
        <w:t xml:space="preserve"> </w:t>
      </w:r>
      <w:r w:rsidR="004B3AEF" w:rsidRPr="006500F0">
        <w:rPr>
          <w:rFonts w:asciiTheme="majorBidi" w:eastAsia="Calibri" w:hAnsiTheme="majorBidi" w:cstheme="majorBidi"/>
          <w:rtl/>
          <w:lang w:bidi="ar-LB"/>
        </w:rPr>
        <w:t xml:space="preserve">لا يتم إبلاغ عائلات السجناء بمصير أفراد عائلاتهم. ويشكل التعذيب سمة ثابتة في نظام السجون. وتتميز ظروف الاحتجاز بانعدام النظافة، والغذاء الكافي، والرعاية الطبية، فضلاً عن عدم الفصل بين الأطفال والبالغين. ووثقتْ البعثة عدة حالات وفاة من خلال الإعدام بإجراءات موجزة، والتعذيب، والتجويع، والظروف غير الصحية، </w:t>
      </w:r>
      <w:r w:rsidR="004B3AEF" w:rsidRPr="006500F0">
        <w:rPr>
          <w:rFonts w:asciiTheme="majorBidi" w:eastAsia="Calibri" w:hAnsiTheme="majorBidi" w:cstheme="majorBidi"/>
          <w:rtl/>
          <w:lang w:bidi="ar-LB"/>
        </w:rPr>
        <w:lastRenderedPageBreak/>
        <w:t>والحرمان من الرعاية الطبية. وينتشر العنف الجنسي، ولا سيما أثناء الاستجواب، ويتّخذ أشكالًا مختلفة، بما في ذلك الاغتصاب أو التهديد بالاغتصاب أو إكراه السجناء على الانخراط في الاعتداء الجنسي على سجناء آخرين. تُعدّ النساء عرضة للخطر بشكل خاص، وتشير الأدلة أيضًا إلى أن الرجال ليسوا بمنأى عن التعرّض للعنف الجنسي.</w:t>
      </w:r>
    </w:p>
    <w:p w14:paraId="3CFE1918" w14:textId="6C9F70B2" w:rsidR="003124FA" w:rsidRPr="006500F0" w:rsidRDefault="00FA4CD4" w:rsidP="00C37100">
      <w:pPr>
        <w:pStyle w:val="ParNoG"/>
        <w:numPr>
          <w:ilvl w:val="0"/>
          <w:numId w:val="0"/>
        </w:numPr>
        <w:bidi/>
        <w:ind w:left="1134"/>
        <w:rPr>
          <w:rFonts w:asciiTheme="majorBidi" w:eastAsia="Calibri" w:hAnsiTheme="majorBidi" w:cstheme="majorBidi"/>
          <w:lang w:bidi="ar-LB"/>
        </w:rPr>
        <w:sectPr w:rsidR="003124FA" w:rsidRPr="006500F0" w:rsidSect="00C861F4">
          <w:headerReference w:type="first" r:id="rId18"/>
          <w:endnotePr>
            <w:numFmt w:val="decimal"/>
          </w:endnotePr>
          <w:pgSz w:w="11907" w:h="16840" w:code="9"/>
          <w:pgMar w:top="1417" w:right="1134" w:bottom="1134" w:left="1134" w:header="850" w:footer="567" w:gutter="0"/>
          <w:cols w:space="720"/>
          <w:docGrid w:linePitch="272"/>
        </w:sectPr>
      </w:pPr>
      <w:r w:rsidRPr="006500F0">
        <w:rPr>
          <w:rFonts w:asciiTheme="majorBidi" w:eastAsia="Calibri" w:hAnsiTheme="majorBidi" w:cstheme="majorBidi"/>
          <w:lang w:bidi="ar-LB"/>
        </w:rPr>
        <w:t>56.</w:t>
      </w:r>
      <w:r w:rsidRPr="006500F0">
        <w:rPr>
          <w:rFonts w:asciiTheme="majorBidi" w:eastAsia="Calibri" w:hAnsiTheme="majorBidi" w:cstheme="majorBidi"/>
          <w:lang w:bidi="ar-LB"/>
        </w:rPr>
        <w:tab/>
      </w:r>
      <w:r w:rsidR="00C37100" w:rsidRPr="006500F0">
        <w:rPr>
          <w:rFonts w:asciiTheme="majorBidi" w:eastAsia="Calibri" w:hAnsiTheme="majorBidi" w:cstheme="majorBidi"/>
          <w:rtl/>
          <w:lang w:bidi="ar-LB"/>
        </w:rPr>
        <w:t>أثبتت التحقيقات أن الأعمال</w:t>
      </w:r>
      <w:r w:rsidR="00C37100" w:rsidRPr="006500F0">
        <w:rPr>
          <w:rFonts w:asciiTheme="majorBidi" w:eastAsia="Calibri" w:hAnsiTheme="majorBidi" w:cstheme="majorBidi"/>
          <w:lang w:bidi="ar-LB"/>
        </w:rPr>
        <w:t xml:space="preserve"> </w:t>
      </w:r>
      <w:r w:rsidR="00C37100" w:rsidRPr="006500F0">
        <w:rPr>
          <w:rFonts w:asciiTheme="majorBidi" w:eastAsia="Calibri" w:hAnsiTheme="majorBidi" w:cstheme="majorBidi"/>
          <w:rtl/>
          <w:lang w:bidi="ar-LB"/>
        </w:rPr>
        <w:t>غير الإنسانية المذكورة أعلاه ارتُكبتْ ضد أي شخص يُعتبر تهديدًا لقيادة الدولة أو لمصالح الميليشيات وعقائدها (بما في ذلك الآراء الدينية أو الأخلاقية). ويُعتبر معظم الضحايا من المدنيين. ولا تشكل الأفعال التي يتعرضون لها داخل السجون حوادث عشوائية يمكن تتبعها إلى حراس أفراد أو مرافق معينة. لا بل، يتم استخدام العنف بشكل منهجي ضد السجناء. وتشير التقارير الموثوقة إلى أن الآلاف من السجناء يُحتجزون في السجون المذكورة أعلاه. واستنادًا إلى الشهادات التي تلقتها البعثة، ويمكن أن الاستنتاج على نحو معقول أن عددًا كبيرًا من السجناء هم من ضحايا للعنف. وبناءً على الشهادات التي جمعتها البعثة، والتي أكدتها تقارير موثوقة، ثمة أسباب وجيهة تدعو للاعتقاد بأن السجون المذكورة أعلاه إضافة إلى الكثير من السجون الأخرى المنتشرة في جميع أنحاء البلاد تشكل عنصرًا أساسيًا ضمن الهجوم الممنهج واسع النطاق ضد أي شخص يعارض مصالح الجهات التي تدير السجون</w:t>
      </w:r>
      <w:r w:rsidR="008B083F" w:rsidRPr="006500F0">
        <w:rPr>
          <w:rFonts w:asciiTheme="majorBidi" w:eastAsia="Calibri" w:hAnsiTheme="majorBidi" w:cstheme="majorBidi"/>
          <w:lang w:bidi="ar-LB"/>
        </w:rPr>
        <w:t>.</w:t>
      </w:r>
    </w:p>
    <w:p w14:paraId="5B0CA718" w14:textId="75861BC3" w:rsidR="008E7698" w:rsidRPr="006500F0" w:rsidRDefault="008E7698" w:rsidP="003124FA">
      <w:pPr>
        <w:pStyle w:val="ParNoG"/>
        <w:numPr>
          <w:ilvl w:val="0"/>
          <w:numId w:val="0"/>
        </w:numPr>
        <w:ind w:left="1134"/>
        <w:rPr>
          <w:rFonts w:asciiTheme="majorBidi" w:eastAsia="Calibri" w:hAnsiTheme="majorBidi" w:cstheme="majorBidi"/>
          <w:lang w:bidi="ar-LB"/>
        </w:rPr>
      </w:pPr>
    </w:p>
    <w:p w14:paraId="2CF11CF6" w14:textId="1255097A" w:rsidR="003124FA" w:rsidRPr="006500F0" w:rsidRDefault="003124FA" w:rsidP="00416840">
      <w:pPr>
        <w:pStyle w:val="ParNoG"/>
        <w:numPr>
          <w:ilvl w:val="0"/>
          <w:numId w:val="0"/>
        </w:numPr>
        <w:bidi/>
        <w:rPr>
          <w:rFonts w:asciiTheme="majorBidi" w:eastAsia="Calibri" w:hAnsiTheme="majorBidi" w:cstheme="majorBidi"/>
          <w:bCs/>
          <w:lang w:bidi="ar-LB"/>
        </w:rPr>
      </w:pPr>
      <w:r w:rsidRPr="006500F0">
        <w:rPr>
          <w:rFonts w:asciiTheme="majorBidi" w:eastAsia="Calibri" w:hAnsiTheme="majorBidi" w:cstheme="majorBidi"/>
          <w:noProof/>
          <w:lang w:eastAsia="en-GB"/>
        </w:rPr>
        <w:drawing>
          <wp:anchor distT="0" distB="0" distL="114300" distR="114300" simplePos="0" relativeHeight="251708416" behindDoc="0" locked="0" layoutInCell="1" allowOverlap="1" wp14:anchorId="579410FC" wp14:editId="773DAEDC">
            <wp:simplePos x="0" y="0"/>
            <wp:positionH relativeFrom="page">
              <wp:posOffset>1127760</wp:posOffset>
            </wp:positionH>
            <wp:positionV relativeFrom="margin">
              <wp:posOffset>444500</wp:posOffset>
            </wp:positionV>
            <wp:extent cx="8429625" cy="596265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risoners 2.png"/>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8429625" cy="596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6AE4" w:rsidRPr="006500F0">
        <w:rPr>
          <w:rFonts w:asciiTheme="majorBidi" w:eastAsia="Calibri" w:hAnsiTheme="majorBidi" w:cstheme="majorBidi"/>
          <w:b/>
          <w:lang w:bidi="ar-LB"/>
        </w:rPr>
        <w:tab/>
      </w:r>
      <w:r w:rsidR="00B86AE4" w:rsidRPr="006500F0">
        <w:rPr>
          <w:rFonts w:asciiTheme="majorBidi" w:eastAsia="Calibri" w:hAnsiTheme="majorBidi" w:cstheme="majorBidi"/>
          <w:b/>
          <w:lang w:bidi="ar-LB"/>
        </w:rPr>
        <w:tab/>
      </w:r>
      <w:r w:rsidR="00416840" w:rsidRPr="006500F0">
        <w:rPr>
          <w:rFonts w:asciiTheme="majorBidi" w:eastAsia="Calibri" w:hAnsiTheme="majorBidi" w:cstheme="majorBidi"/>
          <w:bCs/>
          <w:rtl/>
          <w:lang w:bidi="ar-LB"/>
        </w:rPr>
        <w:t>الرسم 2</w:t>
      </w:r>
      <w:r w:rsidR="00B20301" w:rsidRPr="006500F0">
        <w:rPr>
          <w:rFonts w:asciiTheme="majorBidi" w:eastAsia="Calibri" w:hAnsiTheme="majorBidi" w:cstheme="majorBidi"/>
          <w:bCs/>
          <w:rtl/>
          <w:lang w:bidi="ar-LB"/>
        </w:rPr>
        <w:t>: شهادات المحتجزين السابقين</w:t>
      </w:r>
    </w:p>
    <w:p w14:paraId="431FA779" w14:textId="76291FC5" w:rsidR="003124FA" w:rsidRPr="006500F0" w:rsidRDefault="00B20301" w:rsidP="003124FA">
      <w:pPr>
        <w:pStyle w:val="ParNoG"/>
        <w:numPr>
          <w:ilvl w:val="0"/>
          <w:numId w:val="0"/>
        </w:numPr>
        <w:rPr>
          <w:rFonts w:asciiTheme="majorBidi" w:eastAsia="Calibri" w:hAnsiTheme="majorBidi" w:cstheme="majorBidi"/>
          <w:lang w:bidi="ar-LB"/>
        </w:rPr>
        <w:sectPr w:rsidR="003124FA" w:rsidRPr="006500F0" w:rsidSect="00C861F4">
          <w:endnotePr>
            <w:numFmt w:val="decimal"/>
          </w:endnotePr>
          <w:pgSz w:w="16840" w:h="11907" w:orient="landscape" w:code="9"/>
          <w:pgMar w:top="1134" w:right="1417" w:bottom="1134" w:left="1134" w:header="850" w:footer="567" w:gutter="0"/>
          <w:cols w:space="720"/>
          <w:docGrid w:linePitch="272"/>
        </w:sectPr>
      </w:pPr>
      <w:r w:rsidRPr="006500F0">
        <w:rPr>
          <w:rFonts w:asciiTheme="majorBidi" w:eastAsia="Calibri" w:hAnsiTheme="majorBidi" w:cstheme="majorBidi"/>
          <w:rtl/>
          <w:lang w:bidi="ar-LB"/>
        </w:rPr>
        <w:t>:</w:t>
      </w:r>
    </w:p>
    <w:p w14:paraId="220EE5B6" w14:textId="56FC3197" w:rsidR="00310540" w:rsidRPr="006500F0" w:rsidRDefault="00FA4CD4" w:rsidP="00A20673">
      <w:pPr>
        <w:pStyle w:val="ParNoG"/>
        <w:numPr>
          <w:ilvl w:val="0"/>
          <w:numId w:val="0"/>
        </w:numPr>
        <w:bidi/>
        <w:ind w:left="1134"/>
        <w:rPr>
          <w:rFonts w:asciiTheme="majorBidi" w:eastAsia="Calibri" w:hAnsiTheme="majorBidi" w:cstheme="majorBidi"/>
          <w:lang w:bidi="ar-LB"/>
        </w:rPr>
      </w:pPr>
      <w:r w:rsidRPr="006500F0">
        <w:rPr>
          <w:rFonts w:asciiTheme="majorBidi" w:eastAsia="Calibri" w:hAnsiTheme="majorBidi" w:cstheme="majorBidi"/>
          <w:lang w:bidi="ar-LB"/>
        </w:rPr>
        <w:lastRenderedPageBreak/>
        <w:t>57.</w:t>
      </w:r>
      <w:r w:rsidRPr="006500F0">
        <w:rPr>
          <w:rFonts w:asciiTheme="majorBidi" w:eastAsia="Calibri" w:hAnsiTheme="majorBidi" w:cstheme="majorBidi"/>
          <w:lang w:bidi="ar-LB"/>
        </w:rPr>
        <w:tab/>
      </w:r>
      <w:r w:rsidR="00A20673" w:rsidRPr="006500F0">
        <w:rPr>
          <w:rFonts w:asciiTheme="majorBidi" w:eastAsia="Calibri" w:hAnsiTheme="majorBidi" w:cstheme="majorBidi"/>
          <w:rtl/>
          <w:lang w:bidi="ar-LB"/>
        </w:rPr>
        <w:t xml:space="preserve">تلقت البعثة معلومات تشير إلى أن بعض السجون المذكورة أعلاه تخضع لسيطرة الدولة عبر شبكات الميليشيات. يبدو أن بعض السجون تعمل بشكل مستقل، بينما تتعاون سجون أخرى ضمن شبكات غير رسمية. وبغض النظر عن مستوى التنسيق بينها، فإن القائمين على إدارتها يطبقون جميعًا داخل السجون نمطًا ممنهجًا من استخدام العنف على نطاق واسع. وحتى عندما لا تشارك السلطات الليبية بشكل مباشر في ارتكاب أعمال غير إنسانية، فإنها تمتنع عن محاسبة الجناة على سلوكهم. وتُخفي ليبيا الانتهاكات الحاصلة في هذه السجون وفي غيرها أيضًا عن الشعب والمجتمع الدولي. ويمكن الاستدلال على نحو معقول من هذا التقصير المتعمد في اتخاذ إجراءات، أنّ الدولة توافق على ارتكاب التعذيب في هذه السجون. </w:t>
      </w:r>
    </w:p>
    <w:p w14:paraId="1DAAB377" w14:textId="69FB24D5" w:rsidR="008E7698" w:rsidRPr="006500F0" w:rsidRDefault="00FA4CD4" w:rsidP="00400FA2">
      <w:pPr>
        <w:pStyle w:val="ParNoG"/>
        <w:numPr>
          <w:ilvl w:val="0"/>
          <w:numId w:val="0"/>
        </w:numPr>
        <w:bidi/>
        <w:ind w:left="1134"/>
        <w:rPr>
          <w:rFonts w:asciiTheme="majorBidi" w:eastAsia="Calibri" w:hAnsiTheme="majorBidi" w:cstheme="majorBidi"/>
          <w:lang w:bidi="ar-LB"/>
        </w:rPr>
      </w:pPr>
      <w:r w:rsidRPr="006500F0">
        <w:rPr>
          <w:rFonts w:asciiTheme="majorBidi" w:eastAsia="Calibri" w:hAnsiTheme="majorBidi" w:cstheme="majorBidi"/>
          <w:lang w:bidi="ar-LB"/>
        </w:rPr>
        <w:t>58.</w:t>
      </w:r>
      <w:r w:rsidR="00E9169C" w:rsidRPr="006500F0">
        <w:rPr>
          <w:rFonts w:asciiTheme="majorBidi" w:eastAsia="Calibri" w:hAnsiTheme="majorBidi" w:cstheme="majorBidi"/>
          <w:rtl/>
          <w:lang w:bidi="ar-LB"/>
        </w:rPr>
        <w:t xml:space="preserve">  لذلك، ثمة أسباب وجيهة تدعو للاعتقاد بأن أعمال القتل،</w:t>
      </w:r>
      <w:r w:rsidR="00400FA2" w:rsidRPr="006500F0">
        <w:rPr>
          <w:rStyle w:val="FootnoteReference"/>
          <w:rFonts w:asciiTheme="majorBidi" w:eastAsia="Calibri" w:hAnsiTheme="majorBidi" w:cstheme="majorBidi"/>
          <w:lang w:bidi="ar-LB"/>
        </w:rPr>
        <w:footnoteReference w:id="26"/>
      </w:r>
      <w:r w:rsidR="00E9169C" w:rsidRPr="006500F0">
        <w:rPr>
          <w:rFonts w:asciiTheme="majorBidi" w:eastAsia="Calibri" w:hAnsiTheme="majorBidi" w:cstheme="majorBidi"/>
          <w:rtl/>
          <w:lang w:bidi="ar-LB"/>
        </w:rPr>
        <w:t xml:space="preserve"> والتعذيب،</w:t>
      </w:r>
      <w:r w:rsidR="00400FA2" w:rsidRPr="006500F0">
        <w:rPr>
          <w:rStyle w:val="FootnoteReference"/>
          <w:rFonts w:asciiTheme="majorBidi" w:eastAsia="Calibri" w:hAnsiTheme="majorBidi" w:cstheme="majorBidi"/>
          <w:lang w:bidi="ar-LB"/>
        </w:rPr>
        <w:footnoteReference w:id="27"/>
      </w:r>
      <w:r w:rsidR="00E9169C" w:rsidRPr="006500F0">
        <w:rPr>
          <w:rFonts w:asciiTheme="majorBidi" w:eastAsia="Calibri" w:hAnsiTheme="majorBidi" w:cstheme="majorBidi"/>
          <w:rtl/>
          <w:lang w:bidi="ar-LB"/>
        </w:rPr>
        <w:t xml:space="preserve"> والسجن،</w:t>
      </w:r>
      <w:r w:rsidR="00400FA2" w:rsidRPr="006500F0">
        <w:rPr>
          <w:rStyle w:val="FootnoteReference"/>
          <w:rFonts w:asciiTheme="majorBidi" w:eastAsia="Calibri" w:hAnsiTheme="majorBidi" w:cstheme="majorBidi"/>
          <w:lang w:bidi="ar-LB"/>
        </w:rPr>
        <w:footnoteReference w:id="28"/>
      </w:r>
      <w:r w:rsidR="00E9169C" w:rsidRPr="006500F0">
        <w:rPr>
          <w:rFonts w:asciiTheme="majorBidi" w:eastAsia="Calibri" w:hAnsiTheme="majorBidi" w:cstheme="majorBidi"/>
          <w:rtl/>
          <w:lang w:bidi="ar-LB"/>
        </w:rPr>
        <w:t xml:space="preserve"> والاغتصاب،</w:t>
      </w:r>
      <w:r w:rsidR="00400FA2" w:rsidRPr="006500F0">
        <w:rPr>
          <w:rStyle w:val="FootnoteReference"/>
          <w:rFonts w:asciiTheme="majorBidi" w:eastAsia="Calibri" w:hAnsiTheme="majorBidi" w:cstheme="majorBidi"/>
          <w:lang w:bidi="ar-LB"/>
        </w:rPr>
        <w:footnoteReference w:id="29"/>
      </w:r>
      <w:r w:rsidR="00E9169C" w:rsidRPr="006500F0">
        <w:rPr>
          <w:rFonts w:asciiTheme="majorBidi" w:eastAsia="Calibri" w:hAnsiTheme="majorBidi" w:cstheme="majorBidi"/>
          <w:rtl/>
          <w:lang w:bidi="ar-LB"/>
        </w:rPr>
        <w:t xml:space="preserve"> والاختفاء القسري،</w:t>
      </w:r>
      <w:r w:rsidR="00400FA2" w:rsidRPr="006500F0">
        <w:rPr>
          <w:rStyle w:val="FootnoteReference"/>
          <w:rFonts w:asciiTheme="majorBidi" w:eastAsia="Calibri" w:hAnsiTheme="majorBidi" w:cstheme="majorBidi"/>
          <w:lang w:bidi="ar-LB"/>
        </w:rPr>
        <w:footnoteReference w:id="30"/>
      </w:r>
      <w:r w:rsidR="00E9169C" w:rsidRPr="006500F0">
        <w:rPr>
          <w:rFonts w:asciiTheme="majorBidi" w:eastAsia="Calibri" w:hAnsiTheme="majorBidi" w:cstheme="majorBidi"/>
          <w:rtl/>
          <w:lang w:bidi="ar-LB"/>
        </w:rPr>
        <w:t xml:space="preserve"> التي ارتُكبت في السجون الليبية المذكورة أعلاه، وحصلتْ على نطاق كبير، وأظهرتْ هذا المستوى من التنظيم، ترقى في حد ذاتها إلى هجوم منهجي وواسع النطاق ضد السكان المدنيين. على هذا النحو، قد ترقى هذه الأعمال إلى جرائم ضد الإنسانية. ولا بدّ من إجراء مزيد من التحقيقات لتحديد المسؤوليات عن هذه الجرائم</w:t>
      </w:r>
      <w:r w:rsidR="00E9169C" w:rsidRPr="006500F0">
        <w:rPr>
          <w:rFonts w:asciiTheme="majorBidi" w:eastAsia="Calibri" w:hAnsiTheme="majorBidi" w:cstheme="majorBidi"/>
          <w:lang w:bidi="ar-LB"/>
        </w:rPr>
        <w:t>.</w:t>
      </w:r>
    </w:p>
    <w:p w14:paraId="165B1562" w14:textId="03AEDBB1" w:rsidR="00B24252" w:rsidRPr="006500F0" w:rsidRDefault="00FA4CD4" w:rsidP="003827D3">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59.</w:t>
      </w:r>
      <w:r w:rsidRPr="006500F0">
        <w:rPr>
          <w:rFonts w:asciiTheme="majorBidi" w:hAnsiTheme="majorBidi" w:cstheme="majorBidi"/>
          <w:lang w:bidi="ar-LB"/>
        </w:rPr>
        <w:tab/>
      </w:r>
      <w:r w:rsidR="003827D3" w:rsidRPr="006500F0">
        <w:rPr>
          <w:rFonts w:asciiTheme="majorBidi" w:hAnsiTheme="majorBidi" w:cstheme="majorBidi"/>
          <w:rtl/>
          <w:lang w:bidi="ar-LB"/>
        </w:rPr>
        <w:t>بالإضافة إلى ما ذُكر سابقًا، وثّقت البعثة وجود سجناء تم أسرهم من الخطوط الأمامية من قبل الجيش التابع للدولة أو الجماعات المسلحة. وأثبتت الأدلة أن هؤلاء السجناء المرتبطين بالنزاع تعرضوا للتعذيب وغيره من ضروب سوء المعاملة، أحيانًا بشكل يومي، ولا سيما أثناء مرحلة الاستجواب. وبما أن السجناء المرتبطين بالنزاع توقفوا عن المشاركة بشكل مباشر في الأعمال العدائية، لذلك، ثمة أسباب وجيهة تدعو للاعتقاد بأن الضرر الذي عانوا منه قد يرقى إلى جرائم الحرب المتمثلة في المعاملة القاسية والتعذيب.</w:t>
      </w:r>
      <w:r w:rsidR="003827D3" w:rsidRPr="006500F0">
        <w:rPr>
          <w:rFonts w:asciiTheme="majorBidi" w:hAnsiTheme="majorBidi" w:cstheme="majorBidi"/>
          <w:shd w:val="clear" w:color="auto" w:fill="FFFFFF"/>
          <w:lang w:val="en-US" w:bidi="ar-LB"/>
        </w:rPr>
        <w:t xml:space="preserve"> </w:t>
      </w:r>
      <w:r w:rsidR="003827D3" w:rsidRPr="006500F0">
        <w:rPr>
          <w:rStyle w:val="FootnoteReference"/>
          <w:rFonts w:asciiTheme="majorBidi" w:hAnsiTheme="majorBidi" w:cstheme="majorBidi"/>
          <w:shd w:val="clear" w:color="auto" w:fill="FFFFFF"/>
          <w:lang w:val="en-US" w:bidi="ar-LB"/>
        </w:rPr>
        <w:footnoteReference w:id="31"/>
      </w:r>
      <w:r w:rsidR="001D368E" w:rsidRPr="006500F0">
        <w:rPr>
          <w:rFonts w:asciiTheme="majorBidi" w:hAnsiTheme="majorBidi" w:cstheme="majorBidi"/>
          <w:shd w:val="clear" w:color="auto" w:fill="FFFFFF"/>
          <w:lang w:val="en-US" w:bidi="ar-LB"/>
        </w:rPr>
        <w:t xml:space="preserve"> </w:t>
      </w:r>
    </w:p>
    <w:p w14:paraId="7C393838" w14:textId="22E42333" w:rsidR="00176ED6" w:rsidRPr="006500F0" w:rsidRDefault="00AE0A09" w:rsidP="006A51EE">
      <w:pPr>
        <w:pStyle w:val="H1G"/>
        <w:kinsoku w:val="0"/>
        <w:overflowPunct w:val="0"/>
        <w:autoSpaceDE w:val="0"/>
        <w:autoSpaceDN w:val="0"/>
        <w:bidi/>
        <w:adjustRightInd w:val="0"/>
        <w:snapToGrid w:val="0"/>
        <w:rPr>
          <w:rFonts w:asciiTheme="majorBidi" w:hAnsiTheme="majorBidi" w:cstheme="majorBidi"/>
          <w:b w:val="0"/>
          <w:bCs/>
          <w:lang w:val="en-CA" w:bidi="ar-LB"/>
        </w:rPr>
      </w:pPr>
      <w:r w:rsidRPr="006500F0">
        <w:rPr>
          <w:rFonts w:asciiTheme="majorBidi" w:hAnsiTheme="majorBidi" w:cstheme="majorBidi"/>
          <w:b w:val="0"/>
          <w:bCs/>
          <w:lang w:val="en-CA" w:bidi="ar-LB"/>
        </w:rPr>
        <w:tab/>
      </w:r>
      <w:r w:rsidR="00FA4CD4" w:rsidRPr="006500F0">
        <w:rPr>
          <w:rFonts w:asciiTheme="majorBidi" w:hAnsiTheme="majorBidi" w:cstheme="majorBidi"/>
          <w:b w:val="0"/>
          <w:bCs/>
          <w:lang w:val="en-CA" w:bidi="ar-LB"/>
        </w:rPr>
        <w:tab/>
      </w:r>
      <w:r w:rsidR="006A51EE" w:rsidRPr="006500F0">
        <w:rPr>
          <w:rFonts w:asciiTheme="majorBidi" w:hAnsiTheme="majorBidi" w:cstheme="majorBidi"/>
          <w:b w:val="0"/>
          <w:bCs/>
          <w:rtl/>
          <w:lang w:val="en-CA" w:bidi="ar-LB"/>
        </w:rPr>
        <w:t>دال-</w:t>
      </w:r>
      <w:r w:rsidR="004E2647">
        <w:rPr>
          <w:rFonts w:asciiTheme="majorBidi" w:hAnsiTheme="majorBidi" w:cstheme="majorBidi"/>
          <w:b w:val="0"/>
          <w:bCs/>
          <w:rtl/>
          <w:lang w:val="en-CA" w:bidi="ar-LB"/>
        </w:rPr>
        <w:tab/>
      </w:r>
      <w:r w:rsidR="006A51EE" w:rsidRPr="006500F0">
        <w:rPr>
          <w:rFonts w:asciiTheme="majorBidi" w:hAnsiTheme="majorBidi" w:cstheme="majorBidi"/>
          <w:b w:val="0"/>
          <w:bCs/>
          <w:rtl/>
          <w:lang w:val="en-CA" w:bidi="ar-LB"/>
        </w:rPr>
        <w:t xml:space="preserve"> العنف الجنسي والجنساني</w:t>
      </w:r>
    </w:p>
    <w:p w14:paraId="23776F93" w14:textId="6D6062F4" w:rsidR="00DF59B6" w:rsidRPr="006500F0" w:rsidRDefault="00FA4CD4" w:rsidP="00405BD3">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60.</w:t>
      </w:r>
      <w:r w:rsidRPr="006500F0">
        <w:rPr>
          <w:rFonts w:asciiTheme="majorBidi" w:hAnsiTheme="majorBidi" w:cstheme="majorBidi"/>
          <w:lang w:bidi="ar-LB"/>
        </w:rPr>
        <w:tab/>
      </w:r>
      <w:r w:rsidR="004012E1" w:rsidRPr="006500F0">
        <w:rPr>
          <w:rFonts w:asciiTheme="majorBidi" w:hAnsiTheme="majorBidi" w:cstheme="majorBidi"/>
          <w:rtl/>
          <w:lang w:val="en-CA" w:bidi="ar-LB"/>
        </w:rPr>
        <w:t xml:space="preserve">إنّ العنف الجنساني هو أي شكل من أشكال العنف الموجه تجاه شخص ما، أو الذي يؤثر عليه بشكل غير متناسب، بسبب نوعه الاجتماعي أو جنسه. نظرتْ التحقيقات في الطيف الكامل للعنف الجنساني في ليبيا، مشيرة إلى أن هذا العنف متجذر بعمق وغالبًا ما يكون مخفيًا. يُعنى هذا القسم </w:t>
      </w:r>
      <w:r w:rsidR="004012E1" w:rsidRPr="006500F0">
        <w:rPr>
          <w:rFonts w:asciiTheme="majorBidi" w:hAnsiTheme="majorBidi" w:cstheme="majorBidi"/>
          <w:rtl/>
          <w:lang w:val="en-CA" w:bidi="ar-LB"/>
        </w:rPr>
        <w:lastRenderedPageBreak/>
        <w:t>بالعنف الجنسي باعتباره شكلاً بارزًا من أشكال العنف الجنساني. وتمّ تناول أشكال أخرى من العنف الجنساني في القسم "زين" أدناه</w:t>
      </w:r>
      <w:r w:rsidR="004012E1" w:rsidRPr="006500F0">
        <w:rPr>
          <w:rFonts w:asciiTheme="majorBidi" w:hAnsiTheme="majorBidi" w:cstheme="majorBidi"/>
          <w:lang w:val="en-CA" w:bidi="ar-LB"/>
        </w:rPr>
        <w:t>.</w:t>
      </w:r>
    </w:p>
    <w:p w14:paraId="26E741DD" w14:textId="528EBA90" w:rsidR="00B90B45" w:rsidRPr="006500F0" w:rsidRDefault="00FA4CD4" w:rsidP="00ED3B72">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61.</w:t>
      </w:r>
      <w:r w:rsidRPr="006500F0">
        <w:rPr>
          <w:rFonts w:asciiTheme="majorBidi" w:hAnsiTheme="majorBidi" w:cstheme="majorBidi"/>
          <w:lang w:bidi="ar-LB"/>
        </w:rPr>
        <w:tab/>
      </w:r>
      <w:r w:rsidR="00ED3B72" w:rsidRPr="006500F0">
        <w:rPr>
          <w:rFonts w:asciiTheme="majorBidi" w:hAnsiTheme="majorBidi" w:cstheme="majorBidi"/>
          <w:rtl/>
          <w:lang w:val="en-CA" w:bidi="ar-LB"/>
        </w:rPr>
        <w:t>وفقًا للتفاصيل الواردة في قسم آخر من هذا التقرير، فإن الفئات المستضعفة من السكان، مثل المهاجرين، وطالبي اللجوء، واللاجئين، والسجناء هم عرضة بشكل خاص لخطر العنف الجنسي. وبعيدًا عن بيئة الاحتجاز، ثمة مؤشرات موثوقة تشير إلى أن الموظفين الحكوميين أو عناصر الميليشيات يستخدمون العنف الجنسي أيضًا كأداة قهر أو إذلال لإسكات أولئك الذين يُعتقد أنهم يتحدثون ضد مصالحهم، أو يبدو أنهم يتحدّون الأعراف الاجتماعية أو الأدوار المقبولة للجنسيْن. ولتوضيح ذلك، تلقت البعثة عدة تقارير تفيد باختطاف نشطاء حقوقيين ومن ثم تعرضهم للعنف الجنسي لردعهم عن المشاركة في الحياة العامة. يبدو أن العنف الموجه ضد الأشخاص الذين يتمايزون بميولهم الجنسية أو هويتهم الجنسانية المختلفة، يستند إلى فكرة محدّدة بشأن "الحالة الطبيعية" الجنسية والجنسانية، كما يتضح من حالات الضرب والاغتصاب التي يتعرض لها أفراد مجتمع الميم التي أُبلغت بها البعثة. أشارت الأدلة إلى أن العنف الجنسي يتخذ أشكالاً مختلفة: فبالإضافة إلى الاغتصاب، قد يُجبر الرجال أو النساء على التجرد من ملابسهم، أو الانخراط في أعمال جنسية مع آخرين، أو مشاهدة آخرين يمارسون الاغتصاب. ويتفاقم العنف الجنسي بسبب القوانين التي تجرّم الاغتصاب باعتباره جريمة ضد الشرف أو ضدّ العلاقات الجنسية المُثلية</w:t>
      </w:r>
      <w:r w:rsidR="00ED3B72" w:rsidRPr="006500F0">
        <w:rPr>
          <w:rFonts w:asciiTheme="majorBidi" w:hAnsiTheme="majorBidi" w:cstheme="majorBidi"/>
          <w:lang w:val="en-CA" w:bidi="ar-LB"/>
        </w:rPr>
        <w:t>.</w:t>
      </w:r>
    </w:p>
    <w:p w14:paraId="0DB7B4AC" w14:textId="4BC522C4" w:rsidR="009C16F9" w:rsidRPr="006500F0" w:rsidRDefault="00FA4CD4" w:rsidP="00BF65EB">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62.</w:t>
      </w:r>
      <w:r w:rsidRPr="006500F0">
        <w:rPr>
          <w:rFonts w:asciiTheme="majorBidi" w:hAnsiTheme="majorBidi" w:cstheme="majorBidi"/>
          <w:lang w:bidi="ar-LB"/>
        </w:rPr>
        <w:tab/>
      </w:r>
      <w:r w:rsidR="00BF65EB" w:rsidRPr="006500F0">
        <w:rPr>
          <w:rFonts w:asciiTheme="majorBidi" w:hAnsiTheme="majorBidi" w:cstheme="majorBidi"/>
          <w:rtl/>
          <w:lang w:val="en-CA" w:bidi="ar-LB"/>
        </w:rPr>
        <w:t>إنّ الكشف عن العنف الجنسي في السياق الليبي مهمةٌ شاقةٌ. فالمجتمع الليبي هو مجتمعٌ أبوي، تتداخل ثقافته مع أفكار متجذرة بعمق حول الرجولة، والنزعة العسكرية، ومبدأ المحافظة الدينية. وكنتيجة طبيعية لذلك، يُعتبر النشاط الجنسي من المحرمات، ويحمل العنف الجنسي في طياته وصمة عار اجتماعية. ويبدو أن الجناة يسيئون استخدام هذا الواقع لإذلال ضحاياهم. ويشعر الناجون من العنف الجنسي بالخوف أو الخجل، وأحيانًا بكليهما، من إبلاغ السلطات بقضيتهم أو مشاركة تجربتهم مع الآخرين. على الرغم من التقارير الموثوقة التي تلقتها البعثة، لم يسمح الوقت المحدود المتاح للبعثة بالتوصل إلى نتائج نهائية بشأن حالات العنف الجنسي وأنماطه خارج سياق الاحتجاز. ولا بدّ من إجراء مزيد من التحقيقات لتوثيق العنف الجنسي في ليبيا بشكل كامل.</w:t>
      </w:r>
    </w:p>
    <w:p w14:paraId="2F238BAD" w14:textId="677FDF23" w:rsidR="00176ED6" w:rsidRPr="006500F0" w:rsidRDefault="00AE0A09" w:rsidP="00FA179E">
      <w:pPr>
        <w:pStyle w:val="H1G"/>
        <w:kinsoku w:val="0"/>
        <w:overflowPunct w:val="0"/>
        <w:autoSpaceDE w:val="0"/>
        <w:autoSpaceDN w:val="0"/>
        <w:bidi/>
        <w:adjustRightInd w:val="0"/>
        <w:snapToGrid w:val="0"/>
        <w:rPr>
          <w:rFonts w:asciiTheme="majorBidi" w:hAnsiTheme="majorBidi" w:cstheme="majorBidi"/>
          <w:b w:val="0"/>
          <w:bCs/>
          <w:lang w:val="en-CA" w:bidi="ar-LB"/>
        </w:rPr>
      </w:pPr>
      <w:r w:rsidRPr="006500F0">
        <w:rPr>
          <w:rFonts w:asciiTheme="majorBidi" w:hAnsiTheme="majorBidi" w:cstheme="majorBidi"/>
          <w:b w:val="0"/>
          <w:bCs/>
          <w:lang w:val="en-CA" w:bidi="ar-LB"/>
        </w:rPr>
        <w:tab/>
      </w:r>
      <w:r w:rsidR="00FA4CD4" w:rsidRPr="006500F0">
        <w:rPr>
          <w:rFonts w:asciiTheme="majorBidi" w:hAnsiTheme="majorBidi" w:cstheme="majorBidi"/>
          <w:b w:val="0"/>
          <w:bCs/>
          <w:lang w:val="en-CA" w:bidi="ar-LB"/>
        </w:rPr>
        <w:tab/>
      </w:r>
      <w:r w:rsidR="00FA179E" w:rsidRPr="006500F0">
        <w:rPr>
          <w:rFonts w:asciiTheme="majorBidi" w:hAnsiTheme="majorBidi" w:cstheme="majorBidi"/>
          <w:b w:val="0"/>
          <w:bCs/>
          <w:rtl/>
          <w:lang w:val="en-CA" w:bidi="ar-LB"/>
        </w:rPr>
        <w:t xml:space="preserve">هاء- </w:t>
      </w:r>
      <w:r w:rsidR="004E2647">
        <w:rPr>
          <w:rFonts w:asciiTheme="majorBidi" w:hAnsiTheme="majorBidi" w:cstheme="majorBidi"/>
          <w:b w:val="0"/>
          <w:bCs/>
          <w:rtl/>
          <w:lang w:val="en-CA" w:bidi="ar-LB"/>
        </w:rPr>
        <w:tab/>
      </w:r>
      <w:r w:rsidR="00FA179E" w:rsidRPr="006500F0">
        <w:rPr>
          <w:rFonts w:asciiTheme="majorBidi" w:hAnsiTheme="majorBidi" w:cstheme="majorBidi"/>
          <w:b w:val="0"/>
          <w:bCs/>
          <w:rtl/>
          <w:lang w:val="en-CA" w:bidi="ar-LB"/>
        </w:rPr>
        <w:t>النازحون داخليًا</w:t>
      </w:r>
    </w:p>
    <w:p w14:paraId="10EBD50B" w14:textId="0CFB25C8" w:rsidR="00000CE8" w:rsidRPr="006500F0" w:rsidRDefault="00FA4CD4" w:rsidP="00000CE8">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63.</w:t>
      </w:r>
      <w:r w:rsidRPr="006500F0">
        <w:rPr>
          <w:rFonts w:asciiTheme="majorBidi" w:hAnsiTheme="majorBidi" w:cstheme="majorBidi"/>
          <w:lang w:bidi="ar-LB"/>
        </w:rPr>
        <w:tab/>
      </w:r>
      <w:r w:rsidR="00000CE8" w:rsidRPr="006500F0">
        <w:rPr>
          <w:rFonts w:asciiTheme="majorBidi" w:hAnsiTheme="majorBidi" w:cstheme="majorBidi"/>
          <w:rtl/>
          <w:lang w:bidi="ar-LB"/>
        </w:rPr>
        <w:t>أدى انعدام الأمن السائد في ليبيا إلى النزوح الداخلي لمئات الآلاف من الأشخاص الذين انتهى بهم الأمر في مناطق غير مجهزة لاستيعاب التحركات السكانية الكبيرة.</w:t>
      </w:r>
      <w:r w:rsidR="00000CE8" w:rsidRPr="006500F0">
        <w:rPr>
          <w:rFonts w:asciiTheme="majorBidi" w:hAnsiTheme="majorBidi" w:cstheme="majorBidi"/>
          <w:lang w:bidi="ar-LB"/>
        </w:rPr>
        <w:t xml:space="preserve"> </w:t>
      </w:r>
      <w:r w:rsidR="00000CE8" w:rsidRPr="006500F0">
        <w:rPr>
          <w:rStyle w:val="FootnoteReference"/>
          <w:rFonts w:asciiTheme="majorBidi" w:hAnsiTheme="majorBidi" w:cstheme="majorBidi"/>
          <w:lang w:bidi="ar-LB"/>
        </w:rPr>
        <w:footnoteReference w:id="32"/>
      </w:r>
      <w:r w:rsidR="00000CE8" w:rsidRPr="006500F0">
        <w:rPr>
          <w:rFonts w:asciiTheme="majorBidi" w:hAnsiTheme="majorBidi" w:cstheme="majorBidi"/>
          <w:rtl/>
          <w:lang w:bidi="ar-LB"/>
        </w:rPr>
        <w:t xml:space="preserve">لأغراض هذا التقرير، نظرتْ البعثة في وضع مجتمع تاورغاء. أثّر النزوح الداخلي أيضًا على مجتمعات أخرى، مثل التبو والأهالي في جنوب ليبيا. وتلقتْ البعثة تقارير تفيد بأنه بين فبراير/شباط وأغسطس/آب 2019، أدّتْ </w:t>
      </w:r>
      <w:r w:rsidR="00000CE8" w:rsidRPr="006500F0">
        <w:rPr>
          <w:rFonts w:asciiTheme="majorBidi" w:hAnsiTheme="majorBidi" w:cstheme="majorBidi"/>
          <w:rtl/>
          <w:lang w:bidi="ar-LB"/>
        </w:rPr>
        <w:lastRenderedPageBreak/>
        <w:t>المواجهات بين هذيْن المكوّنيْن إلى تهجير غالبية سكان مرزق. سيسمح تمديد ولاية البعثة بالتحقيق في هذه الادعاءات ومعالجة النزوح الداخلي بشكل كامل، بعد تقرير مقررة الأمم المتحدة الخاصة المعنية بحقوق الإنسان لل</w:t>
      </w:r>
      <w:r w:rsidR="00AF419B">
        <w:rPr>
          <w:rFonts w:asciiTheme="majorBidi" w:hAnsiTheme="majorBidi" w:cstheme="majorBidi" w:hint="cs"/>
          <w:rtl/>
          <w:lang w:bidi="ar-LB"/>
        </w:rPr>
        <w:t>مشردين</w:t>
      </w:r>
      <w:r w:rsidR="00000CE8" w:rsidRPr="006500F0">
        <w:rPr>
          <w:rFonts w:asciiTheme="majorBidi" w:hAnsiTheme="majorBidi" w:cstheme="majorBidi"/>
          <w:rtl/>
          <w:lang w:bidi="ar-LB"/>
        </w:rPr>
        <w:t xml:space="preserve"> داخليًا.</w:t>
      </w:r>
      <w:r w:rsidR="007F3AAE" w:rsidRPr="006500F0">
        <w:rPr>
          <w:rStyle w:val="FootnoteReference"/>
          <w:rFonts w:asciiTheme="majorBidi" w:hAnsiTheme="majorBidi" w:cstheme="majorBidi"/>
          <w:lang w:bidi="ar-LB"/>
        </w:rPr>
        <w:t xml:space="preserve"> </w:t>
      </w:r>
      <w:r w:rsidR="007F3AAE" w:rsidRPr="006500F0">
        <w:rPr>
          <w:rStyle w:val="FootnoteReference"/>
          <w:rFonts w:asciiTheme="majorBidi" w:hAnsiTheme="majorBidi" w:cstheme="majorBidi"/>
          <w:lang w:bidi="ar-LB"/>
        </w:rPr>
        <w:footnoteReference w:id="33"/>
      </w:r>
      <w:r w:rsidR="00000CE8" w:rsidRPr="006500F0">
        <w:rPr>
          <w:rStyle w:val="EndnoteReference"/>
          <w:rFonts w:asciiTheme="majorBidi" w:hAnsiTheme="majorBidi" w:cstheme="majorBidi"/>
          <w:lang w:bidi="ar-LB"/>
        </w:rPr>
        <w:t xml:space="preserve"> </w:t>
      </w:r>
    </w:p>
    <w:p w14:paraId="3CA7D3A7" w14:textId="399A64DF" w:rsidR="00070CF3" w:rsidRPr="006500F0" w:rsidRDefault="00FA4CD4" w:rsidP="00FD5AB9">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64.</w:t>
      </w:r>
      <w:r w:rsidRPr="006500F0">
        <w:rPr>
          <w:rFonts w:asciiTheme="majorBidi" w:hAnsiTheme="majorBidi" w:cstheme="majorBidi"/>
          <w:lang w:bidi="ar-LB"/>
        </w:rPr>
        <w:tab/>
      </w:r>
      <w:r w:rsidR="00FD5AB9" w:rsidRPr="006500F0">
        <w:rPr>
          <w:rFonts w:asciiTheme="majorBidi" w:hAnsiTheme="majorBidi" w:cstheme="majorBidi"/>
          <w:rtl/>
          <w:lang w:bidi="ar-LB"/>
        </w:rPr>
        <w:t>تشير التقارير إلى أنه بحلول منتصف العام 2011، فرّ جميع سكان تاورغاء البالغ عددهم حوالي 40 ألف شخص، من الهجمات الموجهة ضدهم من قبل ميليشيات مصراتة. كان يُنظر إلى سكان تاورغاء، الذين ينتمون إلى المجموعة الإثنية التي تحمل الاسم نفسه، على أنهم مؤيدون للقذافي. ولجأ غالبية سكان تاورغاء إلى مستوطنات عشوائية حول طرابلس وبنغازي. ولم تتحقق العودة الكاملة إلى تاورغاء بعد، على الرغم من الاتفاق الذي تم التوصل إليه في هذا الصدد بين مجتمعيْ تاورغاء ومصراتة.</w:t>
      </w:r>
    </w:p>
    <w:p w14:paraId="46756F96" w14:textId="00F20B55" w:rsidR="00A71AF9" w:rsidRPr="006500F0" w:rsidRDefault="00FA4CD4" w:rsidP="00A71AF9">
      <w:pPr>
        <w:pStyle w:val="ParNoG"/>
        <w:numPr>
          <w:ilvl w:val="0"/>
          <w:numId w:val="0"/>
        </w:numPr>
        <w:bidi/>
        <w:ind w:left="1134"/>
        <w:rPr>
          <w:rFonts w:asciiTheme="majorBidi" w:hAnsiTheme="majorBidi" w:cstheme="majorBidi"/>
          <w:rtl/>
          <w:lang w:bidi="ar-LB"/>
        </w:rPr>
      </w:pPr>
      <w:r w:rsidRPr="006500F0">
        <w:rPr>
          <w:rFonts w:asciiTheme="majorBidi" w:hAnsiTheme="majorBidi" w:cstheme="majorBidi"/>
          <w:lang w:bidi="ar-LB"/>
        </w:rPr>
        <w:t>65.</w:t>
      </w:r>
      <w:r w:rsidRPr="006500F0">
        <w:rPr>
          <w:rFonts w:asciiTheme="majorBidi" w:hAnsiTheme="majorBidi" w:cstheme="majorBidi"/>
          <w:lang w:bidi="ar-LB"/>
        </w:rPr>
        <w:tab/>
      </w:r>
      <w:r w:rsidR="00A71AF9" w:rsidRPr="006500F0">
        <w:rPr>
          <w:rFonts w:asciiTheme="majorBidi" w:hAnsiTheme="majorBidi" w:cstheme="majorBidi"/>
          <w:rtl/>
          <w:lang w:bidi="ar-LB"/>
        </w:rPr>
        <w:t>أثبتت الأدلة أن سكان تاورغاء النازحين داخليًا يواجهون ظروفًا معيشية صعبة في المخيمات التي يسكنون فيها. فهم يفتقرون إلى إمكانية الحصول على الخدمات الملائمة من الرعاية الطبية والغذاء والمياه والصرف الصحي، كما أن فرص تعليم الأطفال محدودة. وأثبتت التحقيقات أيضًا تعرّض سكان تاورغاء لأعمال عنف في المخيمات التي يقيمون فيها (بما في ذلك القتل والضرب والتهديد بالقتل والاختطاف والاحتجاز التعسفي وتدمير الممتلكات)، وأن شروط عودتهم إلى تاورغاء غير مستوفاة. ولا يزال ينبغي التحقيق في مزاعم العنف الجنسي والزواج المبكر. واستنتجت البعثة من الحالة المستمرة لوضع تاورغاء أن الدولة تتقبل العنف والانتهاكات في المخيمات، وتُذعن له، ولا توفر الحماية منه. ولاحظت البعثة أن الدولة لم تتخذ بعد تدابير كافية لضمان العودة الآمنة لسكان تاورغاء إلى منازلهم، وأنهم ما زالوا ينتظرون التعويض مقابل تدمير بلدتهم. وجدت البعثة أيضا أن سكان تاورغاء يتعرضون للاضطهاد، لأن أعمال العنف الموصوفة أعلاه حصلتْ بدافع التمييز، بسبب فكرة الارتباط بين تاورغاء ونظام القذافي، إضافة إلى أن سكان تاورغاء هم من الليبيين ذوي البشرة السوداء. على ضوء ما سبق، ثمة أسباب وجيهة تدعو للاعتقاد بأن ليبيا قد تعجز عن ضمان حقوق النازحين داخليًا من تاورغاء بموجب القانون الدولي.</w:t>
      </w:r>
      <w:r w:rsidR="00A71AF9" w:rsidRPr="006500F0">
        <w:rPr>
          <w:rFonts w:asciiTheme="majorBidi" w:hAnsiTheme="majorBidi" w:cstheme="majorBidi"/>
          <w:lang w:bidi="ar-LB"/>
        </w:rPr>
        <w:t xml:space="preserve"> </w:t>
      </w:r>
      <w:r w:rsidR="00A71AF9" w:rsidRPr="006500F0">
        <w:rPr>
          <w:rStyle w:val="FootnoteReference"/>
          <w:rFonts w:asciiTheme="majorBidi" w:hAnsiTheme="majorBidi" w:cstheme="majorBidi"/>
          <w:lang w:bidi="ar-LB"/>
        </w:rPr>
        <w:footnoteReference w:id="34"/>
      </w:r>
    </w:p>
    <w:p w14:paraId="2BDE0881" w14:textId="04E1BBE8" w:rsidR="00176ED6" w:rsidRPr="006500F0" w:rsidRDefault="00AE0A09" w:rsidP="00C5578A">
      <w:pPr>
        <w:pStyle w:val="H1G"/>
        <w:kinsoku w:val="0"/>
        <w:overflowPunct w:val="0"/>
        <w:autoSpaceDE w:val="0"/>
        <w:autoSpaceDN w:val="0"/>
        <w:bidi/>
        <w:adjustRightInd w:val="0"/>
        <w:snapToGrid w:val="0"/>
        <w:ind w:left="0" w:firstLine="0"/>
        <w:rPr>
          <w:rFonts w:asciiTheme="majorBidi" w:hAnsiTheme="majorBidi" w:cstheme="majorBidi"/>
          <w:b w:val="0"/>
          <w:bCs/>
          <w:lang w:val="en-CA" w:bidi="ar-LB"/>
        </w:rPr>
      </w:pPr>
      <w:r w:rsidRPr="006500F0">
        <w:rPr>
          <w:rFonts w:asciiTheme="majorBidi" w:hAnsiTheme="majorBidi" w:cstheme="majorBidi"/>
          <w:b w:val="0"/>
          <w:bCs/>
          <w:lang w:val="en-CA" w:bidi="ar-LB"/>
        </w:rPr>
        <w:tab/>
      </w:r>
      <w:r w:rsidR="00FA4CD4" w:rsidRPr="006500F0">
        <w:rPr>
          <w:rFonts w:asciiTheme="majorBidi" w:hAnsiTheme="majorBidi" w:cstheme="majorBidi"/>
          <w:b w:val="0"/>
          <w:bCs/>
          <w:lang w:val="en-CA" w:bidi="ar-LB"/>
        </w:rPr>
        <w:tab/>
      </w:r>
      <w:r w:rsidR="00C5578A" w:rsidRPr="006500F0">
        <w:rPr>
          <w:rFonts w:asciiTheme="majorBidi" w:eastAsiaTheme="minorHAnsi" w:hAnsiTheme="majorBidi" w:cstheme="majorBidi"/>
          <w:b w:val="0"/>
          <w:bCs/>
          <w:rtl/>
          <w:lang w:val="en-CA" w:bidi="ar-LB"/>
        </w:rPr>
        <w:t>واو-</w:t>
      </w:r>
      <w:r w:rsidR="004E2647">
        <w:rPr>
          <w:rFonts w:asciiTheme="majorBidi" w:eastAsiaTheme="minorHAnsi" w:hAnsiTheme="majorBidi" w:cstheme="majorBidi"/>
          <w:b w:val="0"/>
          <w:bCs/>
          <w:rtl/>
          <w:lang w:val="en-CA" w:bidi="ar-LB"/>
        </w:rPr>
        <w:tab/>
      </w:r>
      <w:r w:rsidR="00C5578A" w:rsidRPr="006500F0">
        <w:rPr>
          <w:rFonts w:asciiTheme="majorBidi" w:eastAsiaTheme="minorHAnsi" w:hAnsiTheme="majorBidi" w:cstheme="majorBidi"/>
          <w:b w:val="0"/>
          <w:bCs/>
          <w:rtl/>
          <w:lang w:val="en-CA" w:bidi="ar-LB"/>
        </w:rPr>
        <w:t>المهاجرون</w:t>
      </w:r>
    </w:p>
    <w:p w14:paraId="65D4631C" w14:textId="42552399" w:rsidR="00F74E87" w:rsidRPr="006500F0" w:rsidRDefault="00FA4CD4" w:rsidP="00F74E87">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66.</w:t>
      </w:r>
      <w:r w:rsidRPr="006500F0">
        <w:rPr>
          <w:rFonts w:asciiTheme="majorBidi" w:hAnsiTheme="majorBidi" w:cstheme="majorBidi"/>
          <w:lang w:bidi="ar-LB"/>
        </w:rPr>
        <w:tab/>
      </w:r>
      <w:r w:rsidR="00F74E87" w:rsidRPr="006500F0">
        <w:rPr>
          <w:rFonts w:asciiTheme="majorBidi" w:hAnsiTheme="majorBidi" w:cstheme="majorBidi"/>
          <w:rtl/>
          <w:lang w:bidi="ar-LB"/>
        </w:rPr>
        <w:t>لطالما شكلّتْ ليبيا البلد المقصد ونقطة المغادرة على حدّ سواء لأولئك الفا</w:t>
      </w:r>
      <w:r w:rsidR="00F74E87" w:rsidRPr="006500F0">
        <w:rPr>
          <w:rFonts w:asciiTheme="majorBidi" w:hAnsiTheme="majorBidi" w:cstheme="majorBidi"/>
          <w:rtl/>
          <w:lang w:val="en-US" w:bidi="ar-LB"/>
        </w:rPr>
        <w:t>رّ</w:t>
      </w:r>
      <w:r w:rsidR="00F74E87" w:rsidRPr="006500F0">
        <w:rPr>
          <w:rFonts w:asciiTheme="majorBidi" w:hAnsiTheme="majorBidi" w:cstheme="majorBidi"/>
          <w:rtl/>
          <w:lang w:bidi="ar-LB"/>
        </w:rPr>
        <w:t>ين من العنف أو الفقر. تشير التقارير إلى تدهور حالة حقوق الإنسان لكلّ من المهاجرين وطالبي اللجوء واللاجئين</w:t>
      </w:r>
      <w:r w:rsidR="00F74E87" w:rsidRPr="006500F0">
        <w:rPr>
          <w:rStyle w:val="FootnoteReference"/>
          <w:rFonts w:asciiTheme="majorBidi" w:hAnsiTheme="majorBidi" w:cstheme="majorBidi"/>
          <w:lang w:bidi="ar-LB"/>
        </w:rPr>
        <w:footnoteReference w:id="35"/>
      </w:r>
      <w:r w:rsidR="00F74E87" w:rsidRPr="006500F0">
        <w:rPr>
          <w:rFonts w:asciiTheme="majorBidi" w:hAnsiTheme="majorBidi" w:cstheme="majorBidi"/>
          <w:rtl/>
          <w:lang w:bidi="ar-LB"/>
        </w:rPr>
        <w:t xml:space="preserve"> في ليبيا منذ العام 2016. وقد أثبتت الأدلة التي جمعتها البعثة، بما في ذلك مقابلات مع 50 مهاجراً، أنه منذ لحظة دخول المهاجرين إلى ليبيا في طريقهم نحو أوروبا، فإنهم يتعرضون بشكل منهجي </w:t>
      </w:r>
      <w:r w:rsidR="00F74E87" w:rsidRPr="006500F0">
        <w:rPr>
          <w:rFonts w:asciiTheme="majorBidi" w:hAnsiTheme="majorBidi" w:cstheme="majorBidi"/>
          <w:rtl/>
          <w:lang w:bidi="ar-LB"/>
        </w:rPr>
        <w:lastRenderedPageBreak/>
        <w:t>لسلسلة من الانتهاكات. ولكن نظرًا لضيق الوقت والموارد، ركزتْ البعثة على الانتهاكات والتجاوزات في ليبيا. ويوثّق هذا التقرير على وجه الخصوص نمط الاعتراض الذي يمارسه خفر السواحل الليبي لضمان الإنزال في ليبيا، إضافة إلى نمط احتجاز المهاجرين في مراكز الاحتجاز التي يديرها جهاز مكافحة الهجرة غير الشرعية (الرسم 3)، حيث يواجهون ظروفًا لا تُحتمل يُقصد بها التسبب في المعاناة والرغبة في استخدام أي وسيلة للهروب، بما في ذلك دفع مبالغ كبيرة من المال للميليشيات والعصابات الإجرامية والمُتجرين والمهرّبين الذين لديهم روابط مع الدولة ويستفيدون من هذه الممارسة.</w:t>
      </w:r>
    </w:p>
    <w:p w14:paraId="74967D2E" w14:textId="1DC6F86D" w:rsidR="004559A2" w:rsidRPr="006500F0" w:rsidRDefault="00FA4CD4" w:rsidP="00F02F13">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67.</w:t>
      </w:r>
      <w:r w:rsidRPr="006500F0">
        <w:rPr>
          <w:rFonts w:asciiTheme="majorBidi" w:hAnsiTheme="majorBidi" w:cstheme="majorBidi"/>
          <w:lang w:bidi="ar-LB"/>
        </w:rPr>
        <w:tab/>
      </w:r>
      <w:r w:rsidR="003D0127" w:rsidRPr="006500F0">
        <w:rPr>
          <w:rFonts w:asciiTheme="majorBidi" w:hAnsiTheme="majorBidi" w:cstheme="majorBidi"/>
          <w:rtl/>
          <w:lang w:bidi="ar-LB"/>
        </w:rPr>
        <w:t>يجرّم القانون الليبي الدخول والإقامة والخروج بشكل غير نظامي من البلاد. وأثبتت التحقيقات أن رحلة المهاجرين إلى أوروبا تبدأ عادة بدفع النقود للمهرّب، ثم ركوب قارب. ويعترضهم لاحقًا خفر السواحل الليبي بطريقة عنيفة أو متهورة، مما يؤدي إلى وفيات في بعض الأحيان. وعلى متن القارب، ثمة تقارير تفيد بأن خفر السواحل الليبي يصادر مقتنيات المهاجرين. وبعد إنزال المهاجرين، يُنقلون إما إلى مراكز الاحتجاز أو يُفقدون،</w:t>
      </w:r>
      <w:r w:rsidR="003D0127" w:rsidRPr="006500F0">
        <w:rPr>
          <w:rStyle w:val="FootnoteReference"/>
          <w:rFonts w:asciiTheme="majorBidi" w:hAnsiTheme="majorBidi" w:cstheme="majorBidi"/>
          <w:lang w:bidi="ar-LB"/>
        </w:rPr>
        <w:footnoteReference w:id="36"/>
      </w:r>
      <w:r w:rsidR="003D0127" w:rsidRPr="006500F0">
        <w:rPr>
          <w:rFonts w:asciiTheme="majorBidi" w:hAnsiTheme="majorBidi" w:cstheme="majorBidi"/>
          <w:rtl/>
          <w:lang w:bidi="ar-LB"/>
        </w:rPr>
        <w:t xml:space="preserve"> مع ورود تقارير عن بيع الأشخاص للمُتجرين. أثبتت المقابلات مع المهاجرين المحتجزين سابقاً في مراكز الاحتجاز التابعة لجهاز مكافحة الهجرة غير الشرعية أن جميع المهاجرين، سواء أكانوا من الرجال أو النساء، أو الفتيان أو الفتيات، يُحتجزون في ظروف قاسية، وبعضهم يموت. ويُحتجز بعض الأطفال مع البالغين، مما يعرضهم بشدّة لخطر سوء المعاملة.</w:t>
      </w:r>
      <w:r w:rsidR="003D0127" w:rsidRPr="006500F0">
        <w:rPr>
          <w:rFonts w:asciiTheme="majorBidi" w:hAnsiTheme="majorBidi" w:cstheme="majorBidi"/>
          <w:lang w:bidi="ar-LB"/>
        </w:rPr>
        <w:t xml:space="preserve"> </w:t>
      </w:r>
      <w:r w:rsidR="003D0127" w:rsidRPr="006500F0">
        <w:rPr>
          <w:rFonts w:asciiTheme="majorBidi" w:hAnsiTheme="majorBidi" w:cstheme="majorBidi"/>
          <w:rtl/>
          <w:lang w:bidi="ar-LB"/>
        </w:rPr>
        <w:t>تنتشر ممارسات التعذيب (مثل الصعق بالكهرباء) والعنف الجنسي (بما في ذلك الاغتصاب والإكراه على الدعارة). وعلى الرغم من أن القانون المحلي الليبي ينصّ على احتجاز المهاجرين، إلا أنهم يُحتجزون لفترات غير محددة دون أن تتاح لهم فرصة مراجعة شرعية احتجازهم، وتكمن الوسيلة الوحيدة الممكنة عمليًا للهروب في دفع مبالغ كبيرة من المال للحراس أو الانخراط في العمل الجبري أو الخدمات الجنسية داخل مركز الاحتجاز أو خارجه لصالح أفراد. وصف عدد كبير ممن تمت مقابلتهم أنهم تعرضوا لدورة العنف نفسها، التي تتكرّر وصولًا إلى 10 مرات في بعض الحالات، وتبدأ مع دفع أموال للحراس لتأمين الإفراج عنهم، ثم محاولة عبورهم البحر، واعتراضهم ثم إعادتهم إلى الاحتجاز في ظروف قاسية وعنيفة، وكل ذلك تحت السيطرة المطلقة للسلطات والميليشيات و/أو الشبكات الإجرامية. كما أن هناك أدلة على أن معظم المهاجرين المحتجزين يتحدّرون من أفريقيا جنوب الصحراء، وأنهم يُعاملون بطريقة أقسى من غيرهم من الجنسيات، مما يوحي بمعاملة تمييزية ضدّهم.</w:t>
      </w:r>
      <w:r w:rsidR="007A1D7C" w:rsidRPr="006500F0">
        <w:rPr>
          <w:rFonts w:asciiTheme="majorBidi" w:hAnsiTheme="majorBidi" w:cstheme="majorBidi"/>
          <w:lang w:bidi="ar-LB"/>
        </w:rPr>
        <w:t xml:space="preserve"> </w:t>
      </w:r>
    </w:p>
    <w:p w14:paraId="77E3F4BA" w14:textId="047712F8" w:rsidR="007410D9" w:rsidRPr="006500F0" w:rsidRDefault="00FA4CD4" w:rsidP="007A222F">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68.</w:t>
      </w:r>
      <w:r w:rsidRPr="006500F0">
        <w:rPr>
          <w:rFonts w:asciiTheme="majorBidi" w:hAnsiTheme="majorBidi" w:cstheme="majorBidi"/>
          <w:lang w:bidi="ar-LB"/>
        </w:rPr>
        <w:tab/>
      </w:r>
      <w:r w:rsidR="007A222F" w:rsidRPr="006500F0">
        <w:rPr>
          <w:rFonts w:asciiTheme="majorBidi" w:hAnsiTheme="majorBidi" w:cstheme="majorBidi"/>
          <w:rtl/>
          <w:lang w:bidi="ar-LB"/>
        </w:rPr>
        <w:t>يشكل المهاجرون مجموعة محددة من المدنيين يتّسمون بالهشاشة ويفتقرون إلى وضع قانوني داخل ليبيا. وقد ارتُكبتْ الأعمال المذكورة أعلاه على مدى طويل ونطاق واسع. واستنادًا إلى تقارير منظمات موثوقة، أثبتت البعثة أنه منذ العام 2016، جرى اعتراض حوالي 87 ألف مهاجر من قبل</w:t>
      </w:r>
      <w:r w:rsidR="007A222F" w:rsidRPr="006500F0">
        <w:rPr>
          <w:rFonts w:asciiTheme="majorBidi" w:hAnsiTheme="majorBidi" w:cstheme="majorBidi"/>
          <w:lang w:bidi="ar-LB"/>
        </w:rPr>
        <w:t xml:space="preserve"> </w:t>
      </w:r>
      <w:r w:rsidR="007A222F" w:rsidRPr="006500F0">
        <w:rPr>
          <w:rFonts w:asciiTheme="majorBidi" w:hAnsiTheme="majorBidi" w:cstheme="majorBidi"/>
          <w:rtl/>
          <w:lang w:bidi="ar-LB"/>
        </w:rPr>
        <w:lastRenderedPageBreak/>
        <w:t>خفر السواحل الليبي، وأنّ مراكز الاحتجاز التابعة لجهاز مكافحة الهجرة غير الشرعية تضمّ حاليًا حوالي 7 آلاف مهاجر، بما في ذلك نسب كبيرة من الأطفال. إضافة إلى ذلك، لا تشكل الأعمال المذكورة أعلاه حوادث منعزلة يمكن أن تُعزى إلى عناصر مارقة: بل هي تشكل جزءًا من نمط يتسم بعمليات خطيرة في البحر، يتبعها نقل ممنهج إلى مركز احتجاز، حيث يُحتجز المهاجرون لفترة غير محددة من الزمن ويتعرضون فيها لظروف لا تُحتمل تسبّب المعاناة وتدفعهم إلى استخدام أي وسيلة للهروب، بما في ذلك دفع الأموال</w:t>
      </w:r>
      <w:r w:rsidR="007A222F" w:rsidRPr="006500F0">
        <w:rPr>
          <w:rFonts w:asciiTheme="majorBidi" w:hAnsiTheme="majorBidi" w:cstheme="majorBidi"/>
          <w:lang w:bidi="ar-LB"/>
        </w:rPr>
        <w:t xml:space="preserve"> </w:t>
      </w:r>
      <w:r w:rsidR="007A222F" w:rsidRPr="006500F0">
        <w:rPr>
          <w:rFonts w:asciiTheme="majorBidi" w:hAnsiTheme="majorBidi" w:cstheme="majorBidi"/>
          <w:rtl/>
          <w:lang w:bidi="ar-LB"/>
        </w:rPr>
        <w:t>في سبيل الهروب.</w:t>
      </w:r>
      <w:r w:rsidR="004559A2" w:rsidRPr="006500F0">
        <w:rPr>
          <w:rFonts w:asciiTheme="majorBidi" w:hAnsiTheme="majorBidi" w:cstheme="majorBidi"/>
          <w:lang w:bidi="ar-LB"/>
        </w:rPr>
        <w:t xml:space="preserve"> </w:t>
      </w:r>
    </w:p>
    <w:p w14:paraId="7A94CE21" w14:textId="77777777" w:rsidR="00681E65" w:rsidRPr="006500F0" w:rsidRDefault="00FA4CD4" w:rsidP="00681E65">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69.</w:t>
      </w:r>
      <w:r w:rsidRPr="006500F0">
        <w:rPr>
          <w:rFonts w:asciiTheme="majorBidi" w:hAnsiTheme="majorBidi" w:cstheme="majorBidi"/>
          <w:lang w:bidi="ar-LB"/>
        </w:rPr>
        <w:tab/>
      </w:r>
      <w:r w:rsidR="00681E65" w:rsidRPr="006500F0">
        <w:rPr>
          <w:rFonts w:asciiTheme="majorBidi" w:hAnsiTheme="majorBidi" w:cstheme="majorBidi"/>
          <w:rtl/>
          <w:lang w:bidi="ar-LB"/>
        </w:rPr>
        <w:t>منذ بدء عمليات إعادة قوارب المهاجرين في البحر الأبيض المتوسط ، كانت السلطات الليبية على علمٍ بعمليات الاعتراض المتهوّرة الواسعة النطاق والممنهجة في البحر، فضلًا عن الإساءة داخل مراكز الاحتجاز. وعوضًا عن التحقيق في الحوادث وإصلاح هذه الممارسات، واصلتْ السلطات الليبية اعتراض المهاجرين واحتجازهم. يشكل غياب المساءلة إزاء الانتهاكات ضد المهاجرين دليلًا على وجود سياسة للدولة تشجّع على ردع عمليات عبور البحر، وابتزاز المهاجرين المحتجزين، وإخضاعهم للعنف والتمييز. وتساهم الميليشيات (التي يدير بعضها مراكز الاحتجاز) والشبكات الإجرامية والمتجرين بالبشر والمهربين في تنفيذ هذه السياسة</w:t>
      </w:r>
      <w:r w:rsidR="00681E65" w:rsidRPr="006500F0">
        <w:rPr>
          <w:rFonts w:asciiTheme="majorBidi" w:hAnsiTheme="majorBidi" w:cstheme="majorBidi"/>
          <w:lang w:bidi="ar-LB"/>
        </w:rPr>
        <w:t>.</w:t>
      </w:r>
    </w:p>
    <w:p w14:paraId="7DC20A31" w14:textId="65449A12" w:rsidR="00B022D4" w:rsidRPr="006500F0" w:rsidRDefault="00FA4CD4" w:rsidP="00EB154A">
      <w:pPr>
        <w:pStyle w:val="ParNoG"/>
        <w:numPr>
          <w:ilvl w:val="0"/>
          <w:numId w:val="0"/>
        </w:numPr>
        <w:bidi/>
        <w:ind w:left="1134"/>
        <w:rPr>
          <w:rFonts w:asciiTheme="majorBidi" w:eastAsia="Calibri" w:hAnsiTheme="majorBidi" w:cstheme="majorBidi"/>
          <w:lang w:bidi="ar-LB"/>
        </w:rPr>
      </w:pPr>
      <w:r w:rsidRPr="006500F0">
        <w:rPr>
          <w:rFonts w:asciiTheme="majorBidi" w:eastAsia="Calibri" w:hAnsiTheme="majorBidi" w:cstheme="majorBidi"/>
          <w:lang w:bidi="ar-LB"/>
        </w:rPr>
        <w:t>70.</w:t>
      </w:r>
      <w:r w:rsidRPr="006500F0">
        <w:rPr>
          <w:rFonts w:asciiTheme="majorBidi" w:eastAsia="Calibri" w:hAnsiTheme="majorBidi" w:cstheme="majorBidi"/>
          <w:lang w:bidi="ar-LB"/>
        </w:rPr>
        <w:tab/>
      </w:r>
      <w:r w:rsidR="00410FBB" w:rsidRPr="006500F0">
        <w:rPr>
          <w:rFonts w:asciiTheme="majorBidi" w:hAnsiTheme="majorBidi" w:cstheme="majorBidi"/>
          <w:rtl/>
          <w:lang w:bidi="ar-LB"/>
        </w:rPr>
        <w:t>يشكل كلّ ما ذُكر سابقًا أسبابًا وجيهة تدعو للاعتقاد بأن أعمال القتل،</w:t>
      </w:r>
      <w:r w:rsidR="00B52BAA" w:rsidRPr="006500F0">
        <w:rPr>
          <w:rStyle w:val="FootnoteReference"/>
          <w:rFonts w:asciiTheme="majorBidi" w:eastAsia="Calibri" w:hAnsiTheme="majorBidi" w:cstheme="majorBidi"/>
          <w:lang w:bidi="ar-LB"/>
        </w:rPr>
        <w:footnoteReference w:id="37"/>
      </w:r>
      <w:r w:rsidR="00410FBB" w:rsidRPr="006500F0">
        <w:rPr>
          <w:rFonts w:asciiTheme="majorBidi" w:hAnsiTheme="majorBidi" w:cstheme="majorBidi"/>
          <w:rtl/>
          <w:lang w:bidi="ar-LB"/>
        </w:rPr>
        <w:t xml:space="preserve"> والاسترقاق،</w:t>
      </w:r>
      <w:r w:rsidR="00B52BAA" w:rsidRPr="006500F0">
        <w:rPr>
          <w:rStyle w:val="FootnoteReference"/>
          <w:rFonts w:asciiTheme="majorBidi" w:eastAsia="Calibri" w:hAnsiTheme="majorBidi" w:cstheme="majorBidi"/>
          <w:lang w:bidi="ar-LB"/>
        </w:rPr>
        <w:footnoteReference w:id="38"/>
      </w:r>
      <w:r w:rsidR="00410FBB" w:rsidRPr="006500F0">
        <w:rPr>
          <w:rFonts w:asciiTheme="majorBidi" w:hAnsiTheme="majorBidi" w:cstheme="majorBidi"/>
          <w:rtl/>
          <w:lang w:bidi="ar-LB"/>
        </w:rPr>
        <w:t xml:space="preserve"> والتعذيب،</w:t>
      </w:r>
      <w:r w:rsidR="00B52BAA" w:rsidRPr="006500F0">
        <w:rPr>
          <w:rStyle w:val="FootnoteReference"/>
          <w:rFonts w:asciiTheme="majorBidi" w:eastAsia="Calibri" w:hAnsiTheme="majorBidi" w:cstheme="majorBidi"/>
          <w:lang w:bidi="ar-LB"/>
        </w:rPr>
        <w:footnoteReference w:id="39"/>
      </w:r>
      <w:r w:rsidR="00410FBB" w:rsidRPr="006500F0">
        <w:rPr>
          <w:rFonts w:asciiTheme="majorBidi" w:hAnsiTheme="majorBidi" w:cstheme="majorBidi"/>
          <w:rtl/>
          <w:lang w:bidi="ar-LB"/>
        </w:rPr>
        <w:t xml:space="preserve"> والسجن،</w:t>
      </w:r>
      <w:r w:rsidR="00B52BAA" w:rsidRPr="006500F0">
        <w:rPr>
          <w:rStyle w:val="FootnoteReference"/>
          <w:rFonts w:asciiTheme="majorBidi" w:eastAsia="Calibri" w:hAnsiTheme="majorBidi" w:cstheme="majorBidi"/>
          <w:lang w:bidi="ar-LB"/>
        </w:rPr>
        <w:footnoteReference w:id="40"/>
      </w:r>
      <w:r w:rsidR="00410FBB" w:rsidRPr="006500F0">
        <w:rPr>
          <w:rFonts w:asciiTheme="majorBidi" w:hAnsiTheme="majorBidi" w:cstheme="majorBidi"/>
          <w:rtl/>
          <w:lang w:bidi="ar-LB"/>
        </w:rPr>
        <w:t xml:space="preserve"> والاغتصاب،</w:t>
      </w:r>
      <w:r w:rsidR="00B52BAA" w:rsidRPr="006500F0">
        <w:rPr>
          <w:rStyle w:val="FootnoteReference"/>
          <w:rFonts w:asciiTheme="majorBidi" w:eastAsia="Calibri" w:hAnsiTheme="majorBidi" w:cstheme="majorBidi"/>
          <w:lang w:bidi="ar-LB"/>
        </w:rPr>
        <w:footnoteReference w:id="41"/>
      </w:r>
      <w:r w:rsidR="00410FBB" w:rsidRPr="006500F0">
        <w:rPr>
          <w:rFonts w:asciiTheme="majorBidi" w:hAnsiTheme="majorBidi" w:cstheme="majorBidi"/>
          <w:rtl/>
          <w:lang w:bidi="ar-LB"/>
        </w:rPr>
        <w:t xml:space="preserve"> والاضطهاد،</w:t>
      </w:r>
      <w:r w:rsidR="00B52BAA" w:rsidRPr="006500F0">
        <w:rPr>
          <w:rStyle w:val="FootnoteReference"/>
          <w:rFonts w:asciiTheme="majorBidi" w:eastAsia="Calibri" w:hAnsiTheme="majorBidi" w:cstheme="majorBidi"/>
          <w:lang w:bidi="ar-LB"/>
        </w:rPr>
        <w:footnoteReference w:id="42"/>
      </w:r>
      <w:r w:rsidR="00410FBB" w:rsidRPr="006500F0">
        <w:rPr>
          <w:rFonts w:asciiTheme="majorBidi" w:hAnsiTheme="majorBidi" w:cstheme="majorBidi"/>
          <w:rtl/>
          <w:lang w:bidi="ar-LB"/>
        </w:rPr>
        <w:t xml:space="preserve"> وغيرها من الأعمال غير الإنسانية</w:t>
      </w:r>
      <w:r w:rsidR="00B52BAA" w:rsidRPr="006500F0">
        <w:rPr>
          <w:rStyle w:val="FootnoteReference"/>
          <w:rFonts w:asciiTheme="majorBidi" w:eastAsia="Calibri" w:hAnsiTheme="majorBidi" w:cstheme="majorBidi"/>
          <w:lang w:bidi="ar-LB"/>
        </w:rPr>
        <w:footnoteReference w:id="43"/>
      </w:r>
      <w:r w:rsidR="00410FBB" w:rsidRPr="006500F0">
        <w:rPr>
          <w:rFonts w:asciiTheme="majorBidi" w:hAnsiTheme="majorBidi" w:cstheme="majorBidi"/>
          <w:rtl/>
          <w:lang w:bidi="ar-LB"/>
        </w:rPr>
        <w:t xml:space="preserve"> المرتكبة ضد المهاجرين تشكل جزءًا من هجوم ممنهج واسع النطاق موجّه ضد هذه الفئة من الناس، تعزيزًا لسياسة الدولة. على هذا النحو، قد ترقى هذه الأعمال إلى جرائم ضد الإنسانية.</w:t>
      </w:r>
      <w:r w:rsidR="00410FBB" w:rsidRPr="006500F0">
        <w:rPr>
          <w:rFonts w:asciiTheme="majorBidi" w:hAnsiTheme="majorBidi" w:cstheme="majorBidi"/>
          <w:lang w:bidi="ar-LB"/>
        </w:rPr>
        <w:t xml:space="preserve"> </w:t>
      </w:r>
      <w:r w:rsidR="00410FBB" w:rsidRPr="006500F0">
        <w:rPr>
          <w:rFonts w:asciiTheme="majorBidi" w:hAnsiTheme="majorBidi" w:cstheme="majorBidi"/>
          <w:rtl/>
          <w:lang w:bidi="ar-LB"/>
        </w:rPr>
        <w:t>تم التوصّل إلى هذا الاستنتاج بصرف النظر عن المسؤولية التي قد تضطلع بها الدول الثالثة، ولا بدّ من إجراء مزيد من التحقيقات لتحديد دور جميع المتورطين في هذه الجرائم، إما بشكل مباشر أو غير مباشر.</w:t>
      </w:r>
    </w:p>
    <w:p w14:paraId="0380BBDA" w14:textId="71AFAE57" w:rsidR="003124FA" w:rsidRPr="006500F0" w:rsidRDefault="00FA4CD4" w:rsidP="009D14F1">
      <w:pPr>
        <w:pStyle w:val="ParNoG"/>
        <w:numPr>
          <w:ilvl w:val="0"/>
          <w:numId w:val="0"/>
        </w:numPr>
        <w:bidi/>
        <w:ind w:left="1134"/>
        <w:rPr>
          <w:rFonts w:asciiTheme="majorBidi" w:hAnsiTheme="majorBidi" w:cstheme="majorBidi"/>
        </w:rPr>
        <w:sectPr w:rsidR="003124FA" w:rsidRPr="006500F0" w:rsidSect="00C861F4">
          <w:endnotePr>
            <w:numFmt w:val="decimal"/>
          </w:endnotePr>
          <w:pgSz w:w="11907" w:h="16840" w:code="9"/>
          <w:pgMar w:top="1417" w:right="1134" w:bottom="1134" w:left="1134" w:header="850" w:footer="567" w:gutter="0"/>
          <w:cols w:space="720"/>
          <w:docGrid w:linePitch="272"/>
        </w:sectPr>
      </w:pPr>
      <w:r w:rsidRPr="006500F0">
        <w:rPr>
          <w:rFonts w:asciiTheme="majorBidi" w:hAnsiTheme="majorBidi" w:cstheme="majorBidi"/>
          <w:lang w:bidi="ar-LB"/>
        </w:rPr>
        <w:t>71.</w:t>
      </w:r>
      <w:r w:rsidRPr="006500F0">
        <w:rPr>
          <w:rFonts w:asciiTheme="majorBidi" w:hAnsiTheme="majorBidi" w:cstheme="majorBidi"/>
          <w:lang w:bidi="ar-LB"/>
        </w:rPr>
        <w:tab/>
      </w:r>
      <w:r w:rsidR="000D2550" w:rsidRPr="006500F0">
        <w:rPr>
          <w:rFonts w:asciiTheme="majorBidi" w:hAnsiTheme="majorBidi" w:cstheme="majorBidi"/>
          <w:rtl/>
        </w:rPr>
        <w:t xml:space="preserve">حققت البعثة أيضًا في حادثتيْن عرّضتا حياة المهاجرين للخطر. في شهر مايو/أيار وشهر يوليو/ تموز 2019، أثناء النزاع المسلح غير الدولي في طرابلس، تعرض مركز احتجاز يقع بجوار مقر كتيبة الضمان في تاجوراء للقصف مرتيْن. ووردت أنباء عن سقوط عشرات القتلى، ولم تتخذ السلطات أي إجراء بعد الضربة الأولى. ومن خلال عدم إبعاد السجناء عن محيط هدف عسكري محتمل، قد تكون كتيبة الضمان وحكومة الوفاق الوطني (التي تتبعها الكتيبة) قد انتهكتا التزامهما </w:t>
      </w:r>
      <w:r w:rsidR="000D2550" w:rsidRPr="006500F0">
        <w:rPr>
          <w:rFonts w:asciiTheme="majorBidi" w:hAnsiTheme="majorBidi" w:cstheme="majorBidi"/>
          <w:rtl/>
        </w:rPr>
        <w:lastRenderedPageBreak/>
        <w:t>بموجب القانون الدولي الإنساني بحماية المدنيين الخاضعين لسيطرتهما من آثار الهجوم.</w:t>
      </w:r>
      <w:r w:rsidR="000D2550" w:rsidRPr="006500F0">
        <w:rPr>
          <w:rFonts w:asciiTheme="majorBidi" w:hAnsiTheme="majorBidi" w:cstheme="majorBidi"/>
          <w:lang w:bidi="ar-LB"/>
        </w:rPr>
        <w:t xml:space="preserve"> </w:t>
      </w:r>
      <w:r w:rsidR="000D2550" w:rsidRPr="006500F0">
        <w:rPr>
          <w:rStyle w:val="FootnoteReference"/>
          <w:rFonts w:asciiTheme="majorBidi" w:hAnsiTheme="majorBidi" w:cstheme="majorBidi"/>
          <w:lang w:bidi="ar-LB"/>
        </w:rPr>
        <w:footnoteReference w:id="44"/>
      </w:r>
      <w:r w:rsidR="000D2550" w:rsidRPr="006500F0">
        <w:rPr>
          <w:rFonts w:asciiTheme="majorBidi" w:hAnsiTheme="majorBidi" w:cstheme="majorBidi"/>
          <w:rtl/>
        </w:rPr>
        <w:t>ومن المحتمل أن تكون الكتيبة قد انتهكت أيضًا مبدأ الحق في الحياة</w:t>
      </w:r>
      <w:r w:rsidR="009D14F1" w:rsidRPr="006500F0">
        <w:rPr>
          <w:rStyle w:val="FootnoteReference"/>
          <w:rFonts w:asciiTheme="majorBidi" w:hAnsiTheme="majorBidi" w:cstheme="majorBidi"/>
          <w:lang w:bidi="ar-LB"/>
        </w:rPr>
        <w:footnoteReference w:id="45"/>
      </w:r>
      <w:r w:rsidR="000D2550" w:rsidRPr="006500F0">
        <w:rPr>
          <w:rFonts w:asciiTheme="majorBidi" w:hAnsiTheme="majorBidi" w:cstheme="majorBidi"/>
          <w:rtl/>
        </w:rPr>
        <w:t xml:space="preserve"> من خلال منع المهاجرين من البحث عن مأوى بعد الضربة الجوية الأولى. إضافة إلى ذلك، ثمة أسباب وجيهة تدعو للاعتقاد بأن الطرف المسؤول عن الضربات الجوية لربما انتهك مبدأ</w:t>
      </w:r>
      <w:r w:rsidR="000D2550" w:rsidRPr="006500F0">
        <w:rPr>
          <w:rFonts w:asciiTheme="majorBidi" w:hAnsiTheme="majorBidi" w:cstheme="majorBidi"/>
          <w:rtl/>
          <w:lang w:bidi="ar-LB"/>
        </w:rPr>
        <w:t>يْ</w:t>
      </w:r>
      <w:r w:rsidR="000D2550" w:rsidRPr="006500F0">
        <w:rPr>
          <w:rFonts w:asciiTheme="majorBidi" w:hAnsiTheme="majorBidi" w:cstheme="majorBidi"/>
          <w:rtl/>
        </w:rPr>
        <w:t xml:space="preserve"> التمييز والتناسب، فضلًا عن انتهاك واجبه باتخاذ الاحتياطات في الهجوم</w:t>
      </w:r>
      <w:r w:rsidR="009D14F1" w:rsidRPr="006500F0">
        <w:rPr>
          <w:rFonts w:asciiTheme="majorBidi" w:hAnsiTheme="majorBidi" w:cstheme="majorBidi"/>
          <w:rtl/>
        </w:rPr>
        <w:t>.</w:t>
      </w:r>
      <w:r w:rsidR="009D14F1" w:rsidRPr="006500F0">
        <w:rPr>
          <w:rStyle w:val="FootnoteReference"/>
          <w:rFonts w:asciiTheme="majorBidi" w:hAnsiTheme="majorBidi" w:cstheme="majorBidi"/>
          <w:lang w:bidi="ar-LB"/>
        </w:rPr>
        <w:footnoteReference w:id="46"/>
      </w:r>
      <w:r w:rsidR="000D2550" w:rsidRPr="006500F0">
        <w:rPr>
          <w:rStyle w:val="EndnoteReference"/>
          <w:rFonts w:asciiTheme="majorBidi" w:hAnsiTheme="majorBidi" w:cstheme="majorBidi"/>
        </w:rPr>
        <w:t xml:space="preserve"> </w:t>
      </w:r>
      <w:r w:rsidR="000D2550" w:rsidRPr="006500F0">
        <w:rPr>
          <w:rFonts w:asciiTheme="majorBidi" w:hAnsiTheme="majorBidi" w:cstheme="majorBidi"/>
          <w:rtl/>
        </w:rPr>
        <w:t>وفي 20 يونيو/حزيران 2021، أدى انفجار عرضيّ في ما يُعتقد أنه مستودع للذخيرة على مقربة من مركز احتجاز أبو رشادة في غريان إلى مقتل العشرات من المعتقلين. ونظرًا إلى أن الحراس منعوا المهاجرين من الفرار من المبنى بعد الانفجار، وبالتالي مُنعوا من البحث عن برّ الأمان، تبرز أسباب وجيهة تدعو للاعتقاد بأنه لربما انتُهك حق المهاجرين في الحياة.</w:t>
      </w:r>
      <w:r w:rsidR="009D14F1" w:rsidRPr="006500F0">
        <w:rPr>
          <w:rFonts w:asciiTheme="majorBidi" w:hAnsiTheme="majorBidi" w:cstheme="majorBidi"/>
          <w:lang w:bidi="ar-LB"/>
        </w:rPr>
        <w:t xml:space="preserve"> </w:t>
      </w:r>
      <w:r w:rsidR="009D14F1" w:rsidRPr="006500F0">
        <w:rPr>
          <w:rStyle w:val="FootnoteReference"/>
          <w:rFonts w:asciiTheme="majorBidi" w:hAnsiTheme="majorBidi" w:cstheme="majorBidi"/>
          <w:lang w:bidi="ar-LB"/>
        </w:rPr>
        <w:footnoteReference w:id="47"/>
      </w:r>
      <w:r w:rsidR="000D2550" w:rsidRPr="006500F0">
        <w:rPr>
          <w:rStyle w:val="EndnoteReference"/>
          <w:rFonts w:asciiTheme="majorBidi" w:hAnsiTheme="majorBidi" w:cstheme="majorBidi"/>
        </w:rPr>
        <w:t xml:space="preserve"> </w:t>
      </w:r>
    </w:p>
    <w:p w14:paraId="701762F2" w14:textId="0F057D9B" w:rsidR="003124FA" w:rsidRPr="006500F0" w:rsidRDefault="003124FA" w:rsidP="003124FA">
      <w:pPr>
        <w:pStyle w:val="ParNoG"/>
        <w:numPr>
          <w:ilvl w:val="0"/>
          <w:numId w:val="0"/>
        </w:numPr>
        <w:rPr>
          <w:rFonts w:asciiTheme="majorBidi" w:eastAsia="Calibri" w:hAnsiTheme="majorBidi" w:cstheme="majorBidi"/>
          <w:b/>
          <w:bCs/>
          <w:lang w:bidi="ar-LB"/>
        </w:rPr>
      </w:pPr>
    </w:p>
    <w:p w14:paraId="5440CE80" w14:textId="275B8ECA" w:rsidR="003124FA" w:rsidRPr="006500F0" w:rsidRDefault="0018034D" w:rsidP="009D0C92">
      <w:pPr>
        <w:pStyle w:val="ParNoG"/>
        <w:numPr>
          <w:ilvl w:val="0"/>
          <w:numId w:val="0"/>
        </w:numPr>
        <w:bidi/>
        <w:rPr>
          <w:rFonts w:asciiTheme="majorBidi" w:eastAsia="Calibri" w:hAnsiTheme="majorBidi" w:cstheme="majorBidi"/>
          <w:lang w:bidi="ar-LB"/>
        </w:rPr>
        <w:sectPr w:rsidR="003124FA" w:rsidRPr="006500F0" w:rsidSect="00C861F4">
          <w:endnotePr>
            <w:numFmt w:val="decimal"/>
          </w:endnotePr>
          <w:pgSz w:w="16840" w:h="11907" w:orient="landscape" w:code="9"/>
          <w:pgMar w:top="1134" w:right="1417" w:bottom="1134" w:left="1134" w:header="850" w:footer="567" w:gutter="0"/>
          <w:cols w:space="720"/>
          <w:docGrid w:linePitch="272"/>
        </w:sectPr>
      </w:pPr>
      <w:r w:rsidRPr="006500F0">
        <w:rPr>
          <w:rFonts w:asciiTheme="majorBidi" w:eastAsia="Calibri" w:hAnsiTheme="majorBidi" w:cstheme="majorBidi"/>
          <w:b/>
          <w:bCs/>
          <w:noProof/>
          <w:lang w:eastAsia="en-GB"/>
        </w:rPr>
        <w:drawing>
          <wp:anchor distT="0" distB="0" distL="114300" distR="114300" simplePos="0" relativeHeight="251709440" behindDoc="0" locked="0" layoutInCell="1" allowOverlap="1" wp14:anchorId="63CD7346" wp14:editId="312704DA">
            <wp:simplePos x="0" y="0"/>
            <wp:positionH relativeFrom="margin">
              <wp:align>center</wp:align>
            </wp:positionH>
            <wp:positionV relativeFrom="margin">
              <wp:posOffset>492303</wp:posOffset>
            </wp:positionV>
            <wp:extent cx="8059420" cy="5699125"/>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ocation-of-migrants-detention-centres 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059880" cy="5699125"/>
                    </a:xfrm>
                    <a:prstGeom prst="rect">
                      <a:avLst/>
                    </a:prstGeom>
                  </pic:spPr>
                </pic:pic>
              </a:graphicData>
            </a:graphic>
            <wp14:sizeRelH relativeFrom="margin">
              <wp14:pctWidth>0</wp14:pctWidth>
            </wp14:sizeRelH>
            <wp14:sizeRelV relativeFrom="margin">
              <wp14:pctHeight>0</wp14:pctHeight>
            </wp14:sizeRelV>
          </wp:anchor>
        </w:drawing>
      </w:r>
      <w:r w:rsidR="00B86AE4" w:rsidRPr="006500F0">
        <w:rPr>
          <w:rFonts w:asciiTheme="majorBidi" w:eastAsia="Calibri" w:hAnsiTheme="majorBidi" w:cstheme="majorBidi"/>
          <w:b/>
          <w:bCs/>
          <w:lang w:bidi="ar-LB"/>
        </w:rPr>
        <w:tab/>
      </w:r>
      <w:r w:rsidR="00B86AE4" w:rsidRPr="006500F0">
        <w:rPr>
          <w:rFonts w:asciiTheme="majorBidi" w:eastAsia="Calibri" w:hAnsiTheme="majorBidi" w:cstheme="majorBidi"/>
          <w:b/>
          <w:bCs/>
          <w:lang w:bidi="ar-LB"/>
        </w:rPr>
        <w:tab/>
      </w:r>
      <w:r w:rsidR="009D0C92" w:rsidRPr="006500F0">
        <w:rPr>
          <w:rFonts w:asciiTheme="majorBidi" w:eastAsia="Calibri" w:hAnsiTheme="majorBidi" w:cstheme="majorBidi"/>
          <w:b/>
          <w:bCs/>
          <w:rtl/>
          <w:lang w:bidi="ar-LB"/>
        </w:rPr>
        <w:t>الرسم 3: موقع مراكز احتجاز المهاجرين في ليبيا ابتداءً من 1 سبتمبر/أيلول 2021</w:t>
      </w:r>
    </w:p>
    <w:p w14:paraId="0ED263A2" w14:textId="1C754E35" w:rsidR="00176ED6" w:rsidRPr="006500F0" w:rsidRDefault="00AE0A09" w:rsidP="00467945">
      <w:pPr>
        <w:pStyle w:val="H1G"/>
        <w:kinsoku w:val="0"/>
        <w:overflowPunct w:val="0"/>
        <w:autoSpaceDE w:val="0"/>
        <w:autoSpaceDN w:val="0"/>
        <w:bidi/>
        <w:adjustRightInd w:val="0"/>
        <w:snapToGrid w:val="0"/>
        <w:rPr>
          <w:rFonts w:asciiTheme="majorBidi" w:hAnsiTheme="majorBidi" w:cstheme="majorBidi"/>
          <w:lang w:val="en-CA" w:bidi="ar-LB"/>
        </w:rPr>
      </w:pPr>
      <w:r w:rsidRPr="006500F0">
        <w:rPr>
          <w:rFonts w:asciiTheme="majorBidi" w:hAnsiTheme="majorBidi" w:cstheme="majorBidi"/>
          <w:lang w:val="en-CA" w:bidi="ar-LB"/>
        </w:rPr>
        <w:lastRenderedPageBreak/>
        <w:tab/>
      </w:r>
      <w:r w:rsidR="00FA4CD4" w:rsidRPr="006500F0">
        <w:rPr>
          <w:rFonts w:asciiTheme="majorBidi" w:hAnsiTheme="majorBidi" w:cstheme="majorBidi"/>
          <w:lang w:val="en-CA" w:bidi="ar-LB"/>
        </w:rPr>
        <w:tab/>
      </w:r>
      <w:r w:rsidR="00467945" w:rsidRPr="00467945">
        <w:rPr>
          <w:rFonts w:asciiTheme="majorBidi" w:eastAsiaTheme="minorHAnsi" w:hAnsiTheme="majorBidi" w:cstheme="majorBidi" w:hint="cs"/>
          <w:b w:val="0"/>
          <w:bCs/>
          <w:rtl/>
          <w:lang w:val="en-CA" w:bidi="ar-LB"/>
        </w:rPr>
        <w:t>زين-</w:t>
      </w:r>
      <w:r w:rsidR="00764C71">
        <w:rPr>
          <w:rFonts w:asciiTheme="majorBidi" w:eastAsiaTheme="minorHAnsi" w:hAnsiTheme="majorBidi" w:cstheme="majorBidi"/>
          <w:b w:val="0"/>
          <w:bCs/>
          <w:lang w:val="en-CA" w:bidi="ar-LB"/>
        </w:rPr>
        <w:tab/>
      </w:r>
      <w:r w:rsidR="00467945" w:rsidRPr="00467945">
        <w:rPr>
          <w:rFonts w:asciiTheme="majorBidi" w:eastAsiaTheme="minorHAnsi" w:hAnsiTheme="majorBidi" w:cstheme="majorBidi" w:hint="cs"/>
          <w:b w:val="0"/>
          <w:bCs/>
          <w:rtl/>
          <w:lang w:val="en-CA" w:bidi="ar-LB"/>
        </w:rPr>
        <w:t xml:space="preserve"> النساء</w:t>
      </w:r>
    </w:p>
    <w:p w14:paraId="31C380FC" w14:textId="29423B20" w:rsidR="009108AE" w:rsidRPr="006500F0" w:rsidRDefault="00FA4CD4" w:rsidP="00EE444D">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72.</w:t>
      </w:r>
      <w:r w:rsidRPr="006500F0">
        <w:rPr>
          <w:rFonts w:asciiTheme="majorBidi" w:hAnsiTheme="majorBidi" w:cstheme="majorBidi"/>
          <w:lang w:bidi="ar-LB"/>
        </w:rPr>
        <w:tab/>
      </w:r>
      <w:r w:rsidR="00366ED2" w:rsidRPr="00CD192E">
        <w:rPr>
          <w:rFonts w:ascii="Simplified Arabic" w:hAnsi="Simplified Arabic" w:cs="Simplified Arabic"/>
          <w:rtl/>
        </w:rPr>
        <w:t xml:space="preserve">تأثرت النساء في ليبيا </w:t>
      </w:r>
      <w:r w:rsidR="00366ED2" w:rsidRPr="00CD192E">
        <w:rPr>
          <w:rFonts w:ascii="Simplified Arabic" w:hAnsi="Simplified Arabic" w:cs="Simplified Arabic"/>
          <w:rtl/>
          <w:lang w:bidi="ar-LB"/>
        </w:rPr>
        <w:t>على نحو</w:t>
      </w:r>
      <w:r w:rsidR="00366ED2" w:rsidRPr="00CD192E">
        <w:rPr>
          <w:rFonts w:ascii="Simplified Arabic" w:hAnsi="Simplified Arabic" w:cs="Simplified Arabic"/>
          <w:rtl/>
        </w:rPr>
        <w:t xml:space="preserve"> غير متناسب بالنزاع المستمر وانتشار الميليشيات.</w:t>
      </w:r>
      <w:r w:rsidR="00366ED2" w:rsidRPr="00366ED2">
        <w:rPr>
          <w:rFonts w:asciiTheme="majorBidi" w:hAnsiTheme="majorBidi" w:cstheme="majorBidi"/>
          <w:lang w:bidi="ar-LB"/>
        </w:rPr>
        <w:t xml:space="preserve"> </w:t>
      </w:r>
      <w:r w:rsidR="00366ED2" w:rsidRPr="006500F0">
        <w:rPr>
          <w:rStyle w:val="FootnoteReference"/>
          <w:rFonts w:asciiTheme="majorBidi" w:hAnsiTheme="majorBidi" w:cstheme="majorBidi"/>
          <w:lang w:bidi="ar-LB"/>
        </w:rPr>
        <w:footnoteReference w:id="48"/>
      </w:r>
      <w:r w:rsidR="00366ED2" w:rsidRPr="00CD192E">
        <w:rPr>
          <w:rFonts w:ascii="Simplified Arabic" w:hAnsi="Simplified Arabic" w:cs="Simplified Arabic"/>
          <w:rtl/>
        </w:rPr>
        <w:t>وفيما ساهمتْ النساء بشكل إيجابي في الحياة العامة في ليبيا، إلا أنّه برزتْ عدة محاولات استخدمتْ العنف لإسكات شخصيات نسائية بارزة (بما في ذلك من خلال التحريض على العنف عبر الإنترنت)، وأثّر ذلك بشكل مخيف على مشاركة المرأة في المساحة المدنية في خضمّ التأسيس لمستقبل ليبيا. لم تمنع ليبيا أعمال العنف ضد المرأة ولم تعاقب عليها، على الرغم من أنه واجبٌ إلزاميّ حتى في حالة التصرف ال</w:t>
      </w:r>
      <w:r w:rsidR="00366ED2" w:rsidRPr="00CD192E">
        <w:rPr>
          <w:rFonts w:ascii="Simplified Arabic" w:hAnsi="Simplified Arabic" w:cs="Simplified Arabic"/>
          <w:rtl/>
          <w:lang w:bidi="ar-LB"/>
        </w:rPr>
        <w:t>فردي</w:t>
      </w:r>
      <w:r w:rsidR="00366ED2" w:rsidRPr="00CD192E">
        <w:rPr>
          <w:rFonts w:ascii="Simplified Arabic" w:hAnsi="Simplified Arabic" w:cs="Simplified Arabic"/>
          <w:rtl/>
        </w:rPr>
        <w:t>.</w:t>
      </w:r>
      <w:r w:rsidR="00EE444D" w:rsidRPr="00EE444D">
        <w:rPr>
          <w:rFonts w:asciiTheme="majorBidi" w:hAnsiTheme="majorBidi" w:cstheme="majorBidi"/>
          <w:lang w:bidi="ar-LB"/>
        </w:rPr>
        <w:t xml:space="preserve"> </w:t>
      </w:r>
      <w:r w:rsidR="00EE444D" w:rsidRPr="006500F0">
        <w:rPr>
          <w:rStyle w:val="FootnoteReference"/>
          <w:rFonts w:asciiTheme="majorBidi" w:hAnsiTheme="majorBidi" w:cstheme="majorBidi"/>
          <w:lang w:bidi="ar-LB"/>
        </w:rPr>
        <w:footnoteReference w:id="49"/>
      </w:r>
      <w:r w:rsidR="00366ED2" w:rsidRPr="00CD192E">
        <w:rPr>
          <w:rFonts w:ascii="Simplified Arabic" w:hAnsi="Simplified Arabic" w:cs="Simplified Arabic"/>
          <w:rtl/>
        </w:rPr>
        <w:t>وجرى التركيز على حالتيْن تندرجان ضمن ولاية البعثة كان لهما صدى خاص، ألا  وهما، اختفاء سهام سرقيوة وقتل حنان البرعصي. يبدو أن ه</w:t>
      </w:r>
      <w:r w:rsidR="00366ED2" w:rsidRPr="00CD192E">
        <w:rPr>
          <w:rFonts w:ascii="Simplified Arabic" w:hAnsi="Simplified Arabic" w:cs="Simplified Arabic"/>
          <w:rtl/>
          <w:lang w:bidi="ar-LB"/>
        </w:rPr>
        <w:t>اتيْن</w:t>
      </w:r>
      <w:r w:rsidR="00366ED2" w:rsidRPr="00CD192E">
        <w:rPr>
          <w:rFonts w:ascii="Simplified Arabic" w:hAnsi="Simplified Arabic" w:cs="Simplified Arabic"/>
          <w:rtl/>
        </w:rPr>
        <w:t xml:space="preserve"> الحالتيْن تندرجان ضمن نمط مستمر لتحديد الانتقادات الصادرة عن النساء واعتبارها غير مقبولة، مهما كانت وجهات نظرها متنوعة.</w:t>
      </w:r>
      <w:r w:rsidR="006C22C6" w:rsidRPr="006500F0">
        <w:rPr>
          <w:rFonts w:asciiTheme="majorBidi" w:hAnsiTheme="majorBidi" w:cstheme="majorBidi"/>
          <w:lang w:bidi="ar-LB"/>
        </w:rPr>
        <w:t xml:space="preserve"> </w:t>
      </w:r>
    </w:p>
    <w:p w14:paraId="254B1655" w14:textId="7D451681" w:rsidR="000368D9" w:rsidRPr="006500F0" w:rsidRDefault="00FA4CD4" w:rsidP="00CA5BCE">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73.</w:t>
      </w:r>
      <w:r w:rsidRPr="006500F0">
        <w:rPr>
          <w:rFonts w:asciiTheme="majorBidi" w:hAnsiTheme="majorBidi" w:cstheme="majorBidi"/>
          <w:lang w:bidi="ar-LB"/>
        </w:rPr>
        <w:tab/>
      </w:r>
      <w:r w:rsidR="001758E3" w:rsidRPr="00CD192E">
        <w:rPr>
          <w:rFonts w:ascii="Simplified Arabic" w:hAnsi="Simplified Arabic" w:cs="Simplified Arabic"/>
          <w:rtl/>
        </w:rPr>
        <w:t xml:space="preserve">في 17 يوليو/تموز 2019، أقدم رجال </w:t>
      </w:r>
      <w:r w:rsidR="001758E3" w:rsidRPr="00CD192E">
        <w:rPr>
          <w:rFonts w:ascii="Simplified Arabic" w:hAnsi="Simplified Arabic" w:cs="Simplified Arabic"/>
          <w:rtl/>
          <w:lang w:bidi="ar-LB"/>
        </w:rPr>
        <w:t xml:space="preserve">يرتدون </w:t>
      </w:r>
      <w:r w:rsidR="001758E3">
        <w:rPr>
          <w:rFonts w:ascii="Simplified Arabic" w:hAnsi="Simplified Arabic" w:cs="Simplified Arabic" w:hint="cs"/>
          <w:rtl/>
          <w:lang w:bidi="ar-LB"/>
        </w:rPr>
        <w:t>ملابس</w:t>
      </w:r>
      <w:r w:rsidR="001758E3" w:rsidRPr="00CD192E">
        <w:rPr>
          <w:rFonts w:ascii="Simplified Arabic" w:hAnsi="Simplified Arabic" w:cs="Simplified Arabic"/>
          <w:rtl/>
          <w:lang w:bidi="ar-LB"/>
        </w:rPr>
        <w:t xml:space="preserve"> عسكري</w:t>
      </w:r>
      <w:r w:rsidR="001758E3">
        <w:rPr>
          <w:rFonts w:ascii="Simplified Arabic" w:hAnsi="Simplified Arabic" w:cs="Simplified Arabic" w:hint="cs"/>
          <w:rtl/>
          <w:lang w:bidi="ar-LB"/>
        </w:rPr>
        <w:t>ة</w:t>
      </w:r>
      <w:r w:rsidR="001758E3" w:rsidRPr="00CD192E">
        <w:rPr>
          <w:rFonts w:ascii="Simplified Arabic" w:hAnsi="Simplified Arabic" w:cs="Simplified Arabic"/>
          <w:rtl/>
          <w:lang w:bidi="ar-LB"/>
        </w:rPr>
        <w:t xml:space="preserve"> </w:t>
      </w:r>
      <w:r w:rsidR="001758E3" w:rsidRPr="00CD192E">
        <w:rPr>
          <w:rFonts w:ascii="Simplified Arabic" w:hAnsi="Simplified Arabic" w:cs="Simplified Arabic"/>
          <w:rtl/>
        </w:rPr>
        <w:t>على اختطاف النائب سهام سرقيوة من منزلها. أشارت الأدلة إلى أنها اختُطفت على يد الجيش الوطني الليبي أو الجماعات المسلحة التابعة له، وأنه لم يتم تقديم أي معلومات من جانبهم عن مصيرها. تلقت البعثة تقارير متضاربة حول مصيرها، لكنها لم تتمكن من التحقق من هذه المزاعم. ساهم اختطاف سهام والظروف المحيطة به بإبعادها عن حماية القانون، مما يعرض حياتها لخطر جسيم ودائم. في ظل هذه الظروف، ثمة أسباب وجيهة تدعو للاعتقاد بأن سهام</w:t>
      </w:r>
      <w:r w:rsidR="006E7497">
        <w:rPr>
          <w:rFonts w:ascii="Simplified Arabic" w:hAnsi="Simplified Arabic" w:cs="Simplified Arabic" w:hint="cs"/>
          <w:rtl/>
        </w:rPr>
        <w:t xml:space="preserve"> هي</w:t>
      </w:r>
      <w:r w:rsidR="001758E3" w:rsidRPr="00CD192E">
        <w:rPr>
          <w:rFonts w:ascii="Simplified Arabic" w:hAnsi="Simplified Arabic" w:cs="Simplified Arabic"/>
          <w:rtl/>
        </w:rPr>
        <w:t xml:space="preserve"> ضحية </w:t>
      </w:r>
      <w:r w:rsidR="00871E56">
        <w:rPr>
          <w:rFonts w:ascii="Simplified Arabic" w:hAnsi="Simplified Arabic" w:cs="Simplified Arabic" w:hint="cs"/>
          <w:rtl/>
        </w:rPr>
        <w:t>الا</w:t>
      </w:r>
      <w:r w:rsidR="001758E3" w:rsidRPr="00CD192E">
        <w:rPr>
          <w:rFonts w:ascii="Simplified Arabic" w:hAnsi="Simplified Arabic" w:cs="Simplified Arabic"/>
          <w:rtl/>
        </w:rPr>
        <w:t>ختفاء القسري.</w:t>
      </w:r>
      <w:r w:rsidR="00871E56" w:rsidRPr="00871E56">
        <w:rPr>
          <w:rStyle w:val="FootnoteReference"/>
          <w:rFonts w:asciiTheme="majorBidi" w:hAnsiTheme="majorBidi" w:cstheme="majorBidi"/>
          <w:lang w:bidi="ar-LB"/>
        </w:rPr>
        <w:t xml:space="preserve"> </w:t>
      </w:r>
      <w:r w:rsidR="00871E56" w:rsidRPr="006500F0">
        <w:rPr>
          <w:rStyle w:val="FootnoteReference"/>
          <w:rFonts w:asciiTheme="majorBidi" w:hAnsiTheme="majorBidi" w:cstheme="majorBidi"/>
          <w:lang w:bidi="ar-LB"/>
        </w:rPr>
        <w:footnoteReference w:id="50"/>
      </w:r>
      <w:r w:rsidR="001758E3" w:rsidRPr="00CD192E">
        <w:rPr>
          <w:rFonts w:ascii="Simplified Arabic" w:hAnsi="Simplified Arabic" w:cs="Simplified Arabic"/>
          <w:rtl/>
        </w:rPr>
        <w:t>وعلاوة على ذلك، ما من أدلّة تشير إلى أن السلطات المختصة قد أجرت تحقيقاً فعالاً في اختفا</w:t>
      </w:r>
      <w:r w:rsidR="001758E3">
        <w:rPr>
          <w:rFonts w:ascii="Simplified Arabic" w:hAnsi="Simplified Arabic" w:cs="Simplified Arabic" w:hint="cs"/>
          <w:rtl/>
        </w:rPr>
        <w:t>ئها</w:t>
      </w:r>
      <w:r w:rsidR="001758E3" w:rsidRPr="00CD192E">
        <w:rPr>
          <w:rFonts w:ascii="Simplified Arabic" w:hAnsi="Simplified Arabic" w:cs="Simplified Arabic"/>
          <w:rtl/>
        </w:rPr>
        <w:t>، أو أنها أبلغتْ أسرتها بشكل كافٍ بالجهود المبذولة للعثور عليها، الأمر الذي تسبب ل</w:t>
      </w:r>
      <w:r w:rsidR="001758E3" w:rsidRPr="00CD192E">
        <w:rPr>
          <w:rFonts w:ascii="Simplified Arabic" w:hAnsi="Simplified Arabic" w:cs="Simplified Arabic"/>
          <w:rtl/>
          <w:lang w:bidi="ar-LB"/>
        </w:rPr>
        <w:t>هم</w:t>
      </w:r>
      <w:r w:rsidR="001758E3" w:rsidRPr="00CD192E">
        <w:rPr>
          <w:rFonts w:ascii="Simplified Arabic" w:hAnsi="Simplified Arabic" w:cs="Simplified Arabic"/>
          <w:rtl/>
        </w:rPr>
        <w:t xml:space="preserve"> بالمعاناة والأسى. إضافة إلى ذلك، ما من دليل على أن السلطات المختصة وفرت حماية فعالة لسهام، التي كانت حياتها معرضة للخطر بسبب شخصِها ونتيجة لتهديدات محددة ضدّها. ولذلك، وجدت البعثة أن السلطات المختصة لم تنجح في حماية حياة سهام، وحماية أسرتها من المعاملة القاسية وغير الإنسانية، وحمايتها من الاعتقال التعسفي، وضمان حقها بأن يتمّ الاعتراف بها كشخص أمام القانون، وحمايتها وعائلتها من التدخل غير القانوني في خصوصيتهم.</w:t>
      </w:r>
      <w:r w:rsidR="001758E3" w:rsidRPr="00CD192E">
        <w:rPr>
          <w:rStyle w:val="EndnoteReference"/>
          <w:rFonts w:ascii="Simplified Arabic" w:hAnsi="Simplified Arabic" w:cs="Simplified Arabic"/>
        </w:rPr>
        <w:t xml:space="preserve"> </w:t>
      </w:r>
      <w:r w:rsidR="00CA5BCE" w:rsidRPr="006500F0">
        <w:rPr>
          <w:rStyle w:val="FootnoteReference"/>
          <w:rFonts w:asciiTheme="majorBidi" w:hAnsiTheme="majorBidi" w:cstheme="majorBidi"/>
          <w:lang w:bidi="ar-LB"/>
        </w:rPr>
        <w:footnoteReference w:id="51"/>
      </w:r>
    </w:p>
    <w:p w14:paraId="5335BB93" w14:textId="12F4686F" w:rsidR="007B02E1" w:rsidRPr="00CD192E" w:rsidRDefault="00FA4CD4" w:rsidP="007B02E1">
      <w:pPr>
        <w:pStyle w:val="ParNoG"/>
        <w:numPr>
          <w:ilvl w:val="0"/>
          <w:numId w:val="0"/>
        </w:numPr>
        <w:bidi/>
        <w:ind w:left="1134"/>
        <w:rPr>
          <w:rFonts w:ascii="Simplified Arabic" w:hAnsi="Simplified Arabic" w:cs="Simplified Arabic"/>
        </w:rPr>
      </w:pPr>
      <w:r w:rsidRPr="006500F0">
        <w:rPr>
          <w:rFonts w:asciiTheme="majorBidi" w:hAnsiTheme="majorBidi" w:cstheme="majorBidi"/>
          <w:lang w:bidi="ar-LB"/>
        </w:rPr>
        <w:lastRenderedPageBreak/>
        <w:t>74.</w:t>
      </w:r>
      <w:r w:rsidRPr="006500F0">
        <w:rPr>
          <w:rFonts w:asciiTheme="majorBidi" w:hAnsiTheme="majorBidi" w:cstheme="majorBidi"/>
          <w:lang w:bidi="ar-LB"/>
        </w:rPr>
        <w:tab/>
      </w:r>
      <w:r w:rsidR="007B02E1" w:rsidRPr="00CD192E">
        <w:rPr>
          <w:rFonts w:ascii="Simplified Arabic" w:hAnsi="Simplified Arabic" w:cs="Simplified Arabic"/>
          <w:rtl/>
        </w:rPr>
        <w:t>في 10 نوفمبر/ تشرين الثاني 2020، تعرّضتْ المحامية حنان البرعصي، المعروفة بانتقادها للجيش الوطني الليبي، من بين جملةِ من انتقدتْهم، للقتل بالرصاص في وضح النهار في بنغازي على يد رجليْن ملثميْن مجهوليْ الهوية. ولم تعلن أي جهة مسؤوليتها عن مقتلها. لم ت</w:t>
      </w:r>
      <w:r w:rsidR="007B02E1" w:rsidRPr="00CD192E">
        <w:rPr>
          <w:rFonts w:ascii="Simplified Arabic" w:hAnsi="Simplified Arabic" w:cs="Simplified Arabic"/>
          <w:rtl/>
          <w:lang w:bidi="ar-LB"/>
        </w:rPr>
        <w:t>فضِ</w:t>
      </w:r>
      <w:r w:rsidR="007B02E1" w:rsidRPr="00CD192E">
        <w:rPr>
          <w:rFonts w:ascii="Simplified Arabic" w:hAnsi="Simplified Arabic" w:cs="Simplified Arabic"/>
          <w:rtl/>
        </w:rPr>
        <w:t xml:space="preserve"> الأدلة إلى تمكّن البعثة من تحديد هوية الجناة، وما إذا كانوا قد تصرفوا بصفة رسمية. ومع ذلك، قبل قتلها، كانت حياة حنان في خطر بسبب شخصِها، ونتيجة لتهديدات محددة تلقتها قبل أيام قليلة من مقتلها. وأمرتْ وزارة الداخلية في حكومة شرق ليبيا جميع الأجهزة الأمنية بتحديد الجناة، وأعلنت وزارة العدل في حكومة الوفاق الوطني أن السلطات ستفتح تحقيقًا في مقتلها. ولكن، لم يشهد التحقيق أيّ تقدّم، ولم تتم محاسبة أحد بعد. ولاحظت البعثة بقلق أن ابنة حنان اعتُقلت في الفترة الممتدّة من 25 مارس/آذار إلى 28 يونيو/حزيران 2021 من قبل القوات التابعة للجيش الوطني الليبي، بتهمة التورط في اغتيال محمود الورفلي. في ظل هذه الظروف، ثمة أسباب وجيهة تدعو للاعتقاد بأن الدولة لربما </w:t>
      </w:r>
      <w:r w:rsidR="007B02E1">
        <w:rPr>
          <w:rFonts w:ascii="Simplified Arabic" w:hAnsi="Simplified Arabic" w:cs="Simplified Arabic" w:hint="cs"/>
          <w:rtl/>
        </w:rPr>
        <w:t>لم توفِ</w:t>
      </w:r>
      <w:r w:rsidR="007B02E1" w:rsidRPr="00CD192E">
        <w:rPr>
          <w:rFonts w:ascii="Simplified Arabic" w:hAnsi="Simplified Arabic" w:cs="Simplified Arabic"/>
          <w:rtl/>
        </w:rPr>
        <w:t xml:space="preserve"> بالتزاماتها بموجب العهد الدولي الخاص بالحقوق المدنية والسياسية،</w:t>
      </w:r>
      <w:r w:rsidR="00481640" w:rsidRPr="006500F0">
        <w:rPr>
          <w:rStyle w:val="FootnoteReference"/>
          <w:rFonts w:asciiTheme="majorBidi" w:hAnsiTheme="majorBidi" w:cstheme="majorBidi"/>
          <w:lang w:bidi="ar-LB"/>
        </w:rPr>
        <w:footnoteReference w:id="52"/>
      </w:r>
      <w:r w:rsidR="007B02E1" w:rsidRPr="00CD192E">
        <w:rPr>
          <w:rFonts w:ascii="Simplified Arabic" w:hAnsi="Simplified Arabic" w:cs="Simplified Arabic"/>
          <w:rtl/>
        </w:rPr>
        <w:t xml:space="preserve"> واتفاقية القضاء على جميع أشكال التمييز ضد المرأة،</w:t>
      </w:r>
      <w:r w:rsidR="00481640" w:rsidRPr="006500F0">
        <w:rPr>
          <w:rStyle w:val="FootnoteReference"/>
          <w:rFonts w:asciiTheme="majorBidi" w:hAnsiTheme="majorBidi" w:cstheme="majorBidi"/>
          <w:lang w:bidi="ar-LB"/>
        </w:rPr>
        <w:footnoteReference w:id="53"/>
      </w:r>
      <w:r w:rsidR="007B02E1" w:rsidRPr="00CD192E">
        <w:rPr>
          <w:rFonts w:ascii="Simplified Arabic" w:hAnsi="Simplified Arabic" w:cs="Simplified Arabic"/>
          <w:rtl/>
        </w:rPr>
        <w:t xml:space="preserve"> من خلال عدم توفير الحماية الفعالة لحنان وعدم إجراء تحقيق فعال حتى الآن وملاحقة المسؤولين عن قتلها.</w:t>
      </w:r>
    </w:p>
    <w:p w14:paraId="032730F6" w14:textId="26492E43" w:rsidR="006A2394" w:rsidRPr="00632C66" w:rsidRDefault="00AE0A09" w:rsidP="00F47F3F">
      <w:pPr>
        <w:pStyle w:val="H1G"/>
        <w:kinsoku w:val="0"/>
        <w:overflowPunct w:val="0"/>
        <w:autoSpaceDE w:val="0"/>
        <w:autoSpaceDN w:val="0"/>
        <w:bidi/>
        <w:adjustRightInd w:val="0"/>
        <w:snapToGrid w:val="0"/>
        <w:rPr>
          <w:rFonts w:asciiTheme="majorBidi" w:hAnsiTheme="majorBidi" w:cstheme="majorBidi"/>
          <w:b w:val="0"/>
          <w:bCs/>
          <w:lang w:val="en-CA" w:bidi="ar-LB"/>
        </w:rPr>
      </w:pPr>
      <w:r w:rsidRPr="00632C66">
        <w:rPr>
          <w:rFonts w:asciiTheme="majorBidi" w:hAnsiTheme="majorBidi" w:cstheme="majorBidi"/>
          <w:b w:val="0"/>
          <w:bCs/>
          <w:lang w:val="en-CA" w:bidi="ar-LB"/>
        </w:rPr>
        <w:tab/>
      </w:r>
      <w:r w:rsidR="00FA4CD4" w:rsidRPr="00632C66">
        <w:rPr>
          <w:rFonts w:asciiTheme="majorBidi" w:hAnsiTheme="majorBidi" w:cstheme="majorBidi"/>
          <w:b w:val="0"/>
          <w:bCs/>
          <w:lang w:val="en-CA" w:bidi="ar-LB"/>
        </w:rPr>
        <w:tab/>
      </w:r>
      <w:r w:rsidR="00632C66" w:rsidRPr="00632C66">
        <w:rPr>
          <w:rFonts w:asciiTheme="majorBidi" w:eastAsiaTheme="minorHAnsi" w:hAnsiTheme="majorBidi" w:cstheme="majorBidi" w:hint="cs"/>
          <w:b w:val="0"/>
          <w:bCs/>
          <w:rtl/>
          <w:lang w:val="en-CA" w:bidi="ar-LB"/>
        </w:rPr>
        <w:t>حاء-</w:t>
      </w:r>
      <w:r w:rsidR="00764C71">
        <w:rPr>
          <w:rFonts w:asciiTheme="majorBidi" w:eastAsiaTheme="minorHAnsi" w:hAnsiTheme="majorBidi" w:cstheme="majorBidi"/>
          <w:b w:val="0"/>
          <w:bCs/>
          <w:lang w:val="en-CA" w:bidi="ar-LB"/>
        </w:rPr>
        <w:tab/>
      </w:r>
      <w:r w:rsidR="00632C66" w:rsidRPr="00632C66">
        <w:rPr>
          <w:rFonts w:asciiTheme="majorBidi" w:eastAsiaTheme="minorHAnsi" w:hAnsiTheme="majorBidi" w:cstheme="majorBidi" w:hint="cs"/>
          <w:b w:val="0"/>
          <w:bCs/>
          <w:rtl/>
          <w:lang w:val="en-CA" w:bidi="ar-LB"/>
        </w:rPr>
        <w:t xml:space="preserve"> الأطفال</w:t>
      </w:r>
    </w:p>
    <w:p w14:paraId="118E0FAF" w14:textId="24C4BEA8" w:rsidR="006A2394" w:rsidRPr="006500F0" w:rsidRDefault="00FA4CD4" w:rsidP="00150235">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75.</w:t>
      </w:r>
      <w:r w:rsidRPr="006500F0">
        <w:rPr>
          <w:rFonts w:asciiTheme="majorBidi" w:hAnsiTheme="majorBidi" w:cstheme="majorBidi"/>
          <w:lang w:bidi="ar-LB"/>
        </w:rPr>
        <w:tab/>
      </w:r>
      <w:r w:rsidR="00150235" w:rsidRPr="00CD192E">
        <w:rPr>
          <w:rFonts w:ascii="Simplified Arabic" w:hAnsi="Simplified Arabic" w:cs="Simplified Arabic"/>
          <w:rtl/>
        </w:rPr>
        <w:t xml:space="preserve">تأثر الأطفال من كلّ الأعمار، وبطرق مختلفة، من جراء العنف في ليبيا منذ </w:t>
      </w:r>
      <w:r w:rsidR="00150235" w:rsidRPr="00CD192E">
        <w:rPr>
          <w:rFonts w:ascii="Simplified Arabic" w:hAnsi="Simplified Arabic" w:cs="Simplified Arabic"/>
          <w:rtl/>
          <w:lang w:bidi="ar-LB"/>
        </w:rPr>
        <w:t>ال</w:t>
      </w:r>
      <w:r w:rsidR="00150235" w:rsidRPr="00CD192E">
        <w:rPr>
          <w:rFonts w:ascii="Simplified Arabic" w:hAnsi="Simplified Arabic" w:cs="Simplified Arabic"/>
          <w:rtl/>
        </w:rPr>
        <w:t xml:space="preserve">عام 2016. فقد قُتل الأطفال في الأعمال العدائية، ودُمّر عدد كبير من المدارس، واضطر بعضهم إلى العيش دون أبويْهم بعد اختطافهم. وغالبًا ما تظل الانتهاكات والإساءات التي يتعرض لها الأطفال في ليبيا </w:t>
      </w:r>
      <w:r w:rsidR="00150235" w:rsidRPr="00CD192E">
        <w:rPr>
          <w:rFonts w:ascii="Simplified Arabic" w:hAnsi="Simplified Arabic" w:cs="Simplified Arabic"/>
          <w:rtl/>
          <w:lang w:bidi="ar-LB"/>
        </w:rPr>
        <w:t>خفيّة</w:t>
      </w:r>
      <w:r w:rsidR="00150235" w:rsidRPr="00CD192E">
        <w:rPr>
          <w:rFonts w:ascii="Simplified Arabic" w:hAnsi="Simplified Arabic" w:cs="Simplified Arabic"/>
          <w:rtl/>
        </w:rPr>
        <w:t>. يركز هذا التقرير على مجالين، ألا  وهما، التجنيد والاستخدام المزعوميْن للأطفال من قبل أطراف النزاع، والاحتجاز التعسفي للأطفال خلال الأعمال العدائية. وستتناول التحقيقات المستقبلية موضوع الانتهاكات أو الإساءات الأخرى ضدّ الأطفال.</w:t>
      </w:r>
    </w:p>
    <w:p w14:paraId="2C763D60" w14:textId="3298D97A" w:rsidR="0049491B" w:rsidRDefault="00FA4CD4" w:rsidP="0049491B">
      <w:pPr>
        <w:pStyle w:val="ParNoG"/>
        <w:numPr>
          <w:ilvl w:val="0"/>
          <w:numId w:val="0"/>
        </w:numPr>
        <w:bidi/>
        <w:ind w:left="1134"/>
        <w:rPr>
          <w:rFonts w:ascii="Simplified Arabic" w:hAnsi="Simplified Arabic" w:cs="Simplified Arabic"/>
          <w:rtl/>
        </w:rPr>
      </w:pPr>
      <w:r w:rsidRPr="006500F0">
        <w:rPr>
          <w:rFonts w:asciiTheme="majorBidi" w:hAnsiTheme="majorBidi" w:cstheme="majorBidi"/>
          <w:lang w:bidi="ar-LB"/>
        </w:rPr>
        <w:t>76.</w:t>
      </w:r>
      <w:r w:rsidRPr="006500F0">
        <w:rPr>
          <w:rFonts w:asciiTheme="majorBidi" w:hAnsiTheme="majorBidi" w:cstheme="majorBidi"/>
          <w:lang w:bidi="ar-LB"/>
        </w:rPr>
        <w:tab/>
      </w:r>
      <w:r w:rsidR="0049491B" w:rsidRPr="00CD192E">
        <w:rPr>
          <w:rFonts w:ascii="Simplified Arabic" w:hAnsi="Simplified Arabic" w:cs="Simplified Arabic"/>
          <w:rtl/>
        </w:rPr>
        <w:t xml:space="preserve">أثبتت الأدلة أنه اعتبارًا من أواخر العام 2019، سهّلت تركيا تجنيد الأطفال السوريين الذين تتراوح أعمارهم بين 15 و18 عامًا (الأمر الذي كان واضحًا بناءً على مظهرهم)، للقتال إلى جانب حكومة الوفاق الوطني ضد الجيش الوطني الليبي مقابل مبالغ مالية. تم استخدام هؤلاء المرتزقة الأطفال في وظائف مختلفة، بما في ذلك ضمن الوحدات القتالية، وبعضهم في أدوار مساندة مثل الحراسة. وسُجن عدد كبير منهم في حال عصيانهم للأوامر، وأُصيب البعض منهم. ثمة أسباب وجيهة تدعو للاعتقاد بأن ليبيا لربما </w:t>
      </w:r>
      <w:r w:rsidR="0049491B">
        <w:rPr>
          <w:rFonts w:ascii="Simplified Arabic" w:hAnsi="Simplified Arabic" w:cs="Simplified Arabic" w:hint="cs"/>
          <w:rtl/>
        </w:rPr>
        <w:t>لم تمتثل</w:t>
      </w:r>
      <w:r w:rsidR="0049491B" w:rsidRPr="00CD192E">
        <w:rPr>
          <w:rFonts w:ascii="Simplified Arabic" w:hAnsi="Simplified Arabic" w:cs="Simplified Arabic"/>
          <w:rtl/>
        </w:rPr>
        <w:t xml:space="preserve"> لالتزاماتها بموجب الميثاق الأفريقي لحقوق الطفل ورفاهيته، الذي يحظر تجنيد الأطفال ومشاركتهم المباشرة في الأعمال العدائية، بما في ذلك تجنيد </w:t>
      </w:r>
      <w:r w:rsidR="0049491B" w:rsidRPr="00CD192E">
        <w:rPr>
          <w:rFonts w:ascii="Simplified Arabic" w:hAnsi="Simplified Arabic" w:cs="Simplified Arabic"/>
          <w:rtl/>
        </w:rPr>
        <w:lastRenderedPageBreak/>
        <w:t xml:space="preserve">الأطفال خارج القوات المسلحة التابعة للدولة. ثمة أيضًا أسباب وجيهة تدعو للاعتقاد بأنه لربما لم تمتثل ليبيا لالتزاماتها بموجب </w:t>
      </w:r>
      <w:r w:rsidR="0049491B" w:rsidRPr="00CD192E">
        <w:rPr>
          <w:rFonts w:ascii="Simplified Arabic" w:hAnsi="Simplified Arabic" w:cs="Simplified Arabic"/>
        </w:rPr>
        <w:br/>
      </w:r>
      <w:r w:rsidR="0049491B" w:rsidRPr="00CD192E">
        <w:rPr>
          <w:rFonts w:ascii="Simplified Arabic" w:hAnsi="Simplified Arabic" w:cs="Simplified Arabic"/>
          <w:rtl/>
        </w:rPr>
        <w:t>البروتوكول الاختياري لاتفاقية حقوق الطفل بشأن اشتراك الأطفال في ال</w:t>
      </w:r>
      <w:r w:rsidR="0049491B">
        <w:rPr>
          <w:rFonts w:ascii="Simplified Arabic" w:hAnsi="Simplified Arabic" w:cs="Simplified Arabic" w:hint="cs"/>
          <w:rtl/>
          <w:lang w:bidi="ar-LB"/>
        </w:rPr>
        <w:t>م</w:t>
      </w:r>
      <w:r w:rsidR="0049491B" w:rsidRPr="00CD192E">
        <w:rPr>
          <w:rFonts w:ascii="Simplified Arabic" w:hAnsi="Simplified Arabic" w:cs="Simplified Arabic"/>
          <w:rtl/>
        </w:rPr>
        <w:t>ن</w:t>
      </w:r>
      <w:r w:rsidR="0049491B">
        <w:rPr>
          <w:rFonts w:ascii="Simplified Arabic" w:hAnsi="Simplified Arabic" w:cs="Simplified Arabic" w:hint="cs"/>
          <w:rtl/>
        </w:rPr>
        <w:t>ا</w:t>
      </w:r>
      <w:r w:rsidR="0049491B" w:rsidRPr="00CD192E">
        <w:rPr>
          <w:rFonts w:ascii="Simplified Arabic" w:hAnsi="Simplified Arabic" w:cs="Simplified Arabic"/>
          <w:rtl/>
        </w:rPr>
        <w:t>ز</w:t>
      </w:r>
      <w:r w:rsidR="0049491B" w:rsidRPr="00CD192E">
        <w:rPr>
          <w:rFonts w:ascii="Simplified Arabic" w:hAnsi="Simplified Arabic" w:cs="Simplified Arabic"/>
          <w:rtl/>
          <w:lang w:bidi="ar-LB"/>
        </w:rPr>
        <w:t>ا</w:t>
      </w:r>
      <w:r w:rsidR="0049491B" w:rsidRPr="00CD192E">
        <w:rPr>
          <w:rFonts w:ascii="Simplified Arabic" w:hAnsi="Simplified Arabic" w:cs="Simplified Arabic"/>
          <w:rtl/>
        </w:rPr>
        <w:t xml:space="preserve">عات المسلحة، الذي يُلزم الدول الأطراف باتخاذ جميع التدابير الممكنة لضمان تسريح الأطفال الخاضعين لولايتها والمستخدَمين في الأعمال </w:t>
      </w:r>
      <w:r w:rsidR="0049491B" w:rsidRPr="00295629">
        <w:rPr>
          <w:rFonts w:ascii="Simplified Arabic" w:hAnsi="Simplified Arabic" w:cs="Simplified Arabic"/>
          <w:rtl/>
        </w:rPr>
        <w:t xml:space="preserve">العدائية </w:t>
      </w:r>
      <w:r w:rsidR="0049491B" w:rsidRPr="00295629">
        <w:rPr>
          <w:rFonts w:ascii="Simplified Arabic" w:hAnsi="Simplified Arabic" w:cs="Simplified Arabic" w:hint="cs"/>
          <w:rtl/>
        </w:rPr>
        <w:t>وإعفائهم</w:t>
      </w:r>
      <w:r w:rsidR="0049491B">
        <w:rPr>
          <w:rFonts w:ascii="Simplified Arabic" w:hAnsi="Simplified Arabic" w:cs="Simplified Arabic" w:hint="cs"/>
          <w:rtl/>
        </w:rPr>
        <w:t xml:space="preserve"> </w:t>
      </w:r>
      <w:r w:rsidR="0049491B" w:rsidRPr="00CD192E">
        <w:rPr>
          <w:rFonts w:ascii="Simplified Arabic" w:hAnsi="Simplified Arabic" w:cs="Simplified Arabic"/>
          <w:rtl/>
        </w:rPr>
        <w:t>من الخدمة.</w:t>
      </w:r>
      <w:r w:rsidR="0049491B" w:rsidRPr="0049491B">
        <w:rPr>
          <w:rStyle w:val="FootnoteReference"/>
          <w:rFonts w:asciiTheme="majorBidi" w:hAnsiTheme="majorBidi" w:cstheme="majorBidi"/>
          <w:lang w:bidi="ar-LB"/>
        </w:rPr>
        <w:t xml:space="preserve"> </w:t>
      </w:r>
      <w:r w:rsidR="0049491B" w:rsidRPr="006500F0">
        <w:rPr>
          <w:rStyle w:val="FootnoteReference"/>
          <w:rFonts w:asciiTheme="majorBidi" w:hAnsiTheme="majorBidi" w:cstheme="majorBidi"/>
          <w:lang w:bidi="ar-LB"/>
        </w:rPr>
        <w:footnoteReference w:id="54"/>
      </w:r>
      <w:r w:rsidR="0049491B" w:rsidRPr="00CD192E">
        <w:rPr>
          <w:rFonts w:ascii="Simplified Arabic" w:hAnsi="Simplified Arabic" w:cs="Simplified Arabic"/>
          <w:rtl/>
        </w:rPr>
        <w:t xml:space="preserve"> علاوة على ذلك، </w:t>
      </w:r>
      <w:r w:rsidR="0049491B" w:rsidRPr="00CD192E">
        <w:rPr>
          <w:rFonts w:ascii="Simplified Arabic" w:hAnsi="Simplified Arabic" w:cs="Simplified Arabic"/>
          <w:rtl/>
          <w:lang w:bidi="ar-LB"/>
        </w:rPr>
        <w:t>ل</w:t>
      </w:r>
      <w:r w:rsidR="0049491B" w:rsidRPr="00CD192E">
        <w:rPr>
          <w:rFonts w:ascii="Simplified Arabic" w:hAnsi="Simplified Arabic" w:cs="Simplified Arabic"/>
          <w:rtl/>
        </w:rPr>
        <w:t>ربما انتهكت كلّ من ليبيا وتركيا التزاماتهما بموجب البروتوكول الاختياري لاتفاقية حقوق الطفل بشأن اشتراك الأطفال في ال</w:t>
      </w:r>
      <w:r w:rsidR="0049491B">
        <w:rPr>
          <w:rFonts w:ascii="Simplified Arabic" w:hAnsi="Simplified Arabic" w:cs="Simplified Arabic" w:hint="cs"/>
          <w:rtl/>
        </w:rPr>
        <w:t>م</w:t>
      </w:r>
      <w:r w:rsidR="0049491B" w:rsidRPr="00CD192E">
        <w:rPr>
          <w:rFonts w:ascii="Simplified Arabic" w:hAnsi="Simplified Arabic" w:cs="Simplified Arabic"/>
          <w:rtl/>
        </w:rPr>
        <w:t>ن</w:t>
      </w:r>
      <w:r w:rsidR="0049491B">
        <w:rPr>
          <w:rFonts w:ascii="Simplified Arabic" w:hAnsi="Simplified Arabic" w:cs="Simplified Arabic" w:hint="cs"/>
          <w:rtl/>
        </w:rPr>
        <w:t>ا</w:t>
      </w:r>
      <w:r w:rsidR="0049491B" w:rsidRPr="00CD192E">
        <w:rPr>
          <w:rFonts w:ascii="Simplified Arabic" w:hAnsi="Simplified Arabic" w:cs="Simplified Arabic"/>
          <w:rtl/>
        </w:rPr>
        <w:t>زاعات المسلحة، الذي ينصّ على منع تجنيد الأطفال واستخدامهم للمشاركة في الأعمال العدائية.</w:t>
      </w:r>
      <w:r w:rsidR="0049491B" w:rsidRPr="0049491B">
        <w:rPr>
          <w:rStyle w:val="FootnoteReference"/>
          <w:rFonts w:asciiTheme="majorBidi" w:hAnsiTheme="majorBidi" w:cstheme="majorBidi"/>
          <w:lang w:bidi="ar-LB"/>
        </w:rPr>
        <w:t xml:space="preserve"> </w:t>
      </w:r>
      <w:r w:rsidR="0049491B" w:rsidRPr="006500F0">
        <w:rPr>
          <w:rStyle w:val="FootnoteReference"/>
          <w:rFonts w:asciiTheme="majorBidi" w:hAnsiTheme="majorBidi" w:cstheme="majorBidi"/>
          <w:lang w:bidi="ar-LB"/>
        </w:rPr>
        <w:footnoteReference w:id="55"/>
      </w:r>
      <w:r w:rsidR="0049491B" w:rsidRPr="00CD192E">
        <w:rPr>
          <w:rFonts w:ascii="Simplified Arabic" w:hAnsi="Simplified Arabic" w:cs="Simplified Arabic"/>
          <w:rtl/>
        </w:rPr>
        <w:t>صادفت البعثة ادعاءات أخرى بتجنيد الأطفال ومشاركتهم المباشرة في الأعمال العدائية، إلا أنّ التحقيقات تتطلب مزيدًا من الوقت في هذا الصدد.</w:t>
      </w:r>
    </w:p>
    <w:p w14:paraId="70F62B5E" w14:textId="6B7B3199" w:rsidR="00AA0C68" w:rsidRPr="00CD192E" w:rsidRDefault="00FA4CD4" w:rsidP="00AA0C68">
      <w:pPr>
        <w:pStyle w:val="ParNoG"/>
        <w:numPr>
          <w:ilvl w:val="0"/>
          <w:numId w:val="0"/>
        </w:numPr>
        <w:bidi/>
        <w:ind w:left="1134"/>
        <w:rPr>
          <w:rFonts w:ascii="Simplified Arabic" w:hAnsi="Simplified Arabic" w:cs="Simplified Arabic"/>
        </w:rPr>
      </w:pPr>
      <w:r w:rsidRPr="006500F0">
        <w:rPr>
          <w:rFonts w:asciiTheme="majorBidi" w:hAnsiTheme="majorBidi" w:cstheme="majorBidi"/>
          <w:lang w:bidi="ar-LB"/>
        </w:rPr>
        <w:t>77.</w:t>
      </w:r>
      <w:r w:rsidRPr="006500F0">
        <w:rPr>
          <w:rFonts w:asciiTheme="majorBidi" w:hAnsiTheme="majorBidi" w:cstheme="majorBidi"/>
          <w:lang w:bidi="ar-LB"/>
        </w:rPr>
        <w:tab/>
      </w:r>
      <w:r w:rsidR="00AA0C68" w:rsidRPr="00CD192E">
        <w:rPr>
          <w:rFonts w:ascii="Simplified Arabic" w:hAnsi="Simplified Arabic" w:cs="Simplified Arabic"/>
          <w:rtl/>
        </w:rPr>
        <w:t xml:space="preserve">في سياق </w:t>
      </w:r>
      <w:r w:rsidR="00AA0C68" w:rsidRPr="00CD192E">
        <w:rPr>
          <w:rFonts w:ascii="Simplified Arabic" w:hAnsi="Simplified Arabic" w:cs="Simplified Arabic"/>
          <w:rtl/>
          <w:lang w:bidi="ar-LB"/>
        </w:rPr>
        <w:t>ال</w:t>
      </w:r>
      <w:r w:rsidR="00AA0C68" w:rsidRPr="00CD192E">
        <w:rPr>
          <w:rFonts w:ascii="Simplified Arabic" w:hAnsi="Simplified Arabic" w:cs="Simplified Arabic"/>
          <w:rtl/>
        </w:rPr>
        <w:t>تحقيقات في نظام السجون الليبي، أولت البعثة اهتمامًا خاصًا بمصير الأطفال المحتجزين، بمن فيهم الأطفال الذين ارتبط أبويْهم بتنظيم "الدولة الإسلامية في العراق والشام" ("داعش")، إذ احتُجز عدد كبير منهم بشكل تعسفي منذ العام 2016</w:t>
      </w:r>
      <w:r w:rsidR="00AA0C68" w:rsidRPr="00CD192E">
        <w:rPr>
          <w:rFonts w:ascii="Simplified Arabic" w:hAnsi="Simplified Arabic" w:cs="Simplified Arabic"/>
          <w:rtl/>
          <w:lang w:bidi="ar-LB"/>
        </w:rPr>
        <w:t>، ويعود ذلك، من بين جملة أسباب، إلى رفض بلدانهم ال</w:t>
      </w:r>
      <w:r w:rsidR="00AA0C68">
        <w:rPr>
          <w:rFonts w:ascii="Simplified Arabic" w:hAnsi="Simplified Arabic" w:cs="Simplified Arabic" w:hint="cs"/>
          <w:rtl/>
          <w:lang w:bidi="ar-LB"/>
        </w:rPr>
        <w:t>أ</w:t>
      </w:r>
      <w:r w:rsidR="00AA0C68" w:rsidRPr="00CD192E">
        <w:rPr>
          <w:rFonts w:ascii="Simplified Arabic" w:hAnsi="Simplified Arabic" w:cs="Simplified Arabic"/>
          <w:rtl/>
          <w:lang w:bidi="ar-LB"/>
        </w:rPr>
        <w:t>صلية قبول عودتهم.</w:t>
      </w:r>
      <w:r w:rsidR="00AA0C68" w:rsidRPr="00CD192E">
        <w:rPr>
          <w:rFonts w:ascii="Simplified Arabic" w:hAnsi="Simplified Arabic" w:cs="Simplified Arabic"/>
          <w:rtl/>
        </w:rPr>
        <w:t xml:space="preserve"> أثبتت الأدلة أنه يتم احتجاز الأطفال مع البالغين في جميع أنحاء ليبيا (وبالتالي تزيد مخاطر تعرّضهم للعنف بما في ذلك العنف الجنسي)، وأنهم يتعرضون لنفس ظروف الاحتجاز القاسية (مع تأثير على نموهم)، وأنهم يعانون من الضرب والتعذيب. ويُحتجز العديد من الأطفال لفترات طويلة دون تهمة أو محاكمة. كما حُرم بعضهم من التواصل المنتظم مع أمهاتهنّ المحتجزات في جناح النساء. قد ترقى هذه المعاملة إلى انتهاك مبدأ مصلحة الطفل الفضلى، وعدد من أحكام اتفاقية حقوق الطفل للعام 1989 المتعلقة بالاحتجاز التعسفي للأطفال،</w:t>
      </w:r>
      <w:r w:rsidR="00AA0C68" w:rsidRPr="006500F0">
        <w:rPr>
          <w:rStyle w:val="FootnoteReference"/>
          <w:rFonts w:asciiTheme="majorBidi" w:hAnsiTheme="majorBidi" w:cstheme="majorBidi"/>
          <w:lang w:bidi="ar-LB"/>
        </w:rPr>
        <w:footnoteReference w:id="56"/>
      </w:r>
      <w:r w:rsidR="00AA0C68">
        <w:rPr>
          <w:rFonts w:ascii="Simplified Arabic" w:hAnsi="Simplified Arabic" w:cs="Simplified Arabic" w:hint="cs"/>
          <w:rtl/>
        </w:rPr>
        <w:t xml:space="preserve"> </w:t>
      </w:r>
      <w:r w:rsidR="00AA0C68" w:rsidRPr="00CD192E">
        <w:rPr>
          <w:rFonts w:ascii="Simplified Arabic" w:hAnsi="Simplified Arabic" w:cs="Simplified Arabic"/>
          <w:rtl/>
        </w:rPr>
        <w:t>وحظر التعذيب</w:t>
      </w:r>
      <w:r w:rsidR="00AA0C68" w:rsidRPr="00CD192E">
        <w:rPr>
          <w:rFonts w:ascii="Simplified Arabic" w:hAnsi="Simplified Arabic" w:cs="Simplified Arabic"/>
        </w:rPr>
        <w:t xml:space="preserve"> </w:t>
      </w:r>
      <w:r w:rsidR="00AA0C68" w:rsidRPr="006500F0">
        <w:rPr>
          <w:rStyle w:val="FootnoteReference"/>
          <w:rFonts w:asciiTheme="majorBidi" w:hAnsiTheme="majorBidi" w:cstheme="majorBidi"/>
          <w:lang w:bidi="ar-LB"/>
        </w:rPr>
        <w:footnoteReference w:id="57"/>
      </w:r>
      <w:r w:rsidR="00AA0C68" w:rsidRPr="00CD192E">
        <w:rPr>
          <w:rFonts w:ascii="Simplified Arabic" w:hAnsi="Simplified Arabic" w:cs="Simplified Arabic"/>
          <w:rtl/>
        </w:rPr>
        <w:t>والفصل عن البالغين،</w:t>
      </w:r>
      <w:r w:rsidR="00AA0C68" w:rsidRPr="006500F0">
        <w:rPr>
          <w:rStyle w:val="FootnoteReference"/>
          <w:rFonts w:asciiTheme="majorBidi" w:hAnsiTheme="majorBidi" w:cstheme="majorBidi"/>
          <w:lang w:bidi="ar-LB"/>
        </w:rPr>
        <w:footnoteReference w:id="58"/>
      </w:r>
      <w:r w:rsidR="00AA0C68" w:rsidRPr="00CD192E">
        <w:rPr>
          <w:rFonts w:ascii="Simplified Arabic" w:hAnsi="Simplified Arabic" w:cs="Simplified Arabic"/>
          <w:rtl/>
        </w:rPr>
        <w:t xml:space="preserve"> فضلًا عن انتهاك </w:t>
      </w:r>
      <w:r w:rsidR="00612A9A" w:rsidRPr="00764C71">
        <w:rPr>
          <w:rFonts w:ascii="Simplified Arabic" w:hAnsi="Simplified Arabic" w:cs="Simplified Arabic"/>
          <w:rtl/>
        </w:rPr>
        <w:t>قواعد الأمم المتحدة النموذجية الدنيا لمعاملة السجناء</w:t>
      </w:r>
      <w:r w:rsidR="00612A9A" w:rsidRPr="00764C71">
        <w:rPr>
          <w:rFonts w:ascii="Simplified Arabic" w:hAnsi="Simplified Arabic" w:cs="Simplified Arabic" w:hint="cs"/>
          <w:rtl/>
        </w:rPr>
        <w:t xml:space="preserve">، إضافة إلى </w:t>
      </w:r>
      <w:r w:rsidR="00612A9A" w:rsidRPr="00764C71">
        <w:rPr>
          <w:rFonts w:ascii="Simplified Arabic" w:hAnsi="Simplified Arabic" w:cs="Simplified Arabic"/>
          <w:rtl/>
        </w:rPr>
        <w:t xml:space="preserve"> قواعد الأمم المتحدة لمعاملة السجينات والتدابير غير الاحتجازية للمجرمات</w:t>
      </w:r>
      <w:r w:rsidR="00612A9A" w:rsidRPr="00764C71">
        <w:rPr>
          <w:rFonts w:ascii="Simplified Arabic" w:hAnsi="Simplified Arabic" w:cs="Simplified Arabic" w:hint="cs"/>
          <w:rtl/>
        </w:rPr>
        <w:t>.</w:t>
      </w:r>
    </w:p>
    <w:p w14:paraId="54638176" w14:textId="699C6EF2" w:rsidR="00BF6547" w:rsidRPr="005F1458" w:rsidRDefault="00AE0A09" w:rsidP="005F1458">
      <w:pPr>
        <w:pStyle w:val="H1G"/>
        <w:kinsoku w:val="0"/>
        <w:overflowPunct w:val="0"/>
        <w:autoSpaceDE w:val="0"/>
        <w:autoSpaceDN w:val="0"/>
        <w:bidi/>
        <w:adjustRightInd w:val="0"/>
        <w:snapToGrid w:val="0"/>
        <w:rPr>
          <w:rFonts w:asciiTheme="majorBidi" w:hAnsiTheme="majorBidi" w:cstheme="majorBidi"/>
          <w:b w:val="0"/>
          <w:bCs/>
          <w:rtl/>
          <w:lang w:val="en-CA" w:bidi="ar-LB"/>
        </w:rPr>
      </w:pPr>
      <w:r w:rsidRPr="005F1458">
        <w:rPr>
          <w:rFonts w:asciiTheme="majorBidi" w:hAnsiTheme="majorBidi" w:cstheme="majorBidi"/>
          <w:b w:val="0"/>
          <w:bCs/>
          <w:lang w:val="en-CA" w:bidi="ar-LB"/>
        </w:rPr>
        <w:tab/>
      </w:r>
      <w:r w:rsidR="00FA4CD4" w:rsidRPr="005F1458">
        <w:rPr>
          <w:rFonts w:asciiTheme="majorBidi" w:hAnsiTheme="majorBidi" w:cstheme="majorBidi"/>
          <w:b w:val="0"/>
          <w:bCs/>
          <w:lang w:val="en-CA" w:bidi="ar-LB"/>
        </w:rPr>
        <w:tab/>
      </w:r>
      <w:r w:rsidR="005F1458" w:rsidRPr="005F1458">
        <w:rPr>
          <w:rFonts w:asciiTheme="majorBidi" w:eastAsiaTheme="minorHAnsi" w:hAnsiTheme="majorBidi" w:cstheme="majorBidi" w:hint="cs"/>
          <w:b w:val="0"/>
          <w:bCs/>
          <w:rtl/>
          <w:lang w:val="en-CA" w:bidi="ar-LB"/>
        </w:rPr>
        <w:t xml:space="preserve">طاء- </w:t>
      </w:r>
      <w:r w:rsidR="00764C71">
        <w:rPr>
          <w:rFonts w:asciiTheme="majorBidi" w:eastAsiaTheme="minorHAnsi" w:hAnsiTheme="majorBidi" w:cstheme="majorBidi"/>
          <w:b w:val="0"/>
          <w:bCs/>
          <w:lang w:val="en-CA" w:bidi="ar-LB"/>
        </w:rPr>
        <w:tab/>
      </w:r>
      <w:r w:rsidR="005F1458" w:rsidRPr="005F1458">
        <w:rPr>
          <w:rFonts w:asciiTheme="majorBidi" w:eastAsiaTheme="minorHAnsi" w:hAnsiTheme="majorBidi" w:cstheme="majorBidi" w:hint="cs"/>
          <w:b w:val="0"/>
          <w:bCs/>
          <w:rtl/>
          <w:lang w:val="en-CA" w:bidi="ar-LB"/>
        </w:rPr>
        <w:t>ترهونة</w:t>
      </w:r>
    </w:p>
    <w:p w14:paraId="11A7D0E8" w14:textId="4C6FCFCC" w:rsidR="007F1E41" w:rsidRPr="008C4782" w:rsidRDefault="00FA4CD4" w:rsidP="008C4782">
      <w:pPr>
        <w:pStyle w:val="ParNoG"/>
        <w:numPr>
          <w:ilvl w:val="0"/>
          <w:numId w:val="0"/>
        </w:numPr>
        <w:bidi/>
        <w:ind w:left="1134"/>
        <w:rPr>
          <w:rFonts w:ascii="Simplified Arabic" w:hAnsi="Simplified Arabic" w:cs="Simplified Arabic"/>
          <w:lang w:val="en-CA"/>
        </w:rPr>
      </w:pPr>
      <w:r w:rsidRPr="006500F0">
        <w:rPr>
          <w:rFonts w:asciiTheme="majorBidi" w:hAnsiTheme="majorBidi" w:cstheme="majorBidi"/>
          <w:lang w:bidi="ar-LB"/>
        </w:rPr>
        <w:t>78.</w:t>
      </w:r>
      <w:r w:rsidRPr="006500F0">
        <w:rPr>
          <w:rFonts w:asciiTheme="majorBidi" w:hAnsiTheme="majorBidi" w:cstheme="majorBidi"/>
          <w:lang w:bidi="ar-LB"/>
        </w:rPr>
        <w:tab/>
      </w:r>
      <w:r w:rsidR="008C4782" w:rsidRPr="00CD192E">
        <w:rPr>
          <w:rFonts w:ascii="Simplified Arabic" w:hAnsi="Simplified Arabic" w:cs="Simplified Arabic"/>
          <w:rtl/>
          <w:lang w:val="en-CA" w:bidi="ar-LB"/>
        </w:rPr>
        <w:t>وردتْ</w:t>
      </w:r>
      <w:r w:rsidR="008C4782" w:rsidRPr="00CD192E">
        <w:rPr>
          <w:rFonts w:ascii="Simplified Arabic" w:hAnsi="Simplified Arabic" w:cs="Simplified Arabic"/>
          <w:rtl/>
          <w:lang w:val="en-CA"/>
        </w:rPr>
        <w:t xml:space="preserve"> عدة تقارير بشأن الجرائم المقترفة في السنوات الأخيرة في بلدة ترهونة (جنوب شرق طرابلس)، وشملتْ عمليات الاختطاف واسعة النطاق والتعذيب الم</w:t>
      </w:r>
      <w:r w:rsidR="008C4782">
        <w:rPr>
          <w:rFonts w:ascii="Simplified Arabic" w:hAnsi="Simplified Arabic" w:cs="Simplified Arabic" w:hint="cs"/>
          <w:rtl/>
          <w:lang w:val="en-CA"/>
        </w:rPr>
        <w:t>م</w:t>
      </w:r>
      <w:r w:rsidR="008C4782" w:rsidRPr="00CD192E">
        <w:rPr>
          <w:rFonts w:ascii="Simplified Arabic" w:hAnsi="Simplified Arabic" w:cs="Simplified Arabic"/>
          <w:rtl/>
          <w:lang w:val="en-CA"/>
        </w:rPr>
        <w:t xml:space="preserve">نهج والقتل الجماعي، بما في ذلك </w:t>
      </w:r>
      <w:r w:rsidR="008C4782" w:rsidRPr="00CD192E">
        <w:rPr>
          <w:rFonts w:ascii="Simplified Arabic" w:hAnsi="Simplified Arabic" w:cs="Simplified Arabic"/>
          <w:rtl/>
          <w:lang w:val="en-CA" w:bidi="ar-LB"/>
        </w:rPr>
        <w:t>استهداف</w:t>
      </w:r>
      <w:r w:rsidR="008C4782" w:rsidRPr="00CD192E">
        <w:rPr>
          <w:rFonts w:ascii="Simplified Arabic" w:hAnsi="Simplified Arabic" w:cs="Simplified Arabic"/>
          <w:rtl/>
          <w:lang w:val="en-CA"/>
        </w:rPr>
        <w:t xml:space="preserve"> النساء بسبب صلاتهنّ العائلية. تشير هذه التقارير إلى تورط أفراد من الكانيات الذي </w:t>
      </w:r>
      <w:r w:rsidR="008C4782" w:rsidRPr="00CD192E">
        <w:rPr>
          <w:rFonts w:ascii="Simplified Arabic" w:hAnsi="Simplified Arabic" w:cs="Simplified Arabic"/>
          <w:rtl/>
          <w:lang w:val="en-CA"/>
        </w:rPr>
        <w:lastRenderedPageBreak/>
        <w:t>ينتمون إلى عائلة حكمتْ المدينة حتى وقت قريب. قاد الكانيات فصيلاً مسلحاً تحالف أولاً مع حكومة طرابلس (2014-2018) ثم مع الجيش الوطني الليبي (2019-2020). وجرى الإبلاغ عن مقتل بعض الشخصيات القيادية من الكانيات، كما هو موثّق في القسم ب</w:t>
      </w:r>
      <w:r w:rsidR="008C4782">
        <w:rPr>
          <w:rFonts w:ascii="Simplified Arabic" w:hAnsi="Simplified Arabic" w:cs="Simplified Arabic" w:hint="cs"/>
          <w:rtl/>
          <w:lang w:val="en-CA"/>
        </w:rPr>
        <w:t>اء</w:t>
      </w:r>
      <w:r w:rsidR="008C4782" w:rsidRPr="00CD192E">
        <w:rPr>
          <w:rFonts w:ascii="Simplified Arabic" w:hAnsi="Simplified Arabic" w:cs="Simplified Arabic"/>
          <w:rtl/>
          <w:lang w:val="en-CA"/>
        </w:rPr>
        <w:t xml:space="preserve"> أعلاه.</w:t>
      </w:r>
    </w:p>
    <w:p w14:paraId="326E9D86" w14:textId="044BE380" w:rsidR="00750BA2" w:rsidRPr="006500F0" w:rsidRDefault="00FA4CD4" w:rsidP="003B0376">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79.</w:t>
      </w:r>
      <w:r w:rsidRPr="006500F0">
        <w:rPr>
          <w:rFonts w:asciiTheme="majorBidi" w:hAnsiTheme="majorBidi" w:cstheme="majorBidi"/>
          <w:lang w:bidi="ar-LB"/>
        </w:rPr>
        <w:tab/>
      </w:r>
      <w:r w:rsidR="003B0376" w:rsidRPr="00CD192E">
        <w:rPr>
          <w:rFonts w:ascii="Simplified Arabic" w:hAnsi="Simplified Arabic" w:cs="Simplified Arabic"/>
          <w:rtl/>
          <w:lang w:val="en-CA"/>
        </w:rPr>
        <w:t xml:space="preserve">اعتبرت البعثة أن أحداث ترهونة تندرج ضمن أولويات التحقيق. وأجرت البعثة زيارة ميدانية إلى ترهونة في يوليو/ تموز 2021، ومقابلات مع </w:t>
      </w:r>
      <w:r w:rsidR="003B0376" w:rsidRPr="00CD192E">
        <w:rPr>
          <w:rFonts w:ascii="Simplified Arabic" w:hAnsi="Simplified Arabic" w:cs="Simplified Arabic"/>
          <w:rtl/>
          <w:lang w:val="en-CA" w:bidi="ar-LB"/>
        </w:rPr>
        <w:t>ال</w:t>
      </w:r>
      <w:r w:rsidR="003B0376" w:rsidRPr="00CD192E">
        <w:rPr>
          <w:rFonts w:ascii="Simplified Arabic" w:hAnsi="Simplified Arabic" w:cs="Simplified Arabic"/>
          <w:rtl/>
          <w:lang w:val="en-CA"/>
        </w:rPr>
        <w:t>شهود الذين عاينوا الأحداث بصورة مباشرة، وجمعتْ أدلة إثبات مستنديّة، بما في ذلك تقارير الطب الشرعي وصور الأقمار الصناعية. وكشفت المعلومات التي تم جمعها عن سياقٍ معقّد للغاية. امتدت الفترة التي شهدت الجرائم المزعومة على مدى سنوات عديدة، وتزامنت أيضًا مع المواجهات المسلحة التي وقعت في منطقة طرابلس الكبرى في العاميْن 2019 و2020. وتلقتْ البعثة مؤشرات موثوقة على أن الجرائم أسفرت عن عدد كبير من الضحايا، بما في ذلك النساء والأطفال. وفي سياق المجتمع الأبوي، لا تزال عائلات كثيرة تعاني من فقدان أقارب لها، ما أدى إلى اضطلاع النساء بدور ربّات الأسرة والمعيلات، ومعاناة الأطفال من فقدان والديْهم. يبدو أن دوافع هذه الجرائم هي متعددة الأوجه، ويجب فهمها على خلفية التحالفات المتغيرة للكانيات.</w:t>
      </w:r>
      <w:r w:rsidR="001C265E" w:rsidRPr="006500F0">
        <w:rPr>
          <w:rFonts w:asciiTheme="majorBidi" w:hAnsiTheme="majorBidi" w:cstheme="majorBidi"/>
          <w:lang w:val="en-CA" w:bidi="ar-LB"/>
        </w:rPr>
        <w:t xml:space="preserve"> </w:t>
      </w:r>
    </w:p>
    <w:p w14:paraId="2FD59368" w14:textId="2A162106" w:rsidR="00AE254A" w:rsidRPr="00CD192E" w:rsidRDefault="00FA4CD4" w:rsidP="00AE254A">
      <w:pPr>
        <w:pStyle w:val="ParNoG"/>
        <w:numPr>
          <w:ilvl w:val="0"/>
          <w:numId w:val="0"/>
        </w:numPr>
        <w:bidi/>
        <w:ind w:left="1134"/>
        <w:rPr>
          <w:rFonts w:ascii="Simplified Arabic" w:hAnsi="Simplified Arabic" w:cs="Simplified Arabic"/>
          <w:lang w:val="en-CA"/>
        </w:rPr>
      </w:pPr>
      <w:r w:rsidRPr="006500F0">
        <w:rPr>
          <w:rFonts w:asciiTheme="majorBidi" w:hAnsiTheme="majorBidi" w:cstheme="majorBidi"/>
          <w:lang w:bidi="ar-LB"/>
        </w:rPr>
        <w:t>80.</w:t>
      </w:r>
      <w:r w:rsidRPr="006500F0">
        <w:rPr>
          <w:rFonts w:asciiTheme="majorBidi" w:hAnsiTheme="majorBidi" w:cstheme="majorBidi"/>
          <w:lang w:bidi="ar-LB"/>
        </w:rPr>
        <w:tab/>
      </w:r>
      <w:r w:rsidR="00AE254A" w:rsidRPr="00CD192E">
        <w:rPr>
          <w:rFonts w:ascii="Simplified Arabic" w:hAnsi="Simplified Arabic" w:cs="Simplified Arabic"/>
          <w:rtl/>
          <w:lang w:val="en-CA"/>
        </w:rPr>
        <w:t>وثّقت البعثة عددًا من حالات الاختفاء، بما في ذلك اختفاء أبو بكر نع</w:t>
      </w:r>
      <w:r w:rsidR="00AE254A" w:rsidRPr="00CD192E">
        <w:rPr>
          <w:rFonts w:ascii="Simplified Arabic" w:hAnsi="Simplified Arabic" w:cs="Simplified Arabic"/>
          <w:rtl/>
          <w:lang w:val="en-CA" w:bidi="ar-LB"/>
        </w:rPr>
        <w:t>ا</w:t>
      </w:r>
      <w:r w:rsidR="00AE254A" w:rsidRPr="00CD192E">
        <w:rPr>
          <w:rFonts w:ascii="Simplified Arabic" w:hAnsi="Simplified Arabic" w:cs="Simplified Arabic"/>
          <w:rtl/>
          <w:lang w:val="en-CA"/>
        </w:rPr>
        <w:t xml:space="preserve">مة، الذي اختطفه رجال مرتبطون بالكانيات في تشرين الثاني / نوفمبر 2019. </w:t>
      </w:r>
      <w:r w:rsidR="00AE254A" w:rsidRPr="00CD192E">
        <w:rPr>
          <w:rFonts w:ascii="Simplified Arabic" w:hAnsi="Simplified Arabic" w:cs="Simplified Arabic"/>
          <w:rtl/>
          <w:lang w:val="en-CA" w:bidi="ar-LB"/>
        </w:rPr>
        <w:t>لم تعرف عائلته مكانه</w:t>
      </w:r>
      <w:r w:rsidR="00AE254A" w:rsidRPr="00CD192E">
        <w:rPr>
          <w:rFonts w:ascii="Simplified Arabic" w:hAnsi="Simplified Arabic" w:cs="Simplified Arabic"/>
          <w:rtl/>
          <w:lang w:val="en-CA"/>
        </w:rPr>
        <w:t xml:space="preserve"> حتى وقت قريب، عندما تعرّف خبراء الطب الشرعي الليبيون على جثته مدفونة في ما يبدو أنها مقبرة جماعية. استعرضت البعثة بشكل مستقل تقرير الطب الشرعي ووجدت أسبابًا وجيهة تدعو للاعتقاد بأن أبو بكر كان معصوب العينيْن و</w:t>
      </w:r>
      <w:r w:rsidR="00AE254A" w:rsidRPr="00CD192E">
        <w:rPr>
          <w:rFonts w:ascii="Simplified Arabic" w:hAnsi="Simplified Arabic" w:cs="Simplified Arabic"/>
          <w:rtl/>
          <w:lang w:val="en-CA" w:bidi="ar-LB"/>
        </w:rPr>
        <w:t>جرى إعدامه</w:t>
      </w:r>
      <w:r w:rsidR="00AE254A" w:rsidRPr="00CD192E">
        <w:rPr>
          <w:rFonts w:ascii="Simplified Arabic" w:hAnsi="Simplified Arabic" w:cs="Simplified Arabic"/>
          <w:rtl/>
          <w:lang w:val="en-CA"/>
        </w:rPr>
        <w:t xml:space="preserve"> بإجراءات موجزة. في هذا الصدد، حددت البعثة 7 مواقع في منطقة ترهونة يبدو أنها شهدتْ اختلالًا في التربة خلال فترات زمنية قصيرة قرابة نهاية العام 2019 وبداية العام 2020 (</w:t>
      </w:r>
      <w:r w:rsidR="00AE254A" w:rsidRPr="00AE254A">
        <w:rPr>
          <w:rFonts w:ascii="Simplified Arabic" w:hAnsi="Simplified Arabic" w:cs="Simplified Arabic"/>
          <w:rtl/>
          <w:lang w:val="en-CA"/>
        </w:rPr>
        <w:t>الرسم 4</w:t>
      </w:r>
      <w:r w:rsidR="00AE254A" w:rsidRPr="00CD192E">
        <w:rPr>
          <w:rFonts w:ascii="Simplified Arabic" w:hAnsi="Simplified Arabic" w:cs="Simplified Arabic"/>
          <w:rtl/>
          <w:lang w:val="en-CA"/>
        </w:rPr>
        <w:t>)،</w:t>
      </w:r>
      <w:r w:rsidR="00AE254A" w:rsidRPr="00AE254A">
        <w:rPr>
          <w:rStyle w:val="FootnoteReference"/>
          <w:rFonts w:asciiTheme="majorBidi" w:hAnsiTheme="majorBidi" w:cstheme="majorBidi"/>
          <w:lang w:val="en-CA" w:bidi="ar-LB"/>
        </w:rPr>
        <w:t xml:space="preserve"> </w:t>
      </w:r>
      <w:r w:rsidR="00AE254A" w:rsidRPr="006500F0">
        <w:rPr>
          <w:rStyle w:val="FootnoteReference"/>
          <w:rFonts w:asciiTheme="majorBidi" w:hAnsiTheme="majorBidi" w:cstheme="majorBidi"/>
          <w:lang w:val="en-CA" w:bidi="ar-LB"/>
        </w:rPr>
        <w:footnoteReference w:id="59"/>
      </w:r>
      <w:r w:rsidR="00AE254A" w:rsidRPr="00CD192E">
        <w:rPr>
          <w:rFonts w:ascii="Simplified Arabic" w:hAnsi="Simplified Arabic" w:cs="Simplified Arabic"/>
          <w:rtl/>
          <w:lang w:val="en-CA"/>
        </w:rPr>
        <w:t xml:space="preserve"> مما يشير بشدّة إلى حفر القبور فيها. تلقت البعثة معلومات تشير إلى عدد من حالات الاختفاء خلال نفس الفترة الزمنية، فضلًا عن معلومات تتعلق بمواقع أخرى محتملة لمقابر جماعية.</w:t>
      </w:r>
    </w:p>
    <w:p w14:paraId="7ADEAFA2" w14:textId="77777777" w:rsidR="00261BA3" w:rsidRPr="00CD192E" w:rsidRDefault="00FA4CD4" w:rsidP="00261BA3">
      <w:pPr>
        <w:pStyle w:val="ParNoG"/>
        <w:numPr>
          <w:ilvl w:val="0"/>
          <w:numId w:val="0"/>
        </w:numPr>
        <w:bidi/>
        <w:ind w:left="1134"/>
        <w:rPr>
          <w:rFonts w:ascii="Simplified Arabic" w:hAnsi="Simplified Arabic" w:cs="Simplified Arabic"/>
          <w:lang w:val="en-CA"/>
        </w:rPr>
      </w:pPr>
      <w:r w:rsidRPr="006500F0">
        <w:rPr>
          <w:rFonts w:asciiTheme="majorBidi" w:hAnsiTheme="majorBidi" w:cstheme="majorBidi"/>
          <w:lang w:bidi="ar-LB"/>
        </w:rPr>
        <w:t>81.</w:t>
      </w:r>
      <w:r w:rsidRPr="006500F0">
        <w:rPr>
          <w:rFonts w:asciiTheme="majorBidi" w:hAnsiTheme="majorBidi" w:cstheme="majorBidi"/>
          <w:lang w:bidi="ar-LB"/>
        </w:rPr>
        <w:tab/>
      </w:r>
      <w:r w:rsidR="00261BA3" w:rsidRPr="00CD192E">
        <w:rPr>
          <w:rFonts w:ascii="Simplified Arabic" w:hAnsi="Simplified Arabic" w:cs="Simplified Arabic"/>
          <w:rtl/>
          <w:lang w:val="en-CA"/>
        </w:rPr>
        <w:t>جمعت البعثة شهادات مفصّلة من أشخاص اختُطفوا على يد أتباع الكانيات، واحتُجزوا بعدها قسرًا في أماكن عاشوا فيها في ظروف قاسية وتعرضوا فيها للضرب المبرح. بالإضافة إلى ذلك، جمعت البعثة معلومات بشأن عمليات اختطاف الأطفال وقتلهم وتجنيدهم للمشاركة بشكل مباشر في الأعمال العدائية.</w:t>
      </w:r>
    </w:p>
    <w:p w14:paraId="2004B81E" w14:textId="6793778E" w:rsidR="00A50060" w:rsidRPr="006500F0" w:rsidRDefault="00FA4CD4" w:rsidP="007A1B4D">
      <w:pPr>
        <w:pStyle w:val="ParNoG"/>
        <w:numPr>
          <w:ilvl w:val="0"/>
          <w:numId w:val="0"/>
        </w:numPr>
        <w:bidi/>
        <w:ind w:left="1134"/>
        <w:rPr>
          <w:rFonts w:asciiTheme="majorBidi" w:hAnsiTheme="majorBidi" w:cstheme="majorBidi"/>
          <w:lang w:val="en-CA" w:bidi="ar-LB"/>
        </w:rPr>
      </w:pPr>
      <w:r w:rsidRPr="006500F0">
        <w:rPr>
          <w:rFonts w:asciiTheme="majorBidi" w:hAnsiTheme="majorBidi" w:cstheme="majorBidi"/>
          <w:lang w:bidi="ar-LB"/>
        </w:rPr>
        <w:t>82.</w:t>
      </w:r>
      <w:r w:rsidRPr="006500F0">
        <w:rPr>
          <w:rFonts w:asciiTheme="majorBidi" w:hAnsiTheme="majorBidi" w:cstheme="majorBidi"/>
          <w:lang w:bidi="ar-LB"/>
        </w:rPr>
        <w:tab/>
      </w:r>
      <w:r w:rsidR="007A1B4D" w:rsidRPr="00CD192E">
        <w:rPr>
          <w:rFonts w:ascii="Simplified Arabic" w:hAnsi="Simplified Arabic" w:cs="Simplified Arabic"/>
          <w:rtl/>
          <w:lang w:val="en-CA"/>
        </w:rPr>
        <w:t xml:space="preserve">في حين توفر المعلومات الواردة أعلاه مؤشرات موثوقة على ارتكاب انتهاكات ممنهجة وواسعة النطاق لحقوق الإنسان في ترهونة، إلا أنه لا بدّ من إجراء مزيد من التحقيقات لتحديد الجناة </w:t>
      </w:r>
      <w:r w:rsidR="007A1B4D" w:rsidRPr="00CD192E">
        <w:rPr>
          <w:rFonts w:ascii="Simplified Arabic" w:hAnsi="Simplified Arabic" w:cs="Simplified Arabic"/>
          <w:rtl/>
          <w:lang w:val="en-CA"/>
        </w:rPr>
        <w:lastRenderedPageBreak/>
        <w:t xml:space="preserve">والظروف الدقيقة للحوادث. تُحقّق السلطات الليبية حاليًا </w:t>
      </w:r>
      <w:r w:rsidR="007A1B4D">
        <w:rPr>
          <w:rFonts w:ascii="Simplified Arabic" w:hAnsi="Simplified Arabic" w:cs="Simplified Arabic" w:hint="cs"/>
          <w:rtl/>
          <w:lang w:val="en-CA"/>
        </w:rPr>
        <w:t xml:space="preserve">في </w:t>
      </w:r>
      <w:r w:rsidR="007A1B4D" w:rsidRPr="00CD192E">
        <w:rPr>
          <w:rFonts w:ascii="Simplified Arabic" w:hAnsi="Simplified Arabic" w:cs="Simplified Arabic"/>
          <w:rtl/>
          <w:lang w:val="en-CA"/>
        </w:rPr>
        <w:t>أحداث ترهونة، واسترعى وضع ترهونة انتباه آليات إبلاغ ومساءلة أخرى أيضًا. وتستدعي خطورة هذه الادعاءات إلى تضافر جهود التحقيق من جانب المجتمع الدولي.</w:t>
      </w:r>
      <w:r w:rsidR="008D6A5A" w:rsidRPr="006500F0">
        <w:rPr>
          <w:rFonts w:asciiTheme="majorBidi" w:hAnsiTheme="majorBidi" w:cstheme="majorBidi"/>
          <w:lang w:val="en-CA" w:bidi="ar-LB"/>
        </w:rPr>
        <w:t xml:space="preserve"> </w:t>
      </w:r>
    </w:p>
    <w:p w14:paraId="48878ADF" w14:textId="30EB8EB4" w:rsidR="00A50060" w:rsidRPr="006500F0" w:rsidRDefault="00A50060" w:rsidP="00F12F48">
      <w:pPr>
        <w:suppressAutoHyphens w:val="0"/>
        <w:spacing w:line="240" w:lineRule="auto"/>
        <w:rPr>
          <w:rFonts w:asciiTheme="majorBidi" w:hAnsiTheme="majorBidi" w:cstheme="majorBidi"/>
          <w:lang w:val="en-CA" w:bidi="ar-LB"/>
        </w:rPr>
      </w:pPr>
      <w:r w:rsidRPr="006500F0">
        <w:rPr>
          <w:rFonts w:asciiTheme="majorBidi" w:hAnsiTheme="majorBidi" w:cstheme="majorBidi"/>
          <w:lang w:val="en-CA" w:bidi="ar-LB"/>
        </w:rPr>
        <w:br w:type="page"/>
      </w:r>
    </w:p>
    <w:p w14:paraId="4C92F3AD" w14:textId="77777777" w:rsidR="00A50060" w:rsidRPr="006500F0" w:rsidRDefault="00A50060" w:rsidP="00A50060">
      <w:pPr>
        <w:pStyle w:val="ParNoG"/>
        <w:numPr>
          <w:ilvl w:val="0"/>
          <w:numId w:val="0"/>
        </w:numPr>
        <w:ind w:left="1134"/>
        <w:rPr>
          <w:rFonts w:asciiTheme="majorBidi" w:hAnsiTheme="majorBidi" w:cstheme="majorBidi"/>
          <w:lang w:val="en-CA" w:bidi="ar-LB"/>
        </w:rPr>
        <w:sectPr w:rsidR="00A50060" w:rsidRPr="006500F0" w:rsidSect="00C861F4">
          <w:endnotePr>
            <w:numFmt w:val="decimal"/>
          </w:endnotePr>
          <w:pgSz w:w="11907" w:h="16840" w:code="9"/>
          <w:pgMar w:top="1417" w:right="1134" w:bottom="1134" w:left="1134" w:header="850" w:footer="567" w:gutter="0"/>
          <w:cols w:space="720"/>
          <w:docGrid w:linePitch="272"/>
        </w:sectPr>
      </w:pPr>
    </w:p>
    <w:p w14:paraId="26E048E9" w14:textId="0D2C5E4B" w:rsidR="009B02D9" w:rsidRPr="006500F0" w:rsidRDefault="00F12F48" w:rsidP="009B02D9">
      <w:pPr>
        <w:rPr>
          <w:rFonts w:asciiTheme="majorBidi" w:hAnsiTheme="majorBidi" w:cstheme="majorBidi"/>
          <w:lang w:bidi="ar-LB"/>
        </w:rPr>
      </w:pPr>
      <w:r w:rsidRPr="006500F0">
        <w:rPr>
          <w:rFonts w:asciiTheme="majorBidi" w:hAnsiTheme="majorBidi" w:cstheme="majorBidi"/>
          <w:noProof/>
          <w:lang w:eastAsia="en-GB"/>
        </w:rPr>
        <w:lastRenderedPageBreak/>
        <w:drawing>
          <wp:anchor distT="0" distB="0" distL="114300" distR="114300" simplePos="0" relativeHeight="251672576" behindDoc="0" locked="0" layoutInCell="1" allowOverlap="1" wp14:anchorId="162253F8" wp14:editId="6BA759D7">
            <wp:simplePos x="0" y="0"/>
            <wp:positionH relativeFrom="margin">
              <wp:posOffset>-168019</wp:posOffset>
            </wp:positionH>
            <wp:positionV relativeFrom="margin">
              <wp:posOffset>1807655</wp:posOffset>
            </wp:positionV>
            <wp:extent cx="1951990" cy="2881630"/>
            <wp:effectExtent l="19050" t="19050" r="10160" b="139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2656" t="31100" r="43389" b="6045"/>
                    <a:stretch/>
                  </pic:blipFill>
                  <pic:spPr bwMode="auto">
                    <a:xfrm>
                      <a:off x="0" y="0"/>
                      <a:ext cx="1951990" cy="2881630"/>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00F0">
        <w:rPr>
          <w:rFonts w:asciiTheme="majorBidi" w:hAnsiTheme="majorBidi" w:cstheme="majorBidi"/>
          <w:noProof/>
          <w:lang w:eastAsia="en-GB"/>
        </w:rPr>
        <w:drawing>
          <wp:anchor distT="0" distB="0" distL="114300" distR="114300" simplePos="0" relativeHeight="251664384" behindDoc="0" locked="0" layoutInCell="1" allowOverlap="1" wp14:anchorId="7905038B" wp14:editId="71F6639B">
            <wp:simplePos x="0" y="0"/>
            <wp:positionH relativeFrom="margin">
              <wp:posOffset>-205105</wp:posOffset>
            </wp:positionH>
            <wp:positionV relativeFrom="margin">
              <wp:posOffset>149225</wp:posOffset>
            </wp:positionV>
            <wp:extent cx="9407525" cy="5947410"/>
            <wp:effectExtent l="19050" t="19050" r="22225" b="1524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21216" t="16109" r="14553" b="7961"/>
                    <a:stretch/>
                  </pic:blipFill>
                  <pic:spPr bwMode="auto">
                    <a:xfrm>
                      <a:off x="0" y="0"/>
                      <a:ext cx="9407525" cy="594741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00F0">
        <w:rPr>
          <w:rFonts w:asciiTheme="majorBidi" w:hAnsiTheme="majorBidi" w:cstheme="majorBidi"/>
          <w:noProof/>
          <w:lang w:eastAsia="en-GB"/>
        </w:rPr>
        <mc:AlternateContent>
          <mc:Choice Requires="wps">
            <w:drawing>
              <wp:anchor distT="0" distB="0" distL="114300" distR="114300" simplePos="0" relativeHeight="251687936" behindDoc="0" locked="0" layoutInCell="1" allowOverlap="1" wp14:anchorId="67F8E52A" wp14:editId="3D229973">
                <wp:simplePos x="0" y="0"/>
                <wp:positionH relativeFrom="column">
                  <wp:posOffset>-146438</wp:posOffset>
                </wp:positionH>
                <wp:positionV relativeFrom="paragraph">
                  <wp:posOffset>267828</wp:posOffset>
                </wp:positionV>
                <wp:extent cx="1815152" cy="564230"/>
                <wp:effectExtent l="0" t="0" r="13970" b="26670"/>
                <wp:wrapNone/>
                <wp:docPr id="37" name="Text Box 37"/>
                <wp:cNvGraphicFramePr/>
                <a:graphic xmlns:a="http://schemas.openxmlformats.org/drawingml/2006/main">
                  <a:graphicData uri="http://schemas.microsoft.com/office/word/2010/wordprocessingShape">
                    <wps:wsp>
                      <wps:cNvSpPr txBox="1"/>
                      <wps:spPr>
                        <a:xfrm>
                          <a:off x="0" y="0"/>
                          <a:ext cx="1815152" cy="564230"/>
                        </a:xfrm>
                        <a:prstGeom prst="rect">
                          <a:avLst/>
                        </a:prstGeom>
                        <a:solidFill>
                          <a:schemeClr val="bg1"/>
                        </a:solidFill>
                        <a:ln w="6350">
                          <a:solidFill>
                            <a:schemeClr val="tx1"/>
                          </a:solidFill>
                          <a:prstDash val="lgDash"/>
                        </a:ln>
                      </wps:spPr>
                      <wps:txbx>
                        <w:txbxContent>
                          <w:p w14:paraId="5898FD7E" w14:textId="77777777" w:rsidR="00052620" w:rsidRPr="007708B1" w:rsidRDefault="00052620" w:rsidP="00052620">
                            <w:pPr>
                              <w:bidi/>
                              <w:jc w:val="center"/>
                              <w:rPr>
                                <w:rFonts w:ascii="Garamond" w:hAnsi="Garamond"/>
                                <w:b/>
                                <w:bCs/>
                                <w:lang w:val="en-US"/>
                              </w:rPr>
                            </w:pPr>
                            <w:r>
                              <w:rPr>
                                <w:rFonts w:ascii="Garamond" w:hAnsi="Garamond" w:hint="cs"/>
                                <w:b/>
                                <w:bCs/>
                                <w:rtl/>
                              </w:rPr>
                              <w:t>الوقت والمواقع المحتمل</w:t>
                            </w:r>
                            <w:r>
                              <w:rPr>
                                <w:rFonts w:ascii="Garamond" w:hAnsi="Garamond" w:hint="cs"/>
                                <w:b/>
                                <w:bCs/>
                                <w:rtl/>
                                <w:lang w:bidi="ar-LB"/>
                              </w:rPr>
                              <w:t>ة</w:t>
                            </w:r>
                            <w:r>
                              <w:rPr>
                                <w:rFonts w:ascii="Garamond" w:hAnsi="Garamond" w:hint="cs"/>
                                <w:b/>
                                <w:bCs/>
                                <w:rtl/>
                              </w:rPr>
                              <w:t xml:space="preserve"> للمقابر الجماعية ومحيطها في ترهونة</w:t>
                            </w:r>
                          </w:p>
                          <w:p w14:paraId="7092B996" w14:textId="473F0B15" w:rsidR="00F71583" w:rsidRPr="00052620" w:rsidRDefault="00F71583" w:rsidP="009B02D9">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7F8E52A" id="_x0000_t202" coordsize="21600,21600" o:spt="202" path="m,l,21600r21600,l21600,xe">
                <v:stroke joinstyle="miter"/>
                <v:path gradientshapeok="t" o:connecttype="rect"/>
              </v:shapetype>
              <v:shape id="Text Box 37" o:spid="_x0000_s1026" type="#_x0000_t202" style="position:absolute;margin-left:-11.55pt;margin-top:21.1pt;width:142.95pt;height:44.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" fillcolor="white [3212]" strokecolor="black [3213]" strokeweight=".5pt">
                <v:stroke dashstyle="longDash"/>
                <v:textbox>
                  <w:txbxContent>
                    <w:p w14:paraId="5898FD7E" w14:textId="77777777" w:rsidR="00052620" w:rsidRPr="007708B1" w:rsidRDefault="00052620" w:rsidP="00052620">
                      <w:pPr>
                        <w:bidi/>
                        <w:jc w:val="center"/>
                        <w:rPr>
                          <w:rFonts w:ascii="Garamond" w:hAnsi="Garamond"/>
                          <w:b/>
                          <w:bCs/>
                          <w:lang w:val="en-US"/>
                        </w:rPr>
                      </w:pPr>
                      <w:r>
                        <w:rPr>
                          <w:rFonts w:ascii="Garamond" w:hAnsi="Garamond" w:hint="cs"/>
                          <w:b/>
                          <w:bCs/>
                          <w:rtl/>
                        </w:rPr>
                        <w:t>الوقت والمواقع المحتمل</w:t>
                      </w:r>
                      <w:r>
                        <w:rPr>
                          <w:rFonts w:ascii="Garamond" w:hAnsi="Garamond" w:hint="cs"/>
                          <w:b/>
                          <w:bCs/>
                          <w:rtl/>
                          <w:lang w:bidi="ar-LB"/>
                        </w:rPr>
                        <w:t>ة</w:t>
                      </w:r>
                      <w:r>
                        <w:rPr>
                          <w:rFonts w:ascii="Garamond" w:hAnsi="Garamond" w:hint="cs"/>
                          <w:b/>
                          <w:bCs/>
                          <w:rtl/>
                        </w:rPr>
                        <w:t xml:space="preserve"> للمقابر الجماعية ومحيطها في ترهونة</w:t>
                      </w:r>
                    </w:p>
                    <w:p w14:paraId="7092B996" w14:textId="473F0B15" w:rsidR="00F71583" w:rsidRPr="00052620" w:rsidRDefault="00F71583" w:rsidP="009B02D9">
                      <w:pPr>
                        <w:rPr>
                          <w:b/>
                          <w:bCs/>
                          <w:lang w:val="en-US"/>
                        </w:rPr>
                      </w:pPr>
                    </w:p>
                  </w:txbxContent>
                </v:textbox>
              </v:shape>
            </w:pict>
          </mc:Fallback>
        </mc:AlternateContent>
      </w:r>
      <w:r w:rsidRPr="006500F0">
        <w:rPr>
          <w:rFonts w:asciiTheme="majorBidi" w:hAnsiTheme="majorBidi" w:cstheme="majorBidi"/>
          <w:noProof/>
          <w:lang w:eastAsia="en-GB"/>
        </w:rPr>
        <w:drawing>
          <wp:anchor distT="0" distB="0" distL="114300" distR="114300" simplePos="0" relativeHeight="251675648" behindDoc="0" locked="0" layoutInCell="1" allowOverlap="1" wp14:anchorId="34D7A7F8" wp14:editId="1C5F0C31">
            <wp:simplePos x="0" y="0"/>
            <wp:positionH relativeFrom="margin">
              <wp:posOffset>1831927</wp:posOffset>
            </wp:positionH>
            <wp:positionV relativeFrom="margin">
              <wp:posOffset>223710</wp:posOffset>
            </wp:positionV>
            <wp:extent cx="1978660" cy="2824480"/>
            <wp:effectExtent l="19050" t="19050" r="21590" b="1397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6729" t="30304" r="68691" b="7310"/>
                    <a:stretch/>
                  </pic:blipFill>
                  <pic:spPr bwMode="auto">
                    <a:xfrm>
                      <a:off x="0" y="0"/>
                      <a:ext cx="1978660" cy="2824480"/>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00F0">
        <w:rPr>
          <w:rFonts w:asciiTheme="majorBidi" w:hAnsiTheme="majorBidi" w:cstheme="majorBidi"/>
          <w:noProof/>
          <w:lang w:eastAsia="en-GB"/>
        </w:rPr>
        <w:drawing>
          <wp:anchor distT="0" distB="0" distL="114300" distR="114300" simplePos="0" relativeHeight="251678720" behindDoc="0" locked="0" layoutInCell="1" allowOverlap="1" wp14:anchorId="57A12E8E" wp14:editId="09991958">
            <wp:simplePos x="0" y="0"/>
            <wp:positionH relativeFrom="margin">
              <wp:align>right</wp:align>
            </wp:positionH>
            <wp:positionV relativeFrom="margin">
              <wp:posOffset>210706</wp:posOffset>
            </wp:positionV>
            <wp:extent cx="1924050" cy="2761615"/>
            <wp:effectExtent l="19050" t="19050" r="19050" b="1968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31401" t="30783" r="44285" b="7162"/>
                    <a:stretch/>
                  </pic:blipFill>
                  <pic:spPr bwMode="auto">
                    <a:xfrm>
                      <a:off x="0" y="0"/>
                      <a:ext cx="1924050" cy="2761615"/>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00F0">
        <w:rPr>
          <w:rFonts w:asciiTheme="majorBidi" w:hAnsiTheme="majorBidi" w:cstheme="majorBidi"/>
          <w:noProof/>
          <w:lang w:eastAsia="en-GB"/>
        </w:rPr>
        <mc:AlternateContent>
          <mc:Choice Requires="wps">
            <w:drawing>
              <wp:anchor distT="0" distB="0" distL="114300" distR="114300" simplePos="0" relativeHeight="251688960" behindDoc="0" locked="0" layoutInCell="1" allowOverlap="1" wp14:anchorId="083640CA" wp14:editId="64B14A88">
                <wp:simplePos x="0" y="0"/>
                <wp:positionH relativeFrom="margin">
                  <wp:posOffset>-228999</wp:posOffset>
                </wp:positionH>
                <wp:positionV relativeFrom="margin">
                  <wp:align>bottom</wp:align>
                </wp:positionV>
                <wp:extent cx="3507105" cy="1024890"/>
                <wp:effectExtent l="0" t="0" r="17145" b="22860"/>
                <wp:wrapSquare wrapText="bothSides"/>
                <wp:docPr id="38" name="Text Box 38"/>
                <wp:cNvGraphicFramePr/>
                <a:graphic xmlns:a="http://schemas.openxmlformats.org/drawingml/2006/main">
                  <a:graphicData uri="http://schemas.microsoft.com/office/word/2010/wordprocessingShape">
                    <wps:wsp>
                      <wps:cNvSpPr txBox="1"/>
                      <wps:spPr>
                        <a:xfrm>
                          <a:off x="0" y="0"/>
                          <a:ext cx="3507105" cy="1024890"/>
                        </a:xfrm>
                        <a:prstGeom prst="rect">
                          <a:avLst/>
                        </a:prstGeom>
                        <a:noFill/>
                        <a:ln w="6350">
                          <a:solidFill>
                            <a:srgbClr val="FFC000"/>
                          </a:solidFill>
                          <a:prstDash val="lgDashDot"/>
                        </a:ln>
                      </wps:spPr>
                      <wps:txbx>
                        <w:txbxContent>
                          <w:p w14:paraId="219B5C2C"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الموقع 1 والموقع 2: ال</w:t>
                            </w:r>
                            <w:r w:rsidRPr="0060544B">
                              <w:rPr>
                                <w:rFonts w:ascii="Garamond" w:hAnsi="Garamond" w:cs="Arial"/>
                                <w:b/>
                                <w:bCs/>
                                <w:sz w:val="20"/>
                                <w:szCs w:val="20"/>
                                <w:rtl/>
                              </w:rPr>
                              <w:t>مشروع الزراعي 5 كيلومتر</w:t>
                            </w:r>
                          </w:p>
                          <w:p w14:paraId="602BCE3D"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 xml:space="preserve">الموقع 3: </w:t>
                            </w:r>
                            <w:r w:rsidRPr="0060544B">
                              <w:rPr>
                                <w:rFonts w:ascii="Garamond" w:hAnsi="Garamond" w:cs="Arial"/>
                                <w:b/>
                                <w:bCs/>
                                <w:sz w:val="20"/>
                                <w:szCs w:val="20"/>
                                <w:rtl/>
                              </w:rPr>
                              <w:t>سجن الدعم المركزي</w:t>
                            </w:r>
                          </w:p>
                          <w:p w14:paraId="0B93D43A"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 xml:space="preserve">الموقع 4: </w:t>
                            </w:r>
                            <w:r w:rsidRPr="0060544B">
                              <w:rPr>
                                <w:rFonts w:ascii="Garamond" w:hAnsi="Garamond" w:cs="Arial"/>
                                <w:b/>
                                <w:bCs/>
                                <w:sz w:val="20"/>
                                <w:szCs w:val="20"/>
                                <w:rtl/>
                              </w:rPr>
                              <w:t>مشروع الربط</w:t>
                            </w:r>
                          </w:p>
                          <w:p w14:paraId="41417549"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 xml:space="preserve">الموقع 5: </w:t>
                            </w:r>
                            <w:r w:rsidRPr="0060544B">
                              <w:rPr>
                                <w:rFonts w:ascii="Garamond" w:hAnsi="Garamond" w:cs="Arial"/>
                                <w:b/>
                                <w:bCs/>
                                <w:sz w:val="20"/>
                                <w:szCs w:val="20"/>
                                <w:rtl/>
                              </w:rPr>
                              <w:t>مقر المختبرات الزراعي</w:t>
                            </w:r>
                            <w:r>
                              <w:rPr>
                                <w:rFonts w:ascii="Garamond" w:hAnsi="Garamond" w:cs="Arial" w:hint="cs"/>
                                <w:b/>
                                <w:bCs/>
                                <w:sz w:val="20"/>
                                <w:szCs w:val="20"/>
                                <w:rtl/>
                              </w:rPr>
                              <w:t>ة</w:t>
                            </w:r>
                            <w:r w:rsidRPr="0060544B">
                              <w:rPr>
                                <w:rFonts w:ascii="Garamond" w:hAnsi="Garamond" w:cs="Arial"/>
                                <w:b/>
                                <w:bCs/>
                                <w:sz w:val="20"/>
                                <w:szCs w:val="20"/>
                                <w:rtl/>
                              </w:rPr>
                              <w:t xml:space="preserve"> سجون البوكسات</w:t>
                            </w:r>
                          </w:p>
                          <w:p w14:paraId="073D3E8D" w14:textId="77777777" w:rsidR="00B33E47" w:rsidRPr="00765A66" w:rsidRDefault="00B33E47" w:rsidP="00B33E47">
                            <w:pPr>
                              <w:pStyle w:val="NoSpacing"/>
                              <w:bidi/>
                              <w:rPr>
                                <w:rFonts w:ascii="Garamond" w:hAnsi="Garamond"/>
                                <w:b/>
                                <w:bCs/>
                                <w:sz w:val="20"/>
                                <w:szCs w:val="20"/>
                                <w:lang w:val="fr-CA"/>
                              </w:rPr>
                            </w:pPr>
                            <w:r>
                              <w:rPr>
                                <w:rFonts w:ascii="Garamond" w:hAnsi="Garamond" w:hint="cs"/>
                                <w:b/>
                                <w:bCs/>
                                <w:sz w:val="20"/>
                                <w:szCs w:val="20"/>
                                <w:rtl/>
                                <w:lang w:val="fr-CA"/>
                              </w:rPr>
                              <w:t xml:space="preserve">الموقع 6: </w:t>
                            </w:r>
                            <w:r w:rsidRPr="0060544B">
                              <w:rPr>
                                <w:rFonts w:ascii="Garamond" w:hAnsi="Garamond" w:cs="Arial"/>
                                <w:b/>
                                <w:bCs/>
                                <w:sz w:val="20"/>
                                <w:szCs w:val="20"/>
                                <w:rtl/>
                              </w:rPr>
                              <w:t>سجن القضائية</w:t>
                            </w:r>
                          </w:p>
                          <w:p w14:paraId="53955035"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 xml:space="preserve">الموقع 7: </w:t>
                            </w:r>
                            <w:r w:rsidRPr="0060544B">
                              <w:rPr>
                                <w:rFonts w:ascii="Garamond" w:hAnsi="Garamond" w:cs="Arial"/>
                                <w:b/>
                                <w:bCs/>
                                <w:sz w:val="20"/>
                                <w:szCs w:val="20"/>
                                <w:rtl/>
                              </w:rPr>
                              <w:t>مصنع النعاجي</w:t>
                            </w:r>
                          </w:p>
                          <w:p w14:paraId="38C1213C" w14:textId="4F62EFEE" w:rsidR="00F71583" w:rsidRPr="00B33E47" w:rsidRDefault="00F71583" w:rsidP="00B33E47">
                            <w:pPr>
                              <w:pStyle w:val="NoSpacing"/>
                              <w:bidi/>
                              <w:rPr>
                                <w:rFonts w:ascii="Garamond" w:hAnsi="Garamond"/>
                                <w:b/>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3640CA" id="Text Box 38" o:spid="_x0000_s1027" type="#_x0000_t202" style="position:absolute;margin-left:-18.05pt;margin-top:0;width:276.15pt;height:80.7pt;z-index:251688960;visibility:visible;mso-wrap-style:square;mso-width-percent:0;mso-height-percent:0;mso-wrap-distance-left:9pt;mso-wrap-distance-top:0;mso-wrap-distance-right:9pt;mso-wrap-distance-bottom:0;mso-position-horizontal:absolute;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" filled="f" strokecolor="#ffc000" strokeweight=".5pt">
                <v:stroke dashstyle="longDashDot"/>
                <v:textbox>
                  <w:txbxContent>
                    <w:p w14:paraId="219B5C2C"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الموقع 1 والموقع 2: ال</w:t>
                      </w:r>
                      <w:r w:rsidRPr="0060544B">
                        <w:rPr>
                          <w:rFonts w:ascii="Garamond" w:hAnsi="Garamond" w:cs="Arial"/>
                          <w:b/>
                          <w:bCs/>
                          <w:sz w:val="20"/>
                          <w:szCs w:val="20"/>
                          <w:rtl/>
                        </w:rPr>
                        <w:t>مشروع الزراعي 5 كيلومتر</w:t>
                      </w:r>
                    </w:p>
                    <w:p w14:paraId="602BCE3D"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 xml:space="preserve">الموقع 3: </w:t>
                      </w:r>
                      <w:r w:rsidRPr="0060544B">
                        <w:rPr>
                          <w:rFonts w:ascii="Garamond" w:hAnsi="Garamond" w:cs="Arial"/>
                          <w:b/>
                          <w:bCs/>
                          <w:sz w:val="20"/>
                          <w:szCs w:val="20"/>
                          <w:rtl/>
                        </w:rPr>
                        <w:t>سجن الدعم المركزي</w:t>
                      </w:r>
                    </w:p>
                    <w:p w14:paraId="0B93D43A"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 xml:space="preserve">الموقع 4: </w:t>
                      </w:r>
                      <w:r w:rsidRPr="0060544B">
                        <w:rPr>
                          <w:rFonts w:ascii="Garamond" w:hAnsi="Garamond" w:cs="Arial"/>
                          <w:b/>
                          <w:bCs/>
                          <w:sz w:val="20"/>
                          <w:szCs w:val="20"/>
                          <w:rtl/>
                        </w:rPr>
                        <w:t>مشروع الربط</w:t>
                      </w:r>
                    </w:p>
                    <w:p w14:paraId="41417549"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 xml:space="preserve">الموقع 5: </w:t>
                      </w:r>
                      <w:r w:rsidRPr="0060544B">
                        <w:rPr>
                          <w:rFonts w:ascii="Garamond" w:hAnsi="Garamond" w:cs="Arial"/>
                          <w:b/>
                          <w:bCs/>
                          <w:sz w:val="20"/>
                          <w:szCs w:val="20"/>
                          <w:rtl/>
                        </w:rPr>
                        <w:t>مقر المختبرات الزراعي</w:t>
                      </w:r>
                      <w:r>
                        <w:rPr>
                          <w:rFonts w:ascii="Garamond" w:hAnsi="Garamond" w:cs="Arial" w:hint="cs"/>
                          <w:b/>
                          <w:bCs/>
                          <w:sz w:val="20"/>
                          <w:szCs w:val="20"/>
                          <w:rtl/>
                        </w:rPr>
                        <w:t>ة</w:t>
                      </w:r>
                      <w:r w:rsidRPr="0060544B">
                        <w:rPr>
                          <w:rFonts w:ascii="Garamond" w:hAnsi="Garamond" w:cs="Arial"/>
                          <w:b/>
                          <w:bCs/>
                          <w:sz w:val="20"/>
                          <w:szCs w:val="20"/>
                          <w:rtl/>
                        </w:rPr>
                        <w:t xml:space="preserve"> سجون البوكسات</w:t>
                      </w:r>
                    </w:p>
                    <w:p w14:paraId="073D3E8D" w14:textId="77777777" w:rsidR="00B33E47" w:rsidRPr="00765A66" w:rsidRDefault="00B33E47" w:rsidP="00B33E47">
                      <w:pPr>
                        <w:pStyle w:val="NoSpacing"/>
                        <w:bidi/>
                        <w:rPr>
                          <w:rFonts w:ascii="Garamond" w:hAnsi="Garamond"/>
                          <w:b/>
                          <w:bCs/>
                          <w:sz w:val="20"/>
                          <w:szCs w:val="20"/>
                          <w:lang w:val="fr-CA"/>
                        </w:rPr>
                      </w:pPr>
                      <w:r>
                        <w:rPr>
                          <w:rFonts w:ascii="Garamond" w:hAnsi="Garamond" w:hint="cs"/>
                          <w:b/>
                          <w:bCs/>
                          <w:sz w:val="20"/>
                          <w:szCs w:val="20"/>
                          <w:rtl/>
                          <w:lang w:val="fr-CA"/>
                        </w:rPr>
                        <w:t xml:space="preserve">الموقع 6: </w:t>
                      </w:r>
                      <w:r w:rsidRPr="0060544B">
                        <w:rPr>
                          <w:rFonts w:ascii="Garamond" w:hAnsi="Garamond" w:cs="Arial"/>
                          <w:b/>
                          <w:bCs/>
                          <w:sz w:val="20"/>
                          <w:szCs w:val="20"/>
                          <w:rtl/>
                        </w:rPr>
                        <w:t>سجن القضائية</w:t>
                      </w:r>
                    </w:p>
                    <w:p w14:paraId="53955035" w14:textId="77777777" w:rsidR="00B33E47" w:rsidRPr="0060544B" w:rsidRDefault="00B33E47" w:rsidP="00B33E47">
                      <w:pPr>
                        <w:pStyle w:val="NoSpacing"/>
                        <w:bidi/>
                        <w:rPr>
                          <w:rFonts w:ascii="Garamond" w:hAnsi="Garamond"/>
                          <w:b/>
                          <w:bCs/>
                          <w:sz w:val="20"/>
                          <w:szCs w:val="20"/>
                        </w:rPr>
                      </w:pPr>
                      <w:r>
                        <w:rPr>
                          <w:rFonts w:ascii="Garamond" w:hAnsi="Garamond" w:hint="cs"/>
                          <w:b/>
                          <w:bCs/>
                          <w:sz w:val="20"/>
                          <w:szCs w:val="20"/>
                          <w:rtl/>
                        </w:rPr>
                        <w:t xml:space="preserve">الموقع 7: </w:t>
                      </w:r>
                      <w:r w:rsidRPr="0060544B">
                        <w:rPr>
                          <w:rFonts w:ascii="Garamond" w:hAnsi="Garamond" w:cs="Arial"/>
                          <w:b/>
                          <w:bCs/>
                          <w:sz w:val="20"/>
                          <w:szCs w:val="20"/>
                          <w:rtl/>
                        </w:rPr>
                        <w:t>مصنع النعاجي</w:t>
                      </w:r>
                    </w:p>
                    <w:p w14:paraId="38C1213C" w14:textId="4F62EFEE" w:rsidR="00F71583" w:rsidRPr="00B33E47" w:rsidRDefault="00F71583" w:rsidP="00B33E47">
                      <w:pPr>
                        <w:pStyle w:val="NoSpacing"/>
                        <w:bidi/>
                        <w:rPr>
                          <w:rFonts w:ascii="Garamond" w:hAnsi="Garamond"/>
                          <w:b/>
                          <w:bCs/>
                          <w:sz w:val="20"/>
                          <w:szCs w:val="20"/>
                        </w:rPr>
                      </w:pPr>
                    </w:p>
                  </w:txbxContent>
                </v:textbox>
                <w10:wrap type="square" anchorx="margin" anchory="margin"/>
              </v:shape>
            </w:pict>
          </mc:Fallback>
        </mc:AlternateContent>
      </w:r>
      <w:r w:rsidRPr="006500F0">
        <w:rPr>
          <w:rFonts w:asciiTheme="majorBidi" w:hAnsiTheme="majorBidi" w:cstheme="majorBidi"/>
          <w:noProof/>
          <w:lang w:eastAsia="en-GB"/>
        </w:rPr>
        <w:drawing>
          <wp:anchor distT="0" distB="0" distL="114300" distR="114300" simplePos="0" relativeHeight="251677696" behindDoc="0" locked="0" layoutInCell="1" allowOverlap="1" wp14:anchorId="72D4400B" wp14:editId="769757E9">
            <wp:simplePos x="0" y="0"/>
            <wp:positionH relativeFrom="margin">
              <wp:posOffset>1899920</wp:posOffset>
            </wp:positionH>
            <wp:positionV relativeFrom="margin">
              <wp:posOffset>4196715</wp:posOffset>
            </wp:positionV>
            <wp:extent cx="2382520" cy="737870"/>
            <wp:effectExtent l="19050" t="19050" r="17780" b="2413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52484" t="39076" r="15735" b="43403"/>
                    <a:stretch/>
                  </pic:blipFill>
                  <pic:spPr bwMode="auto">
                    <a:xfrm>
                      <a:off x="0" y="0"/>
                      <a:ext cx="2382520" cy="737870"/>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00F0">
        <w:rPr>
          <w:rFonts w:asciiTheme="majorBidi" w:hAnsiTheme="majorBidi" w:cstheme="majorBidi"/>
          <w:noProof/>
          <w:lang w:eastAsia="en-GB"/>
        </w:rPr>
        <w:drawing>
          <wp:anchor distT="0" distB="0" distL="114300" distR="114300" simplePos="0" relativeHeight="251676672" behindDoc="0" locked="0" layoutInCell="1" allowOverlap="1" wp14:anchorId="78BE3B68" wp14:editId="2714718B">
            <wp:simplePos x="0" y="0"/>
            <wp:positionH relativeFrom="margin">
              <wp:posOffset>1886585</wp:posOffset>
            </wp:positionH>
            <wp:positionV relativeFrom="margin">
              <wp:posOffset>3378835</wp:posOffset>
            </wp:positionV>
            <wp:extent cx="2388235" cy="745490"/>
            <wp:effectExtent l="19050" t="19050" r="12065" b="1651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14718" t="77680" r="55938" b="6034"/>
                    <a:stretch/>
                  </pic:blipFill>
                  <pic:spPr bwMode="auto">
                    <a:xfrm>
                      <a:off x="0" y="0"/>
                      <a:ext cx="2388235" cy="745490"/>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00F0">
        <w:rPr>
          <w:rFonts w:asciiTheme="majorBidi" w:hAnsiTheme="majorBidi" w:cstheme="majorBidi"/>
          <w:noProof/>
          <w:lang w:eastAsia="en-GB"/>
        </w:rPr>
        <w:drawing>
          <wp:anchor distT="0" distB="0" distL="114300" distR="114300" simplePos="0" relativeHeight="251673600" behindDoc="0" locked="0" layoutInCell="1" allowOverlap="1" wp14:anchorId="22CBADC8" wp14:editId="10942AD7">
            <wp:simplePos x="0" y="0"/>
            <wp:positionH relativeFrom="margin">
              <wp:posOffset>4943475</wp:posOffset>
            </wp:positionH>
            <wp:positionV relativeFrom="margin">
              <wp:posOffset>2432685</wp:posOffset>
            </wp:positionV>
            <wp:extent cx="1896745" cy="2817495"/>
            <wp:effectExtent l="19050" t="19050" r="27305" b="2095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5216" t="31101" r="30918" b="5879"/>
                    <a:stretch/>
                  </pic:blipFill>
                  <pic:spPr bwMode="auto">
                    <a:xfrm>
                      <a:off x="0" y="0"/>
                      <a:ext cx="1896745" cy="2817495"/>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267C" w:rsidRPr="006500F0">
        <w:rPr>
          <w:rFonts w:asciiTheme="majorBidi" w:hAnsiTheme="majorBidi" w:cstheme="majorBidi"/>
          <w:noProof/>
          <w:lang w:eastAsia="en-GB"/>
        </w:rPr>
        <mc:AlternateContent>
          <mc:Choice Requires="wps">
            <w:drawing>
              <wp:anchor distT="0" distB="0" distL="114300" distR="114300" simplePos="0" relativeHeight="251679744" behindDoc="0" locked="0" layoutInCell="1" allowOverlap="1" wp14:anchorId="4BB7A2E4" wp14:editId="545A0094">
                <wp:simplePos x="0" y="0"/>
                <wp:positionH relativeFrom="column">
                  <wp:posOffset>794811</wp:posOffset>
                </wp:positionH>
                <wp:positionV relativeFrom="paragraph">
                  <wp:posOffset>3374359</wp:posOffset>
                </wp:positionV>
                <wp:extent cx="446553" cy="258324"/>
                <wp:effectExtent l="0" t="0" r="0" b="0"/>
                <wp:wrapNone/>
                <wp:docPr id="28" name="Text Box 28"/>
                <wp:cNvGraphicFramePr/>
                <a:graphic xmlns:a="http://schemas.openxmlformats.org/drawingml/2006/main">
                  <a:graphicData uri="http://schemas.microsoft.com/office/word/2010/wordprocessingShape">
                    <wps:wsp>
                      <wps:cNvSpPr txBox="1"/>
                      <wps:spPr>
                        <a:xfrm>
                          <a:off x="0" y="0"/>
                          <a:ext cx="446553" cy="258324"/>
                        </a:xfrm>
                        <a:prstGeom prst="rect">
                          <a:avLst/>
                        </a:prstGeom>
                        <a:noFill/>
                        <a:ln w="6350">
                          <a:noFill/>
                        </a:ln>
                      </wps:spPr>
                      <wps:txbx>
                        <w:txbxContent>
                          <w:p w14:paraId="226D96C8" w14:textId="77777777" w:rsidR="00F71583" w:rsidRPr="001E7F3F" w:rsidRDefault="00F71583" w:rsidP="009B02D9">
                            <w:pPr>
                              <w:rPr>
                                <w:b/>
                                <w:bCs/>
                                <w:color w:val="FFFFFF" w:themeColor="background1"/>
                              </w:rPr>
                            </w:pPr>
                            <w:r w:rsidRPr="001E7F3F">
                              <w:rPr>
                                <w:b/>
                                <w:bCs/>
                                <w:color w:val="FFFFFF" w:themeColor="background1"/>
                              </w:rPr>
                              <w:t>Site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B7A2E4" id="Text Box 28" o:spid="_x0000_s1028" type="#_x0000_t202" style="position:absolute;margin-left:62.6pt;margin-top:265.7pt;width:35.15pt;height:20.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" filled="f" stroked="f" strokeweight=".5pt">
                <v:textbox>
                  <w:txbxContent>
                    <w:p w14:paraId="226D96C8" w14:textId="77777777" w:rsidR="00F71583" w:rsidRPr="001E7F3F" w:rsidRDefault="00F71583" w:rsidP="009B02D9">
                      <w:pPr>
                        <w:rPr>
                          <w:b/>
                          <w:bCs/>
                          <w:color w:val="FFFFFF" w:themeColor="background1"/>
                        </w:rPr>
                      </w:pPr>
                      <w:r w:rsidRPr="001E7F3F">
                        <w:rPr>
                          <w:b/>
                          <w:bCs/>
                          <w:color w:val="FFFFFF" w:themeColor="background1"/>
                        </w:rPr>
                        <w:t>Site 1</w:t>
                      </w:r>
                    </w:p>
                  </w:txbxContent>
                </v:textbox>
              </v:shape>
            </w:pict>
          </mc:Fallback>
        </mc:AlternateContent>
      </w:r>
      <w:r w:rsidR="0087267C" w:rsidRPr="006500F0">
        <w:rPr>
          <w:rFonts w:asciiTheme="majorBidi" w:hAnsiTheme="majorBidi" w:cstheme="majorBidi"/>
          <w:noProof/>
          <w:lang w:eastAsia="en-GB"/>
        </w:rPr>
        <mc:AlternateContent>
          <mc:Choice Requires="wps">
            <w:drawing>
              <wp:anchor distT="0" distB="0" distL="114300" distR="114300" simplePos="0" relativeHeight="251680768" behindDoc="0" locked="0" layoutInCell="1" allowOverlap="1" wp14:anchorId="68DE7D30" wp14:editId="29A1DB82">
                <wp:simplePos x="0" y="0"/>
                <wp:positionH relativeFrom="column">
                  <wp:posOffset>3241</wp:posOffset>
                </wp:positionH>
                <wp:positionV relativeFrom="paragraph">
                  <wp:posOffset>2527021</wp:posOffset>
                </wp:positionV>
                <wp:extent cx="446553" cy="224576"/>
                <wp:effectExtent l="0" t="0" r="0" b="4445"/>
                <wp:wrapNone/>
                <wp:docPr id="29" name="Text Box 29"/>
                <wp:cNvGraphicFramePr/>
                <a:graphic xmlns:a="http://schemas.openxmlformats.org/drawingml/2006/main">
                  <a:graphicData uri="http://schemas.microsoft.com/office/word/2010/wordprocessingShape">
                    <wps:wsp>
                      <wps:cNvSpPr txBox="1"/>
                      <wps:spPr>
                        <a:xfrm>
                          <a:off x="0" y="0"/>
                          <a:ext cx="446553" cy="224576"/>
                        </a:xfrm>
                        <a:prstGeom prst="rect">
                          <a:avLst/>
                        </a:prstGeom>
                        <a:noFill/>
                        <a:ln w="6350">
                          <a:noFill/>
                        </a:ln>
                      </wps:spPr>
                      <wps:txbx>
                        <w:txbxContent>
                          <w:p w14:paraId="6FFEF0ED" w14:textId="77777777" w:rsidR="00F71583" w:rsidRPr="001E7F3F" w:rsidRDefault="00F71583" w:rsidP="009B02D9">
                            <w:pPr>
                              <w:rPr>
                                <w:b/>
                                <w:bCs/>
                                <w:color w:val="FFFFFF" w:themeColor="background1"/>
                              </w:rPr>
                            </w:pPr>
                            <w:r w:rsidRPr="001E7F3F">
                              <w:rPr>
                                <w:b/>
                                <w:bCs/>
                                <w:color w:val="FFFFFF" w:themeColor="background1"/>
                              </w:rPr>
                              <w:t>Site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DE7D30" id="Text Box 29" o:spid="_x0000_s1029" type="#_x0000_t202" style="position:absolute;margin-left:.25pt;margin-top:199pt;width:35.15pt;height:17.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" filled="f" stroked="f" strokeweight=".5pt">
                <v:textbox>
                  <w:txbxContent>
                    <w:p w14:paraId="6FFEF0ED" w14:textId="77777777" w:rsidR="00F71583" w:rsidRPr="001E7F3F" w:rsidRDefault="00F71583" w:rsidP="009B02D9">
                      <w:pPr>
                        <w:rPr>
                          <w:b/>
                          <w:bCs/>
                          <w:color w:val="FFFFFF" w:themeColor="background1"/>
                        </w:rPr>
                      </w:pPr>
                      <w:r w:rsidRPr="001E7F3F">
                        <w:rPr>
                          <w:b/>
                          <w:bCs/>
                          <w:color w:val="FFFFFF" w:themeColor="background1"/>
                        </w:rPr>
                        <w:t>Site 2</w:t>
                      </w:r>
                    </w:p>
                  </w:txbxContent>
                </v:textbox>
              </v:shape>
            </w:pict>
          </mc:Fallback>
        </mc:AlternateContent>
      </w:r>
      <w:r w:rsidR="00770B99" w:rsidRPr="006500F0">
        <w:rPr>
          <w:rFonts w:asciiTheme="majorBidi" w:hAnsiTheme="majorBidi" w:cstheme="majorBidi"/>
          <w:noProof/>
          <w:lang w:eastAsia="en-GB"/>
        </w:rPr>
        <mc:AlternateContent>
          <mc:Choice Requires="wps">
            <w:drawing>
              <wp:anchor distT="0" distB="0" distL="114300" distR="114300" simplePos="0" relativeHeight="251689984" behindDoc="0" locked="0" layoutInCell="1" allowOverlap="1" wp14:anchorId="1CAB47FD" wp14:editId="276FE605">
                <wp:simplePos x="0" y="0"/>
                <wp:positionH relativeFrom="page">
                  <wp:align>right</wp:align>
                </wp:positionH>
                <wp:positionV relativeFrom="paragraph">
                  <wp:posOffset>6108084</wp:posOffset>
                </wp:positionV>
                <wp:extent cx="1900362" cy="261951"/>
                <wp:effectExtent l="0" t="0" r="0" b="5080"/>
                <wp:wrapNone/>
                <wp:docPr id="39" name="Text Box 39"/>
                <wp:cNvGraphicFramePr/>
                <a:graphic xmlns:a="http://schemas.openxmlformats.org/drawingml/2006/main">
                  <a:graphicData uri="http://schemas.microsoft.com/office/word/2010/wordprocessingShape">
                    <wps:wsp>
                      <wps:cNvSpPr txBox="1"/>
                      <wps:spPr>
                        <a:xfrm>
                          <a:off x="0" y="0"/>
                          <a:ext cx="1900362" cy="261951"/>
                        </a:xfrm>
                        <a:prstGeom prst="rect">
                          <a:avLst/>
                        </a:prstGeom>
                        <a:noFill/>
                        <a:ln w="6350">
                          <a:noFill/>
                        </a:ln>
                      </wps:spPr>
                      <wps:txbx>
                        <w:txbxContent>
                          <w:p w14:paraId="6424B9F6" w14:textId="77777777" w:rsidR="00F71583" w:rsidRPr="0060544B" w:rsidRDefault="00F71583" w:rsidP="009B02D9">
                            <w:pPr>
                              <w:rPr>
                                <w:sz w:val="16"/>
                                <w:szCs w:val="16"/>
                              </w:rPr>
                            </w:pPr>
                            <w:r w:rsidRPr="0060544B">
                              <w:rPr>
                                <w:sz w:val="16"/>
                                <w:szCs w:val="16"/>
                              </w:rPr>
                              <w:t>Basemap: © OpenStreetMap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AB47FD" id="Text Box 39" o:spid="_x0000_s1030" type="#_x0000_t202" style="position:absolute;margin-left:98.45pt;margin-top:480.95pt;width:149.65pt;height:20.65pt;z-index:25168998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" filled="f" stroked="f" strokeweight=".5pt">
                <v:textbox>
                  <w:txbxContent>
                    <w:p w14:paraId="6424B9F6" w14:textId="77777777" w:rsidR="00F71583" w:rsidRPr="0060544B" w:rsidRDefault="00F71583" w:rsidP="009B02D9">
                      <w:pPr>
                        <w:rPr>
                          <w:sz w:val="16"/>
                          <w:szCs w:val="16"/>
                        </w:rPr>
                      </w:pPr>
                      <w:proofErr w:type="spellStart"/>
                      <w:r w:rsidRPr="0060544B">
                        <w:rPr>
                          <w:sz w:val="16"/>
                          <w:szCs w:val="16"/>
                        </w:rPr>
                        <w:t>Basemap</w:t>
                      </w:r>
                      <w:proofErr w:type="spellEnd"/>
                      <w:r w:rsidRPr="0060544B">
                        <w:rPr>
                          <w:sz w:val="16"/>
                          <w:szCs w:val="16"/>
                        </w:rPr>
                        <w:t>: © OpenStreetMap</w:t>
                      </w:r>
                    </w:p>
                  </w:txbxContent>
                </v:textbox>
                <w10:wrap anchorx="page"/>
              </v:shape>
            </w:pict>
          </mc:Fallback>
        </mc:AlternateContent>
      </w:r>
      <w:r w:rsidR="009B02D9" w:rsidRPr="006500F0">
        <w:rPr>
          <w:rFonts w:asciiTheme="majorBidi" w:hAnsiTheme="majorBidi" w:cstheme="majorBidi"/>
          <w:noProof/>
          <w:lang w:eastAsia="en-GB"/>
        </w:rPr>
        <mc:AlternateContent>
          <mc:Choice Requires="wps">
            <w:drawing>
              <wp:anchor distT="0" distB="0" distL="114300" distR="114300" simplePos="0" relativeHeight="251703296" behindDoc="0" locked="0" layoutInCell="1" allowOverlap="1" wp14:anchorId="0559E54B" wp14:editId="1E256BAE">
                <wp:simplePos x="0" y="0"/>
                <wp:positionH relativeFrom="column">
                  <wp:posOffset>7834614</wp:posOffset>
                </wp:positionH>
                <wp:positionV relativeFrom="paragraph">
                  <wp:posOffset>4275648</wp:posOffset>
                </wp:positionV>
                <wp:extent cx="1138697" cy="191489"/>
                <wp:effectExtent l="111760" t="0" r="135255" b="0"/>
                <wp:wrapNone/>
                <wp:docPr id="48" name="Text Box 48"/>
                <wp:cNvGraphicFramePr/>
                <a:graphic xmlns:a="http://schemas.openxmlformats.org/drawingml/2006/main">
                  <a:graphicData uri="http://schemas.microsoft.com/office/word/2010/wordprocessingShape">
                    <wps:wsp>
                      <wps:cNvSpPr txBox="1"/>
                      <wps:spPr>
                        <a:xfrm rot="3914619">
                          <a:off x="0" y="0"/>
                          <a:ext cx="1138697" cy="191489"/>
                        </a:xfrm>
                        <a:prstGeom prst="rect">
                          <a:avLst/>
                        </a:prstGeom>
                        <a:noFill/>
                        <a:ln w="6350">
                          <a:noFill/>
                        </a:ln>
                      </wps:spPr>
                      <wps:txbx>
                        <w:txbxContent>
                          <w:p w14:paraId="1A191FC6" w14:textId="77777777" w:rsidR="00F71583" w:rsidRPr="00FA67FA" w:rsidRDefault="00F71583" w:rsidP="009B02D9">
                            <w:pPr>
                              <w:rPr>
                                <w:color w:val="FFFFFF" w:themeColor="background1"/>
                                <w:sz w:val="16"/>
                                <w:szCs w:val="16"/>
                              </w:rPr>
                            </w:pPr>
                            <w:r w:rsidRPr="00FA67FA">
                              <w:rPr>
                                <w:color w:val="FFFFFF" w:themeColor="background1"/>
                                <w:sz w:val="16"/>
                                <w:szCs w:val="16"/>
                              </w:rPr>
                              <w:t>Soil disturbance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59E54B" id="Text Box 48" o:spid="_x0000_s1031" type="#_x0000_t202" style="position:absolute;margin-left:616.9pt;margin-top:336.65pt;width:89.65pt;height:15.1pt;rotation:4275808fd;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" filled="f" stroked="f" strokeweight=".5pt">
                <v:textbox>
                  <w:txbxContent>
                    <w:p w14:paraId="1A191FC6" w14:textId="77777777" w:rsidR="00F71583" w:rsidRPr="00FA67FA" w:rsidRDefault="00F71583" w:rsidP="009B02D9">
                      <w:pPr>
                        <w:rPr>
                          <w:color w:val="FFFFFF" w:themeColor="background1"/>
                          <w:sz w:val="16"/>
                          <w:szCs w:val="16"/>
                        </w:rPr>
                      </w:pPr>
                      <w:r w:rsidRPr="00FA67FA">
                        <w:rPr>
                          <w:color w:val="FFFFFF" w:themeColor="background1"/>
                          <w:sz w:val="16"/>
                          <w:szCs w:val="16"/>
                        </w:rPr>
                        <w:t>Soil disturbance</w:t>
                      </w:r>
                    </w:p>
                  </w:txbxContent>
                </v:textbox>
              </v:shape>
            </w:pict>
          </mc:Fallback>
        </mc:AlternateContent>
      </w:r>
      <w:r w:rsidRPr="006500F0">
        <w:rPr>
          <w:rFonts w:asciiTheme="majorBidi" w:hAnsiTheme="majorBidi" w:cstheme="majorBidi"/>
          <w:noProof/>
          <w:lang w:eastAsia="en-GB"/>
        </w:rPr>
        <mc:AlternateContent>
          <mc:Choice Requires="wps">
            <w:drawing>
              <wp:anchor distT="0" distB="0" distL="114300" distR="114300" simplePos="0" relativeHeight="251702272" behindDoc="0" locked="0" layoutInCell="1" allowOverlap="1" wp14:anchorId="6F2310BA" wp14:editId="1A198B39">
                <wp:simplePos x="0" y="0"/>
                <wp:positionH relativeFrom="column">
                  <wp:posOffset>-18773</wp:posOffset>
                </wp:positionH>
                <wp:positionV relativeFrom="paragraph">
                  <wp:posOffset>3553322</wp:posOffset>
                </wp:positionV>
                <wp:extent cx="1232452" cy="222637"/>
                <wp:effectExtent l="219075" t="0" r="225425" b="0"/>
                <wp:wrapNone/>
                <wp:docPr id="47" name="Text Box 47"/>
                <wp:cNvGraphicFramePr/>
                <a:graphic xmlns:a="http://schemas.openxmlformats.org/drawingml/2006/main">
                  <a:graphicData uri="http://schemas.microsoft.com/office/word/2010/wordprocessingShape">
                    <wps:wsp>
                      <wps:cNvSpPr txBox="1"/>
                      <wps:spPr>
                        <a:xfrm rot="3138642">
                          <a:off x="0" y="0"/>
                          <a:ext cx="1232452" cy="222637"/>
                        </a:xfrm>
                        <a:prstGeom prst="rect">
                          <a:avLst/>
                        </a:prstGeom>
                        <a:noFill/>
                        <a:ln w="6350">
                          <a:noFill/>
                        </a:ln>
                      </wps:spPr>
                      <wps:txbx>
                        <w:txbxContent>
                          <w:p w14:paraId="50E4B4D6" w14:textId="77777777" w:rsidR="00F71583" w:rsidRPr="00FA67FA" w:rsidRDefault="00F71583" w:rsidP="009B02D9">
                            <w:pPr>
                              <w:rPr>
                                <w:color w:val="FFFFFF" w:themeColor="background1"/>
                                <w:sz w:val="16"/>
                                <w:szCs w:val="16"/>
                              </w:rPr>
                            </w:pPr>
                            <w:r w:rsidRPr="00FA67FA">
                              <w:rPr>
                                <w:color w:val="FFFFFF" w:themeColor="background1"/>
                                <w:sz w:val="16"/>
                                <w:szCs w:val="16"/>
                              </w:rPr>
                              <w:t>Soil disturbance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2310BA" id="Text Box 47" o:spid="_x0000_s1032" type="#_x0000_t202" style="position:absolute;margin-left:-1.5pt;margin-top:279.8pt;width:97.05pt;height:17.55pt;rotation:3428234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" filled="f" stroked="f" strokeweight=".5pt">
                <v:textbox>
                  <w:txbxContent>
                    <w:p w14:paraId="50E4B4D6" w14:textId="77777777" w:rsidR="00F71583" w:rsidRPr="00FA67FA" w:rsidRDefault="00F71583" w:rsidP="009B02D9">
                      <w:pPr>
                        <w:rPr>
                          <w:color w:val="FFFFFF" w:themeColor="background1"/>
                          <w:sz w:val="16"/>
                          <w:szCs w:val="16"/>
                        </w:rPr>
                      </w:pPr>
                      <w:r w:rsidRPr="00FA67FA">
                        <w:rPr>
                          <w:color w:val="FFFFFF" w:themeColor="background1"/>
                          <w:sz w:val="16"/>
                          <w:szCs w:val="16"/>
                        </w:rPr>
                        <w:t>Soil disturbance</w:t>
                      </w:r>
                    </w:p>
                  </w:txbxContent>
                </v:textbox>
              </v:shape>
            </w:pict>
          </mc:Fallback>
        </mc:AlternateContent>
      </w:r>
      <w:r w:rsidR="009B02D9" w:rsidRPr="006500F0">
        <w:rPr>
          <w:rFonts w:asciiTheme="majorBidi" w:hAnsiTheme="majorBidi" w:cstheme="majorBidi"/>
          <w:noProof/>
          <w:lang w:eastAsia="en-GB"/>
        </w:rPr>
        <mc:AlternateContent>
          <mc:Choice Requires="wps">
            <w:drawing>
              <wp:anchor distT="0" distB="0" distL="114300" distR="114300" simplePos="0" relativeHeight="251701248" behindDoc="0" locked="0" layoutInCell="1" allowOverlap="1" wp14:anchorId="1E138083" wp14:editId="12C5BDB1">
                <wp:simplePos x="0" y="0"/>
                <wp:positionH relativeFrom="column">
                  <wp:posOffset>7697424</wp:posOffset>
                </wp:positionH>
                <wp:positionV relativeFrom="paragraph">
                  <wp:posOffset>3632013</wp:posOffset>
                </wp:positionV>
                <wp:extent cx="628232" cy="1713367"/>
                <wp:effectExtent l="361950" t="76200" r="362585" b="77470"/>
                <wp:wrapNone/>
                <wp:docPr id="46" name="Rectangle 46"/>
                <wp:cNvGraphicFramePr/>
                <a:graphic xmlns:a="http://schemas.openxmlformats.org/drawingml/2006/main">
                  <a:graphicData uri="http://schemas.microsoft.com/office/word/2010/wordprocessingShape">
                    <wps:wsp>
                      <wps:cNvSpPr/>
                      <wps:spPr>
                        <a:xfrm rot="20108877">
                          <a:off x="0" y="0"/>
                          <a:ext cx="628232" cy="1713367"/>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3489DA9" id="Rectangle 46" o:spid="_x0000_s1026" style="position:absolute;margin-left:606.1pt;margin-top:286pt;width:49.45pt;height:134.9pt;rotation:-1628704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" filled="f" strokecolor="white [3212]" strokeweight="2pt"/>
            </w:pict>
          </mc:Fallback>
        </mc:AlternateContent>
      </w:r>
      <w:r w:rsidR="009B02D9" w:rsidRPr="006500F0">
        <w:rPr>
          <w:rFonts w:asciiTheme="majorBidi" w:hAnsiTheme="majorBidi" w:cstheme="majorBidi"/>
          <w:noProof/>
          <w:lang w:eastAsia="en-GB"/>
        </w:rPr>
        <mc:AlternateContent>
          <mc:Choice Requires="wps">
            <w:drawing>
              <wp:anchor distT="0" distB="0" distL="114300" distR="114300" simplePos="0" relativeHeight="251700224" behindDoc="0" locked="0" layoutInCell="1" allowOverlap="1" wp14:anchorId="4663D187" wp14:editId="470AE7DF">
                <wp:simplePos x="0" y="0"/>
                <wp:positionH relativeFrom="column">
                  <wp:posOffset>785985</wp:posOffset>
                </wp:positionH>
                <wp:positionV relativeFrom="paragraph">
                  <wp:posOffset>3211075</wp:posOffset>
                </wp:positionV>
                <wp:extent cx="540800" cy="1155206"/>
                <wp:effectExtent l="152400" t="76200" r="145415" b="64135"/>
                <wp:wrapNone/>
                <wp:docPr id="45" name="Rectangle 45"/>
                <wp:cNvGraphicFramePr/>
                <a:graphic xmlns:a="http://schemas.openxmlformats.org/drawingml/2006/main">
                  <a:graphicData uri="http://schemas.microsoft.com/office/word/2010/wordprocessingShape">
                    <wps:wsp>
                      <wps:cNvSpPr/>
                      <wps:spPr>
                        <a:xfrm rot="20713467">
                          <a:off x="0" y="0"/>
                          <a:ext cx="540800" cy="1155206"/>
                        </a:xfrm>
                        <a:prstGeom prst="rect">
                          <a:avLst/>
                        </a:prstGeom>
                        <a:no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47036A5" id="Rectangle 45" o:spid="_x0000_s1026" style="position:absolute;margin-left:61.9pt;margin-top:252.85pt;width:42.6pt;height:90.95pt;rotation:-968330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" filled="f" strokecolor="#f2f2f2 [3052]" strokeweight="2pt"/>
            </w:pict>
          </mc:Fallback>
        </mc:AlternateContent>
      </w:r>
      <w:r w:rsidR="009B02D9" w:rsidRPr="006500F0">
        <w:rPr>
          <w:rFonts w:asciiTheme="majorBidi" w:hAnsiTheme="majorBidi" w:cstheme="majorBidi"/>
          <w:noProof/>
          <w:lang w:eastAsia="en-GB"/>
        </w:rPr>
        <mc:AlternateContent>
          <mc:Choice Requires="wps">
            <w:drawing>
              <wp:anchor distT="0" distB="0" distL="114300" distR="114300" simplePos="0" relativeHeight="251699200" behindDoc="0" locked="0" layoutInCell="1" allowOverlap="1" wp14:anchorId="4369D1B0" wp14:editId="086E352D">
                <wp:simplePos x="0" y="0"/>
                <wp:positionH relativeFrom="column">
                  <wp:posOffset>198755</wp:posOffset>
                </wp:positionH>
                <wp:positionV relativeFrom="paragraph">
                  <wp:posOffset>2336800</wp:posOffset>
                </wp:positionV>
                <wp:extent cx="469127" cy="1049572"/>
                <wp:effectExtent l="304800" t="57150" r="217170" b="55880"/>
                <wp:wrapNone/>
                <wp:docPr id="44" name="Rectangle 44"/>
                <wp:cNvGraphicFramePr/>
                <a:graphic xmlns:a="http://schemas.openxmlformats.org/drawingml/2006/main">
                  <a:graphicData uri="http://schemas.microsoft.com/office/word/2010/wordprocessingShape">
                    <wps:wsp>
                      <wps:cNvSpPr/>
                      <wps:spPr>
                        <a:xfrm rot="19195819">
                          <a:off x="0" y="0"/>
                          <a:ext cx="469127" cy="1049572"/>
                        </a:xfrm>
                        <a:prstGeom prst="rect">
                          <a:avLst/>
                        </a:prstGeom>
                        <a:no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DBCF5C3" id="Rectangle 44" o:spid="_x0000_s1026" style="position:absolute;margin-left:15.65pt;margin-top:184pt;width:36.95pt;height:82.65pt;rotation:-2626007fd;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" filled="f" strokecolor="#f2f2f2 [3052]" strokeweight="2pt"/>
            </w:pict>
          </mc:Fallback>
        </mc:AlternateContent>
      </w:r>
      <w:r w:rsidR="00B86AE4" w:rsidRPr="006500F0">
        <w:rPr>
          <w:rFonts w:asciiTheme="majorBidi" w:hAnsiTheme="majorBidi" w:cstheme="majorBidi"/>
          <w:noProof/>
          <w:lang w:eastAsia="en-GB"/>
        </w:rPr>
        <mc:AlternateContent>
          <mc:Choice Requires="wps">
            <w:drawing>
              <wp:anchor distT="0" distB="0" distL="114300" distR="114300" simplePos="0" relativeHeight="251698176" behindDoc="0" locked="0" layoutInCell="1" allowOverlap="1" wp14:anchorId="47A9ED4F" wp14:editId="06FAA6B0">
                <wp:simplePos x="0" y="0"/>
                <wp:positionH relativeFrom="page">
                  <wp:posOffset>373711</wp:posOffset>
                </wp:positionH>
                <wp:positionV relativeFrom="paragraph">
                  <wp:posOffset>6114553</wp:posOffset>
                </wp:positionV>
                <wp:extent cx="7275444" cy="261951"/>
                <wp:effectExtent l="0" t="0" r="0" b="5080"/>
                <wp:wrapNone/>
                <wp:docPr id="43" name="Text Box 43"/>
                <wp:cNvGraphicFramePr/>
                <a:graphic xmlns:a="http://schemas.openxmlformats.org/drawingml/2006/main">
                  <a:graphicData uri="http://schemas.microsoft.com/office/word/2010/wordprocessingShape">
                    <wps:wsp>
                      <wps:cNvSpPr txBox="1"/>
                      <wps:spPr>
                        <a:xfrm>
                          <a:off x="0" y="0"/>
                          <a:ext cx="7275444" cy="261951"/>
                        </a:xfrm>
                        <a:prstGeom prst="rect">
                          <a:avLst/>
                        </a:prstGeom>
                        <a:noFill/>
                        <a:ln w="6350">
                          <a:noFill/>
                        </a:ln>
                      </wps:spPr>
                      <wps:txbx>
                        <w:txbxContent>
                          <w:p w14:paraId="70FA61A3" w14:textId="5B4CE466" w:rsidR="00F71583" w:rsidRPr="0060544B" w:rsidRDefault="00052620" w:rsidP="00052620">
                            <w:pPr>
                              <w:bidi/>
                              <w:ind w:left="142"/>
                              <w:rPr>
                                <w:sz w:val="16"/>
                                <w:szCs w:val="16"/>
                              </w:rPr>
                            </w:pPr>
                            <w:r>
                              <w:rPr>
                                <w:rFonts w:hint="cs"/>
                                <w:b/>
                                <w:rtl/>
                              </w:rPr>
                              <w:t>الرسم 4</w:t>
                            </w:r>
                            <w:r w:rsidR="00F71583">
                              <w:rPr>
                                <w:b/>
                                <w:sz w:val="16"/>
                                <w:szCs w:val="16"/>
                              </w:rPr>
                              <w:tab/>
                            </w:r>
                            <w:r w:rsidR="00F71583">
                              <w:rPr>
                                <w:sz w:val="16"/>
                                <w:szCs w:val="16"/>
                              </w:rPr>
                              <w:t>Created: September 2021             Source: FFM Libya, images from ©2019/20</w:t>
                            </w:r>
                            <w:r w:rsidR="00F71583" w:rsidRPr="00473E4F">
                              <w:rPr>
                                <w:sz w:val="16"/>
                                <w:szCs w:val="16"/>
                              </w:rPr>
                              <w:t xml:space="preserve"> DigitalGlobe</w:t>
                            </w:r>
                            <w:r w:rsidR="00F71583">
                              <w:rPr>
                                <w:sz w:val="16"/>
                                <w:szCs w:val="16"/>
                              </w:rPr>
                              <w:t xml:space="preserve">, </w:t>
                            </w:r>
                            <w:r w:rsidR="00F71583" w:rsidRPr="00473E4F">
                              <w:rPr>
                                <w:sz w:val="16"/>
                                <w:szCs w:val="16"/>
                              </w:rPr>
                              <w:t>©2021 Maxar</w:t>
                            </w:r>
                            <w:r w:rsidR="00F71583">
                              <w:rPr>
                                <w:sz w:val="16"/>
                                <w:szCs w:val="16"/>
                              </w:rPr>
                              <w:t xml:space="preserve">                contact: ffmlibya@ohchr.org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A9ED4F" id="Text Box 43" o:spid="_x0000_s1033" type="#_x0000_t202" style="position:absolute;margin-left:29.45pt;margin-top:481.45pt;width:572.85pt;height:20.65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" filled="f" stroked="f" strokeweight=".5pt">
                <v:textbox>
                  <w:txbxContent>
                    <w:p w14:paraId="70FA61A3" w14:textId="5B4CE466" w:rsidR="00F71583" w:rsidRPr="0060544B" w:rsidRDefault="00052620" w:rsidP="00052620">
                      <w:pPr>
                        <w:bidi/>
                        <w:ind w:left="142"/>
                        <w:rPr>
                          <w:sz w:val="16"/>
                          <w:szCs w:val="16"/>
                        </w:rPr>
                      </w:pPr>
                      <w:r>
                        <w:rPr>
                          <w:rFonts w:hint="cs"/>
                          <w:b/>
                          <w:rtl/>
                        </w:rPr>
                        <w:t>الرسم 4</w:t>
                      </w:r>
                      <w:r w:rsidR="00F71583">
                        <w:rPr>
                          <w:b/>
                          <w:sz w:val="16"/>
                          <w:szCs w:val="16"/>
                        </w:rPr>
                        <w:tab/>
                      </w:r>
                      <w:r w:rsidR="00F71583">
                        <w:rPr>
                          <w:sz w:val="16"/>
                          <w:szCs w:val="16"/>
                        </w:rPr>
                        <w:t>Created: September 2021             Source: FFM Libya, images from ©2019/20</w:t>
                      </w:r>
                      <w:r w:rsidR="00F71583" w:rsidRPr="00473E4F">
                        <w:rPr>
                          <w:sz w:val="16"/>
                          <w:szCs w:val="16"/>
                        </w:rPr>
                        <w:t xml:space="preserve"> </w:t>
                      </w:r>
                      <w:proofErr w:type="spellStart"/>
                      <w:r w:rsidR="00F71583" w:rsidRPr="00473E4F">
                        <w:rPr>
                          <w:sz w:val="16"/>
                          <w:szCs w:val="16"/>
                        </w:rPr>
                        <w:t>DigitalGlobe</w:t>
                      </w:r>
                      <w:proofErr w:type="spellEnd"/>
                      <w:r w:rsidR="00F71583">
                        <w:rPr>
                          <w:sz w:val="16"/>
                          <w:szCs w:val="16"/>
                        </w:rPr>
                        <w:t xml:space="preserve">, </w:t>
                      </w:r>
                      <w:r w:rsidR="00F71583" w:rsidRPr="00473E4F">
                        <w:rPr>
                          <w:sz w:val="16"/>
                          <w:szCs w:val="16"/>
                        </w:rPr>
                        <w:t>©2021 Maxar</w:t>
                      </w:r>
                      <w:r w:rsidR="00F71583">
                        <w:rPr>
                          <w:sz w:val="16"/>
                          <w:szCs w:val="16"/>
                        </w:rPr>
                        <w:t xml:space="preserve">                contact: ffmlibya@ohchr.org </w:t>
                      </w:r>
                    </w:p>
                  </w:txbxContent>
                </v:textbox>
                <w10:wrap anchorx="page"/>
              </v:shape>
            </w:pict>
          </mc:Fallback>
        </mc:AlternateContent>
      </w:r>
      <w:r w:rsidR="009B02D9" w:rsidRPr="006500F0">
        <w:rPr>
          <w:rFonts w:asciiTheme="majorBidi" w:hAnsiTheme="majorBidi" w:cstheme="majorBidi"/>
          <w:noProof/>
          <w:lang w:eastAsia="en-GB"/>
        </w:rPr>
        <w:drawing>
          <wp:anchor distT="0" distB="0" distL="114300" distR="114300" simplePos="0" relativeHeight="251695104" behindDoc="0" locked="0" layoutInCell="1" allowOverlap="1" wp14:anchorId="294FBCCA" wp14:editId="58D96F46">
            <wp:simplePos x="0" y="0"/>
            <wp:positionH relativeFrom="margin">
              <wp:posOffset>4303395</wp:posOffset>
            </wp:positionH>
            <wp:positionV relativeFrom="margin">
              <wp:posOffset>5247723</wp:posOffset>
            </wp:positionV>
            <wp:extent cx="186690" cy="237490"/>
            <wp:effectExtent l="0" t="0" r="3810" b="0"/>
            <wp:wrapSquare wrapText="bothSides"/>
            <wp:docPr id="40" name="Picture 40"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6500F0">
        <w:rPr>
          <w:rFonts w:asciiTheme="majorBidi" w:hAnsiTheme="majorBidi" w:cstheme="majorBidi"/>
          <w:noProof/>
          <w:lang w:eastAsia="en-GB"/>
        </w:rPr>
        <w:drawing>
          <wp:anchor distT="0" distB="0" distL="114300" distR="114300" simplePos="0" relativeHeight="251696128" behindDoc="0" locked="0" layoutInCell="1" allowOverlap="1" wp14:anchorId="6DE367DD" wp14:editId="288EB942">
            <wp:simplePos x="0" y="0"/>
            <wp:positionH relativeFrom="margin">
              <wp:posOffset>4564822</wp:posOffset>
            </wp:positionH>
            <wp:positionV relativeFrom="margin">
              <wp:posOffset>2927736</wp:posOffset>
            </wp:positionV>
            <wp:extent cx="186690" cy="237490"/>
            <wp:effectExtent l="0" t="0" r="3810" b="0"/>
            <wp:wrapSquare wrapText="bothSides"/>
            <wp:docPr id="41" name="Picture 41"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6500F0">
        <w:rPr>
          <w:rFonts w:asciiTheme="majorBidi" w:hAnsiTheme="majorBidi" w:cstheme="majorBidi"/>
          <w:noProof/>
          <w:lang w:eastAsia="en-GB"/>
        </w:rPr>
        <w:drawing>
          <wp:anchor distT="0" distB="0" distL="114300" distR="114300" simplePos="0" relativeHeight="251697152" behindDoc="0" locked="0" layoutInCell="1" allowOverlap="1" wp14:anchorId="569AD5C7" wp14:editId="0665D0E0">
            <wp:simplePos x="0" y="0"/>
            <wp:positionH relativeFrom="margin">
              <wp:posOffset>4274820</wp:posOffset>
            </wp:positionH>
            <wp:positionV relativeFrom="margin">
              <wp:posOffset>2974892</wp:posOffset>
            </wp:positionV>
            <wp:extent cx="186690" cy="237490"/>
            <wp:effectExtent l="0" t="0" r="3810" b="0"/>
            <wp:wrapSquare wrapText="bothSides"/>
            <wp:docPr id="42" name="Picture 42"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6500F0">
        <w:rPr>
          <w:rFonts w:asciiTheme="majorBidi" w:hAnsiTheme="majorBidi" w:cstheme="majorBidi"/>
          <w:noProof/>
          <w:lang w:eastAsia="en-GB"/>
        </w:rPr>
        <mc:AlternateContent>
          <mc:Choice Requires="wps">
            <w:drawing>
              <wp:anchor distT="0" distB="0" distL="114300" distR="114300" simplePos="0" relativeHeight="251686912" behindDoc="0" locked="0" layoutInCell="1" allowOverlap="1" wp14:anchorId="09F23742" wp14:editId="0B0AE830">
                <wp:simplePos x="0" y="0"/>
                <wp:positionH relativeFrom="column">
                  <wp:posOffset>5079034</wp:posOffset>
                </wp:positionH>
                <wp:positionV relativeFrom="paragraph">
                  <wp:posOffset>1574800</wp:posOffset>
                </wp:positionV>
                <wp:extent cx="2015490" cy="7620"/>
                <wp:effectExtent l="0" t="76200" r="22860" b="87630"/>
                <wp:wrapNone/>
                <wp:docPr id="36" name="Straight Arrow Connector 36"/>
                <wp:cNvGraphicFramePr/>
                <a:graphic xmlns:a="http://schemas.openxmlformats.org/drawingml/2006/main">
                  <a:graphicData uri="http://schemas.microsoft.com/office/word/2010/wordprocessingShape">
                    <wps:wsp>
                      <wps:cNvCnPr/>
                      <wps:spPr>
                        <a:xfrm flipV="1">
                          <a:off x="0" y="0"/>
                          <a:ext cx="2015490" cy="762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E0F4C4E" id="_x0000_t32" coordsize="21600,21600" o:spt="32" o:oned="t" path="m,l21600,21600e" filled="f">
                <v:path arrowok="t" fillok="f" o:connecttype="none"/>
                <o:lock v:ext="edit" shapetype="t"/>
              </v:shapetype>
              <v:shape id="Straight Arrow Connector 36" o:spid="_x0000_s1026" type="#_x0000_t32" style="position:absolute;margin-left:399.9pt;margin-top:124pt;width:158.7pt;height:.6pt;flip:y;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" strokecolor="black [3200]" strokeweight="2pt">
                <v:stroke endarrow="block"/>
                <v:shadow on="t" color="black" opacity="24903f" origin=",.5" offset="0,.55556mm"/>
              </v:shape>
            </w:pict>
          </mc:Fallback>
        </mc:AlternateContent>
      </w:r>
      <w:r w:rsidR="009B02D9" w:rsidRPr="006500F0">
        <w:rPr>
          <w:rFonts w:asciiTheme="majorBidi" w:hAnsiTheme="majorBidi" w:cstheme="majorBidi"/>
          <w:noProof/>
          <w:lang w:eastAsia="en-GB"/>
        </w:rPr>
        <w:drawing>
          <wp:anchor distT="0" distB="0" distL="114300" distR="114300" simplePos="0" relativeHeight="251694080" behindDoc="0" locked="0" layoutInCell="1" allowOverlap="1" wp14:anchorId="78BE8FB6" wp14:editId="3C7A1F80">
            <wp:simplePos x="0" y="0"/>
            <wp:positionH relativeFrom="margin">
              <wp:posOffset>4890052</wp:posOffset>
            </wp:positionH>
            <wp:positionV relativeFrom="margin">
              <wp:posOffset>1357989</wp:posOffset>
            </wp:positionV>
            <wp:extent cx="186690" cy="237490"/>
            <wp:effectExtent l="0" t="0" r="3810" b="0"/>
            <wp:wrapSquare wrapText="bothSides"/>
            <wp:docPr id="34" name="Picture 34"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6500F0">
        <w:rPr>
          <w:rFonts w:asciiTheme="majorBidi" w:hAnsiTheme="majorBidi" w:cstheme="majorBidi"/>
          <w:noProof/>
          <w:lang w:eastAsia="en-GB"/>
        </w:rPr>
        <w:drawing>
          <wp:anchor distT="0" distB="0" distL="114300" distR="114300" simplePos="0" relativeHeight="251693056" behindDoc="0" locked="0" layoutInCell="1" allowOverlap="1" wp14:anchorId="22EADE1F" wp14:editId="341755D4">
            <wp:simplePos x="0" y="0"/>
            <wp:positionH relativeFrom="margin">
              <wp:posOffset>4011212</wp:posOffset>
            </wp:positionH>
            <wp:positionV relativeFrom="margin">
              <wp:posOffset>1654699</wp:posOffset>
            </wp:positionV>
            <wp:extent cx="186690" cy="237490"/>
            <wp:effectExtent l="0" t="0" r="3810" b="0"/>
            <wp:wrapSquare wrapText="bothSides"/>
            <wp:docPr id="21" name="Picture 21"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6500F0">
        <w:rPr>
          <w:rFonts w:asciiTheme="majorBidi" w:hAnsiTheme="majorBidi" w:cstheme="majorBidi"/>
          <w:noProof/>
          <w:lang w:eastAsia="en-GB"/>
        </w:rPr>
        <mc:AlternateContent>
          <mc:Choice Requires="wps">
            <w:drawing>
              <wp:anchor distT="0" distB="0" distL="114300" distR="114300" simplePos="0" relativeHeight="251665408" behindDoc="0" locked="0" layoutInCell="1" allowOverlap="1" wp14:anchorId="75C60AFA" wp14:editId="7E44882B">
                <wp:simplePos x="0" y="0"/>
                <wp:positionH relativeFrom="column">
                  <wp:posOffset>1180493</wp:posOffset>
                </wp:positionH>
                <wp:positionV relativeFrom="paragraph">
                  <wp:posOffset>1104955</wp:posOffset>
                </wp:positionV>
                <wp:extent cx="254442" cy="254442"/>
                <wp:effectExtent l="0" t="0" r="0" b="0"/>
                <wp:wrapNone/>
                <wp:docPr id="8" name="Text Box 8"/>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508099A2" w14:textId="77777777" w:rsidR="00F71583" w:rsidRPr="0060544B" w:rsidRDefault="00F71583" w:rsidP="009B02D9">
                            <w:pPr>
                              <w:rPr>
                                <w:b/>
                                <w:bCs/>
                              </w:rPr>
                            </w:pPr>
                            <w:r w:rsidRPr="0060544B">
                              <w:rPr>
                                <w:b/>
                                <w:b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C60AFA" id="Text Box 8" o:spid="_x0000_s1034" type="#_x0000_t202" style="position:absolute;margin-left:92.95pt;margin-top:87pt;width:20.05pt;height:20.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" filled="f" stroked="f" strokeweight=".5pt">
                <v:textbox>
                  <w:txbxContent>
                    <w:p w14:paraId="508099A2" w14:textId="77777777" w:rsidR="00F71583" w:rsidRPr="0060544B" w:rsidRDefault="00F71583" w:rsidP="009B02D9">
                      <w:pPr>
                        <w:rPr>
                          <w:b/>
                          <w:bCs/>
                        </w:rPr>
                      </w:pPr>
                      <w:r w:rsidRPr="0060544B">
                        <w:rPr>
                          <w:b/>
                          <w:bCs/>
                        </w:rPr>
                        <w:t>2</w:t>
                      </w:r>
                    </w:p>
                  </w:txbxContent>
                </v:textbox>
              </v:shape>
            </w:pict>
          </mc:Fallback>
        </mc:AlternateContent>
      </w:r>
      <w:r w:rsidR="009B02D9" w:rsidRPr="006500F0">
        <w:rPr>
          <w:rFonts w:asciiTheme="majorBidi" w:hAnsiTheme="majorBidi" w:cstheme="majorBidi"/>
          <w:noProof/>
          <w:lang w:eastAsia="en-GB"/>
        </w:rPr>
        <w:drawing>
          <wp:anchor distT="0" distB="0" distL="114300" distR="114300" simplePos="0" relativeHeight="251691008" behindDoc="0" locked="0" layoutInCell="1" allowOverlap="1" wp14:anchorId="1B324C48" wp14:editId="2628D7E1">
            <wp:simplePos x="0" y="0"/>
            <wp:positionH relativeFrom="margin">
              <wp:posOffset>1096534</wp:posOffset>
            </wp:positionH>
            <wp:positionV relativeFrom="margin">
              <wp:posOffset>1216439</wp:posOffset>
            </wp:positionV>
            <wp:extent cx="186690" cy="237490"/>
            <wp:effectExtent l="0" t="0" r="3810" b="0"/>
            <wp:wrapSquare wrapText="bothSides"/>
            <wp:docPr id="13" name="Picture 13"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6500F0">
        <w:rPr>
          <w:rFonts w:asciiTheme="majorBidi" w:hAnsiTheme="majorBidi" w:cstheme="majorBidi"/>
          <w:noProof/>
          <w:lang w:eastAsia="en-GB"/>
        </w:rPr>
        <w:drawing>
          <wp:anchor distT="0" distB="0" distL="114300" distR="114300" simplePos="0" relativeHeight="251692032" behindDoc="0" locked="0" layoutInCell="1" allowOverlap="1" wp14:anchorId="205C4773" wp14:editId="065A53AB">
            <wp:simplePos x="0" y="0"/>
            <wp:positionH relativeFrom="margin">
              <wp:posOffset>1249569</wp:posOffset>
            </wp:positionH>
            <wp:positionV relativeFrom="margin">
              <wp:posOffset>1329083</wp:posOffset>
            </wp:positionV>
            <wp:extent cx="186690" cy="237490"/>
            <wp:effectExtent l="0" t="0" r="3810" b="0"/>
            <wp:wrapSquare wrapText="bothSides"/>
            <wp:docPr id="14" name="Picture 14"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6500F0">
        <w:rPr>
          <w:rFonts w:asciiTheme="majorBidi" w:hAnsiTheme="majorBidi" w:cstheme="majorBidi"/>
          <w:noProof/>
          <w:lang w:eastAsia="en-GB"/>
        </w:rPr>
        <mc:AlternateContent>
          <mc:Choice Requires="wps">
            <w:drawing>
              <wp:anchor distT="0" distB="0" distL="114300" distR="114300" simplePos="0" relativeHeight="251684864" behindDoc="0" locked="0" layoutInCell="1" allowOverlap="1" wp14:anchorId="345F8486" wp14:editId="7A287991">
                <wp:simplePos x="0" y="0"/>
                <wp:positionH relativeFrom="column">
                  <wp:posOffset>4030980</wp:posOffset>
                </wp:positionH>
                <wp:positionV relativeFrom="paragraph">
                  <wp:posOffset>3188004</wp:posOffset>
                </wp:positionV>
                <wp:extent cx="230505" cy="166370"/>
                <wp:effectExtent l="38100" t="0" r="17145" b="62230"/>
                <wp:wrapNone/>
                <wp:docPr id="33" name="Straight Arrow Connector 33"/>
                <wp:cNvGraphicFramePr/>
                <a:graphic xmlns:a="http://schemas.openxmlformats.org/drawingml/2006/main">
                  <a:graphicData uri="http://schemas.microsoft.com/office/word/2010/wordprocessingShape">
                    <wps:wsp>
                      <wps:cNvCnPr/>
                      <wps:spPr>
                        <a:xfrm flipH="1">
                          <a:off x="0" y="0"/>
                          <a:ext cx="230505" cy="16637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F40280" id="Straight Arrow Connector 33" o:spid="_x0000_s1026" type="#_x0000_t32" style="position:absolute;margin-left:317.4pt;margin-top:251pt;width:18.15pt;height:13.1pt;flip:x;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" strokecolor="black [3200]" strokeweight="2pt">
                <v:stroke endarrow="block"/>
                <v:shadow on="t" color="black" opacity="24903f" origin=",.5" offset="0,.55556mm"/>
              </v:shape>
            </w:pict>
          </mc:Fallback>
        </mc:AlternateContent>
      </w:r>
      <w:r w:rsidR="009B02D9" w:rsidRPr="006500F0">
        <w:rPr>
          <w:rFonts w:asciiTheme="majorBidi" w:hAnsiTheme="majorBidi" w:cstheme="majorBidi"/>
          <w:noProof/>
          <w:lang w:eastAsia="en-GB"/>
        </w:rPr>
        <mc:AlternateContent>
          <mc:Choice Requires="wps">
            <w:drawing>
              <wp:anchor distT="0" distB="0" distL="114300" distR="114300" simplePos="0" relativeHeight="251685888" behindDoc="0" locked="0" layoutInCell="1" allowOverlap="1" wp14:anchorId="77981E1D" wp14:editId="4B633878">
                <wp:simplePos x="0" y="0"/>
                <wp:positionH relativeFrom="column">
                  <wp:posOffset>4539367</wp:posOffset>
                </wp:positionH>
                <wp:positionV relativeFrom="paragraph">
                  <wp:posOffset>5414838</wp:posOffset>
                </wp:positionV>
                <wp:extent cx="2600904" cy="7952"/>
                <wp:effectExtent l="0" t="76200" r="28575" b="87630"/>
                <wp:wrapNone/>
                <wp:docPr id="35" name="Straight Arrow Connector 35"/>
                <wp:cNvGraphicFramePr/>
                <a:graphic xmlns:a="http://schemas.openxmlformats.org/drawingml/2006/main">
                  <a:graphicData uri="http://schemas.microsoft.com/office/word/2010/wordprocessingShape">
                    <wps:wsp>
                      <wps:cNvCnPr/>
                      <wps:spPr>
                        <a:xfrm flipV="1">
                          <a:off x="0" y="0"/>
                          <a:ext cx="2600904" cy="795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98493B" id="Straight Arrow Connector 35" o:spid="_x0000_s1026" type="#_x0000_t32" style="position:absolute;margin-left:357.45pt;margin-top:426.35pt;width:204.8pt;height:.65pt;flip:y;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" strokecolor="black [3200]" strokeweight="2pt">
                <v:stroke endarrow="block"/>
                <v:shadow on="t" color="black" opacity="24903f" origin=",.5" offset="0,.55556mm"/>
              </v:shape>
            </w:pict>
          </mc:Fallback>
        </mc:AlternateContent>
      </w:r>
      <w:r w:rsidR="009B02D9" w:rsidRPr="006500F0">
        <w:rPr>
          <w:rFonts w:asciiTheme="majorBidi" w:hAnsiTheme="majorBidi" w:cstheme="majorBidi"/>
          <w:noProof/>
          <w:lang w:eastAsia="en-GB"/>
        </w:rPr>
        <mc:AlternateContent>
          <mc:Choice Requires="wps">
            <w:drawing>
              <wp:anchor distT="0" distB="0" distL="114300" distR="114300" simplePos="0" relativeHeight="251683840" behindDoc="0" locked="0" layoutInCell="1" allowOverlap="1" wp14:anchorId="1A244A19" wp14:editId="387A3753">
                <wp:simplePos x="0" y="0"/>
                <wp:positionH relativeFrom="column">
                  <wp:posOffset>4810539</wp:posOffset>
                </wp:positionH>
                <wp:positionV relativeFrom="paragraph">
                  <wp:posOffset>3116911</wp:posOffset>
                </wp:positionV>
                <wp:extent cx="151075" cy="0"/>
                <wp:effectExtent l="0" t="76200" r="20955" b="95250"/>
                <wp:wrapNone/>
                <wp:docPr id="32" name="Straight Arrow Connector 32"/>
                <wp:cNvGraphicFramePr/>
                <a:graphic xmlns:a="http://schemas.openxmlformats.org/drawingml/2006/main">
                  <a:graphicData uri="http://schemas.microsoft.com/office/word/2010/wordprocessingShape">
                    <wps:wsp>
                      <wps:cNvCnPr/>
                      <wps:spPr>
                        <a:xfrm>
                          <a:off x="0" y="0"/>
                          <a:ext cx="151075"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67621D" id="Straight Arrow Connector 32" o:spid="_x0000_s1026" type="#_x0000_t32" style="position:absolute;margin-left:378.8pt;margin-top:245.45pt;width:11.9pt;height: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" strokecolor="black [3200]" strokeweight="2pt">
                <v:stroke endarrow="block"/>
                <v:shadow on="t" color="black" opacity="24903f" origin=",.5" offset="0,.55556mm"/>
              </v:shape>
            </w:pict>
          </mc:Fallback>
        </mc:AlternateContent>
      </w:r>
      <w:r w:rsidR="009B02D9" w:rsidRPr="006500F0">
        <w:rPr>
          <w:rFonts w:asciiTheme="majorBidi" w:hAnsiTheme="majorBidi" w:cstheme="majorBidi"/>
          <w:noProof/>
          <w:lang w:eastAsia="en-GB"/>
        </w:rPr>
        <mc:AlternateContent>
          <mc:Choice Requires="wps">
            <w:drawing>
              <wp:anchor distT="0" distB="0" distL="114300" distR="114300" simplePos="0" relativeHeight="251682816" behindDoc="0" locked="0" layoutInCell="1" allowOverlap="1" wp14:anchorId="6852E1AE" wp14:editId="43A93BED">
                <wp:simplePos x="0" y="0"/>
                <wp:positionH relativeFrom="column">
                  <wp:posOffset>3856383</wp:posOffset>
                </wp:positionH>
                <wp:positionV relativeFrom="paragraph">
                  <wp:posOffset>1789043</wp:posOffset>
                </wp:positionV>
                <wp:extent cx="143123" cy="0"/>
                <wp:effectExtent l="38100" t="76200" r="0" b="95250"/>
                <wp:wrapNone/>
                <wp:docPr id="31" name="Straight Arrow Connector 31"/>
                <wp:cNvGraphicFramePr/>
                <a:graphic xmlns:a="http://schemas.openxmlformats.org/drawingml/2006/main">
                  <a:graphicData uri="http://schemas.microsoft.com/office/word/2010/wordprocessingShape">
                    <wps:wsp>
                      <wps:cNvCnPr/>
                      <wps:spPr>
                        <a:xfrm flipH="1">
                          <a:off x="0" y="0"/>
                          <a:ext cx="143123"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CA3111" id="Straight Arrow Connector 31" o:spid="_x0000_s1026" type="#_x0000_t32" style="position:absolute;margin-left:303.65pt;margin-top:140.85pt;width:11.25pt;height:0;flip:x;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" strokecolor="black [3200]" strokeweight="2pt">
                <v:stroke endarrow="block"/>
                <v:shadow on="t" color="black" opacity="24903f" origin=",.5" offset="0,.55556mm"/>
              </v:shape>
            </w:pict>
          </mc:Fallback>
        </mc:AlternateContent>
      </w:r>
      <w:r w:rsidR="009B02D9" w:rsidRPr="006500F0">
        <w:rPr>
          <w:rFonts w:asciiTheme="majorBidi" w:hAnsiTheme="majorBidi" w:cstheme="majorBidi"/>
          <w:noProof/>
          <w:lang w:eastAsia="en-GB"/>
        </w:rPr>
        <mc:AlternateContent>
          <mc:Choice Requires="wps">
            <w:drawing>
              <wp:anchor distT="0" distB="0" distL="114300" distR="114300" simplePos="0" relativeHeight="251681792" behindDoc="0" locked="0" layoutInCell="1" allowOverlap="1" wp14:anchorId="39BE2D4E" wp14:editId="4E6CC598">
                <wp:simplePos x="0" y="0"/>
                <wp:positionH relativeFrom="column">
                  <wp:posOffset>604299</wp:posOffset>
                </wp:positionH>
                <wp:positionV relativeFrom="paragraph">
                  <wp:posOffset>1463040</wp:posOffset>
                </wp:positionV>
                <wp:extent cx="461176" cy="254442"/>
                <wp:effectExtent l="38100" t="0" r="15240" b="50800"/>
                <wp:wrapNone/>
                <wp:docPr id="30" name="Straight Arrow Connector 30"/>
                <wp:cNvGraphicFramePr/>
                <a:graphic xmlns:a="http://schemas.openxmlformats.org/drawingml/2006/main">
                  <a:graphicData uri="http://schemas.microsoft.com/office/word/2010/wordprocessingShape">
                    <wps:wsp>
                      <wps:cNvCnPr/>
                      <wps:spPr>
                        <a:xfrm flipH="1">
                          <a:off x="0" y="0"/>
                          <a:ext cx="461176" cy="25444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8C5D26" id="Straight Arrow Connector 30" o:spid="_x0000_s1026" type="#_x0000_t32" style="position:absolute;margin-left:47.6pt;margin-top:115.2pt;width:36.3pt;height:20.05pt;flip:x;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" strokecolor="black [3200]" strokeweight="2pt">
                <v:stroke endarrow="block"/>
                <v:shadow on="t" color="black" opacity="24903f" origin=",.5" offset="0,.55556mm"/>
              </v:shape>
            </w:pict>
          </mc:Fallback>
        </mc:AlternateContent>
      </w:r>
      <w:r w:rsidR="009B02D9" w:rsidRPr="006500F0">
        <w:rPr>
          <w:rFonts w:asciiTheme="majorBidi" w:hAnsiTheme="majorBidi" w:cstheme="majorBidi"/>
          <w:noProof/>
          <w:lang w:eastAsia="en-GB"/>
        </w:rPr>
        <w:drawing>
          <wp:anchor distT="0" distB="0" distL="114300" distR="114300" simplePos="0" relativeHeight="251674624" behindDoc="0" locked="0" layoutInCell="1" allowOverlap="1" wp14:anchorId="25510941" wp14:editId="45CC103B">
            <wp:simplePos x="0" y="0"/>
            <wp:positionH relativeFrom="margin">
              <wp:posOffset>7154668</wp:posOffset>
            </wp:positionH>
            <wp:positionV relativeFrom="margin">
              <wp:posOffset>3112178</wp:posOffset>
            </wp:positionV>
            <wp:extent cx="1947349" cy="2909546"/>
            <wp:effectExtent l="19050" t="19050" r="15240" b="2476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32843" t="30941" r="43377" b="5890"/>
                    <a:stretch/>
                  </pic:blipFill>
                  <pic:spPr bwMode="auto">
                    <a:xfrm>
                      <a:off x="0" y="0"/>
                      <a:ext cx="1950022" cy="2913539"/>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6500F0">
        <w:rPr>
          <w:rFonts w:asciiTheme="majorBidi" w:hAnsiTheme="majorBidi" w:cstheme="majorBidi"/>
          <w:noProof/>
          <w:lang w:eastAsia="en-GB"/>
        </w:rPr>
        <mc:AlternateContent>
          <mc:Choice Requires="wps">
            <w:drawing>
              <wp:anchor distT="0" distB="0" distL="114300" distR="114300" simplePos="0" relativeHeight="251671552" behindDoc="0" locked="0" layoutInCell="1" allowOverlap="1" wp14:anchorId="0B6D0281" wp14:editId="7005BEE4">
                <wp:simplePos x="0" y="0"/>
                <wp:positionH relativeFrom="column">
                  <wp:posOffset>4962801</wp:posOffset>
                </wp:positionH>
                <wp:positionV relativeFrom="paragraph">
                  <wp:posOffset>1328199</wp:posOffset>
                </wp:positionV>
                <wp:extent cx="254442" cy="254442"/>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613E32AC" w14:textId="77777777" w:rsidR="00F71583" w:rsidRPr="0060544B" w:rsidRDefault="00F71583" w:rsidP="009B02D9">
                            <w:pPr>
                              <w:rPr>
                                <w:b/>
                                <w:bCs/>
                              </w:rPr>
                            </w:pPr>
                            <w:r w:rsidRPr="0060544B">
                              <w:rPr>
                                <w:b/>
                                <w:bC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6D0281" id="Text Box 20" o:spid="_x0000_s1035" type="#_x0000_t202" style="position:absolute;margin-left:390.75pt;margin-top:104.6pt;width:20.05pt;height:20.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" filled="f" stroked="f" strokeweight=".5pt">
                <v:textbox>
                  <w:txbxContent>
                    <w:p w14:paraId="613E32AC" w14:textId="77777777" w:rsidR="00F71583" w:rsidRPr="0060544B" w:rsidRDefault="00F71583" w:rsidP="009B02D9">
                      <w:pPr>
                        <w:rPr>
                          <w:b/>
                          <w:bCs/>
                        </w:rPr>
                      </w:pPr>
                      <w:r w:rsidRPr="0060544B">
                        <w:rPr>
                          <w:b/>
                          <w:bCs/>
                        </w:rPr>
                        <w:t>7</w:t>
                      </w:r>
                    </w:p>
                  </w:txbxContent>
                </v:textbox>
              </v:shape>
            </w:pict>
          </mc:Fallback>
        </mc:AlternateContent>
      </w:r>
      <w:r w:rsidR="009B02D9" w:rsidRPr="006500F0">
        <w:rPr>
          <w:rFonts w:asciiTheme="majorBidi" w:hAnsiTheme="majorBidi" w:cstheme="majorBidi"/>
          <w:noProof/>
          <w:lang w:eastAsia="en-GB"/>
        </w:rPr>
        <mc:AlternateContent>
          <mc:Choice Requires="wps">
            <w:drawing>
              <wp:anchor distT="0" distB="0" distL="114300" distR="114300" simplePos="0" relativeHeight="251670528" behindDoc="0" locked="0" layoutInCell="1" allowOverlap="1" wp14:anchorId="27791B3A" wp14:editId="6C165736">
                <wp:simplePos x="0" y="0"/>
                <wp:positionH relativeFrom="column">
                  <wp:posOffset>4127583</wp:posOffset>
                </wp:positionH>
                <wp:positionV relativeFrom="paragraph">
                  <wp:posOffset>2982789</wp:posOffset>
                </wp:positionV>
                <wp:extent cx="254442" cy="25444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2A2ADD48" w14:textId="77777777" w:rsidR="00F71583" w:rsidRPr="0060544B" w:rsidRDefault="00F71583" w:rsidP="009B02D9">
                            <w:pPr>
                              <w:rPr>
                                <w:b/>
                                <w:bCs/>
                              </w:rPr>
                            </w:pPr>
                            <w:r w:rsidRPr="0060544B">
                              <w:rPr>
                                <w:b/>
                                <w:bC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791B3A" id="Text Box 18" o:spid="_x0000_s1036" type="#_x0000_t202" style="position:absolute;margin-left:325pt;margin-top:234.85pt;width:20.05pt;height:20.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" filled="f" stroked="f" strokeweight=".5pt">
                <v:textbox>
                  <w:txbxContent>
                    <w:p w14:paraId="2A2ADD48" w14:textId="77777777" w:rsidR="00F71583" w:rsidRPr="0060544B" w:rsidRDefault="00F71583" w:rsidP="009B02D9">
                      <w:pPr>
                        <w:rPr>
                          <w:b/>
                          <w:bCs/>
                        </w:rPr>
                      </w:pPr>
                      <w:r w:rsidRPr="0060544B">
                        <w:rPr>
                          <w:b/>
                          <w:bCs/>
                        </w:rPr>
                        <w:t>6</w:t>
                      </w:r>
                    </w:p>
                  </w:txbxContent>
                </v:textbox>
              </v:shape>
            </w:pict>
          </mc:Fallback>
        </mc:AlternateContent>
      </w:r>
      <w:r w:rsidR="009B02D9" w:rsidRPr="006500F0">
        <w:rPr>
          <w:rFonts w:asciiTheme="majorBidi" w:hAnsiTheme="majorBidi" w:cstheme="majorBidi"/>
          <w:noProof/>
          <w:lang w:eastAsia="en-GB"/>
        </w:rPr>
        <mc:AlternateContent>
          <mc:Choice Requires="wps">
            <w:drawing>
              <wp:anchor distT="0" distB="0" distL="114300" distR="114300" simplePos="0" relativeHeight="251669504" behindDoc="0" locked="0" layoutInCell="1" allowOverlap="1" wp14:anchorId="301C95F9" wp14:editId="53B245E6">
                <wp:simplePos x="0" y="0"/>
                <wp:positionH relativeFrom="column">
                  <wp:posOffset>4112012</wp:posOffset>
                </wp:positionH>
                <wp:positionV relativeFrom="paragraph">
                  <wp:posOffset>1622784</wp:posOffset>
                </wp:positionV>
                <wp:extent cx="254442" cy="254442"/>
                <wp:effectExtent l="0" t="0" r="0" b="0"/>
                <wp:wrapNone/>
                <wp:docPr id="16" name="Text Box 16"/>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4977E31B" w14:textId="77777777" w:rsidR="00F71583" w:rsidRPr="0060544B" w:rsidRDefault="00F71583" w:rsidP="009B02D9">
                            <w:pPr>
                              <w:rPr>
                                <w:b/>
                                <w:bCs/>
                              </w:rPr>
                            </w:pPr>
                            <w:r w:rsidRPr="0060544B">
                              <w:rPr>
                                <w:b/>
                                <w:bC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1C95F9" id="Text Box 16" o:spid="_x0000_s1037" type="#_x0000_t202" style="position:absolute;margin-left:323.8pt;margin-top:127.8pt;width:20.05pt;height:20.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" filled="f" stroked="f" strokeweight=".5pt">
                <v:textbox>
                  <w:txbxContent>
                    <w:p w14:paraId="4977E31B" w14:textId="77777777" w:rsidR="00F71583" w:rsidRPr="0060544B" w:rsidRDefault="00F71583" w:rsidP="009B02D9">
                      <w:pPr>
                        <w:rPr>
                          <w:b/>
                          <w:bCs/>
                        </w:rPr>
                      </w:pPr>
                      <w:r w:rsidRPr="0060544B">
                        <w:rPr>
                          <w:b/>
                          <w:bCs/>
                        </w:rPr>
                        <w:t>5</w:t>
                      </w:r>
                    </w:p>
                  </w:txbxContent>
                </v:textbox>
              </v:shape>
            </w:pict>
          </mc:Fallback>
        </mc:AlternateContent>
      </w:r>
      <w:r w:rsidR="009B02D9" w:rsidRPr="006500F0">
        <w:rPr>
          <w:rFonts w:asciiTheme="majorBidi" w:hAnsiTheme="majorBidi" w:cstheme="majorBidi"/>
          <w:noProof/>
          <w:lang w:eastAsia="en-GB"/>
        </w:rPr>
        <mc:AlternateContent>
          <mc:Choice Requires="wps">
            <w:drawing>
              <wp:anchor distT="0" distB="0" distL="114300" distR="114300" simplePos="0" relativeHeight="251668480" behindDoc="0" locked="0" layoutInCell="1" allowOverlap="1" wp14:anchorId="79307D97" wp14:editId="544EFF6B">
                <wp:simplePos x="0" y="0"/>
                <wp:positionH relativeFrom="column">
                  <wp:posOffset>4398783</wp:posOffset>
                </wp:positionH>
                <wp:positionV relativeFrom="paragraph">
                  <wp:posOffset>5113710</wp:posOffset>
                </wp:positionV>
                <wp:extent cx="254442" cy="254442"/>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17505562" w14:textId="77777777" w:rsidR="00F71583" w:rsidRPr="0060544B" w:rsidRDefault="00F71583" w:rsidP="009B02D9">
                            <w:pPr>
                              <w:rPr>
                                <w:b/>
                                <w:bCs/>
                              </w:rPr>
                            </w:pPr>
                            <w:r w:rsidRPr="0060544B">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307D97" id="Text Box 12" o:spid="_x0000_s1038" type="#_x0000_t202" style="position:absolute;margin-left:346.35pt;margin-top:402.65pt;width:20.05pt;height:20.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" filled="f" stroked="f" strokeweight=".5pt">
                <v:textbox>
                  <w:txbxContent>
                    <w:p w14:paraId="17505562" w14:textId="77777777" w:rsidR="00F71583" w:rsidRPr="0060544B" w:rsidRDefault="00F71583" w:rsidP="009B02D9">
                      <w:pPr>
                        <w:rPr>
                          <w:b/>
                          <w:bCs/>
                        </w:rPr>
                      </w:pPr>
                      <w:r w:rsidRPr="0060544B">
                        <w:rPr>
                          <w:b/>
                          <w:bCs/>
                        </w:rPr>
                        <w:t>4</w:t>
                      </w:r>
                    </w:p>
                  </w:txbxContent>
                </v:textbox>
              </v:shape>
            </w:pict>
          </mc:Fallback>
        </mc:AlternateContent>
      </w:r>
      <w:r w:rsidR="009B02D9" w:rsidRPr="006500F0">
        <w:rPr>
          <w:rFonts w:asciiTheme="majorBidi" w:hAnsiTheme="majorBidi" w:cstheme="majorBidi"/>
          <w:noProof/>
          <w:lang w:eastAsia="en-GB"/>
        </w:rPr>
        <mc:AlternateContent>
          <mc:Choice Requires="wps">
            <w:drawing>
              <wp:anchor distT="0" distB="0" distL="114300" distR="114300" simplePos="0" relativeHeight="251667456" behindDoc="0" locked="0" layoutInCell="1" allowOverlap="1" wp14:anchorId="75A9858F" wp14:editId="0375A90D">
                <wp:simplePos x="0" y="0"/>
                <wp:positionH relativeFrom="column">
                  <wp:posOffset>4651071</wp:posOffset>
                </wp:positionH>
                <wp:positionV relativeFrom="paragraph">
                  <wp:posOffset>2909957</wp:posOffset>
                </wp:positionV>
                <wp:extent cx="254442" cy="254442"/>
                <wp:effectExtent l="0" t="0" r="0" b="0"/>
                <wp:wrapNone/>
                <wp:docPr id="49" name="Text Box 49"/>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7FE84A84" w14:textId="77777777" w:rsidR="00F71583" w:rsidRPr="0060544B" w:rsidRDefault="00F71583" w:rsidP="009B02D9">
                            <w:pPr>
                              <w:rPr>
                                <w:b/>
                                <w:bCs/>
                              </w:rPr>
                            </w:pPr>
                            <w:r w:rsidRPr="0060544B">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A9858F" id="Text Box 49" o:spid="_x0000_s1039" type="#_x0000_t202" style="position:absolute;margin-left:366.25pt;margin-top:229.15pt;width:20.05pt;height:2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" filled="f" stroked="f" strokeweight=".5pt">
                <v:textbox>
                  <w:txbxContent>
                    <w:p w14:paraId="7FE84A84" w14:textId="77777777" w:rsidR="00F71583" w:rsidRPr="0060544B" w:rsidRDefault="00F71583" w:rsidP="009B02D9">
                      <w:pPr>
                        <w:rPr>
                          <w:b/>
                          <w:bCs/>
                        </w:rPr>
                      </w:pPr>
                      <w:r w:rsidRPr="0060544B">
                        <w:rPr>
                          <w:b/>
                          <w:bCs/>
                        </w:rPr>
                        <w:t>3</w:t>
                      </w:r>
                    </w:p>
                  </w:txbxContent>
                </v:textbox>
              </v:shape>
            </w:pict>
          </mc:Fallback>
        </mc:AlternateContent>
      </w:r>
      <w:r w:rsidR="009B02D9" w:rsidRPr="006500F0">
        <w:rPr>
          <w:rFonts w:asciiTheme="majorBidi" w:hAnsiTheme="majorBidi" w:cstheme="majorBidi"/>
          <w:noProof/>
          <w:lang w:eastAsia="en-GB"/>
        </w:rPr>
        <mc:AlternateContent>
          <mc:Choice Requires="wps">
            <w:drawing>
              <wp:anchor distT="0" distB="0" distL="114300" distR="114300" simplePos="0" relativeHeight="251666432" behindDoc="0" locked="0" layoutInCell="1" allowOverlap="1" wp14:anchorId="53E312FD" wp14:editId="793EE12A">
                <wp:simplePos x="0" y="0"/>
                <wp:positionH relativeFrom="column">
                  <wp:posOffset>1344543</wp:posOffset>
                </wp:positionH>
                <wp:positionV relativeFrom="paragraph">
                  <wp:posOffset>1249404</wp:posOffset>
                </wp:positionV>
                <wp:extent cx="254442" cy="254442"/>
                <wp:effectExtent l="0" t="0" r="0" b="0"/>
                <wp:wrapNone/>
                <wp:docPr id="50" name="Text Box 50"/>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7808572C" w14:textId="77777777" w:rsidR="00F71583" w:rsidRPr="0060544B" w:rsidRDefault="00F71583" w:rsidP="009B02D9">
                            <w:pPr>
                              <w:rPr>
                                <w:b/>
                                <w:bCs/>
                              </w:rPr>
                            </w:pPr>
                            <w:r w:rsidRPr="0060544B">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E312FD" id="Text Box 50" o:spid="_x0000_s1040" type="#_x0000_t202" style="position:absolute;margin-left:105.85pt;margin-top:98.4pt;width:20.05pt;height:20.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" filled="f" stroked="f" strokeweight=".5pt">
                <v:textbox>
                  <w:txbxContent>
                    <w:p w14:paraId="7808572C" w14:textId="77777777" w:rsidR="00F71583" w:rsidRPr="0060544B" w:rsidRDefault="00F71583" w:rsidP="009B02D9">
                      <w:pPr>
                        <w:rPr>
                          <w:b/>
                          <w:bCs/>
                        </w:rPr>
                      </w:pPr>
                      <w:r w:rsidRPr="0060544B">
                        <w:rPr>
                          <w:b/>
                          <w:bCs/>
                        </w:rPr>
                        <w:t>1</w:t>
                      </w:r>
                    </w:p>
                  </w:txbxContent>
                </v:textbox>
              </v:shape>
            </w:pict>
          </mc:Fallback>
        </mc:AlternateContent>
      </w:r>
    </w:p>
    <w:p w14:paraId="3B9A74B8" w14:textId="77777777" w:rsidR="00A50060" w:rsidRPr="006500F0" w:rsidRDefault="00A50060" w:rsidP="00A50060">
      <w:pPr>
        <w:suppressAutoHyphens w:val="0"/>
        <w:spacing w:line="240" w:lineRule="auto"/>
        <w:rPr>
          <w:rFonts w:asciiTheme="majorBidi" w:hAnsiTheme="majorBidi" w:cstheme="majorBidi"/>
          <w:lang w:val="en-CA" w:bidi="ar-LB"/>
        </w:rPr>
        <w:sectPr w:rsidR="00A50060" w:rsidRPr="006500F0" w:rsidSect="00C861F4">
          <w:endnotePr>
            <w:numFmt w:val="decimal"/>
          </w:endnotePr>
          <w:pgSz w:w="16840" w:h="11907" w:orient="landscape" w:code="9"/>
          <w:pgMar w:top="1134" w:right="1418" w:bottom="1134" w:left="1134" w:header="851" w:footer="567" w:gutter="0"/>
          <w:cols w:space="720"/>
          <w:docGrid w:linePitch="272"/>
        </w:sectPr>
      </w:pPr>
    </w:p>
    <w:p w14:paraId="534B2279" w14:textId="239E29BE" w:rsidR="00A50060" w:rsidRPr="00AF06B8" w:rsidRDefault="00260E15" w:rsidP="00085A2E">
      <w:pPr>
        <w:pStyle w:val="H1G"/>
        <w:kinsoku w:val="0"/>
        <w:overflowPunct w:val="0"/>
        <w:autoSpaceDE w:val="0"/>
        <w:autoSpaceDN w:val="0"/>
        <w:bidi/>
        <w:adjustRightInd w:val="0"/>
        <w:snapToGrid w:val="0"/>
        <w:rPr>
          <w:rFonts w:asciiTheme="majorBidi" w:hAnsiTheme="majorBidi" w:cstheme="majorBidi"/>
          <w:b w:val="0"/>
          <w:bCs/>
          <w:lang w:bidi="ar-LB"/>
        </w:rPr>
      </w:pPr>
      <w:r w:rsidRPr="00AF06B8">
        <w:rPr>
          <w:rFonts w:asciiTheme="majorBidi" w:hAnsiTheme="majorBidi" w:cstheme="majorBidi"/>
          <w:b w:val="0"/>
          <w:bCs/>
          <w:lang w:bidi="ar-LB"/>
        </w:rPr>
        <w:lastRenderedPageBreak/>
        <w:tab/>
      </w:r>
      <w:r w:rsidR="00A50060" w:rsidRPr="00AF06B8">
        <w:rPr>
          <w:rFonts w:asciiTheme="majorBidi" w:hAnsiTheme="majorBidi" w:cstheme="majorBidi"/>
          <w:b w:val="0"/>
          <w:bCs/>
          <w:lang w:bidi="ar-LB"/>
        </w:rPr>
        <w:tab/>
      </w:r>
      <w:r w:rsidR="00AF06B8" w:rsidRPr="00AF06B8">
        <w:rPr>
          <w:rFonts w:asciiTheme="majorBidi" w:hAnsiTheme="majorBidi" w:cstheme="majorBidi" w:hint="cs"/>
          <w:b w:val="0"/>
          <w:bCs/>
          <w:rtl/>
          <w:lang w:bidi="ar-LB"/>
        </w:rPr>
        <w:t>رابعًا-</w:t>
      </w:r>
      <w:r w:rsidR="00731C64">
        <w:rPr>
          <w:rFonts w:asciiTheme="majorBidi" w:hAnsiTheme="majorBidi" w:cstheme="majorBidi"/>
          <w:b w:val="0"/>
          <w:bCs/>
          <w:lang w:bidi="ar-LB"/>
        </w:rPr>
        <w:tab/>
      </w:r>
      <w:r w:rsidR="00AF06B8" w:rsidRPr="00AF06B8">
        <w:rPr>
          <w:rFonts w:asciiTheme="majorBidi" w:hAnsiTheme="majorBidi" w:cstheme="majorBidi" w:hint="cs"/>
          <w:b w:val="0"/>
          <w:bCs/>
          <w:rtl/>
          <w:lang w:bidi="ar-LB"/>
        </w:rPr>
        <w:t xml:space="preserve"> المساءلة </w:t>
      </w:r>
    </w:p>
    <w:p w14:paraId="7AF89A34" w14:textId="67C7ADE1" w:rsidR="00253A83" w:rsidRPr="006500F0" w:rsidRDefault="00FA4CD4" w:rsidP="00411845">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83.</w:t>
      </w:r>
      <w:r w:rsidRPr="006500F0">
        <w:rPr>
          <w:rFonts w:asciiTheme="majorBidi" w:hAnsiTheme="majorBidi" w:cstheme="majorBidi"/>
          <w:lang w:bidi="ar-LB"/>
        </w:rPr>
        <w:tab/>
      </w:r>
      <w:r w:rsidR="00411845" w:rsidRPr="00CD192E">
        <w:rPr>
          <w:rFonts w:ascii="Simplified Arabic" w:hAnsi="Simplified Arabic" w:cs="Simplified Arabic"/>
          <w:rtl/>
        </w:rPr>
        <w:t>تفاعلتْ البعثة مع السلطات القضائية الليبية، المدنية والعسكرية منها، بهدف الإبلاغ عن جهود ليبيا الساعية لضمان المساءلة إزاء انتهاكات القانون الدولي لحقوق الإنسان وتجاوزات القانون الدولي الإنساني.</w:t>
      </w:r>
      <w:r w:rsidR="00411845" w:rsidRPr="00CD192E">
        <w:rPr>
          <w:rStyle w:val="EndnoteReference"/>
          <w:rFonts w:ascii="Simplified Arabic" w:hAnsi="Simplified Arabic" w:cs="Simplified Arabic"/>
        </w:rPr>
        <w:t xml:space="preserve"> </w:t>
      </w:r>
      <w:r w:rsidR="00411845" w:rsidRPr="00CD192E">
        <w:rPr>
          <w:rFonts w:ascii="Simplified Arabic" w:hAnsi="Simplified Arabic" w:cs="Simplified Arabic"/>
          <w:rtl/>
        </w:rPr>
        <w:t xml:space="preserve">لاحظت البعثة إصدار عدد من مذكرات التوقيف المرتبطة بالانتهاكات والتجاوزات والجرائم المرتكبة منذ العام 2016، مما يدل على نية إحالة الجناة المزعومين إلى العدالة. ولكن، يبدو أن الاعتبارات السياسية تعرقل تنفيذ مذكرات التوقيف هذه. علاوة على ذلك، أعرب عدّة ضحايا عن خوفهم على سلامتهم وسلامة أسرهم عندما سُئلوا عمّا إذا كانوا قد تقدموا بأي شكاوى. </w:t>
      </w:r>
    </w:p>
    <w:p w14:paraId="071A0B7B" w14:textId="7BFE8304" w:rsidR="00253A83" w:rsidRPr="006500F0" w:rsidRDefault="00FA4CD4" w:rsidP="00F15600">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84.</w:t>
      </w:r>
      <w:r w:rsidRPr="006500F0">
        <w:rPr>
          <w:rFonts w:asciiTheme="majorBidi" w:hAnsiTheme="majorBidi" w:cstheme="majorBidi"/>
          <w:lang w:bidi="ar-LB"/>
        </w:rPr>
        <w:tab/>
      </w:r>
      <w:r w:rsidR="009B05F2" w:rsidRPr="00CD192E">
        <w:rPr>
          <w:rFonts w:ascii="Simplified Arabic" w:hAnsi="Simplified Arabic" w:cs="Simplified Arabic"/>
          <w:rtl/>
        </w:rPr>
        <w:t>تبرز تحديات هيكليّة أيضًا متعلّقة بضمان المساءلة. إنّ الانقسامات بين الأجهزة الحكومية والأمنية في الغرب والشرق، والفراغ الأمني في الجنوب، ووجود الجماعات الإجرامية في جميع أنحاء البلاد، وقدرة الحكومة المحدودة على العمل خارج غرب ليبيا، ساهمتْ جميعها في إضعاف النظام القضائي بشكل كبير، وأعاقتْ</w:t>
      </w:r>
      <w:r w:rsidR="009B05F2">
        <w:rPr>
          <w:rFonts w:ascii="Simplified Arabic" w:hAnsi="Simplified Arabic" w:cs="Simplified Arabic" w:hint="cs"/>
          <w:rtl/>
        </w:rPr>
        <w:t xml:space="preserve"> </w:t>
      </w:r>
      <w:r w:rsidR="009B05F2" w:rsidRPr="00CD192E">
        <w:rPr>
          <w:rFonts w:ascii="Simplified Arabic" w:hAnsi="Simplified Arabic" w:cs="Simplified Arabic"/>
          <w:rtl/>
        </w:rPr>
        <w:t xml:space="preserve">قدرة ليبيا على </w:t>
      </w:r>
      <w:r w:rsidR="009B05F2">
        <w:rPr>
          <w:rFonts w:ascii="Simplified Arabic" w:hAnsi="Simplified Arabic" w:cs="Simplified Arabic" w:hint="cs"/>
          <w:rtl/>
        </w:rPr>
        <w:t>محاكمة مرتكبي</w:t>
      </w:r>
      <w:r w:rsidR="009B05F2" w:rsidRPr="00CD192E">
        <w:rPr>
          <w:rFonts w:ascii="Simplified Arabic" w:hAnsi="Simplified Arabic" w:cs="Simplified Arabic"/>
          <w:rtl/>
        </w:rPr>
        <w:t xml:space="preserve"> انتهاكات حقوق الإنسان.</w:t>
      </w:r>
      <w:r w:rsidR="009B05F2" w:rsidRPr="009B05F2">
        <w:rPr>
          <w:rStyle w:val="FootnoteReference"/>
          <w:rFonts w:asciiTheme="majorBidi" w:hAnsiTheme="majorBidi" w:cstheme="majorBidi"/>
          <w:lang w:bidi="ar-LB"/>
        </w:rPr>
        <w:t xml:space="preserve"> </w:t>
      </w:r>
      <w:r w:rsidR="009B05F2" w:rsidRPr="006500F0">
        <w:rPr>
          <w:rStyle w:val="FootnoteReference"/>
          <w:rFonts w:asciiTheme="majorBidi" w:hAnsiTheme="majorBidi" w:cstheme="majorBidi"/>
          <w:lang w:bidi="ar-LB"/>
        </w:rPr>
        <w:footnoteReference w:id="60"/>
      </w:r>
      <w:r w:rsidR="009B05F2" w:rsidRPr="00CD192E">
        <w:rPr>
          <w:rFonts w:ascii="Simplified Arabic" w:hAnsi="Simplified Arabic" w:cs="Simplified Arabic"/>
          <w:rtl/>
        </w:rPr>
        <w:t>ولاحظت البعثة أيضًا أنه في بعض الحالات، تدّعي السلطات القضائية المدنية والعسكرية الاختصاص المشترك على نفس الحوادث، مما يؤدي إلى تداخل الجهود وازدواجها.</w:t>
      </w:r>
    </w:p>
    <w:p w14:paraId="29C39EB9" w14:textId="39D7278E" w:rsidR="00D65B58" w:rsidRDefault="00FA4CD4" w:rsidP="00D65B58">
      <w:pPr>
        <w:pStyle w:val="ParNoG"/>
        <w:numPr>
          <w:ilvl w:val="0"/>
          <w:numId w:val="0"/>
        </w:numPr>
        <w:bidi/>
        <w:ind w:left="1134"/>
        <w:rPr>
          <w:rFonts w:ascii="Simplified Arabic" w:hAnsi="Simplified Arabic" w:cs="Simplified Arabic"/>
          <w:shd w:val="clear" w:color="auto" w:fill="FFFFFF"/>
          <w:rtl/>
        </w:rPr>
      </w:pPr>
      <w:r w:rsidRPr="006500F0">
        <w:rPr>
          <w:rFonts w:asciiTheme="majorBidi" w:hAnsiTheme="majorBidi" w:cstheme="majorBidi"/>
          <w:lang w:bidi="ar-LB"/>
        </w:rPr>
        <w:t>85.</w:t>
      </w:r>
      <w:r w:rsidRPr="006500F0">
        <w:rPr>
          <w:rFonts w:asciiTheme="majorBidi" w:hAnsiTheme="majorBidi" w:cstheme="majorBidi"/>
          <w:lang w:bidi="ar-LB"/>
        </w:rPr>
        <w:tab/>
      </w:r>
      <w:r w:rsidR="00D65B58" w:rsidRPr="00CD192E">
        <w:rPr>
          <w:rFonts w:ascii="Simplified Arabic" w:hAnsi="Simplified Arabic" w:cs="Simplified Arabic"/>
          <w:shd w:val="clear" w:color="auto" w:fill="FFFFFF"/>
          <w:rtl/>
        </w:rPr>
        <w:t>علاوة على ذلك، تشمل المساءلة الحق في الانتصاف الفعال لانتهاكات حقوق الإنسان. على الرغم من أن الإعلان الدستوري للعام 2011 نص</w:t>
      </w:r>
      <w:r w:rsidR="00D65B58">
        <w:rPr>
          <w:rFonts w:ascii="Simplified Arabic" w:hAnsi="Simplified Arabic" w:cs="Simplified Arabic" w:hint="cs"/>
          <w:shd w:val="clear" w:color="auto" w:fill="FFFFFF"/>
          <w:rtl/>
        </w:rPr>
        <w:t xml:space="preserve">ّ </w:t>
      </w:r>
      <w:r w:rsidR="00D65B58" w:rsidRPr="00CD192E">
        <w:rPr>
          <w:rFonts w:ascii="Simplified Arabic" w:hAnsi="Simplified Arabic" w:cs="Simplified Arabic"/>
          <w:shd w:val="clear" w:color="auto" w:fill="FFFFFF"/>
          <w:rtl/>
        </w:rPr>
        <w:t>على أنه يحقّ لكل مواطن ليبيّ اللجوء إلى السلطة القضائية، إلا أن النظام القضائي الليبي لا زال غير قادر على تزويد المواطنين بحق الوصول إلى سبل الانتصاف المدنية لانتهاكات حقوق الإنسان</w:t>
      </w:r>
      <w:r w:rsidR="00D65B58">
        <w:rPr>
          <w:rFonts w:ascii="Simplified Arabic" w:hAnsi="Simplified Arabic" w:cs="Simplified Arabic" w:hint="cs"/>
          <w:shd w:val="clear" w:color="auto" w:fill="FFFFFF"/>
          <w:rtl/>
        </w:rPr>
        <w:t>.</w:t>
      </w:r>
      <w:r w:rsidR="00D65B58" w:rsidRPr="006500F0">
        <w:rPr>
          <w:rStyle w:val="FootnoteReference"/>
          <w:rFonts w:asciiTheme="majorBidi" w:hAnsiTheme="majorBidi" w:cstheme="majorBidi"/>
          <w:lang w:bidi="ar-LB"/>
        </w:rPr>
        <w:footnoteReference w:id="61"/>
      </w:r>
    </w:p>
    <w:p w14:paraId="08696649" w14:textId="77777777" w:rsidR="002F08C7" w:rsidRPr="00CD192E" w:rsidRDefault="00FA4CD4" w:rsidP="002F08C7">
      <w:pPr>
        <w:pStyle w:val="ParNoG"/>
        <w:numPr>
          <w:ilvl w:val="0"/>
          <w:numId w:val="0"/>
        </w:numPr>
        <w:bidi/>
        <w:ind w:left="1134"/>
        <w:rPr>
          <w:rFonts w:ascii="Simplified Arabic" w:hAnsi="Simplified Arabic" w:cs="Simplified Arabic"/>
          <w:shd w:val="clear" w:color="auto" w:fill="FFFFFF"/>
        </w:rPr>
      </w:pPr>
      <w:r w:rsidRPr="006500F0">
        <w:rPr>
          <w:rFonts w:asciiTheme="majorBidi" w:hAnsiTheme="majorBidi" w:cstheme="majorBidi"/>
          <w:lang w:bidi="ar-LB"/>
        </w:rPr>
        <w:t>86.</w:t>
      </w:r>
      <w:r w:rsidRPr="006500F0">
        <w:rPr>
          <w:rFonts w:asciiTheme="majorBidi" w:hAnsiTheme="majorBidi" w:cstheme="majorBidi"/>
          <w:lang w:bidi="ar-LB"/>
        </w:rPr>
        <w:tab/>
      </w:r>
      <w:r w:rsidR="002F08C7" w:rsidRPr="00CD192E">
        <w:rPr>
          <w:rFonts w:ascii="Simplified Arabic" w:hAnsi="Simplified Arabic" w:cs="Simplified Arabic"/>
          <w:shd w:val="clear" w:color="auto" w:fill="FFFFFF"/>
          <w:rtl/>
          <w:lang w:bidi="ar-LB"/>
        </w:rPr>
        <w:t>مع تنصيب حكومة الوحدة الوطنية مؤخرًا</w:t>
      </w:r>
      <w:r w:rsidR="002F08C7" w:rsidRPr="00CD192E">
        <w:rPr>
          <w:rFonts w:ascii="Simplified Arabic" w:hAnsi="Simplified Arabic" w:cs="Simplified Arabic"/>
          <w:shd w:val="clear" w:color="auto" w:fill="FFFFFF"/>
          <w:rtl/>
        </w:rPr>
        <w:t>، أصبح الوقت مناسبًا لتفعيل المساءلة. وقد أبلغتْ السلطاتُ الليبية البعثةَ أنها بحاجة إلى المساعدة التقنية والتعاون لتعزيز قدرتها على مقاضاة انتهاكات حقوق الإنسان والجرائم الدولية.</w:t>
      </w:r>
    </w:p>
    <w:p w14:paraId="0DB8A714" w14:textId="3624BC36" w:rsidR="003825A8" w:rsidRPr="00432B8B" w:rsidRDefault="00FA4CD4" w:rsidP="00432B8B">
      <w:pPr>
        <w:pStyle w:val="HChG"/>
        <w:kinsoku w:val="0"/>
        <w:overflowPunct w:val="0"/>
        <w:autoSpaceDE w:val="0"/>
        <w:autoSpaceDN w:val="0"/>
        <w:bidi/>
        <w:adjustRightInd w:val="0"/>
        <w:snapToGrid w:val="0"/>
        <w:rPr>
          <w:rFonts w:asciiTheme="majorBidi" w:hAnsiTheme="majorBidi" w:cstheme="majorBidi"/>
          <w:b w:val="0"/>
          <w:bCs/>
          <w:lang w:bidi="ar-LB"/>
        </w:rPr>
      </w:pPr>
      <w:r w:rsidRPr="00432B8B">
        <w:rPr>
          <w:rFonts w:asciiTheme="majorBidi" w:hAnsiTheme="majorBidi" w:cstheme="majorBidi"/>
          <w:b w:val="0"/>
          <w:bCs/>
          <w:lang w:bidi="ar-LB"/>
        </w:rPr>
        <w:tab/>
      </w:r>
      <w:r w:rsidR="00EF3FD9" w:rsidRPr="00432B8B">
        <w:rPr>
          <w:rFonts w:asciiTheme="majorBidi" w:hAnsiTheme="majorBidi" w:cstheme="majorBidi"/>
          <w:b w:val="0"/>
          <w:bCs/>
          <w:lang w:bidi="ar-LB"/>
        </w:rPr>
        <w:tab/>
      </w:r>
      <w:r w:rsidR="00432B8B" w:rsidRPr="00432B8B">
        <w:rPr>
          <w:rFonts w:asciiTheme="majorBidi" w:hAnsiTheme="majorBidi" w:cstheme="majorBidi" w:hint="cs"/>
          <w:b w:val="0"/>
          <w:bCs/>
          <w:rtl/>
          <w:lang w:bidi="ar-LB"/>
        </w:rPr>
        <w:t>خامسًا-</w:t>
      </w:r>
      <w:r w:rsidR="00731C64">
        <w:rPr>
          <w:rFonts w:asciiTheme="majorBidi" w:hAnsiTheme="majorBidi" w:cstheme="majorBidi"/>
          <w:b w:val="0"/>
          <w:bCs/>
          <w:lang w:bidi="ar-LB"/>
        </w:rPr>
        <w:tab/>
      </w:r>
      <w:r w:rsidR="003D19E9">
        <w:rPr>
          <w:rFonts w:asciiTheme="majorBidi" w:hAnsiTheme="majorBidi" w:cstheme="majorBidi"/>
          <w:b w:val="0"/>
          <w:bCs/>
          <w:lang w:bidi="ar-LB"/>
        </w:rPr>
        <w:t xml:space="preserve">   </w:t>
      </w:r>
      <w:r w:rsidR="00432B8B" w:rsidRPr="00432B8B">
        <w:rPr>
          <w:rFonts w:asciiTheme="majorBidi" w:hAnsiTheme="majorBidi" w:cstheme="majorBidi" w:hint="cs"/>
          <w:b w:val="0"/>
          <w:bCs/>
          <w:rtl/>
          <w:lang w:bidi="ar-LB"/>
        </w:rPr>
        <w:t xml:space="preserve"> الاستنتاجات </w:t>
      </w:r>
    </w:p>
    <w:p w14:paraId="0EBDD02E" w14:textId="5F0B209D" w:rsidR="007642A2" w:rsidRPr="006500F0" w:rsidRDefault="00FA4CD4" w:rsidP="00D2148F">
      <w:pPr>
        <w:pStyle w:val="ParNoG"/>
        <w:numPr>
          <w:ilvl w:val="0"/>
          <w:numId w:val="0"/>
        </w:numPr>
        <w:bidi/>
        <w:ind w:left="1134"/>
        <w:rPr>
          <w:rFonts w:asciiTheme="majorBidi" w:hAnsiTheme="majorBidi" w:cstheme="majorBidi"/>
          <w:lang w:bidi="ar-LB"/>
        </w:rPr>
      </w:pPr>
      <w:r w:rsidRPr="006500F0">
        <w:rPr>
          <w:rFonts w:asciiTheme="majorBidi" w:hAnsiTheme="majorBidi" w:cstheme="majorBidi"/>
          <w:lang w:bidi="ar-LB"/>
        </w:rPr>
        <w:t>87.</w:t>
      </w:r>
      <w:r w:rsidRPr="006500F0">
        <w:rPr>
          <w:rFonts w:asciiTheme="majorBidi" w:hAnsiTheme="majorBidi" w:cstheme="majorBidi"/>
          <w:lang w:bidi="ar-LB"/>
        </w:rPr>
        <w:tab/>
      </w:r>
      <w:r w:rsidR="00D2148F" w:rsidRPr="00CD192E">
        <w:rPr>
          <w:rFonts w:ascii="Simplified Arabic" w:hAnsi="Simplified Arabic" w:cs="Simplified Arabic"/>
          <w:rtl/>
        </w:rPr>
        <w:t xml:space="preserve">أدّى العنف المستشري في ليبيا منذ العام 2011، والمستمرّ دون توقّف تقريبًا منذ العام 2016، إلى ارتكاب انتهاكات وتجاوزات وجرائم خطيرة، بما في ذلك الجرائم ضد الإنسانية وجرائم الحرب ضد الفئات الأكثر ضعفًا. لاحظتْ البعثة بقلق حصول حوادث عدّة منذ تأسيسها في يونيو/حزيران </w:t>
      </w:r>
      <w:r w:rsidR="00D2148F" w:rsidRPr="00CD192E">
        <w:rPr>
          <w:rFonts w:ascii="Simplified Arabic" w:hAnsi="Simplified Arabic" w:cs="Simplified Arabic"/>
          <w:rtl/>
        </w:rPr>
        <w:lastRenderedPageBreak/>
        <w:t>2020. ولأغراض هذا التقرير، ركزتْ البعثة تحقيقاتها على بعض الحوادث التي تمثل اتجاهات وأنماط أوسع للانتهاكات والجرائم. على الرغم من نطاق التحقيقات المحدودة التي أجرتها البعثة حتى الآن، فإن الاستنتاجات تكشف عن حالة خطيرة لحقوق الإنسان، تتجذر بعض جوانبها في أسباب خارجة عن النزاعات المسلحة. وثمّة حاجة ملحّة لإجراء البعثة تحقيقًا شاملًا في حالة حقوق الإنسان.</w:t>
      </w:r>
      <w:r w:rsidR="002A1269" w:rsidRPr="006500F0">
        <w:rPr>
          <w:rFonts w:asciiTheme="majorBidi" w:hAnsiTheme="majorBidi" w:cstheme="majorBidi"/>
          <w:lang w:bidi="ar-LB"/>
        </w:rPr>
        <w:t xml:space="preserve"> </w:t>
      </w:r>
    </w:p>
    <w:p w14:paraId="180F145D" w14:textId="77777777" w:rsidR="00D2148F" w:rsidRPr="00CD192E" w:rsidRDefault="00FA4CD4" w:rsidP="00D2148F">
      <w:pPr>
        <w:pStyle w:val="ParNoG"/>
        <w:numPr>
          <w:ilvl w:val="0"/>
          <w:numId w:val="0"/>
        </w:numPr>
        <w:bidi/>
        <w:ind w:left="1134"/>
        <w:rPr>
          <w:rFonts w:ascii="Simplified Arabic" w:hAnsi="Simplified Arabic" w:cs="Simplified Arabic"/>
        </w:rPr>
      </w:pPr>
      <w:r w:rsidRPr="006500F0">
        <w:rPr>
          <w:rFonts w:asciiTheme="majorBidi" w:hAnsiTheme="majorBidi" w:cstheme="majorBidi"/>
          <w:lang w:bidi="ar-LB"/>
        </w:rPr>
        <w:t>88.</w:t>
      </w:r>
      <w:r w:rsidRPr="006500F0">
        <w:rPr>
          <w:rFonts w:asciiTheme="majorBidi" w:hAnsiTheme="majorBidi" w:cstheme="majorBidi"/>
          <w:lang w:bidi="ar-LB"/>
        </w:rPr>
        <w:tab/>
      </w:r>
      <w:r w:rsidR="00D2148F" w:rsidRPr="00CD192E">
        <w:rPr>
          <w:rFonts w:ascii="Simplified Arabic" w:hAnsi="Simplified Arabic" w:cs="Simplified Arabic"/>
          <w:rtl/>
        </w:rPr>
        <w:t xml:space="preserve">إدراكًا لضرورة تحقيق العدالة للضحايا، حددتْ البعثة الأفراد والجماعات (جهات فاعلة ليبية وأجنبية على حدّ سواء) الذين قد يتحملون المسؤولية إزاء الانتهاكات والتجاوزات قيد التحقيق. وعلى ضوء هذا الوضع المعقّد، تبرز الحاجة إلى مزيد من الوقت والموارد لتحديد مسؤولية الأفراد والدول </w:t>
      </w:r>
      <w:r w:rsidR="00D2148F" w:rsidRPr="00CD192E">
        <w:rPr>
          <w:rFonts w:ascii="Simplified Arabic" w:hAnsi="Simplified Arabic" w:cs="Simplified Arabic"/>
          <w:rtl/>
          <w:lang w:bidi="ar-LB"/>
        </w:rPr>
        <w:t>إزاء</w:t>
      </w:r>
      <w:r w:rsidR="00D2148F" w:rsidRPr="00CD192E">
        <w:rPr>
          <w:rFonts w:ascii="Simplified Arabic" w:hAnsi="Simplified Arabic" w:cs="Simplified Arabic"/>
          <w:rtl/>
        </w:rPr>
        <w:t xml:space="preserve"> جميع الانتهاكات التي حصلتْ منذ العام 2016.</w:t>
      </w:r>
    </w:p>
    <w:p w14:paraId="227B7764" w14:textId="2E60F664" w:rsidR="003825A8" w:rsidRPr="00C607EF" w:rsidRDefault="00FA4CD4" w:rsidP="00C607EF">
      <w:pPr>
        <w:pStyle w:val="HChG"/>
        <w:kinsoku w:val="0"/>
        <w:overflowPunct w:val="0"/>
        <w:autoSpaceDE w:val="0"/>
        <w:autoSpaceDN w:val="0"/>
        <w:bidi/>
        <w:adjustRightInd w:val="0"/>
        <w:snapToGrid w:val="0"/>
        <w:rPr>
          <w:rFonts w:asciiTheme="majorBidi" w:hAnsiTheme="majorBidi" w:cstheme="majorBidi"/>
          <w:b w:val="0"/>
          <w:bCs/>
          <w:lang w:bidi="ar-LB"/>
        </w:rPr>
      </w:pPr>
      <w:r w:rsidRPr="00C607EF">
        <w:rPr>
          <w:rFonts w:asciiTheme="majorBidi" w:hAnsiTheme="majorBidi" w:cstheme="majorBidi"/>
          <w:b w:val="0"/>
          <w:bCs/>
          <w:lang w:bidi="ar-LB"/>
        </w:rPr>
        <w:tab/>
      </w:r>
      <w:r w:rsidR="001F610B" w:rsidRPr="00C607EF">
        <w:rPr>
          <w:rFonts w:asciiTheme="majorBidi" w:hAnsiTheme="majorBidi" w:cstheme="majorBidi"/>
          <w:b w:val="0"/>
          <w:bCs/>
          <w:lang w:bidi="ar-LB"/>
        </w:rPr>
        <w:tab/>
      </w:r>
      <w:r w:rsidR="00C607EF" w:rsidRPr="00C607EF">
        <w:rPr>
          <w:rFonts w:asciiTheme="majorBidi" w:eastAsiaTheme="minorHAnsi" w:hAnsiTheme="majorBidi" w:cstheme="majorBidi" w:hint="cs"/>
          <w:b w:val="0"/>
          <w:bCs/>
          <w:szCs w:val="28"/>
          <w:rtl/>
          <w:lang w:val="en-CA" w:bidi="ar-LB"/>
        </w:rPr>
        <w:t xml:space="preserve">سادسًا- </w:t>
      </w:r>
      <w:r w:rsidR="003D19E9">
        <w:rPr>
          <w:rFonts w:asciiTheme="majorBidi" w:eastAsiaTheme="minorHAnsi" w:hAnsiTheme="majorBidi" w:cstheme="majorBidi"/>
          <w:b w:val="0"/>
          <w:bCs/>
          <w:szCs w:val="28"/>
          <w:lang w:val="en-CA" w:bidi="ar-LB"/>
        </w:rPr>
        <w:tab/>
      </w:r>
      <w:r w:rsidR="00C607EF" w:rsidRPr="00C607EF">
        <w:rPr>
          <w:rFonts w:asciiTheme="majorBidi" w:eastAsiaTheme="minorHAnsi" w:hAnsiTheme="majorBidi" w:cstheme="majorBidi" w:hint="cs"/>
          <w:b w:val="0"/>
          <w:bCs/>
          <w:szCs w:val="28"/>
          <w:rtl/>
          <w:lang w:val="en-CA" w:bidi="ar-LB"/>
        </w:rPr>
        <w:t>التوصيات</w:t>
      </w:r>
    </w:p>
    <w:p w14:paraId="107DD228" w14:textId="77777777" w:rsidR="00CC0DB1" w:rsidRPr="00CD192E" w:rsidRDefault="00FA4CD4" w:rsidP="00CC0DB1">
      <w:pPr>
        <w:pStyle w:val="ParNoG"/>
        <w:numPr>
          <w:ilvl w:val="0"/>
          <w:numId w:val="0"/>
        </w:numPr>
        <w:bidi/>
        <w:ind w:left="1134"/>
        <w:rPr>
          <w:rFonts w:ascii="Simplified Arabic" w:hAnsi="Simplified Arabic" w:cs="Simplified Arabic"/>
          <w:bCs/>
        </w:rPr>
      </w:pPr>
      <w:r w:rsidRPr="006500F0">
        <w:rPr>
          <w:rFonts w:asciiTheme="majorBidi" w:hAnsiTheme="majorBidi" w:cstheme="majorBidi"/>
          <w:lang w:bidi="ar-LB"/>
        </w:rPr>
        <w:t>89.</w:t>
      </w:r>
      <w:r w:rsidRPr="006500F0">
        <w:rPr>
          <w:rFonts w:asciiTheme="majorBidi" w:hAnsiTheme="majorBidi" w:cstheme="majorBidi"/>
          <w:lang w:bidi="ar-LB"/>
        </w:rPr>
        <w:tab/>
      </w:r>
      <w:r w:rsidR="00CC0DB1" w:rsidRPr="00CD192E">
        <w:rPr>
          <w:rFonts w:ascii="Simplified Arabic" w:hAnsi="Simplified Arabic" w:cs="Simplified Arabic"/>
          <w:bCs/>
          <w:rtl/>
        </w:rPr>
        <w:t>تدعو البعثةُ ليبيا إلى:</w:t>
      </w:r>
    </w:p>
    <w:p w14:paraId="5476F63A" w14:textId="4A85F275" w:rsidR="00F21749" w:rsidRPr="00CD192E" w:rsidRDefault="00B86AE4" w:rsidP="00F21749">
      <w:pPr>
        <w:pStyle w:val="ParNoG"/>
        <w:numPr>
          <w:ilvl w:val="0"/>
          <w:numId w:val="0"/>
        </w:numPr>
        <w:bidi/>
        <w:ind w:left="1134"/>
        <w:rPr>
          <w:rFonts w:ascii="Simplified Arabic" w:hAnsi="Simplified Arabic" w:cs="Simplified Arabic"/>
          <w:bCs/>
        </w:rPr>
      </w:pPr>
      <w:r w:rsidRPr="006500F0">
        <w:rPr>
          <w:rFonts w:asciiTheme="majorBidi" w:hAnsiTheme="majorBidi" w:cstheme="majorBidi"/>
          <w:b/>
          <w:lang w:bidi="ar-LB"/>
        </w:rPr>
        <w:tab/>
      </w:r>
      <w:r w:rsidR="00F21749">
        <w:rPr>
          <w:rFonts w:ascii="Simplified Arabic" w:hAnsi="Simplified Arabic" w:cs="Simplified Arabic" w:hint="cs"/>
          <w:bCs/>
          <w:rtl/>
        </w:rPr>
        <w:t>(ألف)</w:t>
      </w:r>
      <w:r w:rsidR="00F21749">
        <w:rPr>
          <w:rFonts w:ascii="Simplified Arabic" w:hAnsi="Simplified Arabic" w:cs="Simplified Arabic"/>
          <w:bCs/>
          <w:rtl/>
        </w:rPr>
        <w:tab/>
      </w:r>
      <w:r w:rsidR="00F21749">
        <w:rPr>
          <w:rFonts w:ascii="Simplified Arabic" w:hAnsi="Simplified Arabic" w:cs="Simplified Arabic" w:hint="cs"/>
          <w:bCs/>
          <w:rtl/>
        </w:rPr>
        <w:t xml:space="preserve"> </w:t>
      </w:r>
      <w:r w:rsidR="00F21749" w:rsidRPr="00CD192E">
        <w:rPr>
          <w:rFonts w:ascii="Simplified Arabic" w:hAnsi="Simplified Arabic" w:cs="Simplified Arabic"/>
          <w:bCs/>
          <w:rtl/>
        </w:rPr>
        <w:t>ضمان التحقيق الفعال في جميع حالات الاختفاء القسري المبلّغ عنها؛ وإبلاغ العائلات بمكان وجود أقاربهم الذين أبلغوا عن فقدانهم؛ وإطلاق سراح المفقودين؛ و</w:t>
      </w:r>
      <w:r w:rsidR="00F21749" w:rsidRPr="00CD192E">
        <w:rPr>
          <w:rFonts w:ascii="Simplified Arabic" w:hAnsi="Simplified Arabic" w:cs="Simplified Arabic"/>
          <w:bCs/>
          <w:rtl/>
          <w:lang w:bidi="ar-LB"/>
        </w:rPr>
        <w:t>إخضاع</w:t>
      </w:r>
      <w:r w:rsidR="00F21749" w:rsidRPr="00CD192E">
        <w:rPr>
          <w:rFonts w:ascii="Simplified Arabic" w:hAnsi="Simplified Arabic" w:cs="Simplified Arabic"/>
          <w:bCs/>
          <w:rtl/>
        </w:rPr>
        <w:t xml:space="preserve"> الجناة للمساءلة؛ وتعويض الضحايا وأسرهم عن الأضرار التي لحقت بهم؛</w:t>
      </w:r>
    </w:p>
    <w:p w14:paraId="72D0F02D" w14:textId="77777777" w:rsidR="00F21749" w:rsidRPr="00CD192E" w:rsidRDefault="00F21749" w:rsidP="00F2174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(باء)</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ضمان عودة النازحين بأمان إلى مناطقهم الأصلية؛ واستفادة النازحين من الدعم في مناطق نزوحهم؛ وإخضاع مرتكبي الانتهاكات ضد النازحين للمساءلة؛ وحصول النازحين على تعويضات مقابل ممتلكاتهم المفقودة؛</w:t>
      </w:r>
    </w:p>
    <w:p w14:paraId="549AD7C5" w14:textId="77777777" w:rsidR="00F21749" w:rsidRPr="00CD192E" w:rsidRDefault="00F21749" w:rsidP="00F2174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(جيم)</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 xml:space="preserve">التأكد من أنّ العمليات في البحر تراعي القانون الدولي؛ وتعديل القانون الذي يجرّم الدخول والإقامة والخروج بشكل غير </w:t>
      </w:r>
      <w:r>
        <w:rPr>
          <w:rFonts w:ascii="Simplified Arabic" w:hAnsi="Simplified Arabic" w:cs="Simplified Arabic" w:hint="cs"/>
          <w:bCs/>
          <w:rtl/>
          <w:lang w:bidi="ar-LB"/>
        </w:rPr>
        <w:t>نظامي</w:t>
      </w:r>
      <w:r w:rsidRPr="00CD192E">
        <w:rPr>
          <w:rFonts w:ascii="Simplified Arabic" w:hAnsi="Simplified Arabic" w:cs="Simplified Arabic"/>
          <w:bCs/>
          <w:rtl/>
        </w:rPr>
        <w:t>؛ وإطلاق سراح جميع المهاجرين المحتجزين بشكل تعسفي واستكشاف بدائل غير احتجازية للمهاجرين؛ وضمان حماية المهاجرين من جميع أشكال العنف، بما في ذلك العنف الجنسي؛ وضمان مساءلة مرتكبي الانتهاكات ضد المهاجرين؛</w:t>
      </w:r>
    </w:p>
    <w:p w14:paraId="53549049" w14:textId="77777777" w:rsidR="00F21749" w:rsidRPr="00CD192E" w:rsidRDefault="00F21749" w:rsidP="00F21749">
      <w:pPr>
        <w:pStyle w:val="SingleTxtG"/>
        <w:tabs>
          <w:tab w:val="left" w:pos="2552"/>
        </w:tabs>
        <w:bidi/>
        <w:rPr>
          <w:rFonts w:ascii="Simplified Arabic" w:hAnsi="Simplified Arabic" w:cs="Simplified Arabic"/>
          <w:bCs/>
        </w:rPr>
      </w:pPr>
      <w:r>
        <w:rPr>
          <w:rFonts w:ascii="Simplified Arabic" w:hAnsi="Simplified Arabic" w:cs="Simplified Arabic" w:hint="cs"/>
          <w:bCs/>
          <w:rtl/>
        </w:rPr>
        <w:t xml:space="preserve">(دال)     </w:t>
      </w:r>
      <w:r w:rsidRPr="00CD192E">
        <w:rPr>
          <w:rFonts w:ascii="Simplified Arabic" w:hAnsi="Simplified Arabic" w:cs="Simplified Arabic"/>
          <w:bCs/>
          <w:rtl/>
        </w:rPr>
        <w:t xml:space="preserve">ضمان حماية أي شخص من العنف الجنسي؛ </w:t>
      </w:r>
      <w:r w:rsidRPr="00CD192E">
        <w:rPr>
          <w:rFonts w:ascii="Simplified Arabic" w:hAnsi="Simplified Arabic" w:cs="Simplified Arabic"/>
          <w:bCs/>
          <w:rtl/>
          <w:lang w:bidi="ar-LB"/>
        </w:rPr>
        <w:t>ومحاسبة</w:t>
      </w:r>
      <w:r w:rsidRPr="00CD192E">
        <w:rPr>
          <w:rFonts w:ascii="Simplified Arabic" w:hAnsi="Simplified Arabic" w:cs="Simplified Arabic"/>
          <w:bCs/>
          <w:rtl/>
        </w:rPr>
        <w:t xml:space="preserve"> مرتكبي العنف الجنسي؛ وإزالة العوائق القانونية التي تمنع الناجين من الإبلاغ عن الحوادث؛</w:t>
      </w:r>
    </w:p>
    <w:p w14:paraId="6E3013B0" w14:textId="77777777" w:rsidR="00F21749" w:rsidRPr="00CD192E" w:rsidRDefault="00F21749" w:rsidP="00F21749">
      <w:pPr>
        <w:pStyle w:val="SingleTxtG"/>
        <w:tabs>
          <w:tab w:val="left" w:pos="2552"/>
        </w:tabs>
        <w:bidi/>
        <w:rPr>
          <w:rFonts w:ascii="Simplified Arabic" w:hAnsi="Simplified Arabic" w:cs="Simplified Arabic"/>
          <w:bCs/>
        </w:rPr>
      </w:pPr>
      <w:r>
        <w:rPr>
          <w:rFonts w:ascii="Simplified Arabic" w:hAnsi="Simplified Arabic" w:cs="Simplified Arabic" w:hint="cs"/>
          <w:bCs/>
          <w:rtl/>
        </w:rPr>
        <w:t xml:space="preserve">(هاء)    </w:t>
      </w:r>
      <w:r w:rsidRPr="00CD192E">
        <w:rPr>
          <w:rFonts w:ascii="Simplified Arabic" w:hAnsi="Simplified Arabic" w:cs="Simplified Arabic"/>
          <w:bCs/>
          <w:rtl/>
        </w:rPr>
        <w:t>محاسبة مرتكبي جرائم القتل والاختفاء القسري ضدّ النساء؛ وضمان حماية المدافعين عن حقوق الإنسان والصحفيين والناشطين؛</w:t>
      </w:r>
    </w:p>
    <w:p w14:paraId="4570389B" w14:textId="77777777" w:rsidR="00F21749" w:rsidRPr="00CD192E" w:rsidRDefault="00F21749" w:rsidP="00F21749">
      <w:pPr>
        <w:pStyle w:val="SingleTxtG"/>
        <w:tabs>
          <w:tab w:val="left" w:pos="2552"/>
        </w:tabs>
        <w:bidi/>
        <w:rPr>
          <w:rFonts w:ascii="Simplified Arabic" w:hAnsi="Simplified Arabic" w:cs="Simplified Arabic"/>
          <w:bCs/>
        </w:rPr>
      </w:pPr>
      <w:r>
        <w:rPr>
          <w:rFonts w:ascii="Simplified Arabic" w:hAnsi="Simplified Arabic" w:cs="Simplified Arabic" w:hint="cs"/>
          <w:bCs/>
          <w:rtl/>
        </w:rPr>
        <w:t xml:space="preserve">(واو)     </w:t>
      </w:r>
      <w:r w:rsidRPr="00CD192E">
        <w:rPr>
          <w:rFonts w:ascii="Simplified Arabic" w:hAnsi="Simplified Arabic" w:cs="Simplified Arabic"/>
          <w:bCs/>
          <w:rtl/>
        </w:rPr>
        <w:t>التأكد من أن إدارة جميع السجون تندرج ضمن مسؤولية الدولة؛ وضمان إمكانية مراجعة احتجاز السجناء وفقاً للقانون؛ واحتجاز السجناء في ظروف كريمة وحمايتهم من العنف؛ وإخضاع مرتكبي الانتهاكات ضد السجناء للمساءلة؛</w:t>
      </w:r>
    </w:p>
    <w:p w14:paraId="7D385AE9" w14:textId="77777777" w:rsidR="00F21749" w:rsidRPr="00CD192E" w:rsidRDefault="00F21749" w:rsidP="00F2174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lastRenderedPageBreak/>
        <w:t>(زين)</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وضع حدّ فوري للاحتجاز التعسفي لجميع الأطفال في ليبيا؛ والإفراج عن النساء والأطفال الذي يُزعم ارتباطهم بداعش، وتسهيل عودتهم الطوعية قدر الإمكان؛ وتجريم تجنيد الأطفال واستخدامهم من قبل الجماعات المسلحة؛ ومنع تجنيد المرتزقة الأطفال واستخدامهم؛ والتأكد من عدم مشاركة الأطفال بشكل مباشر في الأعمال العدائية؛</w:t>
      </w:r>
    </w:p>
    <w:p w14:paraId="76049D38" w14:textId="77777777" w:rsidR="00F21749" w:rsidRPr="00CD192E" w:rsidRDefault="00F21749" w:rsidP="00F21749">
      <w:pPr>
        <w:pStyle w:val="SingleTxtG"/>
        <w:tabs>
          <w:tab w:val="left" w:pos="2552"/>
        </w:tabs>
        <w:bidi/>
        <w:rPr>
          <w:rFonts w:ascii="Simplified Arabic" w:hAnsi="Simplified Arabic" w:cs="Simplified Arabic"/>
          <w:bCs/>
        </w:rPr>
      </w:pPr>
      <w:r>
        <w:rPr>
          <w:rFonts w:ascii="Simplified Arabic" w:hAnsi="Simplified Arabic" w:cs="Simplified Arabic" w:hint="cs"/>
          <w:bCs/>
          <w:rtl/>
        </w:rPr>
        <w:t xml:space="preserve">(حاء)    </w:t>
      </w:r>
      <w:r w:rsidRPr="00CD192E">
        <w:rPr>
          <w:rFonts w:ascii="Simplified Arabic" w:hAnsi="Simplified Arabic" w:cs="Simplified Arabic"/>
          <w:bCs/>
          <w:rtl/>
        </w:rPr>
        <w:t>توفير سبل انتصاف فعالة للضحايا، بما في ذلك التعويضات؛</w:t>
      </w:r>
    </w:p>
    <w:p w14:paraId="2A1061DC" w14:textId="77777777" w:rsidR="00F21749" w:rsidRPr="00CD192E" w:rsidRDefault="00F21749" w:rsidP="00F2174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(طاء)</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ضمان محاكمة مرتكبي انتهاكات القانون الدولي الإنساني وجرائم الحرب؛</w:t>
      </w:r>
    </w:p>
    <w:p w14:paraId="5186F9C8" w14:textId="77777777" w:rsidR="00F21749" w:rsidRPr="00CD192E" w:rsidRDefault="00F21749" w:rsidP="00F2174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(ياء)</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ضمان امتثال جميع الأطراف للقانون الدولي الإنساني أثناء سير الأعمال العدائية؛</w:t>
      </w:r>
    </w:p>
    <w:p w14:paraId="422944B9" w14:textId="77777777" w:rsidR="00F21749" w:rsidRPr="00CD192E" w:rsidRDefault="00F21749" w:rsidP="00F2174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(كاف)</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ضمان إخضاع جميع المرتزقة أو المقاتلين الأجانب المتواجدين في ليبيا للمساءلة إزاء الانتهاكات التي ارتكبوها؛ والامتناع عن تجنيد المرتزقة واستخدامهم مستقبلًا بما يتماشى مع التزامات المعاهدات الدولية؛</w:t>
      </w:r>
    </w:p>
    <w:p w14:paraId="443E4998" w14:textId="77777777" w:rsidR="00F21749" w:rsidRPr="00CD192E" w:rsidRDefault="00F21749" w:rsidP="00F2174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(لام)</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ضمان إزالة جميع الألغام المضادة للأفراد والأ</w:t>
      </w:r>
      <w:r>
        <w:rPr>
          <w:rFonts w:ascii="Simplified Arabic" w:hAnsi="Simplified Arabic" w:cs="Simplified Arabic" w:hint="cs"/>
          <w:bCs/>
          <w:rtl/>
          <w:lang w:bidi="ar-LB"/>
        </w:rPr>
        <w:t>شراك الخداعية</w:t>
      </w:r>
      <w:r w:rsidRPr="00CD192E">
        <w:rPr>
          <w:rFonts w:ascii="Simplified Arabic" w:hAnsi="Simplified Arabic" w:cs="Simplified Arabic"/>
          <w:bCs/>
          <w:rtl/>
        </w:rPr>
        <w:t>؛ ومساءلة كل من انتهك القانون الدولي الإنساني في ما يتعلق باستخدام هذه الأسلحة؛</w:t>
      </w:r>
    </w:p>
    <w:p w14:paraId="249A24A3" w14:textId="77777777" w:rsidR="00F21749" w:rsidRPr="00CD192E" w:rsidRDefault="00F21749" w:rsidP="00F2174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(ميم)</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اتخاذ خطوات للمصادقة على اتفاقية الاختفاء القسري للعام 2010، واتفاقية اللاجئين للعام 1951، والاتفاقية المتعلقة بالألغام المضادة للأفراد للعام 1999، ونظام روما الأساسي للمحكمة الجنائية الدولية؛ والتأكد من اتساق التشريعات الوطنية مع أحكام هذه الاتفاقيات الدولية؛</w:t>
      </w:r>
    </w:p>
    <w:p w14:paraId="487C4194" w14:textId="77777777" w:rsidR="00F21749" w:rsidRPr="00CD192E" w:rsidRDefault="00F21749" w:rsidP="00F21749">
      <w:pPr>
        <w:pStyle w:val="ParNoG"/>
        <w:numPr>
          <w:ilvl w:val="0"/>
          <w:numId w:val="0"/>
        </w:numPr>
        <w:bidi/>
        <w:ind w:left="1134"/>
        <w:rPr>
          <w:rFonts w:ascii="Simplified Arabic" w:hAnsi="Simplified Arabic" w:cs="Simplified Arabic"/>
          <w:bCs/>
          <w:lang w:eastAsia="en-GB"/>
        </w:rPr>
      </w:pPr>
      <w:r>
        <w:rPr>
          <w:rFonts w:ascii="Simplified Arabic" w:hAnsi="Simplified Arabic" w:cs="Simplified Arabic" w:hint="cs"/>
          <w:bCs/>
          <w:rtl/>
          <w:lang w:eastAsia="en-GB"/>
        </w:rPr>
        <w:t>(نون)</w:t>
      </w:r>
      <w:r>
        <w:rPr>
          <w:rFonts w:ascii="Simplified Arabic" w:hAnsi="Simplified Arabic" w:cs="Simplified Arabic"/>
          <w:bCs/>
          <w:rtl/>
          <w:lang w:eastAsia="en-GB"/>
        </w:rPr>
        <w:tab/>
      </w:r>
      <w:r>
        <w:rPr>
          <w:rFonts w:ascii="Simplified Arabic" w:hAnsi="Simplified Arabic" w:cs="Simplified Arabic" w:hint="cs"/>
          <w:bCs/>
          <w:rtl/>
          <w:lang w:eastAsia="en-GB"/>
        </w:rPr>
        <w:t xml:space="preserve"> </w:t>
      </w:r>
      <w:r w:rsidRPr="00CD192E">
        <w:rPr>
          <w:rFonts w:ascii="Simplified Arabic" w:hAnsi="Simplified Arabic" w:cs="Simplified Arabic"/>
          <w:bCs/>
          <w:rtl/>
          <w:lang w:eastAsia="en-GB"/>
        </w:rPr>
        <w:t>إصلاح قانون العقوبات ليشمل انتهاكات القانون الدولي الإنساني وجرائم الحرب؛ ومراجعة المرسوم الذي ينظم عمل المنظمات غير الحكومية؛</w:t>
      </w:r>
    </w:p>
    <w:p w14:paraId="61ECA5BA" w14:textId="77777777" w:rsidR="00F21749" w:rsidRDefault="00F21749" w:rsidP="00F21749">
      <w:pPr>
        <w:pStyle w:val="ParNoG"/>
        <w:numPr>
          <w:ilvl w:val="0"/>
          <w:numId w:val="0"/>
        </w:numPr>
        <w:bidi/>
        <w:ind w:left="1134"/>
        <w:rPr>
          <w:rFonts w:ascii="Simplified Arabic" w:hAnsi="Simplified Arabic" w:cs="Simplified Arabic"/>
          <w:bCs/>
          <w:rtl/>
          <w:lang w:eastAsia="en-GB"/>
        </w:rPr>
      </w:pPr>
      <w:r>
        <w:rPr>
          <w:rFonts w:ascii="Simplified Arabic" w:hAnsi="Simplified Arabic" w:cs="Simplified Arabic" w:hint="cs"/>
          <w:bCs/>
          <w:rtl/>
          <w:lang w:eastAsia="en-GB" w:bidi="ar-LB"/>
        </w:rPr>
        <w:t>(سين)</w:t>
      </w:r>
      <w:r>
        <w:rPr>
          <w:rFonts w:ascii="Simplified Arabic" w:hAnsi="Simplified Arabic" w:cs="Simplified Arabic"/>
          <w:bCs/>
          <w:rtl/>
          <w:lang w:eastAsia="en-GB" w:bidi="ar-LB"/>
        </w:rPr>
        <w:tab/>
      </w:r>
      <w:r>
        <w:rPr>
          <w:rFonts w:ascii="Simplified Arabic" w:hAnsi="Simplified Arabic" w:cs="Simplified Arabic" w:hint="cs"/>
          <w:bCs/>
          <w:rtl/>
          <w:lang w:eastAsia="en-GB" w:bidi="ar-LB"/>
        </w:rPr>
        <w:t xml:space="preserve"> </w:t>
      </w:r>
      <w:r w:rsidRPr="00CD192E">
        <w:rPr>
          <w:rFonts w:ascii="Simplified Arabic" w:hAnsi="Simplified Arabic" w:cs="Simplified Arabic"/>
          <w:bCs/>
          <w:rtl/>
          <w:lang w:eastAsia="en-GB" w:bidi="ar-LB"/>
        </w:rPr>
        <w:t>ضمان أن تندرج</w:t>
      </w:r>
      <w:r w:rsidRPr="00CD192E">
        <w:rPr>
          <w:rFonts w:ascii="Simplified Arabic" w:hAnsi="Simplified Arabic" w:cs="Simplified Arabic"/>
          <w:bCs/>
          <w:rtl/>
          <w:lang w:eastAsia="en-GB"/>
        </w:rPr>
        <w:t xml:space="preserve"> المساءلة ضمن عملية المصالحة.</w:t>
      </w:r>
    </w:p>
    <w:p w14:paraId="5BAF02E3" w14:textId="4E9EBE0A" w:rsidR="0039317B" w:rsidRPr="006500F0" w:rsidRDefault="0039317B" w:rsidP="00F21749">
      <w:pPr>
        <w:pStyle w:val="SingleTxtG"/>
        <w:kinsoku w:val="0"/>
        <w:overflowPunct w:val="0"/>
        <w:autoSpaceDE w:val="0"/>
        <w:autoSpaceDN w:val="0"/>
        <w:adjustRightInd w:val="0"/>
        <w:snapToGrid w:val="0"/>
        <w:rPr>
          <w:rFonts w:asciiTheme="majorBidi" w:hAnsiTheme="majorBidi" w:cstheme="majorBidi"/>
          <w:b/>
          <w:lang w:bidi="ar-LB"/>
        </w:rPr>
      </w:pPr>
      <w:r w:rsidRPr="006500F0">
        <w:rPr>
          <w:rFonts w:asciiTheme="majorBidi" w:hAnsiTheme="majorBidi" w:cstheme="majorBidi"/>
          <w:b/>
          <w:lang w:bidi="ar-LB"/>
        </w:rPr>
        <w:t xml:space="preserve"> </w:t>
      </w:r>
    </w:p>
    <w:p w14:paraId="1FC13E53" w14:textId="77777777" w:rsidR="001620F9" w:rsidRPr="00CD192E" w:rsidRDefault="00FA4CD4" w:rsidP="001620F9">
      <w:pPr>
        <w:pStyle w:val="ParNoG"/>
        <w:numPr>
          <w:ilvl w:val="0"/>
          <w:numId w:val="0"/>
        </w:numPr>
        <w:bidi/>
        <w:ind w:left="1134"/>
        <w:rPr>
          <w:rFonts w:ascii="Simplified Arabic" w:hAnsi="Simplified Arabic" w:cs="Simplified Arabic"/>
          <w:bCs/>
        </w:rPr>
      </w:pPr>
      <w:r w:rsidRPr="006500F0">
        <w:rPr>
          <w:rFonts w:asciiTheme="majorBidi" w:hAnsiTheme="majorBidi" w:cstheme="majorBidi"/>
          <w:lang w:bidi="ar-LB"/>
        </w:rPr>
        <w:t>90.</w:t>
      </w:r>
      <w:r w:rsidRPr="006500F0">
        <w:rPr>
          <w:rFonts w:asciiTheme="majorBidi" w:hAnsiTheme="majorBidi" w:cstheme="majorBidi"/>
          <w:lang w:bidi="ar-LB"/>
        </w:rPr>
        <w:tab/>
      </w:r>
      <w:r w:rsidR="001620F9" w:rsidRPr="00CD192E">
        <w:rPr>
          <w:rFonts w:ascii="Simplified Arabic" w:hAnsi="Simplified Arabic" w:cs="Simplified Arabic"/>
          <w:bCs/>
          <w:rtl/>
        </w:rPr>
        <w:t>بالإضافة إلى ذلك، تدعو البعثةُ أعضاءَ المجتمع الدولي إلى:</w:t>
      </w:r>
    </w:p>
    <w:p w14:paraId="58A462DD" w14:textId="77777777" w:rsidR="001620F9" w:rsidRPr="00CD192E" w:rsidRDefault="00B86AE4" w:rsidP="001620F9">
      <w:pPr>
        <w:pStyle w:val="ParNoG"/>
        <w:numPr>
          <w:ilvl w:val="0"/>
          <w:numId w:val="0"/>
        </w:numPr>
        <w:bidi/>
        <w:ind w:left="1134"/>
        <w:rPr>
          <w:rFonts w:ascii="Simplified Arabic" w:hAnsi="Simplified Arabic" w:cs="Simplified Arabic"/>
          <w:bCs/>
        </w:rPr>
      </w:pPr>
      <w:r w:rsidRPr="006500F0">
        <w:rPr>
          <w:rFonts w:asciiTheme="majorBidi" w:hAnsiTheme="majorBidi" w:cstheme="majorBidi"/>
          <w:bCs/>
          <w:lang w:bidi="ar-LB"/>
        </w:rPr>
        <w:tab/>
      </w:r>
      <w:r w:rsidRPr="006500F0">
        <w:rPr>
          <w:rFonts w:asciiTheme="majorBidi" w:hAnsiTheme="majorBidi" w:cstheme="majorBidi"/>
          <w:bCs/>
          <w:lang w:bidi="ar-LB"/>
        </w:rPr>
        <w:tab/>
      </w:r>
      <w:r w:rsidR="001620F9">
        <w:rPr>
          <w:rFonts w:ascii="Simplified Arabic" w:hAnsi="Simplified Arabic" w:cs="Simplified Arabic" w:hint="cs"/>
          <w:bCs/>
          <w:rtl/>
        </w:rPr>
        <w:t>(ألف)</w:t>
      </w:r>
      <w:r w:rsidR="001620F9">
        <w:rPr>
          <w:rFonts w:ascii="Simplified Arabic" w:hAnsi="Simplified Arabic" w:cs="Simplified Arabic"/>
          <w:bCs/>
          <w:rtl/>
        </w:rPr>
        <w:tab/>
      </w:r>
      <w:r w:rsidR="001620F9">
        <w:rPr>
          <w:rFonts w:ascii="Simplified Arabic" w:hAnsi="Simplified Arabic" w:cs="Simplified Arabic" w:hint="cs"/>
          <w:bCs/>
          <w:rtl/>
        </w:rPr>
        <w:t xml:space="preserve"> </w:t>
      </w:r>
      <w:r w:rsidR="001620F9" w:rsidRPr="00CD192E">
        <w:rPr>
          <w:rFonts w:ascii="Simplified Arabic" w:hAnsi="Simplified Arabic" w:cs="Simplified Arabic"/>
          <w:bCs/>
          <w:rtl/>
        </w:rPr>
        <w:t>إحالة جميع الأفراد الخاضعين لولايتهم القضائية والمشتبه بارتكابهم انتهاكات في ليبيا إلى العدالة، بمن فيهم المرتزقة والمقاتلين الأجانب؛</w:t>
      </w:r>
    </w:p>
    <w:p w14:paraId="3571AF0C" w14:textId="77777777" w:rsidR="001620F9" w:rsidRPr="00CD192E" w:rsidRDefault="001620F9" w:rsidP="001620F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(باء)</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 xml:space="preserve">تقديم الدعم الفني للسلطات الليبية لمحاكمة مرتكبي الانتهاكات، بما في ذلك على وجه الخصوص جرائم ترهونة؛ </w:t>
      </w:r>
    </w:p>
    <w:p w14:paraId="65553560" w14:textId="77777777" w:rsidR="001620F9" w:rsidRPr="001E13F7" w:rsidRDefault="001620F9" w:rsidP="001620F9">
      <w:pPr>
        <w:pStyle w:val="ParNoG"/>
        <w:numPr>
          <w:ilvl w:val="0"/>
          <w:numId w:val="0"/>
        </w:numPr>
        <w:bidi/>
        <w:ind w:left="1134"/>
        <w:rPr>
          <w:rFonts w:ascii="Simplified Arabic" w:hAnsi="Simplified Arabic" w:cs="Simplified Arabic"/>
          <w:bCs/>
        </w:rPr>
      </w:pPr>
      <w:r>
        <w:rPr>
          <w:rFonts w:ascii="Simplified Arabic" w:hAnsi="Simplified Arabic" w:cs="Simplified Arabic" w:hint="cs"/>
          <w:bCs/>
          <w:rtl/>
        </w:rPr>
        <w:t>(جيم)</w:t>
      </w:r>
      <w:r>
        <w:rPr>
          <w:rFonts w:ascii="Simplified Arabic" w:hAnsi="Simplified Arabic" w:cs="Simplified Arabic"/>
          <w:bCs/>
          <w:rtl/>
        </w:rPr>
        <w:tab/>
      </w:r>
      <w:r>
        <w:rPr>
          <w:rFonts w:ascii="Simplified Arabic" w:hAnsi="Simplified Arabic" w:cs="Simplified Arabic" w:hint="cs"/>
          <w:bCs/>
          <w:rtl/>
        </w:rPr>
        <w:t xml:space="preserve"> </w:t>
      </w:r>
      <w:r w:rsidRPr="00CD192E">
        <w:rPr>
          <w:rFonts w:ascii="Simplified Arabic" w:hAnsi="Simplified Arabic" w:cs="Simplified Arabic"/>
          <w:bCs/>
          <w:rtl/>
        </w:rPr>
        <w:t xml:space="preserve">ضمان </w:t>
      </w:r>
      <w:r>
        <w:rPr>
          <w:rFonts w:ascii="Simplified Arabic" w:hAnsi="Simplified Arabic" w:cs="Simplified Arabic" w:hint="cs"/>
          <w:bCs/>
          <w:rtl/>
        </w:rPr>
        <w:t>ا</w:t>
      </w:r>
      <w:r w:rsidRPr="00CD192E">
        <w:rPr>
          <w:rFonts w:ascii="Simplified Arabic" w:hAnsi="Simplified Arabic" w:cs="Simplified Arabic"/>
          <w:bCs/>
          <w:rtl/>
        </w:rPr>
        <w:t xml:space="preserve">متثال جميع الاتفاقات </w:t>
      </w:r>
      <w:r>
        <w:rPr>
          <w:rFonts w:ascii="Simplified Arabic" w:hAnsi="Simplified Arabic" w:cs="Simplified Arabic" w:hint="cs"/>
          <w:bCs/>
          <w:rtl/>
        </w:rPr>
        <w:t xml:space="preserve">المبرمة </w:t>
      </w:r>
      <w:r w:rsidRPr="00CD192E">
        <w:rPr>
          <w:rFonts w:ascii="Simplified Arabic" w:hAnsi="Simplified Arabic" w:cs="Simplified Arabic"/>
          <w:bCs/>
          <w:rtl/>
        </w:rPr>
        <w:t>مع السلطات الليبية للقانون الدولي لحقوق الإنسان والقانون الدولي الإنساني، ولا سيما في ما يتعلق بمسألة الهجرة</w:t>
      </w:r>
      <w:r w:rsidRPr="00CD192E">
        <w:rPr>
          <w:rFonts w:ascii="Simplified Arabic" w:hAnsi="Simplified Arabic" w:cs="Simplified Arabic"/>
          <w:bCs/>
        </w:rPr>
        <w:t>.</w:t>
      </w:r>
    </w:p>
    <w:p w14:paraId="21E59468" w14:textId="1C31EAA7" w:rsidR="00AE3D6B" w:rsidRPr="001F3B14" w:rsidRDefault="00FA4CD4" w:rsidP="001F3B14">
      <w:pPr>
        <w:pStyle w:val="ParNoG"/>
        <w:numPr>
          <w:ilvl w:val="0"/>
          <w:numId w:val="0"/>
        </w:numPr>
        <w:bidi/>
        <w:ind w:left="1134"/>
        <w:rPr>
          <w:rFonts w:ascii="Simplified Arabic" w:hAnsi="Simplified Arabic" w:cs="Simplified Arabic"/>
          <w:bCs/>
        </w:rPr>
      </w:pPr>
      <w:r w:rsidRPr="006500F0">
        <w:rPr>
          <w:rFonts w:asciiTheme="majorBidi" w:hAnsiTheme="majorBidi" w:cstheme="majorBidi"/>
          <w:lang w:bidi="ar-LB"/>
        </w:rPr>
        <w:t>91.</w:t>
      </w:r>
      <w:r w:rsidRPr="006500F0">
        <w:rPr>
          <w:rFonts w:asciiTheme="majorBidi" w:hAnsiTheme="majorBidi" w:cstheme="majorBidi"/>
          <w:lang w:bidi="ar-LB"/>
        </w:rPr>
        <w:tab/>
      </w:r>
      <w:r w:rsidR="001F3B14" w:rsidRPr="00CD192E">
        <w:rPr>
          <w:rFonts w:ascii="Simplified Arabic" w:hAnsi="Simplified Arabic" w:cs="Simplified Arabic"/>
          <w:bCs/>
          <w:rtl/>
        </w:rPr>
        <w:t>أخيرًا، تحثّ البعثةُ مجلسَ حقوق الإنسان على:</w:t>
      </w:r>
    </w:p>
    <w:p w14:paraId="39B1662D" w14:textId="64717343" w:rsidR="00A058A1" w:rsidRPr="00CD192E" w:rsidRDefault="00B86AE4" w:rsidP="00A058A1">
      <w:pPr>
        <w:pStyle w:val="ParNoG"/>
        <w:numPr>
          <w:ilvl w:val="0"/>
          <w:numId w:val="0"/>
        </w:numPr>
        <w:bidi/>
        <w:ind w:left="1134"/>
        <w:rPr>
          <w:rFonts w:ascii="Simplified Arabic" w:hAnsi="Simplified Arabic" w:cs="Simplified Arabic"/>
          <w:bCs/>
        </w:rPr>
      </w:pPr>
      <w:r w:rsidRPr="006500F0">
        <w:rPr>
          <w:rFonts w:asciiTheme="majorBidi" w:hAnsiTheme="majorBidi" w:cstheme="majorBidi"/>
          <w:bCs/>
          <w:lang w:bidi="ar-LB"/>
        </w:rPr>
        <w:lastRenderedPageBreak/>
        <w:tab/>
      </w:r>
      <w:r w:rsidR="00A058A1">
        <w:rPr>
          <w:rFonts w:ascii="Simplified Arabic" w:hAnsi="Simplified Arabic" w:cs="Simplified Arabic" w:hint="cs"/>
          <w:bCs/>
          <w:rtl/>
        </w:rPr>
        <w:t>(ألف)</w:t>
      </w:r>
      <w:r w:rsidR="00A058A1">
        <w:rPr>
          <w:rFonts w:ascii="Simplified Arabic" w:hAnsi="Simplified Arabic" w:cs="Simplified Arabic"/>
          <w:bCs/>
          <w:rtl/>
        </w:rPr>
        <w:tab/>
      </w:r>
      <w:r w:rsidR="00A058A1">
        <w:rPr>
          <w:rFonts w:ascii="Simplified Arabic" w:hAnsi="Simplified Arabic" w:cs="Simplified Arabic" w:hint="cs"/>
          <w:bCs/>
          <w:rtl/>
        </w:rPr>
        <w:t xml:space="preserve"> </w:t>
      </w:r>
      <w:r w:rsidR="00A058A1" w:rsidRPr="00CD192E">
        <w:rPr>
          <w:rFonts w:ascii="Simplified Arabic" w:hAnsi="Simplified Arabic" w:cs="Simplified Arabic"/>
          <w:bCs/>
          <w:rtl/>
        </w:rPr>
        <w:t>النظر في تمديد ولاية البعثة لفترة زمنية تتناسب مع اتساع نطاق عملها؛ وتشجيع ليبيا على مواصلة التعاون الكامل مع البعثة</w:t>
      </w:r>
      <w:r w:rsidR="00A058A1" w:rsidRPr="00CD192E">
        <w:rPr>
          <w:rFonts w:ascii="Simplified Arabic" w:hAnsi="Simplified Arabic" w:cs="Simplified Arabic"/>
          <w:bCs/>
        </w:rPr>
        <w:t>.</w:t>
      </w:r>
    </w:p>
    <w:p w14:paraId="216CEAF0" w14:textId="65A9A2F6" w:rsidR="009510F5" w:rsidRPr="006500F0" w:rsidRDefault="009510F5" w:rsidP="00B86AE4">
      <w:pPr>
        <w:pStyle w:val="SingleTxtG"/>
        <w:kinsoku w:val="0"/>
        <w:overflowPunct w:val="0"/>
        <w:autoSpaceDE w:val="0"/>
        <w:autoSpaceDN w:val="0"/>
        <w:adjustRightInd w:val="0"/>
        <w:snapToGrid w:val="0"/>
        <w:rPr>
          <w:rFonts w:asciiTheme="majorBidi" w:hAnsiTheme="majorBidi" w:cstheme="majorBidi"/>
          <w:b/>
          <w:lang w:bidi="ar-LB"/>
        </w:rPr>
      </w:pPr>
    </w:p>
    <w:p w14:paraId="612B5C31" w14:textId="6E014351" w:rsidR="00A67D09" w:rsidRPr="006500F0" w:rsidRDefault="00712616" w:rsidP="00712616">
      <w:pPr>
        <w:spacing w:before="240"/>
        <w:ind w:left="1134" w:right="1134"/>
        <w:jc w:val="center"/>
        <w:rPr>
          <w:rFonts w:asciiTheme="majorBidi" w:hAnsiTheme="majorBidi" w:cstheme="majorBidi"/>
          <w:u w:val="single"/>
          <w:lang w:bidi="ar-LB"/>
        </w:rPr>
      </w:pPr>
      <w:r w:rsidRPr="006500F0">
        <w:rPr>
          <w:rFonts w:asciiTheme="majorBidi" w:hAnsiTheme="majorBidi" w:cstheme="majorBidi"/>
          <w:u w:val="single"/>
          <w:lang w:bidi="ar-LB"/>
        </w:rPr>
        <w:tab/>
      </w:r>
      <w:r w:rsidRPr="006500F0">
        <w:rPr>
          <w:rFonts w:asciiTheme="majorBidi" w:hAnsiTheme="majorBidi" w:cstheme="majorBidi"/>
          <w:u w:val="single"/>
          <w:lang w:bidi="ar-LB"/>
        </w:rPr>
        <w:tab/>
      </w:r>
      <w:r w:rsidRPr="006500F0">
        <w:rPr>
          <w:rFonts w:asciiTheme="majorBidi" w:hAnsiTheme="majorBidi" w:cstheme="majorBidi"/>
          <w:u w:val="single"/>
          <w:lang w:bidi="ar-LB"/>
        </w:rPr>
        <w:tab/>
      </w:r>
    </w:p>
    <w:p w14:paraId="41806AAB" w14:textId="3A3E817D" w:rsidR="00C16279" w:rsidRPr="006500F0" w:rsidRDefault="00C16279" w:rsidP="00712616">
      <w:pPr>
        <w:spacing w:before="240"/>
        <w:ind w:left="1134" w:right="1134"/>
        <w:jc w:val="center"/>
        <w:rPr>
          <w:rFonts w:asciiTheme="majorBidi" w:hAnsiTheme="majorBidi" w:cstheme="majorBidi"/>
          <w:u w:val="single"/>
          <w:lang w:bidi="ar-LB"/>
        </w:rPr>
      </w:pPr>
    </w:p>
    <w:p w14:paraId="0AFA61B2" w14:textId="5B537D06" w:rsidR="00C16279" w:rsidRPr="006500F0" w:rsidRDefault="00C16279">
      <w:pPr>
        <w:suppressAutoHyphens w:val="0"/>
        <w:spacing w:line="240" w:lineRule="auto"/>
        <w:rPr>
          <w:rFonts w:asciiTheme="majorBidi" w:hAnsiTheme="majorBidi" w:cstheme="majorBidi"/>
          <w:u w:val="single"/>
          <w:lang w:bidi="ar-LB"/>
        </w:rPr>
      </w:pPr>
      <w:r w:rsidRPr="006500F0">
        <w:rPr>
          <w:rFonts w:asciiTheme="majorBidi" w:hAnsiTheme="majorBidi" w:cstheme="majorBidi"/>
          <w:u w:val="single"/>
          <w:lang w:bidi="ar-LB"/>
        </w:rPr>
        <w:br w:type="page"/>
      </w:r>
    </w:p>
    <w:p w14:paraId="463BD7D4" w14:textId="5E75956A" w:rsidR="00C16279" w:rsidRPr="006500F0" w:rsidRDefault="00BB3D20" w:rsidP="00BB3D20">
      <w:pPr>
        <w:pStyle w:val="HChG"/>
        <w:kinsoku w:val="0"/>
        <w:overflowPunct w:val="0"/>
        <w:autoSpaceDE w:val="0"/>
        <w:autoSpaceDN w:val="0"/>
        <w:bidi/>
        <w:adjustRightInd w:val="0"/>
        <w:snapToGrid w:val="0"/>
        <w:rPr>
          <w:rFonts w:asciiTheme="majorBidi" w:hAnsiTheme="majorBidi" w:cstheme="majorBidi"/>
          <w:b w:val="0"/>
          <w:bCs/>
          <w:lang w:val="en-CA" w:bidi="ar-LB"/>
        </w:rPr>
      </w:pPr>
      <w:r w:rsidRPr="006500F0">
        <w:rPr>
          <w:rFonts w:asciiTheme="majorBidi" w:hAnsiTheme="majorBidi" w:cstheme="majorBidi"/>
          <w:b w:val="0"/>
          <w:bCs/>
          <w:rtl/>
          <w:lang w:val="en-CA" w:bidi="ar-LB"/>
        </w:rPr>
        <w:lastRenderedPageBreak/>
        <w:t>المرفق 1</w:t>
      </w:r>
    </w:p>
    <w:p w14:paraId="00D3B5E3" w14:textId="044955B2" w:rsidR="00C16279" w:rsidRPr="006500F0" w:rsidRDefault="00C16279" w:rsidP="00893351">
      <w:pPr>
        <w:pStyle w:val="H1G"/>
        <w:bidi/>
        <w:rPr>
          <w:rFonts w:asciiTheme="majorBidi" w:hAnsiTheme="majorBidi" w:cstheme="majorBidi"/>
          <w:b w:val="0"/>
          <w:bCs/>
          <w:lang w:val="en-CA" w:bidi="ar-LB"/>
        </w:rPr>
      </w:pPr>
      <w:r w:rsidRPr="006500F0">
        <w:rPr>
          <w:rFonts w:asciiTheme="majorBidi" w:hAnsiTheme="majorBidi" w:cstheme="majorBidi"/>
          <w:b w:val="0"/>
          <w:bCs/>
          <w:lang w:val="en-CA" w:bidi="ar-LB"/>
        </w:rPr>
        <w:tab/>
      </w:r>
      <w:r w:rsidRPr="006500F0">
        <w:rPr>
          <w:rFonts w:asciiTheme="majorBidi" w:hAnsiTheme="majorBidi" w:cstheme="majorBidi"/>
          <w:b w:val="0"/>
          <w:bCs/>
          <w:lang w:val="en-CA" w:bidi="ar-LB"/>
        </w:rPr>
        <w:tab/>
      </w:r>
      <w:r w:rsidR="00893351" w:rsidRPr="006500F0">
        <w:rPr>
          <w:rFonts w:asciiTheme="majorBidi" w:hAnsiTheme="majorBidi" w:cstheme="majorBidi"/>
          <w:b w:val="0"/>
          <w:bCs/>
          <w:rtl/>
          <w:lang w:val="en-CA" w:bidi="ar-LB"/>
        </w:rPr>
        <w:t>الولاية</w:t>
      </w:r>
    </w:p>
    <w:p w14:paraId="7B067A30" w14:textId="062D99F4" w:rsidR="007A5B76" w:rsidRPr="006500F0" w:rsidRDefault="003A4822" w:rsidP="007A5B76">
      <w:pPr>
        <w:pStyle w:val="ParNoG"/>
        <w:bidi/>
        <w:rPr>
          <w:rFonts w:asciiTheme="majorBidi" w:hAnsiTheme="majorBidi" w:cstheme="majorBidi"/>
          <w:rtl/>
          <w:lang w:val="en-CA" w:bidi="ar-LB"/>
        </w:rPr>
      </w:pPr>
      <w:r w:rsidRPr="006500F0">
        <w:rPr>
          <w:rFonts w:asciiTheme="majorBidi" w:hAnsiTheme="majorBidi" w:cstheme="majorBidi"/>
          <w:i/>
          <w:iCs/>
          <w:rtl/>
          <w:lang w:val="en-CA" w:bidi="ar-LB"/>
        </w:rPr>
        <w:t>الاختصاص الموضوعي</w:t>
      </w:r>
      <w:r w:rsidRPr="006500F0">
        <w:rPr>
          <w:rFonts w:asciiTheme="majorBidi" w:hAnsiTheme="majorBidi" w:cstheme="majorBidi"/>
          <w:rtl/>
          <w:lang w:val="en-CA" w:bidi="ar-LB"/>
        </w:rPr>
        <w:t>: طلب المجلس من البعثة التحقيق في انتهاكات القانون الدولي لحقوق الإنسان وتجاوزات القانون الإنساني الدولي. ولا يشير القرار 43/39 إلى الجرائم المنصوص عليها بموجب القانون الجنائي الدولي؛ ومع ذلك، فإنّ القانون الجنائي الدولي يستند إلى القانون الدولي لحقوق الإنسان والقانون الإنساني الدولي. ولذلك، تعتبر البعثة أنه لتنفيذ ولايتها، من الأهمية بمكان إجراء تحقيق إضافي في الجرائم التي يعاقب عليها القانون الجنائي الدولي (</w:t>
      </w:r>
      <w:r w:rsidRPr="006500F0">
        <w:rPr>
          <w:rFonts w:asciiTheme="majorBidi" w:hAnsiTheme="majorBidi" w:cstheme="majorBidi"/>
          <w:szCs w:val="18"/>
          <w:lang w:val="en-CA" w:bidi="ar-LB"/>
        </w:rPr>
        <w:t>A/HRC/12/48</w:t>
      </w:r>
      <w:r w:rsidRPr="006500F0">
        <w:rPr>
          <w:rFonts w:asciiTheme="majorBidi" w:hAnsiTheme="majorBidi" w:cstheme="majorBidi"/>
          <w:szCs w:val="18"/>
          <w:rtl/>
          <w:lang w:val="en-CA" w:bidi="ar-LB"/>
        </w:rPr>
        <w:t xml:space="preserve">، الفقرة 286؛ </w:t>
      </w:r>
      <w:r w:rsidRPr="006500F0">
        <w:rPr>
          <w:rFonts w:asciiTheme="majorBidi" w:hAnsiTheme="majorBidi" w:cstheme="majorBidi"/>
          <w:szCs w:val="18"/>
          <w:lang w:bidi="ar-LB"/>
        </w:rPr>
        <w:t>A/HRC/38/CRP.1</w:t>
      </w:r>
      <w:r w:rsidRPr="006500F0">
        <w:rPr>
          <w:rFonts w:asciiTheme="majorBidi" w:hAnsiTheme="majorBidi" w:cstheme="majorBidi"/>
          <w:szCs w:val="18"/>
          <w:rtl/>
          <w:lang w:bidi="ar-LB"/>
        </w:rPr>
        <w:t>، الفقرة 8)</w:t>
      </w:r>
      <w:r w:rsidRPr="006500F0">
        <w:rPr>
          <w:rFonts w:asciiTheme="majorBidi" w:hAnsiTheme="majorBidi" w:cstheme="majorBidi"/>
          <w:rtl/>
          <w:lang w:val="en-CA" w:bidi="ar-LB"/>
        </w:rPr>
        <w:t xml:space="preserve">. </w:t>
      </w:r>
      <w:r w:rsidRPr="006500F0">
        <w:rPr>
          <w:rStyle w:val="EndnoteReference"/>
          <w:rFonts w:asciiTheme="majorBidi" w:hAnsiTheme="majorBidi" w:cstheme="majorBidi"/>
          <w:rtl/>
          <w:lang w:val="en-US" w:bidi="ar-LB"/>
        </w:rPr>
        <w:t xml:space="preserve"> </w:t>
      </w:r>
      <w:r w:rsidRPr="006500F0">
        <w:rPr>
          <w:rFonts w:asciiTheme="majorBidi" w:hAnsiTheme="majorBidi" w:cstheme="majorBidi"/>
          <w:rtl/>
          <w:lang w:val="en-CA" w:bidi="ar-LB"/>
        </w:rPr>
        <w:t>في هذا الصدد، تلحظ البعثة أن مكتب المدعي العام في المحكمة الجنائية الدولية يحقق حاليًا في الوضع في ليبيا منذ 15 فبراير/ شباط 2011، بعد إحالة من مجلس الأمن التابع للأمم المتحدة، وأنّ تحقيقات مكتب المدعي العام تطال الأحداث التي تقع ضمن الولاية الزمنية للبعثة.</w:t>
      </w:r>
      <w:r w:rsidRPr="006500F0">
        <w:rPr>
          <w:rStyle w:val="EndnoteReference"/>
          <w:rFonts w:asciiTheme="majorBidi" w:hAnsiTheme="majorBidi" w:cstheme="majorBidi"/>
          <w:lang w:val="en-CA" w:bidi="ar-LB"/>
        </w:rPr>
        <w:t xml:space="preserve"> </w:t>
      </w:r>
    </w:p>
    <w:p w14:paraId="428A8DFB" w14:textId="77777777" w:rsidR="007A5B76" w:rsidRPr="006500F0" w:rsidRDefault="007A5B76" w:rsidP="007A5B76">
      <w:pPr>
        <w:pStyle w:val="ParNoG"/>
        <w:bidi/>
        <w:rPr>
          <w:rFonts w:asciiTheme="majorBidi" w:hAnsiTheme="majorBidi" w:cstheme="majorBidi"/>
          <w:lang w:val="en-CA" w:bidi="ar-LB"/>
        </w:rPr>
      </w:pPr>
      <w:r w:rsidRPr="006500F0">
        <w:rPr>
          <w:rFonts w:asciiTheme="majorBidi" w:hAnsiTheme="majorBidi" w:cstheme="majorBidi"/>
          <w:i/>
          <w:iCs/>
          <w:rtl/>
          <w:lang w:val="en-CA" w:bidi="ar-LB"/>
        </w:rPr>
        <w:t>الاختصاص الزمني</w:t>
      </w:r>
      <w:r w:rsidRPr="006500F0">
        <w:rPr>
          <w:rFonts w:asciiTheme="majorBidi" w:hAnsiTheme="majorBidi" w:cstheme="majorBidi"/>
          <w:rtl/>
          <w:lang w:val="en-CA" w:bidi="ar-LB"/>
        </w:rPr>
        <w:t>: كلّف المجلسُ البعثةَ بالتركيز على ادعاءات الانتهاكات والتجاوزات "منذ بداية العام 2016". وترى البعثة أنه ينبغي أن تشمل ولايتها أيضا التحقيق في الانتهاكات والتجاوزات المستمرّة التي بدأت قبل العام 2016.</w:t>
      </w:r>
    </w:p>
    <w:p w14:paraId="23A58AE4" w14:textId="0D764C8D" w:rsidR="007A5B76" w:rsidRPr="006500F0" w:rsidRDefault="007A5B76" w:rsidP="007A5B76">
      <w:pPr>
        <w:pStyle w:val="ParNoG"/>
        <w:bidi/>
        <w:rPr>
          <w:rFonts w:asciiTheme="majorBidi" w:hAnsiTheme="majorBidi" w:cstheme="majorBidi"/>
          <w:lang w:val="en-CA" w:bidi="ar-LB"/>
        </w:rPr>
      </w:pPr>
      <w:r w:rsidRPr="006500F0">
        <w:rPr>
          <w:rFonts w:asciiTheme="majorBidi" w:hAnsiTheme="majorBidi" w:cstheme="majorBidi"/>
          <w:i/>
          <w:iCs/>
          <w:rtl/>
          <w:lang w:val="en-CA" w:bidi="ar-LB"/>
        </w:rPr>
        <w:t>الاختصاص من حيث المكان</w:t>
      </w:r>
      <w:r w:rsidRPr="006500F0">
        <w:rPr>
          <w:rFonts w:asciiTheme="majorBidi" w:hAnsiTheme="majorBidi" w:cstheme="majorBidi"/>
          <w:rtl/>
          <w:lang w:val="en-CA" w:bidi="ar-LB"/>
        </w:rPr>
        <w:t>: ينصّ القرار 43/39 على أنه يجب على البعثة توثيق ادعاءات الانتهاكات والتجاوزات المقترفة "في ليبيا". تفسر ذلك البعثة بمعنى أنها تتمتع بولاية التحقيق، أولًا وقبل كل شيء، في الانتهاكات والتجاوزات المقترفة على الأراضي الليبية، بما في ذلك المياه الإقليمية. وبالإشارة إلى المنهجية التي اعتمدتها آليات تقصي الحقائق السابقة (</w:t>
      </w:r>
      <w:r w:rsidRPr="006500F0">
        <w:rPr>
          <w:rFonts w:asciiTheme="majorBidi" w:hAnsiTheme="majorBidi" w:cstheme="majorBidi"/>
          <w:szCs w:val="18"/>
          <w:lang w:bidi="ar-LB"/>
        </w:rPr>
        <w:t>A/HRC/25/CRP.1</w:t>
      </w:r>
      <w:r w:rsidRPr="006500F0">
        <w:rPr>
          <w:rFonts w:asciiTheme="majorBidi" w:hAnsiTheme="majorBidi" w:cstheme="majorBidi"/>
          <w:szCs w:val="18"/>
          <w:rtl/>
          <w:lang w:bidi="ar-LB"/>
        </w:rPr>
        <w:t>، الفقرة 20 والحاشية 8)</w:t>
      </w:r>
      <w:r w:rsidRPr="006500F0">
        <w:rPr>
          <w:rFonts w:asciiTheme="majorBidi" w:hAnsiTheme="majorBidi" w:cstheme="majorBidi"/>
          <w:rtl/>
          <w:lang w:val="en-CA" w:bidi="ar-LB"/>
        </w:rPr>
        <w:t>،</w:t>
      </w:r>
      <w:r w:rsidRPr="006500F0">
        <w:rPr>
          <w:rFonts w:asciiTheme="majorBidi" w:hAnsiTheme="majorBidi" w:cstheme="majorBidi"/>
          <w:lang w:val="en-CA" w:bidi="ar-LB"/>
        </w:rPr>
        <w:t xml:space="preserve"> </w:t>
      </w:r>
      <w:r w:rsidRPr="006500F0">
        <w:rPr>
          <w:rFonts w:asciiTheme="majorBidi" w:hAnsiTheme="majorBidi" w:cstheme="majorBidi"/>
          <w:rtl/>
          <w:lang w:val="en-CA" w:bidi="ar-LB"/>
        </w:rPr>
        <w:t>تعتبر البعثة أن ولايتها تمتد أيضًا لتشمل توثيق الأفعال التي بدأتْ خارج حدود ليبيا، إنما استمرّتْ داخل الأراضي الليبية.</w:t>
      </w:r>
      <w:r w:rsidRPr="006500F0">
        <w:rPr>
          <w:rFonts w:asciiTheme="majorBidi" w:hAnsiTheme="majorBidi" w:cstheme="majorBidi"/>
          <w:lang w:val="en-CA" w:bidi="ar-LB"/>
        </w:rPr>
        <w:t xml:space="preserve"> </w:t>
      </w:r>
    </w:p>
    <w:p w14:paraId="0B98104C" w14:textId="77777777" w:rsidR="007A5B76" w:rsidRPr="006500F0" w:rsidRDefault="007A5B76" w:rsidP="007A5B76">
      <w:pPr>
        <w:pStyle w:val="ParNoG"/>
        <w:bidi/>
        <w:rPr>
          <w:rFonts w:asciiTheme="majorBidi" w:hAnsiTheme="majorBidi" w:cstheme="majorBidi"/>
          <w:lang w:val="en-CA" w:bidi="ar-LB"/>
        </w:rPr>
      </w:pPr>
      <w:r w:rsidRPr="006500F0">
        <w:rPr>
          <w:rFonts w:asciiTheme="majorBidi" w:hAnsiTheme="majorBidi" w:cstheme="majorBidi"/>
          <w:i/>
          <w:iCs/>
          <w:rtl/>
          <w:lang w:val="en-CA" w:bidi="ar-LB"/>
        </w:rPr>
        <w:t>الاختصاص الشخصي</w:t>
      </w:r>
      <w:r w:rsidRPr="006500F0">
        <w:rPr>
          <w:rFonts w:asciiTheme="majorBidi" w:hAnsiTheme="majorBidi" w:cstheme="majorBidi"/>
          <w:rtl/>
          <w:lang w:val="en-CA" w:bidi="ar-LB"/>
        </w:rPr>
        <w:t>: يشير القرار 43/39 إلى الانتهاكات والتجاوزات المقترفة من قبل "جميع الأطراف". في هذا الصدد، تعتبر البعثة أنه ينبغي أن تشمل تحقيقاتها سلوك الجهات الفاعلة</w:t>
      </w:r>
      <w:r w:rsidRPr="006500F0">
        <w:rPr>
          <w:rFonts w:asciiTheme="majorBidi" w:hAnsiTheme="majorBidi" w:cstheme="majorBidi"/>
          <w:lang w:val="en-CA" w:bidi="ar-LB"/>
        </w:rPr>
        <w:t xml:space="preserve"> </w:t>
      </w:r>
      <w:r w:rsidRPr="006500F0">
        <w:rPr>
          <w:rFonts w:asciiTheme="majorBidi" w:hAnsiTheme="majorBidi" w:cstheme="majorBidi"/>
          <w:rtl/>
          <w:lang w:val="en-CA" w:bidi="ar-LB"/>
        </w:rPr>
        <w:t xml:space="preserve">الحكومية وغير الحكومية، بما في ذلك الجهات الفاعلة الأجنبية الحكومية وغير الحكومية. </w:t>
      </w:r>
    </w:p>
    <w:p w14:paraId="6690DB0D" w14:textId="6408E71B" w:rsidR="007A5B76" w:rsidRPr="006500F0" w:rsidRDefault="007A5B76" w:rsidP="007A5B76">
      <w:pPr>
        <w:pStyle w:val="ParNoG"/>
        <w:bidi/>
        <w:rPr>
          <w:rFonts w:asciiTheme="majorBidi" w:hAnsiTheme="majorBidi" w:cstheme="majorBidi"/>
          <w:lang w:val="en-CA" w:bidi="ar-LB"/>
        </w:rPr>
      </w:pPr>
      <w:r w:rsidRPr="006500F0">
        <w:rPr>
          <w:rFonts w:asciiTheme="majorBidi" w:hAnsiTheme="majorBidi" w:cstheme="majorBidi"/>
          <w:rtl/>
          <w:lang w:val="en-CA" w:bidi="ar-LB"/>
        </w:rPr>
        <w:t>إذ يدعو القرار 43/39 البعثة إلى الحفاظ على الأدلة "بهدف ضمان مساءلة الجناة [...]"، تعتبر البعثة أنّ ولايتها تنصّ على تحديد الجهات التي يمكن تحميلها المسؤولية إزاء الانتهاكات والتجاوزات قيد التحقيق. إضافة إلى ذلك، تسمح ولاية البعثة بالتركيز على المسؤوليات الفردية، وعلى مسؤولية الدولة أيضًا، إذ تبقى الدولة في طليعة القانون الدولي لحقوق الإنسان</w:t>
      </w:r>
      <w:r w:rsidRPr="006500F0">
        <w:rPr>
          <w:rFonts w:asciiTheme="majorBidi" w:hAnsiTheme="majorBidi" w:cstheme="majorBidi"/>
          <w:lang w:val="en-CA" w:bidi="ar-LB"/>
        </w:rPr>
        <w:t>.</w:t>
      </w:r>
    </w:p>
    <w:p w14:paraId="1CB53542" w14:textId="77777777" w:rsidR="007A5B76" w:rsidRPr="006500F0" w:rsidRDefault="007A5B76" w:rsidP="007A5B76">
      <w:pPr>
        <w:pStyle w:val="ParNoG"/>
        <w:bidi/>
        <w:rPr>
          <w:rFonts w:asciiTheme="majorBidi" w:hAnsiTheme="majorBidi" w:cstheme="majorBidi"/>
          <w:lang w:bidi="ar-LB"/>
        </w:rPr>
      </w:pPr>
      <w:r w:rsidRPr="006500F0">
        <w:rPr>
          <w:rFonts w:asciiTheme="majorBidi" w:hAnsiTheme="majorBidi" w:cstheme="majorBidi"/>
          <w:rtl/>
          <w:lang w:bidi="ar-LB"/>
        </w:rPr>
        <w:t>أخيراً، طلب المجلس من البعثة توثيق الأبعاد الجنسانية للانتهاكات والتجاوزات قيد التحقيق. يعزّز التحليل الجنساني</w:t>
      </w:r>
      <w:r w:rsidRPr="006500F0">
        <w:rPr>
          <w:rFonts w:asciiTheme="majorBidi" w:hAnsiTheme="majorBidi" w:cstheme="majorBidi"/>
          <w:lang w:bidi="ar-LB"/>
        </w:rPr>
        <w:t xml:space="preserve"> </w:t>
      </w:r>
      <w:r w:rsidRPr="006500F0">
        <w:rPr>
          <w:rFonts w:asciiTheme="majorBidi" w:hAnsiTheme="majorBidi" w:cstheme="majorBidi"/>
          <w:rtl/>
          <w:lang w:bidi="ar-LB"/>
        </w:rPr>
        <w:t>من</w:t>
      </w:r>
      <w:r w:rsidRPr="006500F0">
        <w:rPr>
          <w:rFonts w:asciiTheme="majorBidi" w:hAnsiTheme="majorBidi" w:cstheme="majorBidi"/>
          <w:lang w:bidi="ar-LB"/>
        </w:rPr>
        <w:t xml:space="preserve"> </w:t>
      </w:r>
      <w:r w:rsidRPr="006500F0">
        <w:rPr>
          <w:rFonts w:asciiTheme="majorBidi" w:hAnsiTheme="majorBidi" w:cstheme="majorBidi"/>
          <w:rtl/>
          <w:lang w:bidi="ar-LB"/>
        </w:rPr>
        <w:t>التحقيقات في مجال حقوق الإنسان، عبر إظهار الانتهاكات والتجاوزات التي لا يمكن لحظُها بخلاف ذلك، بسبب استمرار التمييز</w:t>
      </w:r>
      <w:r w:rsidRPr="006500F0">
        <w:rPr>
          <w:rFonts w:asciiTheme="majorBidi" w:hAnsiTheme="majorBidi" w:cstheme="majorBidi"/>
          <w:lang w:bidi="ar-LB"/>
        </w:rPr>
        <w:t xml:space="preserve"> </w:t>
      </w:r>
      <w:r w:rsidRPr="006500F0">
        <w:rPr>
          <w:rFonts w:asciiTheme="majorBidi" w:hAnsiTheme="majorBidi" w:cstheme="majorBidi"/>
          <w:rtl/>
          <w:lang w:bidi="ar-LB"/>
        </w:rPr>
        <w:t xml:space="preserve">أو التنميط الجنساني، وعبر </w:t>
      </w:r>
      <w:r w:rsidRPr="006500F0">
        <w:rPr>
          <w:rFonts w:asciiTheme="majorBidi" w:hAnsiTheme="majorBidi" w:cstheme="majorBidi"/>
          <w:rtl/>
          <w:lang w:bidi="ar-LB"/>
        </w:rPr>
        <w:lastRenderedPageBreak/>
        <w:t>الكشف عن الجذور العميقة للعنف وآثاره، وعبر صياغة التوصيات المصممة خصيصًا لاحتياجات المتضررين من الانتهاكات بسبب نوعهم الاجتماعي أو ميولهم الجنسية. ولقد طبقت البعثة نهجًا يراعي اعتبارات الجنسيْن في جميع نواحي عملها، مع مراعاة واقع أن الأسباب الجذرية للعنف قد تكون متعددة العوامل.</w:t>
      </w:r>
    </w:p>
    <w:p w14:paraId="2E0AEBFB" w14:textId="77777777" w:rsidR="00C16279" w:rsidRPr="006500F0" w:rsidRDefault="00C16279" w:rsidP="00C16279">
      <w:pPr>
        <w:suppressAutoHyphens w:val="0"/>
        <w:spacing w:line="240" w:lineRule="auto"/>
        <w:rPr>
          <w:rFonts w:asciiTheme="majorBidi" w:hAnsiTheme="majorBidi" w:cstheme="majorBidi"/>
          <w:b/>
          <w:sz w:val="28"/>
          <w:lang w:val="en-CA" w:bidi="ar-LB"/>
        </w:rPr>
      </w:pPr>
      <w:r w:rsidRPr="006500F0">
        <w:rPr>
          <w:rFonts w:asciiTheme="majorBidi" w:hAnsiTheme="majorBidi" w:cstheme="majorBidi"/>
          <w:lang w:val="en-CA" w:bidi="ar-LB"/>
        </w:rPr>
        <w:br w:type="page"/>
      </w:r>
    </w:p>
    <w:p w14:paraId="740BB86C" w14:textId="55BB2565" w:rsidR="00C16279" w:rsidRPr="006500F0" w:rsidRDefault="00E24CE5" w:rsidP="00E24CE5">
      <w:pPr>
        <w:pStyle w:val="HChG"/>
        <w:kinsoku w:val="0"/>
        <w:overflowPunct w:val="0"/>
        <w:autoSpaceDE w:val="0"/>
        <w:autoSpaceDN w:val="0"/>
        <w:bidi/>
        <w:adjustRightInd w:val="0"/>
        <w:snapToGrid w:val="0"/>
        <w:rPr>
          <w:rFonts w:asciiTheme="majorBidi" w:hAnsiTheme="majorBidi" w:cstheme="majorBidi"/>
          <w:b w:val="0"/>
          <w:bCs/>
          <w:lang w:val="en-CA" w:bidi="ar-LB"/>
        </w:rPr>
      </w:pPr>
      <w:r w:rsidRPr="006500F0">
        <w:rPr>
          <w:rFonts w:asciiTheme="majorBidi" w:hAnsiTheme="majorBidi" w:cstheme="majorBidi"/>
          <w:b w:val="0"/>
          <w:bCs/>
          <w:rtl/>
          <w:lang w:val="en-CA" w:bidi="ar-LB"/>
        </w:rPr>
        <w:lastRenderedPageBreak/>
        <w:t>المرفق 2</w:t>
      </w:r>
    </w:p>
    <w:p w14:paraId="00AF08F0" w14:textId="656F361B" w:rsidR="00C16279" w:rsidRPr="006500F0" w:rsidRDefault="00C16279" w:rsidP="00544E85">
      <w:pPr>
        <w:pStyle w:val="H1G"/>
        <w:bidi/>
        <w:rPr>
          <w:rFonts w:asciiTheme="majorBidi" w:hAnsiTheme="majorBidi" w:cstheme="majorBidi"/>
          <w:b w:val="0"/>
          <w:bCs/>
          <w:lang w:val="en-CA" w:bidi="ar-LB"/>
        </w:rPr>
      </w:pPr>
      <w:r w:rsidRPr="006500F0">
        <w:rPr>
          <w:rFonts w:asciiTheme="majorBidi" w:eastAsiaTheme="minorHAnsi" w:hAnsiTheme="majorBidi" w:cstheme="majorBidi"/>
          <w:lang w:val="en-CA" w:bidi="ar-LB"/>
        </w:rPr>
        <w:tab/>
      </w:r>
      <w:r w:rsidRPr="006500F0">
        <w:rPr>
          <w:rFonts w:asciiTheme="majorBidi" w:eastAsiaTheme="minorHAnsi" w:hAnsiTheme="majorBidi" w:cstheme="majorBidi"/>
          <w:lang w:val="en-CA" w:bidi="ar-LB"/>
        </w:rPr>
        <w:tab/>
      </w:r>
      <w:r w:rsidR="00544E85" w:rsidRPr="006500F0">
        <w:rPr>
          <w:rFonts w:asciiTheme="majorBidi" w:eastAsiaTheme="minorHAnsi" w:hAnsiTheme="majorBidi" w:cstheme="majorBidi"/>
          <w:b w:val="0"/>
          <w:bCs/>
          <w:rtl/>
          <w:lang w:val="en-CA" w:bidi="ar-LB"/>
        </w:rPr>
        <w:t>القوانين المرعية الإجراء</w:t>
      </w:r>
    </w:p>
    <w:p w14:paraId="55F6A2D9" w14:textId="6AFC2744" w:rsidR="00C16279" w:rsidRPr="006500F0" w:rsidRDefault="00C16279" w:rsidP="004E5FDF">
      <w:pPr>
        <w:pStyle w:val="H23G"/>
        <w:bidi/>
        <w:rPr>
          <w:rFonts w:asciiTheme="majorBidi" w:hAnsiTheme="majorBidi" w:cstheme="majorBidi"/>
          <w:b w:val="0"/>
          <w:bCs/>
          <w:lang w:val="en-CA" w:bidi="ar-LB"/>
        </w:rPr>
      </w:pPr>
      <w:r w:rsidRPr="006500F0">
        <w:rPr>
          <w:rFonts w:asciiTheme="majorBidi" w:hAnsiTheme="majorBidi" w:cstheme="majorBidi"/>
          <w:b w:val="0"/>
          <w:bCs/>
          <w:lang w:val="en-CA" w:bidi="ar-LB"/>
        </w:rPr>
        <w:tab/>
      </w:r>
      <w:r w:rsidRPr="006500F0">
        <w:rPr>
          <w:rFonts w:asciiTheme="majorBidi" w:hAnsiTheme="majorBidi" w:cstheme="majorBidi"/>
          <w:b w:val="0"/>
          <w:bCs/>
          <w:lang w:val="en-CA" w:bidi="ar-LB"/>
        </w:rPr>
        <w:tab/>
      </w:r>
      <w:r w:rsidR="004E5FDF" w:rsidRPr="006500F0">
        <w:rPr>
          <w:rFonts w:asciiTheme="majorBidi" w:hAnsiTheme="majorBidi" w:cstheme="majorBidi"/>
          <w:b w:val="0"/>
          <w:bCs/>
          <w:rtl/>
          <w:lang w:val="en-CA" w:bidi="ar-LB"/>
        </w:rPr>
        <w:t>الإطار القانوني العام</w:t>
      </w:r>
    </w:p>
    <w:p w14:paraId="52A9C746" w14:textId="3BD274E9" w:rsidR="0011252E" w:rsidRPr="006500F0" w:rsidRDefault="0011252E" w:rsidP="0011252E">
      <w:pPr>
        <w:pStyle w:val="ParNoG"/>
        <w:numPr>
          <w:ilvl w:val="0"/>
          <w:numId w:val="21"/>
        </w:numPr>
        <w:bidi/>
        <w:rPr>
          <w:rFonts w:asciiTheme="majorBidi" w:hAnsiTheme="majorBidi" w:cstheme="majorBidi"/>
          <w:lang w:val="en-CA" w:bidi="ar-LB"/>
        </w:rPr>
      </w:pPr>
      <w:r w:rsidRPr="006500F0">
        <w:rPr>
          <w:rFonts w:asciiTheme="majorBidi" w:hAnsiTheme="majorBidi" w:cstheme="majorBidi"/>
          <w:rtl/>
          <w:lang w:val="en-CA" w:bidi="ar-LB"/>
        </w:rPr>
        <w:t>يشكل القانون الدولي لحقوق الإنسان مجموعة قوانين دولية، تنبع عن المعاهدات أو الأعراف التي تتطلب من الدول احترام حقوق الإنسان وحمايتها والوفاء بها في جميع الأوقات. تُعدّ ليبيا طرفًا في اثنتي عشرة معاهدة من أصل ثمانية عشر معاهدة أساسية لحقوق الإنسان، وهي أيضًا طرف في عدد من صكوك حقوق الإنسان الإقليمية (المرفق 3). وتساعد بعض صكوك القوانين غير الملزمة أيضًا في تحديد التزامات حقوق الإنسان (المرفق 4). في حين أن التزامات القانون الدولي لحقوق الإنسان تنطبق على الدول في المقام الأول، إلا أنّ البعثة أيّدتْ النهج المعتمد من قبل لجنة التحقيق الدولية بشأن ليبيا، التي درستْ ادعاءات انتهاكات حقوق الإنسان من قبل جهات فاعلة غير حكومية، مشيرة إلى أنه "هناك توافق متزايد على أن الجهات الفاعلة غير الحكومية التي تمارس سيطرة فعلية على إقليم ما مُطالبة باحترام حقوق الإنسان الأساسية داخل حدود ذلك الإقليم" (</w:t>
      </w:r>
      <w:r w:rsidRPr="006500F0">
        <w:rPr>
          <w:rFonts w:asciiTheme="majorBidi" w:hAnsiTheme="majorBidi" w:cstheme="majorBidi"/>
          <w:lang w:val="en-CA" w:bidi="ar-LB"/>
        </w:rPr>
        <w:t>A/HRC/17/44</w:t>
      </w:r>
      <w:r w:rsidRPr="006500F0">
        <w:rPr>
          <w:rFonts w:asciiTheme="majorBidi" w:hAnsiTheme="majorBidi" w:cstheme="majorBidi"/>
          <w:rtl/>
          <w:lang w:val="en-CA" w:bidi="ar-LB"/>
        </w:rPr>
        <w:t>، الفقرة 62).</w:t>
      </w:r>
    </w:p>
    <w:p w14:paraId="28F49A33" w14:textId="4F3CDF3D" w:rsidR="00C16279" w:rsidRPr="006500F0" w:rsidRDefault="003925E3" w:rsidP="000E645A">
      <w:pPr>
        <w:pStyle w:val="ParNoG"/>
        <w:numPr>
          <w:ilvl w:val="0"/>
          <w:numId w:val="21"/>
        </w:numPr>
        <w:bidi/>
        <w:rPr>
          <w:rFonts w:asciiTheme="majorBidi" w:hAnsiTheme="majorBidi" w:cstheme="majorBidi"/>
          <w:lang w:bidi="ar-LB"/>
        </w:rPr>
      </w:pPr>
      <w:r w:rsidRPr="006500F0">
        <w:rPr>
          <w:rFonts w:asciiTheme="majorBidi" w:hAnsiTheme="majorBidi" w:cstheme="majorBidi"/>
          <w:rtl/>
          <w:lang w:val="en-CA" w:bidi="ar-LB"/>
        </w:rPr>
        <w:t>يتألف القانون الدولي الإنساني من مجموعة قوانين دولية، تنبع من المعاهدات أو الأعراف، وتنظم سلوك الأطراف المشاركة في نزاع مسلح. وتُعدّ ليبيا طرفًا في الصكوك المدرجة في المرفق 5. ونظرًا إلى أن الانتهاكات المزعومة للقانون الدولي الإنساني حدثت جميعها إما في سياق نزاع مسلح بين القوات المسلحة التابعة للدولة الليبية وجماعة مسلحة غير تابعة للدولة، أو في سياق نزاع مسلح بين مجموعتين أو أكثر من الجماعات المسلحة غير التابعة للدولة، فنظرتْ البعثة في القواعد العرفية وقواعد معاهدات القانون الدولي الإنساني كما تنطبق على النزاعات المسلحة غير الدولية.</w:t>
      </w:r>
    </w:p>
    <w:p w14:paraId="046B38CB" w14:textId="77777777" w:rsidR="00C955D0" w:rsidRPr="006500F0" w:rsidRDefault="00C955D0" w:rsidP="00C955D0">
      <w:pPr>
        <w:pStyle w:val="ParNoG"/>
        <w:numPr>
          <w:ilvl w:val="0"/>
          <w:numId w:val="21"/>
        </w:numPr>
        <w:bidi/>
        <w:rPr>
          <w:rFonts w:asciiTheme="majorBidi" w:hAnsiTheme="majorBidi" w:cstheme="majorBidi"/>
          <w:lang w:val="en-CA" w:bidi="ar-LB"/>
        </w:rPr>
      </w:pPr>
      <w:r w:rsidRPr="006500F0">
        <w:rPr>
          <w:rFonts w:asciiTheme="majorBidi" w:hAnsiTheme="majorBidi" w:cstheme="majorBidi"/>
          <w:rtl/>
          <w:lang w:val="en-CA" w:bidi="ar-LB"/>
        </w:rPr>
        <w:t>يحدد القانون الجنائي الدولي المسؤولية الجنائية الفردية عن فئات معينة من السلوك يُنظر إليها على أنها جرائم دولية، مثل الإبادة الجماعية والجرائم ضد الإنسانية وجرائم الحرب. تنبع هذه الجرائم من القانون الدولي لحقوق الإنسان و/أو القانون الدولي الإنساني، وجرى تعريفها بشكل خاص في نظام روما الأساسي للمحكمة الجنائية الدولية. وكما ذُكر أعلاه، يجري حاليًا التحقيق في الوضع داخل ليبيا من قبل مكتب المدعي العام للمحكمة الجنائية الدولية. وبالنظر إلى أوجه التقارب بين اختصاص المحكمة الجنائية الدولية وولاية البعثة، فقد رسّخت البعثة تحليلها الخاصّ بالجرائم الدولية المحتملة بما يتماشى مع نظام روما الأساسي وأركان الجرائم بحسب المحكمة الجنائية الدولية.</w:t>
      </w:r>
      <w:r w:rsidRPr="006500F0">
        <w:rPr>
          <w:rFonts w:asciiTheme="majorBidi" w:hAnsiTheme="majorBidi" w:cstheme="majorBidi"/>
          <w:lang w:val="en-CA" w:bidi="ar-LB"/>
        </w:rPr>
        <w:t xml:space="preserve">  </w:t>
      </w:r>
    </w:p>
    <w:p w14:paraId="689EF412" w14:textId="018C946E" w:rsidR="00C16279" w:rsidRPr="006500F0" w:rsidRDefault="004911A5" w:rsidP="004911A5">
      <w:pPr>
        <w:pStyle w:val="H23G"/>
        <w:bidi/>
        <w:ind w:firstLine="0"/>
        <w:rPr>
          <w:rFonts w:asciiTheme="majorBidi" w:hAnsiTheme="majorBidi" w:cstheme="majorBidi"/>
          <w:b w:val="0"/>
          <w:bCs/>
          <w:lang w:bidi="ar-LB"/>
        </w:rPr>
      </w:pPr>
      <w:r w:rsidRPr="006500F0">
        <w:rPr>
          <w:rFonts w:asciiTheme="majorBidi" w:hAnsiTheme="majorBidi" w:cstheme="majorBidi"/>
          <w:b w:val="0"/>
          <w:bCs/>
          <w:rtl/>
          <w:lang w:bidi="ar-LB"/>
        </w:rPr>
        <w:lastRenderedPageBreak/>
        <w:t>الجرائم ضدّ الإنسانية</w:t>
      </w:r>
    </w:p>
    <w:p w14:paraId="60059F9C" w14:textId="22DF87FE" w:rsidR="00C76D20" w:rsidRPr="006500F0" w:rsidRDefault="00C76D20" w:rsidP="00C76D20">
      <w:pPr>
        <w:pStyle w:val="ParNoG"/>
        <w:bidi/>
        <w:rPr>
          <w:rFonts w:asciiTheme="majorBidi" w:hAnsiTheme="majorBidi" w:cstheme="majorBidi"/>
          <w:lang w:bidi="ar-LB"/>
        </w:rPr>
      </w:pPr>
      <w:r w:rsidRPr="006500F0">
        <w:rPr>
          <w:rFonts w:asciiTheme="majorBidi" w:eastAsia="Calibri" w:hAnsiTheme="majorBidi" w:cstheme="majorBidi"/>
          <w:rtl/>
          <w:lang w:bidi="ar-LB"/>
        </w:rPr>
        <w:t xml:space="preserve">تستوجب جريمة </w:t>
      </w:r>
      <w:r w:rsidRPr="006500F0">
        <w:rPr>
          <w:rFonts w:asciiTheme="majorBidi" w:eastAsia="Calibri" w:hAnsiTheme="majorBidi" w:cstheme="majorBidi"/>
          <w:b/>
          <w:bCs/>
          <w:rtl/>
          <w:lang w:bidi="ar-LB"/>
        </w:rPr>
        <w:t>القتل</w:t>
      </w:r>
      <w:r w:rsidRPr="006500F0">
        <w:rPr>
          <w:rFonts w:asciiTheme="majorBidi" w:eastAsia="Calibri" w:hAnsiTheme="majorBidi" w:cstheme="majorBidi"/>
          <w:rtl/>
          <w:lang w:bidi="ar-LB"/>
        </w:rPr>
        <w:t xml:space="preserve"> بموجب القانون الجنائي الدولي التسبب في وفاة شخص بشكل غير قانوني. يجب على الجاني إما أن يتصرف بنية التسبب في مثل هذه الوفاة أو التسبب بإصابة خطيرة، أو إدراكه أن الوفاة ستكون نتيجة لسلوكه. قد يشمل القتل الإعدام، إضافة إلى الوفيات الناتجة عن التعذيب والتجويع والظروف غير الصحية والحرمان من الرعاية الطبية.</w:t>
      </w:r>
    </w:p>
    <w:p w14:paraId="73CCDA92" w14:textId="21E4EDDB" w:rsidR="00450856" w:rsidRPr="006500F0" w:rsidRDefault="00450856" w:rsidP="00450856">
      <w:pPr>
        <w:pStyle w:val="ParNoG"/>
        <w:bidi/>
        <w:rPr>
          <w:rFonts w:asciiTheme="majorBidi" w:hAnsiTheme="majorBidi" w:cstheme="majorBidi"/>
          <w:lang w:bidi="ar-LB"/>
        </w:rPr>
      </w:pPr>
      <w:r w:rsidRPr="006500F0">
        <w:rPr>
          <w:rFonts w:asciiTheme="majorBidi" w:hAnsiTheme="majorBidi" w:cstheme="majorBidi"/>
          <w:rtl/>
          <w:lang w:bidi="ar-LB"/>
        </w:rPr>
        <w:t xml:space="preserve">يعني </w:t>
      </w:r>
      <w:r w:rsidRPr="006500F0">
        <w:rPr>
          <w:rFonts w:asciiTheme="majorBidi" w:hAnsiTheme="majorBidi" w:cstheme="majorBidi"/>
          <w:b/>
          <w:bCs/>
          <w:rtl/>
          <w:lang w:bidi="ar-LB"/>
        </w:rPr>
        <w:t>الاسترقاق</w:t>
      </w:r>
      <w:r w:rsidRPr="006500F0">
        <w:rPr>
          <w:rFonts w:asciiTheme="majorBidi" w:hAnsiTheme="majorBidi" w:cstheme="majorBidi"/>
          <w:rtl/>
          <w:lang w:bidi="ar-LB"/>
        </w:rPr>
        <w:t xml:space="preserve"> ممارسة أي من السلطات المترتبة على حق الملكية، أو هذه السلطات جميعها، على شخص ما، بما في ذلك ممارسة هذه السلطات في سبيل الاتجار بالأشخاص، ولا سيما النساء والأطفال.</w:t>
      </w:r>
    </w:p>
    <w:p w14:paraId="146A055F" w14:textId="3169EC4D" w:rsidR="009A4B5A" w:rsidRPr="006500F0" w:rsidRDefault="009A4B5A" w:rsidP="00F1248B">
      <w:pPr>
        <w:pStyle w:val="ParNoG"/>
        <w:bidi/>
        <w:rPr>
          <w:rFonts w:asciiTheme="majorBidi" w:hAnsiTheme="majorBidi" w:cstheme="majorBidi"/>
          <w:lang w:bidi="ar-LB"/>
        </w:rPr>
      </w:pPr>
      <w:r w:rsidRPr="006500F0">
        <w:rPr>
          <w:rFonts w:asciiTheme="majorBidi" w:hAnsiTheme="majorBidi" w:cstheme="majorBidi"/>
          <w:rtl/>
          <w:lang w:bidi="ar-LB"/>
        </w:rPr>
        <w:t xml:space="preserve">يشمل </w:t>
      </w:r>
      <w:r w:rsidRPr="006500F0">
        <w:rPr>
          <w:rFonts w:asciiTheme="majorBidi" w:hAnsiTheme="majorBidi" w:cstheme="majorBidi"/>
          <w:b/>
          <w:bCs/>
          <w:rtl/>
          <w:lang w:bidi="ar-LB"/>
        </w:rPr>
        <w:t>السجن</w:t>
      </w:r>
      <w:r w:rsidRPr="006500F0">
        <w:rPr>
          <w:rFonts w:asciiTheme="majorBidi" w:hAnsiTheme="majorBidi" w:cstheme="majorBidi"/>
          <w:rtl/>
          <w:lang w:bidi="ar-LB"/>
        </w:rPr>
        <w:t xml:space="preserve"> الذي ينتهك القواعد الأساسية للقانون الدولي الاحتجاز الذي لا يحترم المبادئ الأساسية للإجراءات القانونية الواجبة. نُصّ على هذه المبادئ في المادتين 9 و 14 من العهد الدولي الخاص بالحقوق المدنية والسياسية. يتم الوصول إلى مستوى الخطورة المطلوب عندما يتم احتجاز الأشخاص لفترات طويلة من الزمن دون أن يمثلوا أمام قاضٍ مستقل أو يُتهمون أو يُحاكمون أو يُدانوا حسب الأصول عن أي جريمة.</w:t>
      </w:r>
    </w:p>
    <w:p w14:paraId="7FE49ACD" w14:textId="355DA44F" w:rsidR="00C16279" w:rsidRPr="006500F0" w:rsidRDefault="009A4B5A" w:rsidP="00331327">
      <w:pPr>
        <w:pStyle w:val="ParNoG"/>
        <w:bidi/>
        <w:rPr>
          <w:rFonts w:asciiTheme="majorBidi" w:hAnsiTheme="majorBidi" w:cstheme="majorBidi"/>
          <w:lang w:bidi="ar-LB"/>
        </w:rPr>
      </w:pPr>
      <w:r w:rsidRPr="006500F0">
        <w:rPr>
          <w:rFonts w:asciiTheme="majorBidi" w:eastAsia="Calibri" w:hAnsiTheme="majorBidi" w:cstheme="majorBidi"/>
          <w:rtl/>
          <w:lang w:bidi="ar-LB"/>
        </w:rPr>
        <w:t xml:space="preserve">يعرّف نظام روما الأساسي </w:t>
      </w:r>
      <w:r w:rsidRPr="006500F0">
        <w:rPr>
          <w:rFonts w:asciiTheme="majorBidi" w:eastAsia="Calibri" w:hAnsiTheme="majorBidi" w:cstheme="majorBidi"/>
          <w:b/>
          <w:bCs/>
          <w:rtl/>
          <w:lang w:bidi="ar-LB"/>
        </w:rPr>
        <w:t>التعذيب</w:t>
      </w:r>
      <w:r w:rsidRPr="006500F0">
        <w:rPr>
          <w:rFonts w:asciiTheme="majorBidi" w:eastAsia="Calibri" w:hAnsiTheme="majorBidi" w:cstheme="majorBidi"/>
          <w:rtl/>
          <w:lang w:bidi="ar-LB"/>
        </w:rPr>
        <w:t xml:space="preserve"> على أنه تعمّد إلحاق ألم شديد أو معاناة شديدة، سواء بدنياً أو عقلياً، بشخص موجود تحت إشراف المتهم أو سيطرته. </w:t>
      </w:r>
      <w:r w:rsidRPr="006500F0">
        <w:rPr>
          <w:rFonts w:asciiTheme="majorBidi" w:hAnsiTheme="majorBidi" w:cstheme="majorBidi"/>
          <w:rtl/>
          <w:lang w:bidi="ar-LB"/>
        </w:rPr>
        <w:t>إن</w:t>
      </w:r>
      <w:r w:rsidRPr="006500F0">
        <w:rPr>
          <w:rFonts w:asciiTheme="majorBidi" w:eastAsia="Calibri" w:hAnsiTheme="majorBidi" w:cstheme="majorBidi"/>
          <w:rtl/>
          <w:lang w:bidi="ar-LB"/>
        </w:rPr>
        <w:t xml:space="preserve"> </w:t>
      </w:r>
      <w:r w:rsidRPr="006500F0">
        <w:rPr>
          <w:rFonts w:asciiTheme="majorBidi" w:hAnsiTheme="majorBidi" w:cstheme="majorBidi"/>
          <w:rtl/>
          <w:lang w:bidi="ar-LB"/>
        </w:rPr>
        <w:t>تعريض</w:t>
      </w:r>
      <w:r w:rsidRPr="006500F0">
        <w:rPr>
          <w:rFonts w:asciiTheme="majorBidi" w:eastAsia="Calibri" w:hAnsiTheme="majorBidi" w:cstheme="majorBidi"/>
          <w:rtl/>
          <w:lang w:bidi="ar-LB"/>
        </w:rPr>
        <w:t xml:space="preserve"> الأشخاص عمدًا لظروف احتجاز غير إنسانية للغاية بقصد ترهيبهم ومعاقبتهم قد يصل إلى حد التعذيب.</w:t>
      </w:r>
    </w:p>
    <w:p w14:paraId="489EC981" w14:textId="7D5587C9" w:rsidR="00331327" w:rsidRPr="006500F0" w:rsidRDefault="00331327" w:rsidP="00331327">
      <w:pPr>
        <w:pStyle w:val="ParNoG"/>
        <w:bidi/>
        <w:rPr>
          <w:rFonts w:asciiTheme="majorBidi" w:hAnsiTheme="majorBidi" w:cstheme="majorBidi"/>
          <w:lang w:bidi="ar-LB"/>
        </w:rPr>
      </w:pPr>
      <w:r w:rsidRPr="006500F0">
        <w:rPr>
          <w:rFonts w:asciiTheme="majorBidi" w:hAnsiTheme="majorBidi" w:cstheme="majorBidi"/>
          <w:rtl/>
          <w:lang w:bidi="ar-LB"/>
        </w:rPr>
        <w:t xml:space="preserve">يجرّم نظام روما الأساسي </w:t>
      </w:r>
      <w:r w:rsidRPr="006500F0">
        <w:rPr>
          <w:rFonts w:asciiTheme="majorBidi" w:hAnsiTheme="majorBidi" w:cstheme="majorBidi"/>
          <w:b/>
          <w:bCs/>
          <w:rtl/>
          <w:lang w:bidi="ar-LB"/>
        </w:rPr>
        <w:t xml:space="preserve">الاغتصاب </w:t>
      </w:r>
      <w:r w:rsidRPr="006500F0">
        <w:rPr>
          <w:rFonts w:asciiTheme="majorBidi" w:hAnsiTheme="majorBidi" w:cstheme="majorBidi"/>
          <w:rtl/>
          <w:lang w:bidi="ar-LB"/>
        </w:rPr>
        <w:t>أو الاستعباد الجنسي أو الإكراه على البغاء أو الحمل القسري أو التعقيم القسري أو أي شكل آخر من أشكال العنف الجنسي على مثل هذا الدرجة من الخطورة.</w:t>
      </w:r>
    </w:p>
    <w:p w14:paraId="55472C82" w14:textId="06C73C2A" w:rsidR="007B0D00" w:rsidRPr="006500F0" w:rsidRDefault="007B0D00" w:rsidP="007B0D00">
      <w:pPr>
        <w:pStyle w:val="ParNoG"/>
        <w:bidi/>
        <w:rPr>
          <w:rFonts w:asciiTheme="majorBidi" w:hAnsiTheme="majorBidi" w:cstheme="majorBidi"/>
          <w:rtl/>
          <w:lang w:bidi="ar-LB"/>
        </w:rPr>
      </w:pPr>
      <w:r w:rsidRPr="006500F0">
        <w:rPr>
          <w:rFonts w:asciiTheme="majorBidi" w:hAnsiTheme="majorBidi" w:cstheme="majorBidi"/>
          <w:rtl/>
          <w:lang w:bidi="ar-LB"/>
        </w:rPr>
        <w:t xml:space="preserve">يستوجب </w:t>
      </w:r>
      <w:r w:rsidRPr="006500F0">
        <w:rPr>
          <w:rFonts w:asciiTheme="majorBidi" w:hAnsiTheme="majorBidi" w:cstheme="majorBidi"/>
          <w:b/>
          <w:bCs/>
          <w:rtl/>
          <w:lang w:bidi="ar-LB"/>
        </w:rPr>
        <w:t>الاضطهاد</w:t>
      </w:r>
      <w:r w:rsidRPr="006500F0">
        <w:rPr>
          <w:rFonts w:asciiTheme="majorBidi" w:hAnsiTheme="majorBidi" w:cstheme="majorBidi"/>
          <w:rtl/>
          <w:lang w:bidi="ar-LB"/>
        </w:rPr>
        <w:t xml:space="preserve"> أي سلوك يتصل بجريمة أخرى ضد الإنسانية، وأن يستهدف الجاني ضحايا لأسباب سياسية أو عرقية أو قومية أو إثنية أو ثقافية أو دينية، أو متعلقة بنوع الجنس، أو لأسباب أخرى من المسلم عالمياً بأن القانون الدولي لا يجيزها</w:t>
      </w:r>
      <w:r w:rsidRPr="006500F0">
        <w:rPr>
          <w:rFonts w:asciiTheme="majorBidi" w:hAnsiTheme="majorBidi" w:cstheme="majorBidi"/>
          <w:color w:val="555555"/>
          <w:shd w:val="clear" w:color="auto" w:fill="FBFAF6"/>
          <w:lang w:bidi="ar-LB"/>
        </w:rPr>
        <w:t>.</w:t>
      </w:r>
    </w:p>
    <w:p w14:paraId="2533B695" w14:textId="38158558" w:rsidR="004E5A60" w:rsidRPr="006500F0" w:rsidRDefault="004E5A60" w:rsidP="004E5A60">
      <w:pPr>
        <w:pStyle w:val="ParNoG"/>
        <w:bidi/>
        <w:rPr>
          <w:rFonts w:asciiTheme="majorBidi" w:eastAsia="Calibri" w:hAnsiTheme="majorBidi" w:cstheme="majorBidi"/>
          <w:lang w:bidi="ar-LB"/>
        </w:rPr>
      </w:pPr>
      <w:r w:rsidRPr="006500F0">
        <w:rPr>
          <w:rFonts w:asciiTheme="majorBidi" w:eastAsia="Calibri" w:hAnsiTheme="majorBidi" w:cstheme="majorBidi"/>
          <w:rtl/>
          <w:lang w:bidi="ar-LB"/>
        </w:rPr>
        <w:t xml:space="preserve">يُعرِّف القانون الجنائي الدولي </w:t>
      </w:r>
      <w:r w:rsidRPr="006500F0">
        <w:rPr>
          <w:rFonts w:asciiTheme="majorBidi" w:eastAsia="Calibri" w:hAnsiTheme="majorBidi" w:cstheme="majorBidi"/>
          <w:b/>
          <w:bCs/>
          <w:rtl/>
          <w:lang w:bidi="ar-LB"/>
        </w:rPr>
        <w:t>الاختفاء القسري</w:t>
      </w:r>
      <w:r w:rsidRPr="006500F0">
        <w:rPr>
          <w:rFonts w:asciiTheme="majorBidi" w:eastAsia="Calibri" w:hAnsiTheme="majorBidi" w:cstheme="majorBidi"/>
          <w:rtl/>
          <w:lang w:bidi="ar-LB"/>
        </w:rPr>
        <w:t xml:space="preserve"> على أنه إلقاء القبض على أي أشخاص أو احتجازهم أو اختطافهم من قبل دولة أو منظمة سياسية، أو بإذن أو دعم منها لهذا الفعل أو بسكوتها عليه، ثم رفضها الإقرار بحرمان هؤلاء الأشخاص من حريتهم أو إعطاء معلومات عن مصيرهم أو عن أماكن وجودهم بهدف حرمانهم من حماية القانون لفترة زمنية طويلة</w:t>
      </w:r>
      <w:r w:rsidRPr="006500F0">
        <w:rPr>
          <w:rFonts w:asciiTheme="majorBidi" w:eastAsia="Calibri" w:hAnsiTheme="majorBidi" w:cstheme="majorBidi"/>
          <w:lang w:bidi="ar-LB"/>
        </w:rPr>
        <w:t>.</w:t>
      </w:r>
    </w:p>
    <w:p w14:paraId="11680037" w14:textId="77777777" w:rsidR="004E5A60" w:rsidRPr="006500F0" w:rsidRDefault="004E5A60" w:rsidP="004E5A60">
      <w:pPr>
        <w:pStyle w:val="ParNoG"/>
        <w:bidi/>
        <w:rPr>
          <w:rFonts w:asciiTheme="majorBidi" w:hAnsiTheme="majorBidi" w:cstheme="majorBidi"/>
          <w:rtl/>
          <w:lang w:bidi="ar-LB"/>
        </w:rPr>
      </w:pPr>
      <w:r w:rsidRPr="006500F0">
        <w:rPr>
          <w:rFonts w:asciiTheme="majorBidi" w:hAnsiTheme="majorBidi" w:cstheme="majorBidi"/>
          <w:rtl/>
          <w:lang w:bidi="ar-LB"/>
        </w:rPr>
        <w:t>تستوجب "</w:t>
      </w:r>
      <w:r w:rsidRPr="006500F0">
        <w:rPr>
          <w:rFonts w:asciiTheme="majorBidi" w:hAnsiTheme="majorBidi" w:cstheme="majorBidi"/>
          <w:b/>
          <w:bCs/>
          <w:rtl/>
          <w:lang w:bidi="ar-LB"/>
        </w:rPr>
        <w:t>الأفعال اللاإنسانية الأخرى</w:t>
      </w:r>
      <w:r w:rsidRPr="006500F0">
        <w:rPr>
          <w:rFonts w:asciiTheme="majorBidi" w:hAnsiTheme="majorBidi" w:cstheme="majorBidi"/>
          <w:rtl/>
          <w:lang w:bidi="ar-LB"/>
        </w:rPr>
        <w:t xml:space="preserve">" نفس درجة الطبيعة والحجم والخطورة الخاصّة بالجرائم الأخرى المدرجة. ورأت البعثة أن الإجراءات التي تمنع المهاجرين من مغادرة ليبيا، والتي تنتهك الحق المعترف به دوليًا في المغادرة وقد تسبب معاناة كبيرة، يمكن تصنيفها على أنها أعمال غير إنسانية أخرى بالمعنى المقصود في المادة 7 من نظام روما الأساسي. واعتمدت البعثة وجهة نظر مماثلة في ما يتعلق بعدم تقديم المساعدة للمهاجرين المعرضين للخطر في البحر، ما يسلط </w:t>
      </w:r>
      <w:r w:rsidRPr="006500F0">
        <w:rPr>
          <w:rFonts w:asciiTheme="majorBidi" w:hAnsiTheme="majorBidi" w:cstheme="majorBidi"/>
          <w:rtl/>
          <w:lang w:bidi="ar-LB"/>
        </w:rPr>
        <w:lastRenderedPageBreak/>
        <w:t>الضوء على عدم الامتثال لواجب حماية حياة الأفراد الخاضعين لسيطرة الدولة وقد يؤدي إلى إلحاق أذى خطير بالضحايا.</w:t>
      </w:r>
    </w:p>
    <w:p w14:paraId="49C9F5B2" w14:textId="368CB69F" w:rsidR="00C27382" w:rsidRPr="006500F0" w:rsidRDefault="00C27382" w:rsidP="00944C53">
      <w:pPr>
        <w:pStyle w:val="H23G"/>
        <w:bidi/>
        <w:rPr>
          <w:rFonts w:asciiTheme="majorBidi" w:hAnsiTheme="majorBidi" w:cstheme="majorBidi"/>
          <w:b w:val="0"/>
          <w:bCs/>
          <w:lang w:bidi="ar-LB"/>
        </w:rPr>
      </w:pPr>
      <w:r w:rsidRPr="006500F0">
        <w:rPr>
          <w:rFonts w:asciiTheme="majorBidi" w:hAnsiTheme="majorBidi" w:cstheme="majorBidi"/>
          <w:b w:val="0"/>
          <w:bCs/>
          <w:lang w:bidi="ar-LB"/>
        </w:rPr>
        <w:tab/>
      </w:r>
      <w:r w:rsidRPr="006500F0">
        <w:rPr>
          <w:rFonts w:asciiTheme="majorBidi" w:hAnsiTheme="majorBidi" w:cstheme="majorBidi"/>
          <w:b w:val="0"/>
          <w:bCs/>
          <w:lang w:bidi="ar-LB"/>
        </w:rPr>
        <w:tab/>
      </w:r>
      <w:r w:rsidR="00944C53" w:rsidRPr="006500F0">
        <w:rPr>
          <w:rFonts w:asciiTheme="majorBidi" w:hAnsiTheme="majorBidi" w:cstheme="majorBidi"/>
          <w:b w:val="0"/>
          <w:bCs/>
          <w:rtl/>
          <w:lang w:bidi="ar-LB"/>
        </w:rPr>
        <w:t>الارتزاق</w:t>
      </w:r>
    </w:p>
    <w:p w14:paraId="75BF225D" w14:textId="2EE4B7BA" w:rsidR="00B9323C" w:rsidRPr="006500F0" w:rsidRDefault="00B9323C" w:rsidP="00B9323C">
      <w:pPr>
        <w:pStyle w:val="ParNoG"/>
        <w:bidi/>
        <w:rPr>
          <w:rFonts w:asciiTheme="majorBidi" w:hAnsiTheme="majorBidi" w:cstheme="majorBidi"/>
          <w:rtl/>
          <w:lang w:bidi="ar-LB"/>
        </w:rPr>
      </w:pPr>
      <w:r w:rsidRPr="006500F0">
        <w:rPr>
          <w:rFonts w:asciiTheme="majorBidi" w:hAnsiTheme="majorBidi" w:cstheme="majorBidi"/>
          <w:rtl/>
          <w:lang w:val="en-US" w:bidi="ar-LB"/>
        </w:rPr>
        <w:t xml:space="preserve">تنظم اتفاقيتان دوليتان محددتان موضوع "الارتزاق"، ألا وهما:  الاتفاقية الدولية لمناهضة تجنيد المرتزقة واستخدامهم وتمويلهم وتدريبهم (التي انضمت إليها ليبيا في سبتمبر/أيلول 2000) ("اتفاقية الأمم المتحدة للمرتزقة")، واتفاقية القضاء على الارتزاق في أفريقيا (التي انضمت إليها ليبيا في مايو/أيار 2005) ("اتفاقية المرتزقة الأفريقية"). ليس الغرض من الاتفاقيتيْن تنظيم سلوك المرتزقة ووضعهم، بل القضاء على الظاهرة من خلال تجريمهم. وبموجب اتفاقية الأمم المتحدة للمرتزقة، فإنّ </w:t>
      </w:r>
      <w:r w:rsidRPr="006500F0">
        <w:rPr>
          <w:rFonts w:asciiTheme="majorBidi" w:hAnsiTheme="majorBidi" w:cstheme="majorBidi"/>
          <w:rtl/>
          <w:lang w:bidi="ar-LB"/>
        </w:rPr>
        <w:t>"المرتزق" هو أي شخص</w:t>
      </w:r>
      <w:r w:rsidRPr="006500F0">
        <w:rPr>
          <w:rFonts w:asciiTheme="majorBidi" w:hAnsiTheme="majorBidi" w:cstheme="majorBidi"/>
          <w:lang w:bidi="ar-LB"/>
        </w:rPr>
        <w:t>:</w:t>
      </w:r>
      <w:r w:rsidRPr="006500F0">
        <w:rPr>
          <w:rFonts w:asciiTheme="majorBidi" w:hAnsiTheme="majorBidi" w:cstheme="majorBidi"/>
          <w:rtl/>
          <w:lang w:bidi="ar-LB"/>
        </w:rPr>
        <w:t>(</w:t>
      </w:r>
      <w:r w:rsidR="0027664A" w:rsidRPr="006500F0">
        <w:rPr>
          <w:rFonts w:asciiTheme="majorBidi" w:hAnsiTheme="majorBidi" w:cstheme="majorBidi"/>
          <w:rtl/>
          <w:lang w:bidi="ar-LB"/>
        </w:rPr>
        <w:t>1</w:t>
      </w:r>
      <w:r w:rsidRPr="006500F0">
        <w:rPr>
          <w:rFonts w:asciiTheme="majorBidi" w:hAnsiTheme="majorBidi" w:cstheme="majorBidi"/>
          <w:rtl/>
          <w:lang w:bidi="ar-LB"/>
        </w:rPr>
        <w:t>) يجند خصيصاً، محليًا أو في الخارج، للقتال في نزاع مسلح؛ (</w:t>
      </w:r>
      <w:r w:rsidR="0027664A" w:rsidRPr="006500F0">
        <w:rPr>
          <w:rFonts w:asciiTheme="majorBidi" w:hAnsiTheme="majorBidi" w:cstheme="majorBidi"/>
          <w:rtl/>
          <w:lang w:bidi="ar-LB"/>
        </w:rPr>
        <w:t>2</w:t>
      </w:r>
      <w:r w:rsidRPr="006500F0">
        <w:rPr>
          <w:rFonts w:asciiTheme="majorBidi" w:hAnsiTheme="majorBidi" w:cstheme="majorBidi"/>
          <w:rtl/>
          <w:lang w:bidi="ar-LB"/>
        </w:rPr>
        <w:t>) ويكون دافعه الأساسي للاشتراك في الأعمال العدائية هو الرغبة في تحقيق مغنم شخصي؛ (</w:t>
      </w:r>
      <w:r w:rsidR="0027664A" w:rsidRPr="006500F0">
        <w:rPr>
          <w:rFonts w:asciiTheme="majorBidi" w:hAnsiTheme="majorBidi" w:cstheme="majorBidi"/>
          <w:rtl/>
          <w:lang w:bidi="ar-LB"/>
        </w:rPr>
        <w:t>3</w:t>
      </w:r>
      <w:r w:rsidRPr="006500F0">
        <w:rPr>
          <w:rFonts w:asciiTheme="majorBidi" w:hAnsiTheme="majorBidi" w:cstheme="majorBidi"/>
          <w:rtl/>
          <w:lang w:bidi="ar-LB"/>
        </w:rPr>
        <w:t>) ولا يكون من رعايا طرف في النزاع؛ (</w:t>
      </w:r>
      <w:r w:rsidR="0027664A" w:rsidRPr="006500F0">
        <w:rPr>
          <w:rFonts w:asciiTheme="majorBidi" w:hAnsiTheme="majorBidi" w:cstheme="majorBidi"/>
          <w:rtl/>
          <w:lang w:bidi="ar-LB"/>
        </w:rPr>
        <w:t>4</w:t>
      </w:r>
      <w:r w:rsidRPr="006500F0">
        <w:rPr>
          <w:rFonts w:asciiTheme="majorBidi" w:hAnsiTheme="majorBidi" w:cstheme="majorBidi"/>
          <w:rtl/>
          <w:lang w:bidi="ar-LB"/>
        </w:rPr>
        <w:t>) وليس من أفراد القوات المسلحة لطرف في النزاع؛ (</w:t>
      </w:r>
      <w:r w:rsidR="0027664A" w:rsidRPr="006500F0">
        <w:rPr>
          <w:rFonts w:asciiTheme="majorBidi" w:hAnsiTheme="majorBidi" w:cstheme="majorBidi"/>
          <w:rtl/>
          <w:lang w:bidi="ar-LB"/>
        </w:rPr>
        <w:t>5)</w:t>
      </w:r>
      <w:r w:rsidRPr="006500F0">
        <w:rPr>
          <w:rFonts w:asciiTheme="majorBidi" w:hAnsiTheme="majorBidi" w:cstheme="majorBidi"/>
          <w:rtl/>
          <w:lang w:bidi="ar-LB"/>
        </w:rPr>
        <w:t xml:space="preserve"> ولم توفده دولة ليست طرفًا في النزاع في مهمة رسمية بصفته من أفراد قواتها المسلحة</w:t>
      </w:r>
      <w:r w:rsidRPr="006500F0">
        <w:rPr>
          <w:rFonts w:asciiTheme="majorBidi" w:hAnsiTheme="majorBidi" w:cstheme="majorBidi"/>
          <w:lang w:bidi="ar-LB"/>
        </w:rPr>
        <w:t>.</w:t>
      </w:r>
      <w:r w:rsidR="0027664A" w:rsidRPr="006500F0">
        <w:rPr>
          <w:rFonts w:asciiTheme="majorBidi" w:hAnsiTheme="majorBidi" w:cstheme="majorBidi"/>
          <w:rtl/>
          <w:lang w:bidi="ar-LB"/>
        </w:rPr>
        <w:t xml:space="preserve"> بالإضافة إلى ذلك، تتطلب اتفاقية المرتزقة الأفريقية المشاركة المباشرة في الأعمال العدائية.</w:t>
      </w:r>
    </w:p>
    <w:p w14:paraId="22A6D827" w14:textId="77777777" w:rsidR="00B9323C" w:rsidRPr="006500F0" w:rsidRDefault="00B9323C" w:rsidP="00B9323C">
      <w:pPr>
        <w:pStyle w:val="ParNoG"/>
        <w:numPr>
          <w:ilvl w:val="0"/>
          <w:numId w:val="0"/>
        </w:numPr>
        <w:bidi/>
        <w:ind w:left="1134"/>
        <w:rPr>
          <w:rFonts w:asciiTheme="majorBidi" w:hAnsiTheme="majorBidi" w:cstheme="majorBidi"/>
          <w:lang w:bidi="ar-LB"/>
        </w:rPr>
      </w:pPr>
    </w:p>
    <w:p w14:paraId="2C649F6E" w14:textId="5BEC2F84" w:rsidR="00C27382" w:rsidRPr="006500F0" w:rsidRDefault="004C475A" w:rsidP="004C475A">
      <w:pPr>
        <w:pStyle w:val="H23G"/>
        <w:bidi/>
        <w:ind w:firstLine="0"/>
        <w:rPr>
          <w:rFonts w:asciiTheme="majorBidi" w:hAnsiTheme="majorBidi" w:cstheme="majorBidi"/>
          <w:b w:val="0"/>
          <w:bCs/>
          <w:lang w:bidi="ar-LB"/>
        </w:rPr>
      </w:pPr>
      <w:r w:rsidRPr="006500F0">
        <w:rPr>
          <w:rFonts w:asciiTheme="majorBidi" w:hAnsiTheme="majorBidi" w:cstheme="majorBidi"/>
          <w:b w:val="0"/>
          <w:bCs/>
          <w:rtl/>
          <w:lang w:bidi="ar-LB"/>
        </w:rPr>
        <w:t>القتل خارج نطاق القضاء</w:t>
      </w:r>
    </w:p>
    <w:p w14:paraId="5537D96A" w14:textId="77777777" w:rsidR="00F9128A" w:rsidRPr="006500F0" w:rsidRDefault="00F9128A" w:rsidP="00F9128A">
      <w:pPr>
        <w:pStyle w:val="ParNoG"/>
        <w:bidi/>
        <w:rPr>
          <w:rFonts w:asciiTheme="majorBidi" w:hAnsiTheme="majorBidi" w:cstheme="majorBidi"/>
          <w:rtl/>
          <w:lang w:bidi="ar-LB"/>
        </w:rPr>
      </w:pPr>
      <w:r w:rsidRPr="006500F0">
        <w:rPr>
          <w:rFonts w:asciiTheme="majorBidi" w:hAnsiTheme="majorBidi" w:cstheme="majorBidi"/>
          <w:rtl/>
          <w:lang w:bidi="ar-LB"/>
        </w:rPr>
        <w:t>يحصل القتل خارج نطاق القضاء عندما: (1) يتصرف موظف عمومي أو شخص آخر بتحريض من أو بموافقة موظف عمومي أو أي شخص آخر يتصرف بصفته الرسمية؛ (2) وكانت أفعاله مقصودة أو ناتجة عن إهمال؛ (3) وأسفرت عن وفاة واحدة أو أكثر؛ (4) وإذا كانوا يعلمون أو كان ينبغي أن يعلموا أن الموت قد ينجم عن أفعالهم؛ (5) وإذا لم يلتزموا بأي معايير ذات الصلة في ما يتعلق باستخدام القوة، بما في ذلك مبادئ الضرورة والتمييز والتناسب والحيطة؛ (6)  ولم تكن أفعالهم مصرحًا بها من خلال إجراء قانوني أو لم تمتثل لسيادة القانون.</w:t>
      </w:r>
    </w:p>
    <w:p w14:paraId="3A366E72" w14:textId="77777777" w:rsidR="00F9128A" w:rsidRPr="006500F0" w:rsidRDefault="00F9128A" w:rsidP="00F9128A">
      <w:pPr>
        <w:pStyle w:val="ParNoG"/>
        <w:numPr>
          <w:ilvl w:val="0"/>
          <w:numId w:val="0"/>
        </w:numPr>
        <w:bidi/>
        <w:ind w:left="1134"/>
        <w:rPr>
          <w:rFonts w:asciiTheme="majorBidi" w:hAnsiTheme="majorBidi" w:cstheme="majorBidi"/>
          <w:lang w:bidi="ar-LB"/>
        </w:rPr>
      </w:pPr>
    </w:p>
    <w:p w14:paraId="063D795A" w14:textId="1E055EAD" w:rsidR="00C27382" w:rsidRPr="006500F0" w:rsidRDefault="00C553AC" w:rsidP="00C553AC">
      <w:pPr>
        <w:pStyle w:val="H23G"/>
        <w:bidi/>
        <w:ind w:firstLine="0"/>
        <w:rPr>
          <w:rFonts w:asciiTheme="majorBidi" w:hAnsiTheme="majorBidi" w:cstheme="majorBidi"/>
          <w:b w:val="0"/>
          <w:bCs/>
          <w:lang w:bidi="ar-LB"/>
        </w:rPr>
      </w:pPr>
      <w:r w:rsidRPr="006500F0">
        <w:rPr>
          <w:rFonts w:asciiTheme="majorBidi" w:hAnsiTheme="majorBidi" w:cstheme="majorBidi"/>
          <w:b w:val="0"/>
          <w:bCs/>
          <w:rtl/>
          <w:lang w:bidi="ar-LB"/>
        </w:rPr>
        <w:t>الاختفاء القسري</w:t>
      </w:r>
    </w:p>
    <w:p w14:paraId="7BC6052A" w14:textId="77777777" w:rsidR="00C553AC" w:rsidRPr="006500F0" w:rsidRDefault="00C553AC" w:rsidP="00C553AC">
      <w:pPr>
        <w:pStyle w:val="ParNoG"/>
        <w:bidi/>
        <w:rPr>
          <w:rFonts w:asciiTheme="majorBidi" w:hAnsiTheme="majorBidi" w:cstheme="majorBidi"/>
          <w:rtl/>
          <w:lang w:bidi="ar-LB"/>
        </w:rPr>
      </w:pPr>
      <w:r w:rsidRPr="006500F0">
        <w:rPr>
          <w:rFonts w:asciiTheme="majorBidi" w:hAnsiTheme="majorBidi" w:cstheme="majorBidi"/>
          <w:lang w:bidi="ar-LB"/>
        </w:rPr>
        <w:t xml:space="preserve"> </w:t>
      </w:r>
      <w:r w:rsidRPr="006500F0">
        <w:rPr>
          <w:rFonts w:asciiTheme="majorBidi" w:hAnsiTheme="majorBidi" w:cstheme="majorBidi"/>
          <w:rtl/>
          <w:lang w:bidi="ar-LB"/>
        </w:rPr>
        <w:t xml:space="preserve"> ليست ليبيا طرفاً في الاتفاقية الدولية لحماية جميع الأشخاص من الاختفاء القسري. ولكنها دولة طرف في العهد الدولي الخاص بالحقوق المدنية والسياسية، واتفاقية مناهضة التعذيب، وهما ينصّان على حماية عدد من الحقوق التي تشكل أساس الاختفاء القسري. يفرض كلّ من العهد والاتفاقية على ليبيا واجب التجريم والتحقيق والملاحقة والمعاقبة وتقديم التعويضات وسبل الانتصاف لمثل هذه الانتهاكات. وفي حين أن العهد لا يستخدم مصطلح "الاختفاء القسري" صراحةً </w:t>
      </w:r>
      <w:r w:rsidRPr="006500F0">
        <w:rPr>
          <w:rFonts w:asciiTheme="majorBidi" w:hAnsiTheme="majorBidi" w:cstheme="majorBidi"/>
          <w:rtl/>
          <w:lang w:bidi="ar-LB"/>
        </w:rPr>
        <w:lastRenderedPageBreak/>
        <w:t>في أي من مواده، فإن الاختفاء القسري يشكل سلسلة فريدة ومتكاملة من الأفعال التي تمثل انتهاكًا مستمرًا لمختلف الحقوق، مثل الحق في الحياة، والحق في عدم التعرض للتعذيب أو غيره من ضروب المعاملة أو العقوبة القاسية أو اللاإنسانية أو المهينة، والحق في الحرية والأمن الشخصي. واعتمدتْ البعثة التعريف التالي لـ "الاختفاء القسري": (1)</w:t>
      </w:r>
      <w:r w:rsidRPr="006500F0">
        <w:rPr>
          <w:rFonts w:asciiTheme="majorBidi" w:hAnsiTheme="majorBidi" w:cstheme="majorBidi"/>
          <w:lang w:bidi="ar-LB"/>
        </w:rPr>
        <w:t> </w:t>
      </w:r>
      <w:r w:rsidRPr="006500F0">
        <w:rPr>
          <w:rFonts w:asciiTheme="majorBidi" w:hAnsiTheme="majorBidi" w:cstheme="majorBidi"/>
          <w:rtl/>
          <w:lang w:bidi="ar-LB"/>
        </w:rPr>
        <w:t>إلقاء القبض على أي أشخاص أو احتجازهم أو اختطافهم؛ (2) من قبل دولة أو منظمة سياسية، أو بإذن أو دعم منها لهذا الفعل أو بسكوتها عليه؛ (3) ثم رفضها الإقرار بحرمان هؤلاء الأشخاص من حريتهم أو إعطاء معلومات عن مصيرهم أو عن أماكن وجودهم؛ (4) بهدف حرمانهم من حماية القانون لفترة زمنية طويلة</w:t>
      </w:r>
      <w:r w:rsidRPr="006500F0">
        <w:rPr>
          <w:rFonts w:asciiTheme="majorBidi" w:hAnsiTheme="majorBidi" w:cstheme="majorBidi"/>
          <w:lang w:bidi="ar-LB"/>
        </w:rPr>
        <w:t>.</w:t>
      </w:r>
      <w:r w:rsidRPr="006500F0">
        <w:rPr>
          <w:rFonts w:asciiTheme="majorBidi" w:hAnsiTheme="majorBidi" w:cstheme="majorBidi"/>
          <w:rtl/>
          <w:lang w:bidi="ar-LB"/>
        </w:rPr>
        <w:t xml:space="preserve"> ويمكن اعتبار سلطات "الأمر الواقع" التي يمكن مقارنة سلطتها بالسلطات الحكومية، والتي تمارس سيطرة فعالة على إقليم ما، على أنها من المرتكبين المحتملين لجريمة الاختفاء القسري بموجب القانون الدولي لحقوق الإنسان.</w:t>
      </w:r>
    </w:p>
    <w:p w14:paraId="41FF3C91" w14:textId="77777777" w:rsidR="00C553AC" w:rsidRPr="006500F0" w:rsidRDefault="00C553AC" w:rsidP="00C553AC">
      <w:pPr>
        <w:pStyle w:val="ParNoG"/>
        <w:numPr>
          <w:ilvl w:val="0"/>
          <w:numId w:val="0"/>
        </w:numPr>
        <w:bidi/>
        <w:ind w:left="1134"/>
        <w:rPr>
          <w:rFonts w:asciiTheme="majorBidi" w:hAnsiTheme="majorBidi" w:cstheme="majorBidi"/>
          <w:lang w:val="en-US" w:bidi="ar-LB"/>
        </w:rPr>
      </w:pPr>
    </w:p>
    <w:p w14:paraId="376AD5C3" w14:textId="5749EC7C" w:rsidR="00C16279" w:rsidRPr="006500F0" w:rsidRDefault="003147DD" w:rsidP="003147DD">
      <w:pPr>
        <w:pStyle w:val="H23G"/>
        <w:bidi/>
        <w:ind w:firstLine="0"/>
        <w:rPr>
          <w:rFonts w:asciiTheme="majorBidi" w:hAnsiTheme="majorBidi" w:cstheme="majorBidi"/>
          <w:b w:val="0"/>
          <w:bCs/>
          <w:lang w:bidi="ar-LB"/>
        </w:rPr>
      </w:pPr>
      <w:r w:rsidRPr="006500F0">
        <w:rPr>
          <w:rFonts w:asciiTheme="majorBidi" w:hAnsiTheme="majorBidi" w:cstheme="majorBidi"/>
          <w:b w:val="0"/>
          <w:bCs/>
          <w:rtl/>
          <w:lang w:bidi="ar-LB"/>
        </w:rPr>
        <w:t>العنف ضدّ النساء</w:t>
      </w:r>
    </w:p>
    <w:p w14:paraId="7B715D71" w14:textId="77777777" w:rsidR="008B4468" w:rsidRPr="006500F0" w:rsidRDefault="008B4468" w:rsidP="008B4468">
      <w:pPr>
        <w:pStyle w:val="ParNoG"/>
        <w:bidi/>
        <w:rPr>
          <w:rStyle w:val="Hyperlink"/>
          <w:rFonts w:asciiTheme="majorBidi" w:hAnsiTheme="majorBidi" w:cstheme="majorBidi"/>
          <w:rtl/>
          <w:lang w:bidi="ar-LB"/>
        </w:rPr>
      </w:pPr>
      <w:r w:rsidRPr="006500F0">
        <w:rPr>
          <w:rStyle w:val="Hyperlink"/>
          <w:rFonts w:asciiTheme="majorBidi" w:hAnsiTheme="majorBidi" w:cstheme="majorBidi"/>
          <w:rtl/>
          <w:lang w:bidi="ar-LB"/>
        </w:rPr>
        <w:t>في قضية حديثة تتعلق بامرأة ليبية، أشارت لجنة القضاء على التمييز ضد المرأة ("اللجنة") إلى أنه بموجب المادة 2-هـ من اتفاقية القضاء على جميع أشكال التمييز ضد المرأة، تتحمل الدول الأطراف المسؤولية عن أفعال الأفراد، إذا لم تتصـــــــــرف الدول الأطراف بـالجــديـة الواجبــة لمنع انتهــاكـات الحقوق أو للتحقيق في جرائم العنف ومعــاقبــة مرتكبيهــا وتعويض ضـــــــحاياها (</w:t>
      </w:r>
      <w:r w:rsidRPr="006500F0">
        <w:rPr>
          <w:rStyle w:val="Hyperlink"/>
          <w:rFonts w:asciiTheme="majorBidi" w:hAnsiTheme="majorBidi" w:cstheme="majorBidi"/>
          <w:lang w:bidi="ar-LB"/>
        </w:rPr>
        <w:t>CEDAW/C/78/D/130/2018</w:t>
      </w:r>
      <w:r w:rsidRPr="006500F0">
        <w:rPr>
          <w:rStyle w:val="Hyperlink"/>
          <w:rFonts w:asciiTheme="majorBidi" w:hAnsiTheme="majorBidi" w:cstheme="majorBidi"/>
          <w:rtl/>
          <w:lang w:bidi="ar-LB"/>
        </w:rPr>
        <w:t>، 12 أبريل/نيسان 2021، الفقرة 6-3) . ووسعت اللجنة الشرح</w:t>
      </w:r>
      <w:r w:rsidRPr="006500F0">
        <w:rPr>
          <w:rStyle w:val="Hyperlink"/>
          <w:rFonts w:asciiTheme="majorBidi" w:hAnsiTheme="majorBidi" w:cstheme="majorBidi"/>
          <w:lang w:bidi="ar-LB"/>
        </w:rPr>
        <w:t xml:space="preserve"> </w:t>
      </w:r>
      <w:r w:rsidRPr="006500F0">
        <w:rPr>
          <w:rStyle w:val="Hyperlink"/>
          <w:rFonts w:asciiTheme="majorBidi" w:hAnsiTheme="majorBidi" w:cstheme="majorBidi"/>
          <w:rtl/>
          <w:lang w:bidi="ar-LB"/>
        </w:rPr>
        <w:t xml:space="preserve">:"وعدم قيام الدولة الطرف باتخاذ جميع التدابير اللازمة لمنع أعمال العنف الجنســـاني ضـــد المرأة في الحالات التي تكون فيهـا الســـــــــلطـات على علم بخطر ذلـك العنف أو ينبغي لهـا أن تعلم بـه، أو عـدم إجراء التحقيق ومقـاضـــــــــاة ومعاقبة الجناة وتقديم تعويض إلى الضـحايا/الناجيات من تلك الأعمال، يوفر الإذن الضـمني بارتكاب أعمال العنف الجنساني ضد المرأة أو التشجيع على </w:t>
      </w:r>
      <w:r w:rsidRPr="00D51B62">
        <w:rPr>
          <w:rStyle w:val="Hyperlink"/>
          <w:rFonts w:asciiTheme="majorBidi" w:hAnsiTheme="majorBidi" w:cstheme="majorBidi"/>
          <w:rtl/>
          <w:lang w:bidi="ar-LB"/>
        </w:rPr>
        <w:t>ارتكابها" (المرجع نفسه).</w:t>
      </w:r>
    </w:p>
    <w:p w14:paraId="005296D7" w14:textId="77777777" w:rsidR="008B4468" w:rsidRPr="006500F0" w:rsidRDefault="008B4468" w:rsidP="008B4468">
      <w:pPr>
        <w:pStyle w:val="ParNoG"/>
        <w:numPr>
          <w:ilvl w:val="0"/>
          <w:numId w:val="0"/>
        </w:numPr>
        <w:bidi/>
        <w:ind w:left="1134"/>
        <w:rPr>
          <w:rFonts w:asciiTheme="majorBidi" w:hAnsiTheme="majorBidi" w:cstheme="majorBidi"/>
          <w:lang w:bidi="ar-LB"/>
        </w:rPr>
      </w:pPr>
    </w:p>
    <w:p w14:paraId="5EAF29E7" w14:textId="2938CF97" w:rsidR="00E95E17" w:rsidRPr="006500F0" w:rsidRDefault="007A507A" w:rsidP="007A507A">
      <w:pPr>
        <w:pStyle w:val="H23G"/>
        <w:bidi/>
        <w:ind w:firstLine="0"/>
        <w:rPr>
          <w:rFonts w:asciiTheme="majorBidi" w:hAnsiTheme="majorBidi" w:cstheme="majorBidi"/>
          <w:b w:val="0"/>
          <w:bCs/>
          <w:lang w:bidi="ar-LB"/>
        </w:rPr>
      </w:pPr>
      <w:r w:rsidRPr="006500F0">
        <w:rPr>
          <w:rFonts w:asciiTheme="majorBidi" w:hAnsiTheme="majorBidi" w:cstheme="majorBidi"/>
          <w:b w:val="0"/>
          <w:bCs/>
          <w:rtl/>
          <w:lang w:bidi="ar-LB"/>
        </w:rPr>
        <w:t>المهاجرون، واللاجئون، وطالبو اللجوء</w:t>
      </w:r>
    </w:p>
    <w:p w14:paraId="704ABF70" w14:textId="1FB257A6" w:rsidR="00E26BB4" w:rsidRPr="006500F0" w:rsidRDefault="00E26BB4" w:rsidP="00E26BB4">
      <w:pPr>
        <w:pStyle w:val="ParNoG"/>
        <w:bidi/>
        <w:rPr>
          <w:rStyle w:val="Hyperlink"/>
          <w:rFonts w:asciiTheme="majorBidi" w:hAnsiTheme="majorBidi" w:cstheme="majorBidi"/>
          <w:sz w:val="24"/>
          <w:szCs w:val="24"/>
          <w:rtl/>
          <w:lang w:bidi="ar-LB"/>
        </w:rPr>
      </w:pPr>
      <w:r w:rsidRPr="006500F0">
        <w:rPr>
          <w:rFonts w:asciiTheme="majorBidi" w:hAnsiTheme="majorBidi" w:cstheme="majorBidi"/>
          <w:rtl/>
          <w:lang w:bidi="ar-LB"/>
        </w:rPr>
        <w:t xml:space="preserve">تماشياً مع منهجية مكتب مفوض الأمم المتحدة السامي لحقوق الإنسان، استخدمت البعثة تعبير "المهاجر" لتغطية فئات المهاجرين أو اللاجئين أو طالبي اللجوء، فضلاً عن أي شخص متواجد خارج الدولة التي يُعتبر فيها مواطنًا، أو أي شخص عديم الجنسية متواجد خارج دولة ولادته أو إقامته المعتادة، والأشخاص الذين تعرضوا للإتجار، والمهاجرين الذين تم تهريبهم، وغيرها من الفئات، ما لم ينص على خلاف ذلك. انظر تقرير مكتب مفوض الأمم المتحدة السامي لحقوق الإنسان "وضع يائس وخطير: تقرير عن حالة حقوق الإنسان للمهاجرين واللاجئين في ليبيا" </w:t>
      </w:r>
      <w:r w:rsidRPr="006500F0">
        <w:rPr>
          <w:rFonts w:asciiTheme="majorBidi" w:hAnsiTheme="majorBidi" w:cstheme="majorBidi"/>
          <w:lang w:bidi="ar-LB"/>
        </w:rPr>
        <w:t xml:space="preserve">“Desperate and Dangerous: Report on the human rights situation of migrants and </w:t>
      </w:r>
      <w:r w:rsidRPr="006500F0">
        <w:rPr>
          <w:rFonts w:asciiTheme="majorBidi" w:hAnsiTheme="majorBidi" w:cstheme="majorBidi"/>
          <w:lang w:bidi="ar-LB"/>
        </w:rPr>
        <w:lastRenderedPageBreak/>
        <w:t>refugees in Libya”</w:t>
      </w:r>
      <w:r w:rsidRPr="006500F0">
        <w:rPr>
          <w:rFonts w:asciiTheme="majorBidi" w:hAnsiTheme="majorBidi" w:cstheme="majorBidi"/>
          <w:rtl/>
          <w:lang w:bidi="ar-LB"/>
        </w:rPr>
        <w:t xml:space="preserve">، 20 ديسمبر/كانون الأول 2018، على الرابط: </w:t>
      </w:r>
      <w:hyperlink r:id="rId31" w:history="1">
        <w:r w:rsidRPr="006500F0">
          <w:rPr>
            <w:rStyle w:val="Hyperlink"/>
            <w:rFonts w:asciiTheme="majorBidi" w:hAnsiTheme="majorBidi" w:cstheme="majorBidi"/>
            <w:sz w:val="24"/>
            <w:szCs w:val="24"/>
            <w:lang w:bidi="ar-LB"/>
          </w:rPr>
          <w:t>https://www.ohchr.org/Documents/Countries/LY/LibyaMigrationReport.pdf</w:t>
        </w:r>
      </w:hyperlink>
      <w:r w:rsidRPr="006500F0">
        <w:rPr>
          <w:rStyle w:val="Hyperlink"/>
          <w:rFonts w:asciiTheme="majorBidi" w:hAnsiTheme="majorBidi" w:cstheme="majorBidi"/>
          <w:sz w:val="24"/>
          <w:szCs w:val="24"/>
          <w:rtl/>
          <w:lang w:bidi="ar-LB"/>
        </w:rPr>
        <w:t xml:space="preserve"> (آخر تاريخ اطلاع في </w:t>
      </w:r>
      <w:r w:rsidR="00860E2E">
        <w:rPr>
          <w:rStyle w:val="Hyperlink"/>
          <w:rFonts w:asciiTheme="majorBidi" w:hAnsiTheme="majorBidi" w:cstheme="majorBidi" w:hint="cs"/>
          <w:sz w:val="24"/>
          <w:szCs w:val="24"/>
          <w:rtl/>
          <w:lang w:bidi="ar-LB"/>
        </w:rPr>
        <w:t>6 أكتوبر/تشرين الأول</w:t>
      </w:r>
      <w:r w:rsidRPr="006500F0">
        <w:rPr>
          <w:rStyle w:val="Hyperlink"/>
          <w:rFonts w:asciiTheme="majorBidi" w:hAnsiTheme="majorBidi" w:cstheme="majorBidi"/>
          <w:sz w:val="24"/>
          <w:szCs w:val="24"/>
          <w:rtl/>
          <w:lang w:bidi="ar-LB"/>
        </w:rPr>
        <w:t xml:space="preserve"> 2021).</w:t>
      </w:r>
    </w:p>
    <w:p w14:paraId="63AC9E88" w14:textId="77777777" w:rsidR="00E26BB4" w:rsidRPr="006500F0" w:rsidRDefault="00E26BB4" w:rsidP="00E26BB4">
      <w:pPr>
        <w:pStyle w:val="ParNoG"/>
        <w:numPr>
          <w:ilvl w:val="0"/>
          <w:numId w:val="0"/>
        </w:numPr>
        <w:bidi/>
        <w:ind w:left="1134"/>
        <w:rPr>
          <w:rFonts w:asciiTheme="majorBidi" w:hAnsiTheme="majorBidi" w:cstheme="majorBidi"/>
          <w:lang w:bidi="ar-LB"/>
        </w:rPr>
      </w:pPr>
    </w:p>
    <w:p w14:paraId="17E978CA" w14:textId="77777777" w:rsidR="00E95E17" w:rsidRPr="006500F0" w:rsidRDefault="00E95E17" w:rsidP="00B22F22">
      <w:pPr>
        <w:pStyle w:val="ParNoG"/>
        <w:numPr>
          <w:ilvl w:val="0"/>
          <w:numId w:val="0"/>
        </w:numPr>
        <w:ind w:left="1134"/>
        <w:rPr>
          <w:rFonts w:asciiTheme="majorBidi" w:hAnsiTheme="majorBidi" w:cstheme="majorBidi"/>
          <w:lang w:bidi="ar-LB"/>
        </w:rPr>
      </w:pPr>
    </w:p>
    <w:p w14:paraId="16E665DB" w14:textId="77777777" w:rsidR="00C16279" w:rsidRPr="006500F0" w:rsidRDefault="00C16279" w:rsidP="00C16279">
      <w:pPr>
        <w:pStyle w:val="ParNoG"/>
        <w:numPr>
          <w:ilvl w:val="0"/>
          <w:numId w:val="0"/>
        </w:numPr>
        <w:ind w:left="1134"/>
        <w:rPr>
          <w:rFonts w:asciiTheme="majorBidi" w:hAnsiTheme="majorBidi" w:cstheme="majorBidi"/>
          <w:lang w:bidi="ar-LB"/>
        </w:rPr>
      </w:pPr>
    </w:p>
    <w:p w14:paraId="1FDE45B2" w14:textId="77777777" w:rsidR="00C16279" w:rsidRPr="006500F0" w:rsidRDefault="00C16279" w:rsidP="00C16279">
      <w:pPr>
        <w:suppressAutoHyphens w:val="0"/>
        <w:spacing w:line="240" w:lineRule="auto"/>
        <w:rPr>
          <w:rFonts w:asciiTheme="majorBidi" w:hAnsiTheme="majorBidi" w:cstheme="majorBidi"/>
          <w:b/>
          <w:sz w:val="28"/>
          <w:lang w:bidi="ar-LB"/>
        </w:rPr>
      </w:pPr>
      <w:r w:rsidRPr="006500F0">
        <w:rPr>
          <w:rFonts w:asciiTheme="majorBidi" w:hAnsiTheme="majorBidi" w:cstheme="majorBidi"/>
          <w:lang w:bidi="ar-LB"/>
        </w:rPr>
        <w:br w:type="page"/>
      </w:r>
    </w:p>
    <w:p w14:paraId="6E651216" w14:textId="4D8C204E" w:rsidR="00C16279" w:rsidRPr="006500F0" w:rsidRDefault="00BB7DF8" w:rsidP="00BB7DF8">
      <w:pPr>
        <w:pStyle w:val="HChG"/>
        <w:bidi/>
        <w:ind w:left="0" w:firstLine="0"/>
        <w:rPr>
          <w:rFonts w:asciiTheme="majorBidi" w:hAnsiTheme="majorBidi" w:cstheme="majorBidi"/>
          <w:b w:val="0"/>
          <w:bCs/>
          <w:sz w:val="20"/>
          <w:lang w:bidi="ar-LB"/>
        </w:rPr>
      </w:pPr>
      <w:r w:rsidRPr="006500F0">
        <w:rPr>
          <w:rFonts w:asciiTheme="majorBidi" w:hAnsiTheme="majorBidi" w:cstheme="majorBidi"/>
          <w:b w:val="0"/>
          <w:bCs/>
          <w:sz w:val="20"/>
          <w:rtl/>
          <w:lang w:bidi="ar-LB"/>
        </w:rPr>
        <w:lastRenderedPageBreak/>
        <w:t>المرفق 3</w:t>
      </w:r>
    </w:p>
    <w:p w14:paraId="3673CC28" w14:textId="22EF4B4E" w:rsidR="00C16279" w:rsidRPr="006500F0" w:rsidRDefault="00C16279" w:rsidP="00BB7DF8">
      <w:pPr>
        <w:pStyle w:val="H1G"/>
        <w:bidi/>
        <w:rPr>
          <w:rFonts w:asciiTheme="majorBidi" w:hAnsiTheme="majorBidi" w:cstheme="majorBidi"/>
          <w:b w:val="0"/>
          <w:bCs/>
          <w:sz w:val="20"/>
          <w:lang w:bidi="ar-LB"/>
        </w:rPr>
      </w:pPr>
      <w:r w:rsidRPr="006500F0">
        <w:rPr>
          <w:rFonts w:asciiTheme="majorBidi" w:hAnsiTheme="majorBidi" w:cstheme="majorBidi"/>
          <w:b w:val="0"/>
          <w:bCs/>
          <w:sz w:val="20"/>
          <w:lang w:bidi="ar-LB"/>
        </w:rPr>
        <w:tab/>
      </w:r>
      <w:r w:rsidRPr="006500F0">
        <w:rPr>
          <w:rFonts w:asciiTheme="majorBidi" w:hAnsiTheme="majorBidi" w:cstheme="majorBidi"/>
          <w:b w:val="0"/>
          <w:bCs/>
          <w:sz w:val="20"/>
          <w:lang w:bidi="ar-LB"/>
        </w:rPr>
        <w:tab/>
      </w:r>
      <w:r w:rsidR="00BB7DF8" w:rsidRPr="006500F0">
        <w:rPr>
          <w:rFonts w:asciiTheme="majorBidi" w:hAnsiTheme="majorBidi" w:cstheme="majorBidi"/>
          <w:b w:val="0"/>
          <w:bCs/>
          <w:sz w:val="20"/>
          <w:rtl/>
          <w:lang w:bidi="ar-LB"/>
        </w:rPr>
        <w:t xml:space="preserve">قائمة صكوك القانون الدولي لحقوق الإنسان التي </w:t>
      </w:r>
      <w:r w:rsidR="00515A6E" w:rsidRPr="006500F0">
        <w:rPr>
          <w:rFonts w:asciiTheme="majorBidi" w:hAnsiTheme="majorBidi" w:cstheme="majorBidi"/>
          <w:b w:val="0"/>
          <w:bCs/>
          <w:sz w:val="20"/>
          <w:rtl/>
          <w:lang w:bidi="ar-LB"/>
        </w:rPr>
        <w:t>انضمت إليها ليبيا</w:t>
      </w:r>
    </w:p>
    <w:p w14:paraId="136BDF3E" w14:textId="0978976B"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w:t>
      </w:r>
      <w:r w:rsidRPr="006500F0">
        <w:rPr>
          <w:rFonts w:asciiTheme="majorBidi" w:hAnsiTheme="majorBidi" w:cstheme="majorBidi"/>
          <w:lang w:bidi="ar-LB"/>
        </w:rPr>
        <w:tab/>
      </w:r>
      <w:r w:rsidR="00515A6E" w:rsidRPr="006500F0">
        <w:rPr>
          <w:rFonts w:asciiTheme="majorBidi" w:hAnsiTheme="majorBidi" w:cstheme="majorBidi"/>
          <w:rtl/>
          <w:lang w:bidi="ar-LB"/>
        </w:rPr>
        <w:t>الاتفاقية الدولية للقضاء على جميع أشكال التمييز العنصري‏ (منذ العام 1968)؛</w:t>
      </w:r>
      <w:r w:rsidRPr="006500F0">
        <w:rPr>
          <w:rFonts w:asciiTheme="majorBidi" w:hAnsiTheme="majorBidi" w:cstheme="majorBidi"/>
          <w:lang w:bidi="ar-LB"/>
        </w:rPr>
        <w:t xml:space="preserve"> </w:t>
      </w:r>
    </w:p>
    <w:p w14:paraId="2C6016A8" w14:textId="4CF878C8"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2.</w:t>
      </w:r>
      <w:r w:rsidRPr="006500F0">
        <w:rPr>
          <w:rFonts w:asciiTheme="majorBidi" w:hAnsiTheme="majorBidi" w:cstheme="majorBidi"/>
          <w:lang w:bidi="ar-LB"/>
        </w:rPr>
        <w:tab/>
      </w:r>
      <w:r w:rsidR="00506A02" w:rsidRPr="006500F0">
        <w:rPr>
          <w:rFonts w:asciiTheme="majorBidi" w:hAnsiTheme="majorBidi" w:cstheme="majorBidi"/>
          <w:rtl/>
          <w:lang w:bidi="ar-LB"/>
        </w:rPr>
        <w:t>العهد الدولي الخاص بالحقوق المدنية والسياسية (منذ العام 1970)؛ ‏‏</w:t>
      </w:r>
      <w:r w:rsidR="00506A02" w:rsidRPr="006500F0">
        <w:rPr>
          <w:rFonts w:asciiTheme="majorBidi" w:hAnsiTheme="majorBidi" w:cstheme="majorBidi"/>
          <w:lang w:bidi="ar-LB"/>
        </w:rPr>
        <w:t xml:space="preserve"> </w:t>
      </w:r>
    </w:p>
    <w:p w14:paraId="7D51E94B" w14:textId="43197B7C"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3.</w:t>
      </w:r>
      <w:r w:rsidRPr="006500F0">
        <w:rPr>
          <w:rFonts w:asciiTheme="majorBidi" w:hAnsiTheme="majorBidi" w:cstheme="majorBidi"/>
          <w:lang w:bidi="ar-LB"/>
        </w:rPr>
        <w:tab/>
      </w:r>
      <w:r w:rsidR="00AD4625" w:rsidRPr="006500F0">
        <w:rPr>
          <w:rFonts w:asciiTheme="majorBidi" w:hAnsiTheme="majorBidi" w:cstheme="majorBidi"/>
          <w:rtl/>
          <w:lang w:bidi="ar-LB"/>
        </w:rPr>
        <w:t>اتفاقية منظمة الوحدة الأفريقية التي تحكم المظاهر الخاصة بمشكلات اللاجئين في أفريقيا</w:t>
      </w:r>
      <w:r w:rsidR="00AD4625" w:rsidRPr="006500F0">
        <w:rPr>
          <w:rFonts w:asciiTheme="majorBidi" w:hAnsiTheme="majorBidi" w:cstheme="majorBidi"/>
          <w:lang w:bidi="ar-LB"/>
        </w:rPr>
        <w:t xml:space="preserve"> </w:t>
      </w:r>
      <w:r w:rsidR="00AD4625" w:rsidRPr="006500F0">
        <w:rPr>
          <w:rFonts w:asciiTheme="majorBidi" w:hAnsiTheme="majorBidi" w:cstheme="majorBidi"/>
          <w:rtl/>
          <w:lang w:bidi="ar-LB"/>
        </w:rPr>
        <w:t>(منذ العام 1981)؛</w:t>
      </w:r>
    </w:p>
    <w:p w14:paraId="4A6FE046" w14:textId="4B8F4652"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4.</w:t>
      </w:r>
      <w:r w:rsidRPr="006500F0">
        <w:rPr>
          <w:rFonts w:asciiTheme="majorBidi" w:hAnsiTheme="majorBidi" w:cstheme="majorBidi"/>
          <w:lang w:bidi="ar-LB"/>
        </w:rPr>
        <w:tab/>
      </w:r>
      <w:r w:rsidR="00801AA5" w:rsidRPr="006500F0">
        <w:rPr>
          <w:rFonts w:asciiTheme="majorBidi" w:hAnsiTheme="majorBidi" w:cstheme="majorBidi"/>
          <w:rtl/>
          <w:lang w:bidi="ar-LB"/>
        </w:rPr>
        <w:t>البروتوكول الاختياري الملحق بالعهد الدولي الخاص بالحقوق المدنية والسياسية</w:t>
      </w:r>
      <w:r w:rsidR="00801AA5" w:rsidRPr="006500F0">
        <w:rPr>
          <w:rFonts w:asciiTheme="majorBidi" w:hAnsiTheme="majorBidi" w:cstheme="majorBidi"/>
          <w:lang w:bidi="ar-LB"/>
        </w:rPr>
        <w:t xml:space="preserve"> </w:t>
      </w:r>
      <w:r w:rsidR="00801AA5" w:rsidRPr="006500F0">
        <w:rPr>
          <w:rFonts w:asciiTheme="majorBidi" w:hAnsiTheme="majorBidi" w:cstheme="majorBidi"/>
          <w:rtl/>
          <w:lang w:bidi="ar-LB"/>
        </w:rPr>
        <w:t xml:space="preserve"> (منذ العام 1989)؛ </w:t>
      </w:r>
    </w:p>
    <w:p w14:paraId="40FBCB5A" w14:textId="2B2BD126"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5.</w:t>
      </w:r>
      <w:r w:rsidRPr="006500F0">
        <w:rPr>
          <w:rFonts w:asciiTheme="majorBidi" w:hAnsiTheme="majorBidi" w:cstheme="majorBidi"/>
          <w:lang w:bidi="ar-LB"/>
        </w:rPr>
        <w:tab/>
      </w:r>
      <w:r w:rsidR="00393030" w:rsidRPr="006500F0">
        <w:rPr>
          <w:rFonts w:asciiTheme="majorBidi" w:hAnsiTheme="majorBidi" w:cstheme="majorBidi"/>
          <w:rtl/>
          <w:lang w:bidi="ar-LB"/>
        </w:rPr>
        <w:t>العهد الدولي الخاص بالحقوق الاقتصادية والاجتماعية والثقافية (منذ العام 1970)؛ ‏‏</w:t>
      </w:r>
      <w:r w:rsidRPr="006500F0">
        <w:rPr>
          <w:rFonts w:asciiTheme="majorBidi" w:hAnsiTheme="majorBidi" w:cstheme="majorBidi"/>
          <w:lang w:bidi="ar-LB"/>
        </w:rPr>
        <w:t xml:space="preserve"> </w:t>
      </w:r>
    </w:p>
    <w:p w14:paraId="16B50115" w14:textId="1C0F3633"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6.</w:t>
      </w:r>
      <w:r w:rsidRPr="006500F0">
        <w:rPr>
          <w:rFonts w:asciiTheme="majorBidi" w:hAnsiTheme="majorBidi" w:cstheme="majorBidi"/>
          <w:lang w:bidi="ar-LB"/>
        </w:rPr>
        <w:tab/>
      </w:r>
      <w:r w:rsidR="00B02622" w:rsidRPr="006500F0">
        <w:rPr>
          <w:rFonts w:asciiTheme="majorBidi" w:hAnsiTheme="majorBidi" w:cstheme="majorBidi"/>
          <w:rtl/>
          <w:lang w:bidi="ar-LB"/>
        </w:rPr>
        <w:t>الميثاق الأفريقي لحقوق الإنسان والشعوب</w:t>
      </w:r>
      <w:r w:rsidR="00B02622" w:rsidRPr="006500F0">
        <w:rPr>
          <w:rFonts w:asciiTheme="majorBidi" w:hAnsiTheme="majorBidi" w:cstheme="majorBidi"/>
          <w:lang w:bidi="ar-LB"/>
        </w:rPr>
        <w:t xml:space="preserve"> </w:t>
      </w:r>
      <w:r w:rsidR="00B02622" w:rsidRPr="006500F0">
        <w:rPr>
          <w:rFonts w:asciiTheme="majorBidi" w:hAnsiTheme="majorBidi" w:cstheme="majorBidi"/>
          <w:rtl/>
          <w:lang w:bidi="ar-LB"/>
        </w:rPr>
        <w:t xml:space="preserve"> (منذ العام 1986)؛</w:t>
      </w:r>
      <w:r w:rsidRPr="006500F0">
        <w:rPr>
          <w:rFonts w:asciiTheme="majorBidi" w:hAnsiTheme="majorBidi" w:cstheme="majorBidi"/>
          <w:lang w:bidi="ar-LB"/>
        </w:rPr>
        <w:t xml:space="preserve"> </w:t>
      </w:r>
    </w:p>
    <w:p w14:paraId="38F73DC0" w14:textId="7A9D8611"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7.</w:t>
      </w:r>
      <w:r w:rsidRPr="006500F0">
        <w:rPr>
          <w:rFonts w:asciiTheme="majorBidi" w:hAnsiTheme="majorBidi" w:cstheme="majorBidi"/>
          <w:lang w:bidi="ar-LB"/>
        </w:rPr>
        <w:tab/>
      </w:r>
      <w:r w:rsidR="00915F43" w:rsidRPr="006500F0">
        <w:rPr>
          <w:rFonts w:asciiTheme="majorBidi" w:hAnsiTheme="majorBidi" w:cstheme="majorBidi"/>
          <w:rtl/>
          <w:lang w:bidi="ar-LB"/>
        </w:rPr>
        <w:t>اتفاقية القضاء على جميع أشكال التمييز ضد المرأة</w:t>
      </w:r>
      <w:r w:rsidR="00915F43" w:rsidRPr="006500F0">
        <w:rPr>
          <w:rFonts w:asciiTheme="majorBidi" w:hAnsiTheme="majorBidi" w:cstheme="majorBidi"/>
          <w:lang w:bidi="ar-LB"/>
        </w:rPr>
        <w:t xml:space="preserve"> </w:t>
      </w:r>
      <w:r w:rsidR="00915F43" w:rsidRPr="006500F0">
        <w:rPr>
          <w:rFonts w:asciiTheme="majorBidi" w:hAnsiTheme="majorBidi" w:cstheme="majorBidi"/>
          <w:rtl/>
          <w:lang w:bidi="ar-LB"/>
        </w:rPr>
        <w:t xml:space="preserve"> (منذ العام 1989)؛ </w:t>
      </w:r>
    </w:p>
    <w:p w14:paraId="0008AE4B" w14:textId="666B8844"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8.</w:t>
      </w:r>
      <w:r w:rsidRPr="006500F0">
        <w:rPr>
          <w:rFonts w:asciiTheme="majorBidi" w:hAnsiTheme="majorBidi" w:cstheme="majorBidi"/>
          <w:lang w:bidi="ar-LB"/>
        </w:rPr>
        <w:tab/>
      </w:r>
      <w:r w:rsidR="009A1BD5" w:rsidRPr="006500F0">
        <w:rPr>
          <w:rFonts w:asciiTheme="majorBidi" w:hAnsiTheme="majorBidi" w:cstheme="majorBidi"/>
          <w:rtl/>
          <w:lang w:bidi="ar-LB"/>
        </w:rPr>
        <w:t>البروتوكول الاختياري لاتفاقية القضاء على جميع أشكال التمييز ضد المرأة</w:t>
      </w:r>
      <w:r w:rsidR="009A1BD5" w:rsidRPr="006500F0">
        <w:rPr>
          <w:rFonts w:asciiTheme="majorBidi" w:hAnsiTheme="majorBidi" w:cstheme="majorBidi"/>
          <w:lang w:bidi="ar-LB"/>
        </w:rPr>
        <w:t xml:space="preserve"> </w:t>
      </w:r>
      <w:r w:rsidR="009A1BD5" w:rsidRPr="006500F0">
        <w:rPr>
          <w:rFonts w:asciiTheme="majorBidi" w:hAnsiTheme="majorBidi" w:cstheme="majorBidi"/>
          <w:rtl/>
          <w:lang w:bidi="ar-LB"/>
        </w:rPr>
        <w:t xml:space="preserve"> (منذ العام 2004)؛ </w:t>
      </w:r>
    </w:p>
    <w:p w14:paraId="681327EB" w14:textId="39914C36"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9.</w:t>
      </w:r>
      <w:r w:rsidRPr="006500F0">
        <w:rPr>
          <w:rFonts w:asciiTheme="majorBidi" w:hAnsiTheme="majorBidi" w:cstheme="majorBidi"/>
          <w:lang w:bidi="ar-LB"/>
        </w:rPr>
        <w:tab/>
      </w:r>
      <w:r w:rsidR="009A1BD5" w:rsidRPr="006500F0">
        <w:rPr>
          <w:rFonts w:asciiTheme="majorBidi" w:hAnsiTheme="majorBidi" w:cstheme="majorBidi"/>
          <w:rtl/>
          <w:lang w:bidi="ar-LB"/>
        </w:rPr>
        <w:t xml:space="preserve">اتفاقية مناهضة التعذيب وغيره من ضروب المعاملة أو العقوبة القاسية أو اللاإنسانية أو المهينة (منذ العام 1989)؛ </w:t>
      </w:r>
    </w:p>
    <w:p w14:paraId="41EF56D0" w14:textId="727C48A6"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10.</w:t>
      </w:r>
      <w:r w:rsidRPr="006500F0">
        <w:rPr>
          <w:rFonts w:asciiTheme="majorBidi" w:hAnsiTheme="majorBidi" w:cstheme="majorBidi"/>
          <w:lang w:bidi="ar-LB"/>
        </w:rPr>
        <w:tab/>
      </w:r>
      <w:r w:rsidR="002121E2" w:rsidRPr="006500F0">
        <w:rPr>
          <w:rFonts w:asciiTheme="majorBidi" w:hAnsiTheme="majorBidi" w:cstheme="majorBidi"/>
          <w:rtl/>
          <w:lang w:bidi="ar-LB"/>
        </w:rPr>
        <w:t xml:space="preserve">اتفاقية حقوق الطفل (منذ العام 1993)؛ </w:t>
      </w:r>
      <w:r w:rsidRPr="006500F0">
        <w:rPr>
          <w:rFonts w:asciiTheme="majorBidi" w:hAnsiTheme="majorBidi" w:cstheme="majorBidi"/>
          <w:lang w:bidi="ar-LB"/>
        </w:rPr>
        <w:t xml:space="preserve"> </w:t>
      </w:r>
    </w:p>
    <w:p w14:paraId="15E23505" w14:textId="68255FA0"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11.</w:t>
      </w:r>
      <w:r w:rsidRPr="006500F0">
        <w:rPr>
          <w:rFonts w:asciiTheme="majorBidi" w:hAnsiTheme="majorBidi" w:cstheme="majorBidi"/>
          <w:lang w:bidi="ar-LB"/>
        </w:rPr>
        <w:tab/>
      </w:r>
      <w:r w:rsidR="00F70F8D" w:rsidRPr="006500F0">
        <w:rPr>
          <w:rFonts w:asciiTheme="majorBidi" w:hAnsiTheme="majorBidi" w:cstheme="majorBidi"/>
          <w:rtl/>
          <w:lang w:bidi="ar-LB"/>
        </w:rPr>
        <w:t>الميثاق الأفريقي لحقوق الطفل ورفاهيته</w:t>
      </w:r>
      <w:r w:rsidR="00F70F8D" w:rsidRPr="006500F0">
        <w:rPr>
          <w:rFonts w:asciiTheme="majorBidi" w:hAnsiTheme="majorBidi" w:cstheme="majorBidi"/>
          <w:lang w:bidi="ar-LB"/>
        </w:rPr>
        <w:t xml:space="preserve"> </w:t>
      </w:r>
      <w:r w:rsidR="00F70F8D" w:rsidRPr="006500F0">
        <w:rPr>
          <w:rFonts w:asciiTheme="majorBidi" w:hAnsiTheme="majorBidi" w:cstheme="majorBidi"/>
          <w:rtl/>
          <w:lang w:bidi="ar-LB"/>
        </w:rPr>
        <w:t xml:space="preserve"> (منذ العام 2000)؛ </w:t>
      </w:r>
    </w:p>
    <w:p w14:paraId="2218B0EC" w14:textId="51807BFC"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12.</w:t>
      </w:r>
      <w:r w:rsidRPr="006500F0">
        <w:rPr>
          <w:rFonts w:asciiTheme="majorBidi" w:hAnsiTheme="majorBidi" w:cstheme="majorBidi"/>
          <w:lang w:bidi="ar-LB"/>
        </w:rPr>
        <w:tab/>
      </w:r>
      <w:r w:rsidR="007A3802" w:rsidRPr="006500F0">
        <w:rPr>
          <w:rFonts w:asciiTheme="majorBidi" w:hAnsiTheme="majorBidi" w:cstheme="majorBidi"/>
          <w:rtl/>
          <w:lang w:bidi="ar-LB"/>
        </w:rPr>
        <w:t>البروتوكول الاختياري لاتفاقية حقوق الطفل بشأن اشتراك الأطفال في المنازعات المسلحة</w:t>
      </w:r>
      <w:r w:rsidR="007A3802" w:rsidRPr="006500F0">
        <w:rPr>
          <w:rFonts w:asciiTheme="majorBidi" w:hAnsiTheme="majorBidi" w:cstheme="majorBidi"/>
          <w:lang w:bidi="ar-LB"/>
        </w:rPr>
        <w:t xml:space="preserve"> </w:t>
      </w:r>
      <w:r w:rsidR="007A3802" w:rsidRPr="006500F0">
        <w:rPr>
          <w:rFonts w:asciiTheme="majorBidi" w:hAnsiTheme="majorBidi" w:cstheme="majorBidi"/>
          <w:rtl/>
          <w:lang w:bidi="ar-LB"/>
        </w:rPr>
        <w:t xml:space="preserve"> (منذ العام 2004)؛ </w:t>
      </w:r>
    </w:p>
    <w:p w14:paraId="284818BD" w14:textId="12D67E3E"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13.</w:t>
      </w:r>
      <w:r w:rsidRPr="006500F0">
        <w:rPr>
          <w:rFonts w:asciiTheme="majorBidi" w:hAnsiTheme="majorBidi" w:cstheme="majorBidi"/>
          <w:lang w:bidi="ar-LB"/>
        </w:rPr>
        <w:tab/>
      </w:r>
      <w:r w:rsidR="00052F4C" w:rsidRPr="006500F0">
        <w:rPr>
          <w:rFonts w:asciiTheme="majorBidi" w:hAnsiTheme="majorBidi" w:cstheme="majorBidi"/>
          <w:rtl/>
          <w:lang w:bidi="ar-LB"/>
        </w:rPr>
        <w:t>البروتوكول الاختياري الملحق باتفاقية حقوق الطفل بشأن بيع الأطفال واستغلال الأطفال في البغاء وفي المواد الإباحية</w:t>
      </w:r>
      <w:r w:rsidR="00052F4C" w:rsidRPr="006500F0">
        <w:rPr>
          <w:rFonts w:asciiTheme="majorBidi" w:hAnsiTheme="majorBidi" w:cstheme="majorBidi"/>
          <w:lang w:bidi="ar-LB"/>
        </w:rPr>
        <w:t xml:space="preserve"> </w:t>
      </w:r>
      <w:r w:rsidR="00052F4C" w:rsidRPr="006500F0">
        <w:rPr>
          <w:rFonts w:asciiTheme="majorBidi" w:hAnsiTheme="majorBidi" w:cstheme="majorBidi"/>
          <w:rtl/>
          <w:lang w:bidi="ar-LB"/>
        </w:rPr>
        <w:t xml:space="preserve"> (منذ العام 2004)؛ </w:t>
      </w:r>
    </w:p>
    <w:p w14:paraId="70E9DDAE" w14:textId="02EE26FA"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14.</w:t>
      </w:r>
      <w:r w:rsidRPr="006500F0">
        <w:rPr>
          <w:rFonts w:asciiTheme="majorBidi" w:hAnsiTheme="majorBidi" w:cstheme="majorBidi"/>
          <w:lang w:bidi="ar-LB"/>
        </w:rPr>
        <w:tab/>
      </w:r>
      <w:r w:rsidR="00EE03AA" w:rsidRPr="006500F0">
        <w:rPr>
          <w:rFonts w:asciiTheme="majorBidi" w:hAnsiTheme="majorBidi" w:cstheme="majorBidi"/>
          <w:rtl/>
          <w:lang w:bidi="ar-LB"/>
        </w:rPr>
        <w:t>الاتفاقية الدولية لحماية حقوق جميع العمال المهاجرين وأفراد أسرهم</w:t>
      </w:r>
      <w:r w:rsidR="00EE03AA" w:rsidRPr="006500F0">
        <w:rPr>
          <w:rFonts w:asciiTheme="majorBidi" w:hAnsiTheme="majorBidi" w:cstheme="majorBidi"/>
          <w:lang w:bidi="ar-LB"/>
        </w:rPr>
        <w:t xml:space="preserve"> </w:t>
      </w:r>
      <w:r w:rsidR="00EE03AA" w:rsidRPr="006500F0">
        <w:rPr>
          <w:rFonts w:asciiTheme="majorBidi" w:hAnsiTheme="majorBidi" w:cstheme="majorBidi"/>
          <w:rtl/>
          <w:lang w:bidi="ar-LB"/>
        </w:rPr>
        <w:t xml:space="preserve"> (منذ العام 2004)؛ </w:t>
      </w:r>
    </w:p>
    <w:p w14:paraId="56EA3FF0" w14:textId="2A665C90"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lastRenderedPageBreak/>
        <w:t>15.</w:t>
      </w:r>
      <w:r w:rsidRPr="006500F0">
        <w:rPr>
          <w:rFonts w:asciiTheme="majorBidi" w:hAnsiTheme="majorBidi" w:cstheme="majorBidi"/>
          <w:lang w:bidi="ar-LB"/>
        </w:rPr>
        <w:tab/>
      </w:r>
      <w:r w:rsidR="000633CE" w:rsidRPr="006500F0">
        <w:rPr>
          <w:rFonts w:asciiTheme="majorBidi" w:hAnsiTheme="majorBidi" w:cstheme="majorBidi"/>
          <w:rtl/>
          <w:lang w:bidi="ar-LB"/>
        </w:rPr>
        <w:t>اتفاقية حقوق الأشخاص ذوي الإعاقة</w:t>
      </w:r>
      <w:r w:rsidR="000633CE" w:rsidRPr="006500F0">
        <w:rPr>
          <w:rFonts w:asciiTheme="majorBidi" w:hAnsiTheme="majorBidi" w:cstheme="majorBidi"/>
          <w:lang w:bidi="ar-LB"/>
        </w:rPr>
        <w:t xml:space="preserve"> </w:t>
      </w:r>
      <w:r w:rsidR="000633CE" w:rsidRPr="006500F0">
        <w:rPr>
          <w:rFonts w:asciiTheme="majorBidi" w:hAnsiTheme="majorBidi" w:cstheme="majorBidi"/>
          <w:rtl/>
          <w:lang w:bidi="ar-LB"/>
        </w:rPr>
        <w:t xml:space="preserve"> (منذ العام 2018). </w:t>
      </w:r>
    </w:p>
    <w:p w14:paraId="73A3D165" w14:textId="77777777" w:rsidR="00C16279" w:rsidRPr="006500F0" w:rsidRDefault="00C16279" w:rsidP="00C16279">
      <w:pPr>
        <w:pStyle w:val="ParNoG"/>
        <w:numPr>
          <w:ilvl w:val="0"/>
          <w:numId w:val="0"/>
        </w:numPr>
        <w:ind w:left="720" w:hanging="360"/>
        <w:rPr>
          <w:rFonts w:asciiTheme="majorBidi" w:hAnsiTheme="majorBidi" w:cstheme="majorBidi"/>
          <w:lang w:bidi="ar-LB"/>
        </w:rPr>
      </w:pPr>
      <w:r w:rsidRPr="006500F0">
        <w:rPr>
          <w:rFonts w:asciiTheme="majorBidi" w:hAnsiTheme="majorBidi" w:cstheme="majorBidi"/>
          <w:lang w:bidi="ar-LB"/>
        </w:rPr>
        <w:br w:type="page"/>
      </w:r>
    </w:p>
    <w:p w14:paraId="6EA50F84" w14:textId="77777777" w:rsidR="00C16279" w:rsidRPr="006500F0" w:rsidRDefault="00C16279" w:rsidP="00C16279">
      <w:pPr>
        <w:suppressAutoHyphens w:val="0"/>
        <w:spacing w:line="240" w:lineRule="auto"/>
        <w:rPr>
          <w:rFonts w:asciiTheme="majorBidi" w:hAnsiTheme="majorBidi" w:cstheme="majorBidi"/>
          <w:lang w:bidi="ar-LB"/>
        </w:rPr>
      </w:pPr>
    </w:p>
    <w:p w14:paraId="4D5136A9" w14:textId="5E9AF06A" w:rsidR="00C16279" w:rsidRPr="006500F0" w:rsidRDefault="00D44E8A" w:rsidP="00D44E8A">
      <w:pPr>
        <w:pStyle w:val="HChG"/>
        <w:bidi/>
        <w:rPr>
          <w:rFonts w:asciiTheme="majorBidi" w:hAnsiTheme="majorBidi" w:cstheme="majorBidi"/>
          <w:b w:val="0"/>
          <w:bCs/>
          <w:sz w:val="20"/>
          <w:lang w:bidi="ar-LB"/>
        </w:rPr>
      </w:pPr>
      <w:r w:rsidRPr="006500F0">
        <w:rPr>
          <w:rFonts w:asciiTheme="majorBidi" w:hAnsiTheme="majorBidi" w:cstheme="majorBidi"/>
          <w:b w:val="0"/>
          <w:bCs/>
          <w:sz w:val="20"/>
          <w:rtl/>
          <w:lang w:bidi="ar-LB"/>
        </w:rPr>
        <w:t>المرفق 4</w:t>
      </w:r>
    </w:p>
    <w:p w14:paraId="3FAAC70A" w14:textId="069517F2" w:rsidR="00C16279" w:rsidRPr="006500F0" w:rsidRDefault="00C16279" w:rsidP="00A568E6">
      <w:pPr>
        <w:pStyle w:val="H1G"/>
        <w:bidi/>
        <w:rPr>
          <w:rFonts w:asciiTheme="majorBidi" w:hAnsiTheme="majorBidi" w:cstheme="majorBidi"/>
          <w:sz w:val="20"/>
          <w:rtl/>
          <w:lang w:bidi="ar-LB"/>
        </w:rPr>
      </w:pPr>
      <w:r w:rsidRPr="006500F0">
        <w:rPr>
          <w:rFonts w:asciiTheme="majorBidi" w:hAnsiTheme="majorBidi" w:cstheme="majorBidi"/>
          <w:sz w:val="20"/>
          <w:lang w:bidi="ar-LB"/>
        </w:rPr>
        <w:tab/>
      </w:r>
      <w:r w:rsidRPr="006500F0">
        <w:rPr>
          <w:rFonts w:asciiTheme="majorBidi" w:hAnsiTheme="majorBidi" w:cstheme="majorBidi"/>
          <w:sz w:val="20"/>
          <w:lang w:bidi="ar-LB"/>
        </w:rPr>
        <w:tab/>
      </w:r>
      <w:r w:rsidR="000B5690" w:rsidRPr="006500F0">
        <w:rPr>
          <w:rFonts w:asciiTheme="majorBidi" w:hAnsiTheme="majorBidi" w:cstheme="majorBidi"/>
          <w:b w:val="0"/>
          <w:bCs/>
          <w:sz w:val="20"/>
          <w:rtl/>
          <w:lang w:bidi="ar-LB"/>
        </w:rPr>
        <w:t>قائمة صكوك</w:t>
      </w:r>
      <w:r w:rsidR="00A568E6" w:rsidRPr="006500F0">
        <w:rPr>
          <w:rFonts w:asciiTheme="majorBidi" w:hAnsiTheme="majorBidi" w:cstheme="majorBidi"/>
          <w:b w:val="0"/>
          <w:bCs/>
          <w:sz w:val="20"/>
          <w:rtl/>
          <w:lang w:bidi="ar-LB"/>
        </w:rPr>
        <w:t xml:space="preserve"> القانون الدولي لحقوق الإنسان</w:t>
      </w:r>
      <w:r w:rsidR="000B5690" w:rsidRPr="006500F0">
        <w:rPr>
          <w:rFonts w:asciiTheme="majorBidi" w:hAnsiTheme="majorBidi" w:cstheme="majorBidi"/>
          <w:b w:val="0"/>
          <w:bCs/>
          <w:sz w:val="20"/>
          <w:rtl/>
          <w:lang w:bidi="ar-LB"/>
        </w:rPr>
        <w:t xml:space="preserve"> "غير الملزمة" التي وجّهتْ عمل البعثة </w:t>
      </w:r>
    </w:p>
    <w:p w14:paraId="15A295B7" w14:textId="1BBADB0C"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val="en-US" w:bidi="ar-LB"/>
        </w:rPr>
        <w:t>1</w:t>
      </w:r>
      <w:r w:rsidRPr="006500F0">
        <w:rPr>
          <w:rFonts w:asciiTheme="majorBidi" w:hAnsiTheme="majorBidi" w:cstheme="majorBidi"/>
          <w:lang w:bidi="ar-LB"/>
        </w:rPr>
        <w:t>.</w:t>
      </w:r>
      <w:r w:rsidR="00475D9E" w:rsidRPr="006500F0">
        <w:rPr>
          <w:rFonts w:asciiTheme="majorBidi" w:hAnsiTheme="majorBidi" w:cstheme="majorBidi"/>
          <w:rtl/>
          <w:lang w:bidi="ar-LB"/>
        </w:rPr>
        <w:t xml:space="preserve"> </w:t>
      </w:r>
      <w:r w:rsidR="001A0921" w:rsidRPr="006500F0">
        <w:rPr>
          <w:rFonts w:asciiTheme="majorBidi" w:hAnsiTheme="majorBidi" w:cstheme="majorBidi"/>
          <w:rtl/>
          <w:lang w:bidi="ar-LB"/>
        </w:rPr>
        <w:t xml:space="preserve">       </w:t>
      </w:r>
      <w:r w:rsidR="00475D9E" w:rsidRPr="006500F0">
        <w:rPr>
          <w:rFonts w:asciiTheme="majorBidi" w:hAnsiTheme="majorBidi" w:cstheme="majorBidi"/>
          <w:rtl/>
          <w:lang w:bidi="ar-LB"/>
        </w:rPr>
        <w:t>الإعلان بشأن حماية النساء والأطفال في حالات الطوارئ والمنازعات المسلحة (1974)؛ ‏‏</w:t>
      </w:r>
    </w:p>
    <w:p w14:paraId="1956411C" w14:textId="14EA8D3A"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2.</w:t>
      </w:r>
      <w:r w:rsidRPr="006500F0">
        <w:rPr>
          <w:rFonts w:asciiTheme="majorBidi" w:hAnsiTheme="majorBidi" w:cstheme="majorBidi"/>
          <w:lang w:bidi="ar-LB"/>
        </w:rPr>
        <w:tab/>
      </w:r>
      <w:r w:rsidR="001A0921" w:rsidRPr="006500F0">
        <w:rPr>
          <w:rFonts w:asciiTheme="majorBidi" w:hAnsiTheme="majorBidi" w:cstheme="majorBidi"/>
          <w:rtl/>
          <w:lang w:bidi="ar-LB"/>
        </w:rPr>
        <w:t xml:space="preserve">إعلان القاهرة حول حقوق الإنسان في الإسلام (1990)؛ </w:t>
      </w:r>
      <w:r w:rsidR="001A0921" w:rsidRPr="006500F0">
        <w:rPr>
          <w:rFonts w:asciiTheme="majorBidi" w:hAnsiTheme="majorBidi" w:cstheme="majorBidi"/>
          <w:lang w:bidi="ar-LB"/>
        </w:rPr>
        <w:t xml:space="preserve"> </w:t>
      </w:r>
    </w:p>
    <w:p w14:paraId="1D0C886B" w14:textId="44B612A6"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3.</w:t>
      </w:r>
      <w:r w:rsidRPr="006500F0">
        <w:rPr>
          <w:rFonts w:asciiTheme="majorBidi" w:hAnsiTheme="majorBidi" w:cstheme="majorBidi"/>
          <w:lang w:bidi="ar-LB"/>
        </w:rPr>
        <w:tab/>
      </w:r>
      <w:r w:rsidR="001A0921" w:rsidRPr="006500F0">
        <w:rPr>
          <w:rFonts w:asciiTheme="majorBidi" w:hAnsiTheme="majorBidi" w:cstheme="majorBidi"/>
          <w:rtl/>
          <w:lang w:bidi="ar-LB"/>
        </w:rPr>
        <w:t>المبادئ الأساسية بشأن استخدام القوة والأسلحة النارية من جانب الموظفين المكلفين بإنفاذ القوانين</w:t>
      </w:r>
      <w:r w:rsidR="001A0921" w:rsidRPr="006500F0">
        <w:rPr>
          <w:rFonts w:asciiTheme="majorBidi" w:hAnsiTheme="majorBidi" w:cstheme="majorBidi"/>
          <w:lang w:bidi="ar-LB"/>
        </w:rPr>
        <w:t xml:space="preserve"> </w:t>
      </w:r>
      <w:r w:rsidR="001A0921" w:rsidRPr="006500F0">
        <w:rPr>
          <w:rFonts w:asciiTheme="majorBidi" w:hAnsiTheme="majorBidi" w:cstheme="majorBidi"/>
          <w:rtl/>
          <w:lang w:bidi="ar-LB"/>
        </w:rPr>
        <w:t xml:space="preserve"> (1990)؛ </w:t>
      </w:r>
    </w:p>
    <w:p w14:paraId="04DA4206" w14:textId="131FAF03"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4.</w:t>
      </w:r>
      <w:r w:rsidRPr="006500F0">
        <w:rPr>
          <w:rFonts w:asciiTheme="majorBidi" w:hAnsiTheme="majorBidi" w:cstheme="majorBidi"/>
          <w:lang w:bidi="ar-LB"/>
        </w:rPr>
        <w:tab/>
      </w:r>
      <w:r w:rsidR="001A0921" w:rsidRPr="006500F0">
        <w:rPr>
          <w:rFonts w:asciiTheme="majorBidi" w:hAnsiTheme="majorBidi" w:cstheme="majorBidi"/>
          <w:rtl/>
          <w:lang w:bidi="ar-LB"/>
        </w:rPr>
        <w:t>الإعلان المتعلق بحماية جميع الأشخاص من الاختفاء القسري</w:t>
      </w:r>
      <w:r w:rsidR="001A0921" w:rsidRPr="006500F0">
        <w:rPr>
          <w:rFonts w:asciiTheme="majorBidi" w:hAnsiTheme="majorBidi" w:cstheme="majorBidi"/>
          <w:lang w:bidi="ar-LB"/>
        </w:rPr>
        <w:t xml:space="preserve"> </w:t>
      </w:r>
      <w:r w:rsidR="001A0921" w:rsidRPr="006500F0">
        <w:rPr>
          <w:rFonts w:asciiTheme="majorBidi" w:hAnsiTheme="majorBidi" w:cstheme="majorBidi"/>
          <w:rtl/>
          <w:lang w:bidi="ar-LB"/>
        </w:rPr>
        <w:t xml:space="preserve"> (1992)؛</w:t>
      </w:r>
      <w:r w:rsidRPr="006500F0">
        <w:rPr>
          <w:rFonts w:asciiTheme="majorBidi" w:hAnsiTheme="majorBidi" w:cstheme="majorBidi"/>
          <w:lang w:bidi="ar-LB"/>
        </w:rPr>
        <w:t xml:space="preserve"> </w:t>
      </w:r>
    </w:p>
    <w:p w14:paraId="442388CA" w14:textId="59403103"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5.</w:t>
      </w:r>
      <w:r w:rsidRPr="006500F0">
        <w:rPr>
          <w:rFonts w:asciiTheme="majorBidi" w:hAnsiTheme="majorBidi" w:cstheme="majorBidi"/>
          <w:lang w:bidi="ar-LB"/>
        </w:rPr>
        <w:tab/>
      </w:r>
      <w:r w:rsidR="00B678E4" w:rsidRPr="006500F0">
        <w:rPr>
          <w:rFonts w:asciiTheme="majorBidi" w:hAnsiTheme="majorBidi" w:cstheme="majorBidi"/>
          <w:rtl/>
          <w:lang w:bidi="ar-LB"/>
        </w:rPr>
        <w:t>المبادئ التوجيهية بشأن التشريد الداخلي</w:t>
      </w:r>
      <w:r w:rsidR="00B678E4" w:rsidRPr="006500F0">
        <w:rPr>
          <w:rFonts w:asciiTheme="majorBidi" w:hAnsiTheme="majorBidi" w:cstheme="majorBidi"/>
          <w:lang w:bidi="ar-LB"/>
        </w:rPr>
        <w:t xml:space="preserve"> </w:t>
      </w:r>
      <w:r w:rsidR="00B678E4" w:rsidRPr="006500F0">
        <w:rPr>
          <w:rFonts w:asciiTheme="majorBidi" w:hAnsiTheme="majorBidi" w:cstheme="majorBidi"/>
          <w:rtl/>
          <w:lang w:bidi="ar-LB"/>
        </w:rPr>
        <w:t xml:space="preserve"> (1998)؛ </w:t>
      </w:r>
    </w:p>
    <w:p w14:paraId="22439875" w14:textId="0CF8C3AD"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6.</w:t>
      </w:r>
      <w:r w:rsidRPr="006500F0">
        <w:rPr>
          <w:rFonts w:asciiTheme="majorBidi" w:hAnsiTheme="majorBidi" w:cstheme="majorBidi"/>
          <w:lang w:bidi="ar-LB"/>
        </w:rPr>
        <w:tab/>
      </w:r>
      <w:r w:rsidR="009E0476" w:rsidRPr="006500F0">
        <w:rPr>
          <w:rFonts w:asciiTheme="majorBidi" w:hAnsiTheme="majorBidi" w:cstheme="majorBidi"/>
          <w:rtl/>
          <w:lang w:bidi="ar-LB"/>
        </w:rPr>
        <w:t>الإعلان المتعلق بحق ومسؤولية الأفراد والجماعات وهيئات المجتمع في تعزيز وحماية حقوق الإنسان والحريات الأساسية المعترف بها عالميا</w:t>
      </w:r>
      <w:r w:rsidR="009E0476" w:rsidRPr="006500F0">
        <w:rPr>
          <w:rFonts w:asciiTheme="majorBidi" w:hAnsiTheme="majorBidi" w:cstheme="majorBidi"/>
          <w:rtl/>
          <w:lang w:bidi="ar-LB"/>
        </w:rPr>
        <w:br/>
        <w:t xml:space="preserve">(الإعلان المتعلق بالمدافعين عن حقوق الإنسان) (1999)؛ </w:t>
      </w:r>
      <w:r w:rsidR="009E0476" w:rsidRPr="006500F0">
        <w:rPr>
          <w:rFonts w:asciiTheme="majorBidi" w:hAnsiTheme="majorBidi" w:cstheme="majorBidi"/>
          <w:lang w:bidi="ar-LB"/>
        </w:rPr>
        <w:t xml:space="preserve"> </w:t>
      </w:r>
    </w:p>
    <w:p w14:paraId="163C89A3" w14:textId="453A4602"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7.</w:t>
      </w:r>
      <w:r w:rsidRPr="006500F0">
        <w:rPr>
          <w:rFonts w:asciiTheme="majorBidi" w:hAnsiTheme="majorBidi" w:cstheme="majorBidi"/>
          <w:lang w:bidi="ar-LB"/>
        </w:rPr>
        <w:tab/>
      </w:r>
      <w:r w:rsidR="00635E23" w:rsidRPr="006500F0">
        <w:rPr>
          <w:rFonts w:asciiTheme="majorBidi" w:hAnsiTheme="majorBidi" w:cstheme="majorBidi"/>
          <w:rtl/>
          <w:lang w:bidi="ar-LB"/>
        </w:rPr>
        <w:t>بروتوكول منع وقمع ومعاقبة الاتجار بالأشخاص ، و بخاصة النساء والأطفال ، المكمل لاتفاقية الأمم المتحدة لمكافحة الجريمة المنظمة عبر الوطنية</w:t>
      </w:r>
      <w:r w:rsidR="00635E23" w:rsidRPr="006500F0">
        <w:rPr>
          <w:rFonts w:asciiTheme="majorBidi" w:hAnsiTheme="majorBidi" w:cstheme="majorBidi"/>
          <w:lang w:bidi="ar-LB"/>
        </w:rPr>
        <w:t xml:space="preserve"> </w:t>
      </w:r>
      <w:r w:rsidR="00635E23" w:rsidRPr="006500F0">
        <w:rPr>
          <w:rFonts w:asciiTheme="majorBidi" w:hAnsiTheme="majorBidi" w:cstheme="majorBidi"/>
          <w:rtl/>
          <w:lang w:bidi="ar-LB"/>
        </w:rPr>
        <w:t xml:space="preserve"> (2000)؛ </w:t>
      </w:r>
    </w:p>
    <w:p w14:paraId="2B78F07B" w14:textId="7EECA81F"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8.</w:t>
      </w:r>
      <w:r w:rsidRPr="006500F0">
        <w:rPr>
          <w:rFonts w:asciiTheme="majorBidi" w:hAnsiTheme="majorBidi" w:cstheme="majorBidi"/>
          <w:lang w:bidi="ar-LB"/>
        </w:rPr>
        <w:tab/>
      </w:r>
      <w:r w:rsidR="005A1633" w:rsidRPr="006500F0">
        <w:rPr>
          <w:rFonts w:asciiTheme="majorBidi" w:hAnsiTheme="majorBidi" w:cstheme="majorBidi"/>
          <w:rtl/>
          <w:lang w:bidi="ar-LB"/>
        </w:rPr>
        <w:t>بروتوكول مكافحة تهريب المهاجرين عن طريق البر والبحر والجو، المكمِّل لاتفاقية الأمم المتحدة لمكافحة الجريمة المنظمة عبر الوطنية</w:t>
      </w:r>
      <w:r w:rsidR="005A1633" w:rsidRPr="006500F0">
        <w:rPr>
          <w:rFonts w:asciiTheme="majorBidi" w:hAnsiTheme="majorBidi" w:cstheme="majorBidi"/>
          <w:lang w:bidi="ar-LB"/>
        </w:rPr>
        <w:t xml:space="preserve"> </w:t>
      </w:r>
      <w:r w:rsidR="005A1633" w:rsidRPr="006500F0">
        <w:rPr>
          <w:rFonts w:asciiTheme="majorBidi" w:hAnsiTheme="majorBidi" w:cstheme="majorBidi"/>
          <w:rtl/>
          <w:lang w:bidi="ar-LB"/>
        </w:rPr>
        <w:t xml:space="preserve"> (2000)؛ </w:t>
      </w:r>
    </w:p>
    <w:p w14:paraId="59AE7659" w14:textId="207B6CCF"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9.</w:t>
      </w:r>
      <w:r w:rsidRPr="006500F0">
        <w:rPr>
          <w:rFonts w:asciiTheme="majorBidi" w:hAnsiTheme="majorBidi" w:cstheme="majorBidi"/>
          <w:lang w:bidi="ar-LB"/>
        </w:rPr>
        <w:tab/>
      </w:r>
      <w:r w:rsidR="00EE5EF1" w:rsidRPr="006500F0">
        <w:rPr>
          <w:rFonts w:asciiTheme="majorBidi" w:hAnsiTheme="majorBidi" w:cstheme="majorBidi"/>
          <w:rtl/>
          <w:lang w:bidi="ar-LB"/>
        </w:rPr>
        <w:t>المجموعة المستوفاة من المبادئ المتعلقة بحماية حقوق الإنسان وتعزيزها من خلال اتخاذ إجراءات لمكافحة الإفلات من العقاب</w:t>
      </w:r>
      <w:r w:rsidR="00EE5EF1" w:rsidRPr="006500F0">
        <w:rPr>
          <w:rFonts w:asciiTheme="majorBidi" w:hAnsiTheme="majorBidi" w:cstheme="majorBidi"/>
          <w:lang w:bidi="ar-LB"/>
        </w:rPr>
        <w:t xml:space="preserve"> </w:t>
      </w:r>
      <w:r w:rsidR="00EE5EF1" w:rsidRPr="006500F0">
        <w:rPr>
          <w:rFonts w:asciiTheme="majorBidi" w:hAnsiTheme="majorBidi" w:cstheme="majorBidi"/>
          <w:rtl/>
          <w:lang w:bidi="ar-LB"/>
        </w:rPr>
        <w:t xml:space="preserve"> (2005)؛ </w:t>
      </w:r>
    </w:p>
    <w:p w14:paraId="14FF221B" w14:textId="63427FB2"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lastRenderedPageBreak/>
        <w:t>10.</w:t>
      </w:r>
      <w:r w:rsidRPr="006500F0">
        <w:rPr>
          <w:rFonts w:asciiTheme="majorBidi" w:hAnsiTheme="majorBidi" w:cstheme="majorBidi"/>
          <w:lang w:bidi="ar-LB"/>
        </w:rPr>
        <w:tab/>
      </w:r>
      <w:r w:rsidR="00BF38A0" w:rsidRPr="006500F0">
        <w:rPr>
          <w:rFonts w:asciiTheme="majorBidi" w:hAnsiTheme="majorBidi" w:cstheme="majorBidi"/>
          <w:rtl/>
          <w:lang w:bidi="ar-LB"/>
        </w:rPr>
        <w:t>المبادئ الأساسية والمبادئ التوجيهية بشأن الحق في الانتصاف والجبر لضحايا الانتهاكات الجسيمة للقانون الدولي لحقوق الإنسان والانتهاكات الخطيرة للقانون الدولي الإنساني</w:t>
      </w:r>
      <w:r w:rsidR="00BF38A0" w:rsidRPr="006500F0">
        <w:rPr>
          <w:rFonts w:asciiTheme="majorBidi" w:hAnsiTheme="majorBidi" w:cstheme="majorBidi"/>
          <w:lang w:bidi="ar-LB"/>
        </w:rPr>
        <w:t xml:space="preserve"> </w:t>
      </w:r>
      <w:r w:rsidR="00BF38A0" w:rsidRPr="006500F0">
        <w:rPr>
          <w:rFonts w:asciiTheme="majorBidi" w:hAnsiTheme="majorBidi" w:cstheme="majorBidi"/>
          <w:rtl/>
          <w:lang w:bidi="ar-LB"/>
        </w:rPr>
        <w:t xml:space="preserve">(2005)؛ </w:t>
      </w:r>
    </w:p>
    <w:p w14:paraId="1ACC1D42" w14:textId="43AACEA8"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11.</w:t>
      </w:r>
      <w:r w:rsidRPr="006500F0">
        <w:rPr>
          <w:rFonts w:asciiTheme="majorBidi" w:hAnsiTheme="majorBidi" w:cstheme="majorBidi"/>
          <w:lang w:bidi="ar-LB"/>
        </w:rPr>
        <w:tab/>
      </w:r>
      <w:r w:rsidR="00214203" w:rsidRPr="006500F0">
        <w:rPr>
          <w:rFonts w:asciiTheme="majorBidi" w:hAnsiTheme="majorBidi" w:cstheme="majorBidi"/>
          <w:rtl/>
          <w:lang w:bidi="ar-LB"/>
        </w:rPr>
        <w:t>قواعد الأمم المتحدة لمعاملة السجينات والتدابير غير الاحتجازية للمجرمات (قواعد بانكوك)</w:t>
      </w:r>
      <w:r w:rsidR="00214203" w:rsidRPr="006500F0">
        <w:rPr>
          <w:rFonts w:asciiTheme="majorBidi" w:hAnsiTheme="majorBidi" w:cstheme="majorBidi"/>
          <w:lang w:bidi="ar-LB"/>
        </w:rPr>
        <w:t xml:space="preserve"> </w:t>
      </w:r>
      <w:r w:rsidR="00214203" w:rsidRPr="006500F0">
        <w:rPr>
          <w:rFonts w:asciiTheme="majorBidi" w:hAnsiTheme="majorBidi" w:cstheme="majorBidi"/>
          <w:rtl/>
          <w:lang w:bidi="ar-LB"/>
        </w:rPr>
        <w:t xml:space="preserve"> (2010)؛ </w:t>
      </w:r>
    </w:p>
    <w:p w14:paraId="238B3057" w14:textId="2F59FD97" w:rsidR="00C16279" w:rsidRPr="006500F0" w:rsidRDefault="00C16279" w:rsidP="008D30A1">
      <w:pPr>
        <w:bidi/>
        <w:spacing w:line="480" w:lineRule="auto"/>
        <w:jc w:val="both"/>
        <w:rPr>
          <w:rFonts w:asciiTheme="majorBidi" w:hAnsiTheme="majorBidi" w:cstheme="majorBidi"/>
          <w:lang w:bidi="ar-LB"/>
        </w:rPr>
      </w:pPr>
      <w:r w:rsidRPr="006500F0">
        <w:rPr>
          <w:rFonts w:asciiTheme="majorBidi" w:hAnsiTheme="majorBidi" w:cstheme="majorBidi"/>
          <w:lang w:bidi="ar-LB"/>
        </w:rPr>
        <w:t>12.</w:t>
      </w:r>
      <w:r w:rsidRPr="006500F0">
        <w:rPr>
          <w:rFonts w:asciiTheme="majorBidi" w:hAnsiTheme="majorBidi" w:cstheme="majorBidi"/>
          <w:lang w:bidi="ar-LB"/>
        </w:rPr>
        <w:tab/>
      </w:r>
      <w:r w:rsidR="00214203" w:rsidRPr="006500F0">
        <w:rPr>
          <w:rFonts w:asciiTheme="majorBidi" w:hAnsiTheme="majorBidi" w:cstheme="majorBidi"/>
          <w:rtl/>
          <w:lang w:bidi="ar-LB"/>
        </w:rPr>
        <w:t>قواعد الأمم المتحدة النموذجية الدنيا لمعاملة السجناء</w:t>
      </w:r>
      <w:r w:rsidR="00214203" w:rsidRPr="006500F0">
        <w:rPr>
          <w:rFonts w:asciiTheme="majorBidi" w:hAnsiTheme="majorBidi" w:cstheme="majorBidi"/>
          <w:rtl/>
          <w:lang w:bidi="ar-LB"/>
        </w:rPr>
        <w:br/>
        <w:t>(قواعد نيلسون مانديلا) (2015)</w:t>
      </w:r>
      <w:r w:rsidRPr="006500F0">
        <w:rPr>
          <w:rFonts w:asciiTheme="majorBidi" w:hAnsiTheme="majorBidi" w:cstheme="majorBidi"/>
          <w:lang w:bidi="ar-LB"/>
        </w:rPr>
        <w:t>.</w:t>
      </w:r>
    </w:p>
    <w:p w14:paraId="2DCA3866" w14:textId="77777777" w:rsidR="00C16279" w:rsidRPr="006500F0" w:rsidRDefault="00C16279" w:rsidP="008D30A1">
      <w:pPr>
        <w:bidi/>
        <w:spacing w:line="480" w:lineRule="auto"/>
        <w:jc w:val="both"/>
        <w:rPr>
          <w:rFonts w:asciiTheme="majorBidi" w:hAnsiTheme="majorBidi" w:cstheme="majorBidi"/>
          <w:sz w:val="24"/>
          <w:szCs w:val="24"/>
          <w:lang w:bidi="ar-LB"/>
        </w:rPr>
      </w:pPr>
      <w:r w:rsidRPr="006500F0">
        <w:rPr>
          <w:rFonts w:asciiTheme="majorBidi" w:hAnsiTheme="majorBidi" w:cstheme="majorBidi"/>
          <w:sz w:val="24"/>
          <w:szCs w:val="24"/>
          <w:lang w:bidi="ar-LB"/>
        </w:rPr>
        <w:br w:type="page"/>
      </w:r>
    </w:p>
    <w:p w14:paraId="41E25CC6" w14:textId="39DAA545" w:rsidR="00C16279" w:rsidRPr="006500F0" w:rsidRDefault="00D008E6" w:rsidP="00D008E6">
      <w:pPr>
        <w:pStyle w:val="HChG"/>
        <w:bidi/>
        <w:rPr>
          <w:rFonts w:asciiTheme="majorBidi" w:hAnsiTheme="majorBidi" w:cstheme="majorBidi"/>
          <w:b w:val="0"/>
          <w:bCs/>
          <w:lang w:val="en-US" w:bidi="ar-LB"/>
        </w:rPr>
      </w:pPr>
      <w:r w:rsidRPr="006500F0">
        <w:rPr>
          <w:rFonts w:asciiTheme="majorBidi" w:hAnsiTheme="majorBidi" w:cstheme="majorBidi"/>
          <w:b w:val="0"/>
          <w:bCs/>
          <w:rtl/>
          <w:lang w:bidi="ar-LB"/>
        </w:rPr>
        <w:lastRenderedPageBreak/>
        <w:t>المرفق 5</w:t>
      </w:r>
    </w:p>
    <w:p w14:paraId="240DE8DB" w14:textId="797EE747" w:rsidR="00C16279" w:rsidRPr="006500F0" w:rsidRDefault="00C16279" w:rsidP="00D008E6">
      <w:pPr>
        <w:pStyle w:val="H1G"/>
        <w:bidi/>
        <w:rPr>
          <w:rFonts w:asciiTheme="majorBidi" w:hAnsiTheme="majorBidi" w:cstheme="majorBidi"/>
          <w:b w:val="0"/>
          <w:bCs/>
          <w:lang w:val="en-US" w:bidi="ar-LB"/>
        </w:rPr>
      </w:pPr>
      <w:r w:rsidRPr="006500F0">
        <w:rPr>
          <w:rFonts w:asciiTheme="majorBidi" w:hAnsiTheme="majorBidi" w:cstheme="majorBidi"/>
          <w:b w:val="0"/>
          <w:bCs/>
          <w:lang w:val="en-US" w:bidi="ar-LB"/>
        </w:rPr>
        <w:tab/>
      </w:r>
      <w:r w:rsidRPr="006500F0">
        <w:rPr>
          <w:rFonts w:asciiTheme="majorBidi" w:hAnsiTheme="majorBidi" w:cstheme="majorBidi"/>
          <w:b w:val="0"/>
          <w:bCs/>
          <w:lang w:val="en-US" w:bidi="ar-LB"/>
        </w:rPr>
        <w:tab/>
      </w:r>
      <w:r w:rsidR="00D008E6" w:rsidRPr="006500F0">
        <w:rPr>
          <w:rFonts w:asciiTheme="majorBidi" w:hAnsiTheme="majorBidi" w:cstheme="majorBidi"/>
          <w:b w:val="0"/>
          <w:bCs/>
          <w:rtl/>
          <w:lang w:val="en-US" w:bidi="ar-LB"/>
        </w:rPr>
        <w:t>قائمة صكوك القانون الدولي الإنساني التي انضمت إليها ليبيا</w:t>
      </w:r>
    </w:p>
    <w:p w14:paraId="44AAD3A1" w14:textId="1244E6C9"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1.</w:t>
      </w:r>
      <w:r w:rsidRPr="006500F0">
        <w:rPr>
          <w:rFonts w:asciiTheme="majorBidi" w:hAnsiTheme="majorBidi" w:cstheme="majorBidi"/>
          <w:lang w:bidi="ar-LB"/>
        </w:rPr>
        <w:tab/>
      </w:r>
      <w:r w:rsidR="002E0799" w:rsidRPr="006500F0">
        <w:rPr>
          <w:rFonts w:asciiTheme="majorBidi" w:hAnsiTheme="majorBidi" w:cstheme="majorBidi"/>
          <w:rtl/>
          <w:lang w:bidi="ar-LB"/>
        </w:rPr>
        <w:t xml:space="preserve">اتفاقية حماية الممتلكات الثقافية في حالة نزاع مسلح (منذ العام 1954)؛ </w:t>
      </w:r>
      <w:r w:rsidR="002E0799" w:rsidRPr="006500F0">
        <w:rPr>
          <w:rFonts w:asciiTheme="majorBidi" w:hAnsiTheme="majorBidi" w:cstheme="majorBidi"/>
          <w:lang w:bidi="ar-LB"/>
        </w:rPr>
        <w:t xml:space="preserve"> </w:t>
      </w:r>
    </w:p>
    <w:p w14:paraId="6885988F" w14:textId="3B6DFC00"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2.</w:t>
      </w:r>
      <w:r w:rsidRPr="006500F0">
        <w:rPr>
          <w:rFonts w:asciiTheme="majorBidi" w:hAnsiTheme="majorBidi" w:cstheme="majorBidi"/>
          <w:lang w:bidi="ar-LB"/>
        </w:rPr>
        <w:tab/>
      </w:r>
      <w:r w:rsidR="002E0799" w:rsidRPr="006500F0">
        <w:rPr>
          <w:rFonts w:asciiTheme="majorBidi" w:hAnsiTheme="majorBidi" w:cstheme="majorBidi"/>
          <w:rtl/>
          <w:lang w:bidi="ar-LB"/>
        </w:rPr>
        <w:t xml:space="preserve">اتفاقية جنيف الأولى لتحسين حال الجرحى والمرضى بالقوات المسلحة في الميدان (منذ العام 1956)؛ </w:t>
      </w:r>
    </w:p>
    <w:p w14:paraId="683A9451" w14:textId="05695608"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3.</w:t>
      </w:r>
      <w:r w:rsidRPr="006500F0">
        <w:rPr>
          <w:rFonts w:asciiTheme="majorBidi" w:hAnsiTheme="majorBidi" w:cstheme="majorBidi"/>
          <w:lang w:bidi="ar-LB"/>
        </w:rPr>
        <w:tab/>
      </w:r>
      <w:r w:rsidR="0033661C" w:rsidRPr="006500F0">
        <w:rPr>
          <w:rFonts w:asciiTheme="majorBidi" w:hAnsiTheme="majorBidi" w:cstheme="majorBidi"/>
          <w:rtl/>
          <w:lang w:bidi="ar-LB"/>
        </w:rPr>
        <w:t xml:space="preserve">اتفاقية جنيف الثانية لتحسين حال جرحى ومرضى وغرقى القوات المسلحة في البحار (منذ العام 1956)؛ </w:t>
      </w:r>
      <w:r w:rsidR="0033661C" w:rsidRPr="006500F0">
        <w:rPr>
          <w:rFonts w:asciiTheme="majorBidi" w:hAnsiTheme="majorBidi" w:cstheme="majorBidi"/>
          <w:lang w:bidi="ar-LB"/>
        </w:rPr>
        <w:t xml:space="preserve"> </w:t>
      </w:r>
    </w:p>
    <w:p w14:paraId="2A58D69F" w14:textId="44AE6321"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4.</w:t>
      </w:r>
      <w:r w:rsidRPr="006500F0">
        <w:rPr>
          <w:rFonts w:asciiTheme="majorBidi" w:hAnsiTheme="majorBidi" w:cstheme="majorBidi"/>
          <w:lang w:bidi="ar-LB"/>
        </w:rPr>
        <w:tab/>
      </w:r>
      <w:r w:rsidR="000E3FED" w:rsidRPr="006500F0">
        <w:rPr>
          <w:rFonts w:asciiTheme="majorBidi" w:hAnsiTheme="majorBidi" w:cstheme="majorBidi"/>
          <w:rtl/>
          <w:lang w:bidi="ar-LB"/>
        </w:rPr>
        <w:t xml:space="preserve">اتفاقية جنيف الثالثة المتعلقة بمعاملة أسرى الحرب (منذ العام 1956)؛ </w:t>
      </w:r>
      <w:r w:rsidR="000E3FED" w:rsidRPr="006500F0">
        <w:rPr>
          <w:rFonts w:asciiTheme="majorBidi" w:hAnsiTheme="majorBidi" w:cstheme="majorBidi"/>
          <w:lang w:bidi="ar-LB"/>
        </w:rPr>
        <w:t xml:space="preserve"> </w:t>
      </w:r>
    </w:p>
    <w:p w14:paraId="2D2E5A85" w14:textId="2E674066"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5.</w:t>
      </w:r>
      <w:r w:rsidRPr="006500F0">
        <w:rPr>
          <w:rFonts w:asciiTheme="majorBidi" w:hAnsiTheme="majorBidi" w:cstheme="majorBidi"/>
          <w:lang w:bidi="ar-LB"/>
        </w:rPr>
        <w:tab/>
      </w:r>
      <w:r w:rsidR="00993B02" w:rsidRPr="006500F0">
        <w:rPr>
          <w:rFonts w:asciiTheme="majorBidi" w:hAnsiTheme="majorBidi" w:cstheme="majorBidi"/>
          <w:rtl/>
          <w:lang w:bidi="ar-LB"/>
        </w:rPr>
        <w:t>اتفاقية جنيف الرابعة بشأن حماية الأشخاص المدنيين في وقت الحرب</w:t>
      </w:r>
      <w:r w:rsidR="00993B02" w:rsidRPr="006500F0">
        <w:rPr>
          <w:rFonts w:asciiTheme="majorBidi" w:hAnsiTheme="majorBidi" w:cstheme="majorBidi"/>
          <w:lang w:bidi="ar-LB"/>
        </w:rPr>
        <w:t xml:space="preserve"> </w:t>
      </w:r>
      <w:r w:rsidR="00993B02" w:rsidRPr="006500F0">
        <w:rPr>
          <w:rFonts w:asciiTheme="majorBidi" w:hAnsiTheme="majorBidi" w:cstheme="majorBidi"/>
          <w:rtl/>
          <w:lang w:bidi="ar-LB"/>
        </w:rPr>
        <w:t>(منذ العام 1956)؛</w:t>
      </w:r>
    </w:p>
    <w:p w14:paraId="6653621A" w14:textId="4C33ECFF"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6.</w:t>
      </w:r>
      <w:r w:rsidRPr="006500F0">
        <w:rPr>
          <w:rFonts w:asciiTheme="majorBidi" w:hAnsiTheme="majorBidi" w:cstheme="majorBidi"/>
          <w:lang w:bidi="ar-LB"/>
        </w:rPr>
        <w:tab/>
      </w:r>
      <w:r w:rsidR="009206E0" w:rsidRPr="006500F0">
        <w:rPr>
          <w:rFonts w:asciiTheme="majorBidi" w:hAnsiTheme="majorBidi" w:cstheme="majorBidi"/>
          <w:rtl/>
          <w:lang w:bidi="ar-LB"/>
        </w:rPr>
        <w:t xml:space="preserve">بروتوكول اتفاقية حماية الملكية الثقافية في حالة نشوب صراع </w:t>
      </w:r>
      <w:r w:rsidR="00E40C91" w:rsidRPr="006500F0">
        <w:rPr>
          <w:rFonts w:asciiTheme="majorBidi" w:hAnsiTheme="majorBidi" w:cstheme="majorBidi"/>
          <w:rtl/>
          <w:lang w:bidi="ar-LB"/>
        </w:rPr>
        <w:t>مسلح</w:t>
      </w:r>
      <w:r w:rsidR="00E40C91" w:rsidRPr="006500F0">
        <w:rPr>
          <w:rFonts w:asciiTheme="majorBidi" w:hAnsiTheme="majorBidi" w:cstheme="majorBidi"/>
          <w:lang w:bidi="ar-LB"/>
        </w:rPr>
        <w:t xml:space="preserve"> </w:t>
      </w:r>
      <w:r w:rsidR="00E40C91" w:rsidRPr="006500F0">
        <w:rPr>
          <w:rFonts w:asciiTheme="majorBidi" w:hAnsiTheme="majorBidi" w:cstheme="majorBidi"/>
          <w:rtl/>
          <w:lang w:bidi="ar-LB"/>
        </w:rPr>
        <w:t>(</w:t>
      </w:r>
      <w:r w:rsidR="009206E0" w:rsidRPr="006500F0">
        <w:rPr>
          <w:rFonts w:asciiTheme="majorBidi" w:hAnsiTheme="majorBidi" w:cstheme="majorBidi"/>
          <w:rtl/>
          <w:lang w:bidi="ar-LB"/>
        </w:rPr>
        <w:t xml:space="preserve">منذ العام 1957)؛ </w:t>
      </w:r>
    </w:p>
    <w:p w14:paraId="27E76BB8" w14:textId="6873250A"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7.</w:t>
      </w:r>
      <w:r w:rsidRPr="006500F0">
        <w:rPr>
          <w:rFonts w:asciiTheme="majorBidi" w:hAnsiTheme="majorBidi" w:cstheme="majorBidi"/>
          <w:lang w:bidi="ar-LB"/>
        </w:rPr>
        <w:tab/>
      </w:r>
      <w:r w:rsidR="000D64D7" w:rsidRPr="006500F0">
        <w:rPr>
          <w:rFonts w:asciiTheme="majorBidi" w:hAnsiTheme="majorBidi" w:cstheme="majorBidi"/>
          <w:rtl/>
          <w:lang w:bidi="ar-LB"/>
        </w:rPr>
        <w:t xml:space="preserve">بروتوكول حظر الاستعمال الحربي للغازات الخانقة أو السامة أو ما شابهها ولوسائل الحرب </w:t>
      </w:r>
      <w:r w:rsidR="00E40C91" w:rsidRPr="006500F0">
        <w:rPr>
          <w:rFonts w:asciiTheme="majorBidi" w:hAnsiTheme="majorBidi" w:cstheme="majorBidi"/>
          <w:rtl/>
          <w:lang w:bidi="ar-LB"/>
        </w:rPr>
        <w:t>البكتريولوجية</w:t>
      </w:r>
      <w:r w:rsidR="00E40C91" w:rsidRPr="006500F0">
        <w:rPr>
          <w:rFonts w:asciiTheme="majorBidi" w:hAnsiTheme="majorBidi" w:cstheme="majorBidi"/>
          <w:lang w:bidi="ar-LB"/>
        </w:rPr>
        <w:t xml:space="preserve"> </w:t>
      </w:r>
      <w:r w:rsidR="00E40C91" w:rsidRPr="006500F0">
        <w:rPr>
          <w:rFonts w:asciiTheme="majorBidi" w:hAnsiTheme="majorBidi" w:cstheme="majorBidi"/>
          <w:rtl/>
          <w:lang w:bidi="ar-LB"/>
        </w:rPr>
        <w:t>(</w:t>
      </w:r>
      <w:r w:rsidR="000D64D7" w:rsidRPr="006500F0">
        <w:rPr>
          <w:rFonts w:asciiTheme="majorBidi" w:hAnsiTheme="majorBidi" w:cstheme="majorBidi"/>
          <w:rtl/>
          <w:lang w:bidi="ar-LB"/>
        </w:rPr>
        <w:t xml:space="preserve">منذ العام 1971)؛ </w:t>
      </w:r>
    </w:p>
    <w:p w14:paraId="741C3760" w14:textId="7D2B7289"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8.</w:t>
      </w:r>
      <w:r w:rsidRPr="006500F0">
        <w:rPr>
          <w:rFonts w:asciiTheme="majorBidi" w:hAnsiTheme="majorBidi" w:cstheme="majorBidi"/>
          <w:lang w:bidi="ar-LB"/>
        </w:rPr>
        <w:tab/>
      </w:r>
      <w:r w:rsidR="00A9725A" w:rsidRPr="006500F0">
        <w:rPr>
          <w:rFonts w:asciiTheme="majorBidi" w:hAnsiTheme="majorBidi" w:cstheme="majorBidi"/>
          <w:rtl/>
          <w:lang w:bidi="ar-LB"/>
        </w:rPr>
        <w:t>البروتوكول الأول الإضافي إلى اتفاقيات جنيف المعقودة في </w:t>
      </w:r>
      <w:r w:rsidR="00A9725A" w:rsidRPr="006500F0">
        <w:rPr>
          <w:rFonts w:asciiTheme="majorBidi" w:hAnsiTheme="majorBidi" w:cstheme="majorBidi"/>
          <w:lang w:bidi="ar-LB"/>
        </w:rPr>
        <w:t>12 </w:t>
      </w:r>
      <w:r w:rsidR="00A9725A" w:rsidRPr="006500F0">
        <w:rPr>
          <w:rFonts w:asciiTheme="majorBidi" w:hAnsiTheme="majorBidi" w:cstheme="majorBidi"/>
          <w:rtl/>
          <w:lang w:bidi="ar-LB"/>
        </w:rPr>
        <w:t>آب / أغسطس </w:t>
      </w:r>
      <w:r w:rsidR="00A9725A" w:rsidRPr="006500F0">
        <w:rPr>
          <w:rFonts w:asciiTheme="majorBidi" w:hAnsiTheme="majorBidi" w:cstheme="majorBidi"/>
          <w:lang w:bidi="ar-LB"/>
        </w:rPr>
        <w:t>1949 </w:t>
      </w:r>
      <w:r w:rsidR="00A9725A" w:rsidRPr="006500F0">
        <w:rPr>
          <w:rFonts w:asciiTheme="majorBidi" w:hAnsiTheme="majorBidi" w:cstheme="majorBidi"/>
          <w:rtl/>
          <w:lang w:bidi="ar-LB"/>
        </w:rPr>
        <w:t>والمتعلق بحماية ضحايا المنازعات الدولية المسلحة (البروتوكول الأول) (منذ العام 1978)؛</w:t>
      </w:r>
    </w:p>
    <w:p w14:paraId="79854D4A" w14:textId="129E2FA9"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9.</w:t>
      </w:r>
      <w:r w:rsidRPr="006500F0">
        <w:rPr>
          <w:rFonts w:asciiTheme="majorBidi" w:hAnsiTheme="majorBidi" w:cstheme="majorBidi"/>
          <w:lang w:bidi="ar-LB"/>
        </w:rPr>
        <w:tab/>
      </w:r>
      <w:r w:rsidR="000462DC" w:rsidRPr="006500F0">
        <w:rPr>
          <w:rFonts w:asciiTheme="majorBidi" w:hAnsiTheme="majorBidi" w:cstheme="majorBidi"/>
          <w:rtl/>
          <w:lang w:bidi="ar-LB"/>
        </w:rPr>
        <w:t>البروتوكول الإضافي لاتفاقيات جنيف المعقودة في </w:t>
      </w:r>
      <w:r w:rsidR="000462DC" w:rsidRPr="006500F0">
        <w:rPr>
          <w:rFonts w:asciiTheme="majorBidi" w:hAnsiTheme="majorBidi" w:cstheme="majorBidi"/>
          <w:lang w:bidi="ar-LB"/>
        </w:rPr>
        <w:t>12 </w:t>
      </w:r>
      <w:r w:rsidR="000462DC" w:rsidRPr="006500F0">
        <w:rPr>
          <w:rFonts w:asciiTheme="majorBidi" w:hAnsiTheme="majorBidi" w:cstheme="majorBidi"/>
          <w:rtl/>
          <w:lang w:bidi="ar-LB"/>
        </w:rPr>
        <w:t>آب/أغسطس </w:t>
      </w:r>
      <w:r w:rsidR="000462DC" w:rsidRPr="006500F0">
        <w:rPr>
          <w:rFonts w:asciiTheme="majorBidi" w:hAnsiTheme="majorBidi" w:cstheme="majorBidi"/>
          <w:lang w:bidi="ar-LB"/>
        </w:rPr>
        <w:t>1949</w:t>
      </w:r>
      <w:r w:rsidR="000462DC" w:rsidRPr="006500F0">
        <w:rPr>
          <w:rFonts w:asciiTheme="majorBidi" w:hAnsiTheme="majorBidi" w:cstheme="majorBidi"/>
          <w:rtl/>
          <w:lang w:bidi="ar-LB"/>
        </w:rPr>
        <w:t xml:space="preserve">، والمتعلق بحماية ضحايا المنازعات المسلحة غير الدولية (البروتوكول الثاني) (منذ العام 1978)؛ </w:t>
      </w:r>
      <w:r w:rsidR="000462DC" w:rsidRPr="006500F0">
        <w:rPr>
          <w:rFonts w:asciiTheme="majorBidi" w:hAnsiTheme="majorBidi" w:cstheme="majorBidi"/>
          <w:lang w:bidi="ar-LB"/>
        </w:rPr>
        <w:t xml:space="preserve"> </w:t>
      </w:r>
    </w:p>
    <w:p w14:paraId="09F313FC" w14:textId="3283242A"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10.</w:t>
      </w:r>
      <w:r w:rsidRPr="006500F0">
        <w:rPr>
          <w:rFonts w:asciiTheme="majorBidi" w:hAnsiTheme="majorBidi" w:cstheme="majorBidi"/>
          <w:lang w:bidi="ar-LB"/>
        </w:rPr>
        <w:tab/>
      </w:r>
      <w:r w:rsidR="00E90A6B" w:rsidRPr="006500F0">
        <w:rPr>
          <w:rFonts w:asciiTheme="majorBidi" w:hAnsiTheme="majorBidi" w:cstheme="majorBidi"/>
          <w:rtl/>
          <w:lang w:bidi="ar-LB"/>
        </w:rPr>
        <w:t xml:space="preserve">اتفاقية حظر استحداث وإنتاج وتخزين الأسلحة البكتريولوجية (البيولوجية) والتكسينية وتدمير تلك </w:t>
      </w:r>
      <w:r w:rsidR="00E40C91" w:rsidRPr="006500F0">
        <w:rPr>
          <w:rFonts w:asciiTheme="majorBidi" w:hAnsiTheme="majorBidi" w:cstheme="majorBidi"/>
          <w:rtl/>
          <w:lang w:bidi="ar-LB"/>
        </w:rPr>
        <w:t>الأسلحة</w:t>
      </w:r>
      <w:r w:rsidR="00E40C91" w:rsidRPr="006500F0">
        <w:rPr>
          <w:rFonts w:asciiTheme="majorBidi" w:hAnsiTheme="majorBidi" w:cstheme="majorBidi"/>
          <w:lang w:bidi="ar-LB"/>
        </w:rPr>
        <w:t xml:space="preserve"> </w:t>
      </w:r>
      <w:r w:rsidR="00E40C91" w:rsidRPr="006500F0">
        <w:rPr>
          <w:rFonts w:asciiTheme="majorBidi" w:hAnsiTheme="majorBidi" w:cstheme="majorBidi"/>
          <w:rtl/>
          <w:lang w:bidi="ar-LB"/>
        </w:rPr>
        <w:t>(</w:t>
      </w:r>
      <w:r w:rsidR="00E90A6B" w:rsidRPr="006500F0">
        <w:rPr>
          <w:rFonts w:asciiTheme="majorBidi" w:hAnsiTheme="majorBidi" w:cstheme="majorBidi"/>
          <w:rtl/>
          <w:lang w:bidi="ar-LB"/>
        </w:rPr>
        <w:t xml:space="preserve">منذ العام 1982)؛ </w:t>
      </w:r>
    </w:p>
    <w:p w14:paraId="4D526703" w14:textId="7D90ECA8"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11.</w:t>
      </w:r>
      <w:r w:rsidRPr="006500F0">
        <w:rPr>
          <w:rFonts w:asciiTheme="majorBidi" w:hAnsiTheme="majorBidi" w:cstheme="majorBidi"/>
          <w:lang w:bidi="ar-LB"/>
        </w:rPr>
        <w:tab/>
      </w:r>
      <w:r w:rsidR="009712F4" w:rsidRPr="006500F0">
        <w:rPr>
          <w:rFonts w:asciiTheme="majorBidi" w:hAnsiTheme="majorBidi" w:cstheme="majorBidi"/>
          <w:rtl/>
          <w:lang w:bidi="ar-LB"/>
        </w:rPr>
        <w:t xml:space="preserve">اتفاقية حظر استحداث وإنتاج وتخزين واستعمال الأسلحة الكيميائية وتدمير تلك </w:t>
      </w:r>
      <w:r w:rsidR="00E40C91" w:rsidRPr="006500F0">
        <w:rPr>
          <w:rFonts w:asciiTheme="majorBidi" w:hAnsiTheme="majorBidi" w:cstheme="majorBidi"/>
          <w:rtl/>
          <w:lang w:bidi="ar-LB"/>
        </w:rPr>
        <w:t>الأسلحة</w:t>
      </w:r>
      <w:r w:rsidR="00E40C91" w:rsidRPr="006500F0">
        <w:rPr>
          <w:rFonts w:asciiTheme="majorBidi" w:hAnsiTheme="majorBidi" w:cstheme="majorBidi"/>
          <w:lang w:bidi="ar-LB"/>
        </w:rPr>
        <w:t xml:space="preserve"> </w:t>
      </w:r>
      <w:r w:rsidR="00E40C91" w:rsidRPr="006500F0">
        <w:rPr>
          <w:rFonts w:asciiTheme="majorBidi" w:hAnsiTheme="majorBidi" w:cstheme="majorBidi"/>
          <w:rtl/>
          <w:lang w:bidi="ar-LB"/>
        </w:rPr>
        <w:t>(</w:t>
      </w:r>
      <w:r w:rsidR="009712F4" w:rsidRPr="006500F0">
        <w:rPr>
          <w:rFonts w:asciiTheme="majorBidi" w:hAnsiTheme="majorBidi" w:cstheme="majorBidi"/>
          <w:rtl/>
          <w:lang w:bidi="ar-LB"/>
        </w:rPr>
        <w:t xml:space="preserve">منذ العام </w:t>
      </w:r>
      <w:r w:rsidR="00E40C91" w:rsidRPr="006500F0">
        <w:rPr>
          <w:rFonts w:asciiTheme="majorBidi" w:hAnsiTheme="majorBidi" w:cstheme="majorBidi"/>
          <w:rtl/>
          <w:lang w:bidi="ar-LB"/>
        </w:rPr>
        <w:t>2004)؛</w:t>
      </w:r>
      <w:r w:rsidR="009712F4" w:rsidRPr="006500F0">
        <w:rPr>
          <w:rFonts w:asciiTheme="majorBidi" w:hAnsiTheme="majorBidi" w:cstheme="majorBidi"/>
          <w:rtl/>
          <w:lang w:bidi="ar-LB"/>
        </w:rPr>
        <w:t xml:space="preserve"> </w:t>
      </w:r>
    </w:p>
    <w:p w14:paraId="6D46CE54" w14:textId="7E7F25D6" w:rsidR="00C16279" w:rsidRPr="006500F0" w:rsidRDefault="00C16279" w:rsidP="00151BF2">
      <w:pPr>
        <w:bidi/>
        <w:spacing w:line="480" w:lineRule="auto"/>
        <w:jc w:val="both"/>
        <w:rPr>
          <w:rFonts w:asciiTheme="majorBidi" w:hAnsiTheme="majorBidi" w:cstheme="majorBidi"/>
          <w:lang w:bidi="ar-LB"/>
        </w:rPr>
      </w:pPr>
      <w:r w:rsidRPr="006500F0">
        <w:rPr>
          <w:rFonts w:asciiTheme="majorBidi" w:hAnsiTheme="majorBidi" w:cstheme="majorBidi"/>
          <w:lang w:bidi="ar-LB"/>
        </w:rPr>
        <w:t>12.</w:t>
      </w:r>
      <w:r w:rsidRPr="006500F0">
        <w:rPr>
          <w:rFonts w:asciiTheme="majorBidi" w:hAnsiTheme="majorBidi" w:cstheme="majorBidi"/>
          <w:lang w:bidi="ar-LB"/>
        </w:rPr>
        <w:tab/>
      </w:r>
      <w:r w:rsidR="009712F4" w:rsidRPr="006500F0">
        <w:rPr>
          <w:rFonts w:asciiTheme="majorBidi" w:hAnsiTheme="majorBidi" w:cstheme="majorBidi"/>
          <w:rtl/>
          <w:lang w:bidi="ar-LB"/>
        </w:rPr>
        <w:t>البروتوكول الثاني لاتفاقية لاهاي لعام </w:t>
      </w:r>
      <w:r w:rsidR="009712F4" w:rsidRPr="006500F0">
        <w:rPr>
          <w:rFonts w:asciiTheme="majorBidi" w:hAnsiTheme="majorBidi" w:cstheme="majorBidi"/>
          <w:lang w:bidi="ar-LB"/>
        </w:rPr>
        <w:t>1954 </w:t>
      </w:r>
      <w:r w:rsidR="009712F4" w:rsidRPr="006500F0">
        <w:rPr>
          <w:rFonts w:asciiTheme="majorBidi" w:hAnsiTheme="majorBidi" w:cstheme="majorBidi"/>
          <w:rtl/>
          <w:lang w:bidi="ar-LB"/>
        </w:rPr>
        <w:t xml:space="preserve">بشأن حماية الممتلكات الثقافية في حالة نزاع </w:t>
      </w:r>
      <w:r w:rsidR="00E40C91" w:rsidRPr="006500F0">
        <w:rPr>
          <w:rFonts w:asciiTheme="majorBidi" w:hAnsiTheme="majorBidi" w:cstheme="majorBidi"/>
          <w:rtl/>
          <w:lang w:bidi="ar-LB"/>
        </w:rPr>
        <w:t>مسلح</w:t>
      </w:r>
      <w:r w:rsidR="00E40C91" w:rsidRPr="006500F0">
        <w:rPr>
          <w:rFonts w:asciiTheme="majorBidi" w:hAnsiTheme="majorBidi" w:cstheme="majorBidi"/>
          <w:lang w:bidi="ar-LB"/>
        </w:rPr>
        <w:t xml:space="preserve"> </w:t>
      </w:r>
      <w:r w:rsidR="00E40C91" w:rsidRPr="006500F0">
        <w:rPr>
          <w:rFonts w:asciiTheme="majorBidi" w:hAnsiTheme="majorBidi" w:cstheme="majorBidi"/>
          <w:rtl/>
          <w:lang w:bidi="ar-LB"/>
        </w:rPr>
        <w:t>(</w:t>
      </w:r>
      <w:r w:rsidR="009712F4" w:rsidRPr="006500F0">
        <w:rPr>
          <w:rFonts w:asciiTheme="majorBidi" w:hAnsiTheme="majorBidi" w:cstheme="majorBidi"/>
          <w:rtl/>
          <w:lang w:bidi="ar-LB"/>
        </w:rPr>
        <w:t xml:space="preserve">منذ العام 2011). </w:t>
      </w:r>
    </w:p>
    <w:p w14:paraId="2CF02AAB" w14:textId="292A53CF" w:rsidR="00C16279" w:rsidRPr="006500F0" w:rsidRDefault="00C16279" w:rsidP="00151BF2">
      <w:pPr>
        <w:bidi/>
        <w:spacing w:line="480" w:lineRule="auto"/>
        <w:jc w:val="both"/>
        <w:rPr>
          <w:rFonts w:asciiTheme="majorBidi" w:hAnsiTheme="majorBidi" w:cstheme="majorBidi"/>
          <w:lang w:bidi="ar-LB"/>
        </w:rPr>
      </w:pPr>
    </w:p>
    <w:sectPr w:rsidR="00C16279" w:rsidRPr="006500F0" w:rsidSect="00C861F4">
      <w:endnotePr>
        <w:numFmt w:val="decimal"/>
      </w:endnotePr>
      <w:pgSz w:w="11907" w:h="16840" w:code="9"/>
      <w:pgMar w:top="1276" w:right="1134" w:bottom="1134" w:left="1134" w:header="851" w:footer="56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679DA4" w14:textId="77777777" w:rsidR="00F43D55" w:rsidRDefault="00F43D55"/>
  </w:endnote>
  <w:endnote w:type="continuationSeparator" w:id="0">
    <w:p w14:paraId="496035F5" w14:textId="77777777" w:rsidR="00F43D55" w:rsidRDefault="00F43D55"/>
  </w:endnote>
  <w:endnote w:type="continuationNotice" w:id="1">
    <w:p w14:paraId="054D67C0" w14:textId="77777777" w:rsidR="00F43D55" w:rsidRDefault="00F43D5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Simplified Arabic">
    <w:altName w:val="Times New Roman"/>
    <w:charset w:val="00"/>
    <w:family w:val="roman"/>
    <w:pitch w:val="variable"/>
    <w:sig w:usb0="00000000" w:usb1="80000000" w:usb2="00000008" w:usb3="00000000" w:csb0="0000004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4910F5" w14:textId="470135A5" w:rsidR="00F71583" w:rsidRPr="00D56C06" w:rsidRDefault="00F71583" w:rsidP="00D56C06">
    <w:pPr>
      <w:pStyle w:val="Footer"/>
      <w:tabs>
        <w:tab w:val="right" w:pos="9638"/>
      </w:tabs>
      <w:rPr>
        <w:sz w:val="18"/>
      </w:rPr>
    </w:pPr>
    <w:r w:rsidRPr="00D56C06">
      <w:rPr>
        <w:b/>
        <w:sz w:val="18"/>
      </w:rPr>
      <w:fldChar w:fldCharType="begin"/>
    </w:r>
    <w:r w:rsidRPr="00D56C06">
      <w:rPr>
        <w:b/>
        <w:sz w:val="18"/>
      </w:rPr>
      <w:instrText xml:space="preserve"> PAGE  \* MERGEFORMAT </w:instrText>
    </w:r>
    <w:r w:rsidRPr="00D56C06">
      <w:rPr>
        <w:b/>
        <w:sz w:val="18"/>
      </w:rPr>
      <w:fldChar w:fldCharType="separate"/>
    </w:r>
    <w:r w:rsidR="0067379C">
      <w:rPr>
        <w:b/>
        <w:noProof/>
        <w:sz w:val="18"/>
      </w:rPr>
      <w:t>20</w:t>
    </w:r>
    <w:r w:rsidRPr="00D56C06">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5FBD42" w14:textId="7FBB4E33" w:rsidR="00F71583" w:rsidRPr="00D56C06" w:rsidRDefault="00F71583" w:rsidP="00C861F4">
    <w:pPr>
      <w:pStyle w:val="Footer"/>
      <w:tabs>
        <w:tab w:val="right" w:pos="9638"/>
      </w:tabs>
      <w:jc w:val="right"/>
      <w:rPr>
        <w:b/>
        <w:sz w:val="18"/>
      </w:rPr>
    </w:pPr>
    <w:r>
      <w:tab/>
    </w:r>
    <w:r w:rsidRPr="00D56C06">
      <w:rPr>
        <w:b/>
        <w:sz w:val="18"/>
      </w:rPr>
      <w:fldChar w:fldCharType="begin"/>
    </w:r>
    <w:r w:rsidRPr="00D56C06">
      <w:rPr>
        <w:b/>
        <w:sz w:val="18"/>
      </w:rPr>
      <w:instrText xml:space="preserve"> PAGE  \* MERGEFORMAT </w:instrText>
    </w:r>
    <w:r w:rsidRPr="00D56C06">
      <w:rPr>
        <w:b/>
        <w:sz w:val="18"/>
      </w:rPr>
      <w:fldChar w:fldCharType="separate"/>
    </w:r>
    <w:r w:rsidR="0067379C">
      <w:rPr>
        <w:b/>
        <w:noProof/>
        <w:sz w:val="18"/>
      </w:rPr>
      <w:t>19</w:t>
    </w:r>
    <w:r w:rsidRPr="00D56C06">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F19D6C" w14:textId="79A10C20" w:rsidR="00F71583" w:rsidRPr="00D56C06" w:rsidRDefault="00F71583" w:rsidP="00542574">
    <w:r>
      <w:rPr>
        <w:noProof/>
        <w:lang w:eastAsia="en-GB"/>
      </w:rPr>
      <w:drawing>
        <wp:anchor distT="0" distB="0" distL="114300" distR="114300" simplePos="0" relativeHeight="251657216" behindDoc="0" locked="1" layoutInCell="1" allowOverlap="1" wp14:anchorId="40985B73" wp14:editId="65013026">
          <wp:simplePos x="0" y="0"/>
          <wp:positionH relativeFrom="margin">
            <wp:posOffset>5003800</wp:posOffset>
          </wp:positionH>
          <wp:positionV relativeFrom="margin">
            <wp:posOffset>9323705</wp:posOffset>
          </wp:positionV>
          <wp:extent cx="933450" cy="228600"/>
          <wp:effectExtent l="0" t="0" r="0" b="0"/>
          <wp:wrapNone/>
          <wp:docPr id="15" name="Image 4" descr="recycle_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recycle_Englis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28600"/>
                  </a:xfrm>
                  <a:prstGeom prst="rect">
                    <a:avLst/>
                  </a:prstGeom>
                  <a:noFill/>
                </pic:spPr>
              </pic:pic>
            </a:graphicData>
          </a:graphic>
          <wp14:sizeRelH relativeFrom="page">
            <wp14:pctWidth>0</wp14:pctWidth>
          </wp14:sizeRelH>
          <wp14:sizeRelV relativeFrom="page">
            <wp14:pctHeight>0</wp14:pctHeight>
          </wp14:sizeRelV>
        </wp:anchor>
      </w:drawing>
    </w:r>
    <w:r>
      <w:t>GE.</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48238A" w14:textId="77777777" w:rsidR="00F43D55" w:rsidRPr="000B175B" w:rsidRDefault="00F43D55" w:rsidP="000B175B">
      <w:pPr>
        <w:tabs>
          <w:tab w:val="right" w:pos="2155"/>
        </w:tabs>
        <w:spacing w:after="80"/>
        <w:ind w:left="680"/>
        <w:rPr>
          <w:u w:val="single"/>
        </w:rPr>
      </w:pPr>
      <w:r>
        <w:rPr>
          <w:u w:val="single"/>
        </w:rPr>
        <w:tab/>
      </w:r>
    </w:p>
  </w:footnote>
  <w:footnote w:type="continuationSeparator" w:id="0">
    <w:p w14:paraId="37662DD2" w14:textId="77777777" w:rsidR="00F43D55" w:rsidRPr="00FC68B7" w:rsidRDefault="00F43D55" w:rsidP="00FC68B7">
      <w:pPr>
        <w:tabs>
          <w:tab w:val="left" w:pos="2155"/>
        </w:tabs>
        <w:spacing w:after="80"/>
        <w:ind w:left="680"/>
        <w:rPr>
          <w:u w:val="single"/>
        </w:rPr>
      </w:pPr>
      <w:r>
        <w:rPr>
          <w:u w:val="single"/>
        </w:rPr>
        <w:tab/>
      </w:r>
    </w:p>
  </w:footnote>
  <w:footnote w:type="continuationNotice" w:id="1">
    <w:p w14:paraId="0E26358C" w14:textId="77777777" w:rsidR="00F43D55" w:rsidRDefault="00F43D55"/>
  </w:footnote>
  <w:footnote w:id="2">
    <w:p w14:paraId="5178B42A" w14:textId="304B9207" w:rsidR="005A140B" w:rsidRPr="0005261E" w:rsidRDefault="005A140B" w:rsidP="00AB1C39">
      <w:pPr>
        <w:pStyle w:val="FootnoteText"/>
        <w:kinsoku w:val="0"/>
        <w:overflowPunct w:val="0"/>
        <w:autoSpaceDE w:val="0"/>
        <w:autoSpaceDN w:val="0"/>
        <w:bidi/>
        <w:adjustRightInd w:val="0"/>
        <w:snapToGrid w:val="0"/>
      </w:pPr>
      <w:r>
        <w:tab/>
      </w:r>
      <w:r>
        <w:rPr>
          <w:rStyle w:val="FootnoteReference"/>
        </w:rPr>
        <w:footnoteRef/>
      </w:r>
      <w:r>
        <w:tab/>
      </w:r>
      <w:r w:rsidR="00AB1C39">
        <w:rPr>
          <w:szCs w:val="18"/>
          <w:lang w:val="en-CA"/>
        </w:rPr>
        <w:t>A/HRC/RES/S-15/1</w:t>
      </w:r>
      <w:r w:rsidR="00AB1C39">
        <w:rPr>
          <w:rFonts w:hint="cs"/>
          <w:szCs w:val="18"/>
          <w:rtl/>
          <w:lang w:val="en-CA"/>
        </w:rPr>
        <w:t xml:space="preserve">، الفقرة 11؛ </w:t>
      </w:r>
      <w:r w:rsidR="00AB1C39">
        <w:rPr>
          <w:szCs w:val="18"/>
          <w:lang w:val="en-CA"/>
        </w:rPr>
        <w:t>A/HRC/RES/17/17</w:t>
      </w:r>
      <w:r w:rsidR="00AB1C39">
        <w:rPr>
          <w:rFonts w:hint="cs"/>
          <w:szCs w:val="18"/>
          <w:rtl/>
          <w:lang w:val="en-CA"/>
        </w:rPr>
        <w:t xml:space="preserve">، الفقرة 14؛ </w:t>
      </w:r>
      <w:r w:rsidR="00AB1C39" w:rsidRPr="00D8247B">
        <w:rPr>
          <w:szCs w:val="18"/>
          <w:lang w:val="en-CA"/>
        </w:rPr>
        <w:t>A/</w:t>
      </w:r>
      <w:r w:rsidR="00AB1C39" w:rsidRPr="002F3737">
        <w:rPr>
          <w:iCs/>
          <w:szCs w:val="18"/>
        </w:rPr>
        <w:t>HRC</w:t>
      </w:r>
      <w:r w:rsidR="00AB1C39">
        <w:rPr>
          <w:szCs w:val="18"/>
          <w:lang w:val="en-CA"/>
        </w:rPr>
        <w:t>/RES/28/30</w:t>
      </w:r>
      <w:r w:rsidR="00AB1C39">
        <w:rPr>
          <w:rFonts w:hint="cs"/>
          <w:szCs w:val="18"/>
          <w:rtl/>
          <w:lang w:val="en-CA"/>
        </w:rPr>
        <w:t>، الفقرة 18</w:t>
      </w:r>
    </w:p>
  </w:footnote>
  <w:footnote w:id="3">
    <w:p w14:paraId="5D38A7CB" w14:textId="08AD8314" w:rsidR="00523CDC" w:rsidRPr="00523CDC" w:rsidRDefault="00523CDC" w:rsidP="00523CDC">
      <w:pPr>
        <w:pStyle w:val="FootnoteText"/>
        <w:kinsoku w:val="0"/>
        <w:overflowPunct w:val="0"/>
        <w:autoSpaceDE w:val="0"/>
        <w:autoSpaceDN w:val="0"/>
        <w:bidi/>
        <w:adjustRightInd w:val="0"/>
        <w:snapToGrid w:val="0"/>
        <w:rPr>
          <w:sz w:val="16"/>
          <w:szCs w:val="16"/>
        </w:rPr>
      </w:pPr>
      <w:r w:rsidRPr="00523CDC">
        <w:rPr>
          <w:sz w:val="16"/>
          <w:szCs w:val="16"/>
        </w:rPr>
        <w:tab/>
      </w:r>
      <w:r w:rsidRPr="00523CDC">
        <w:rPr>
          <w:rStyle w:val="FootnoteReference"/>
          <w:sz w:val="16"/>
          <w:szCs w:val="16"/>
        </w:rPr>
        <w:footnoteRef/>
      </w:r>
      <w:r w:rsidRPr="00523CDC">
        <w:rPr>
          <w:sz w:val="16"/>
          <w:szCs w:val="16"/>
        </w:rPr>
        <w:tab/>
      </w:r>
      <w:r w:rsidRPr="00523CDC">
        <w:rPr>
          <w:rFonts w:hint="cs"/>
          <w:sz w:val="16"/>
          <w:szCs w:val="16"/>
          <w:rtl/>
        </w:rPr>
        <w:t>يضمّ المرفق 2 الإطار القانوني المرعيّ الإجراء.</w:t>
      </w:r>
    </w:p>
  </w:footnote>
  <w:footnote w:id="4">
    <w:p w14:paraId="7BEDF1A3" w14:textId="6597CE92" w:rsidR="00DD6C7E" w:rsidRPr="00D76C56" w:rsidRDefault="00DD6C7E" w:rsidP="009F6246">
      <w:pPr>
        <w:pStyle w:val="FootnoteText"/>
        <w:kinsoku w:val="0"/>
        <w:overflowPunct w:val="0"/>
        <w:autoSpaceDE w:val="0"/>
        <w:autoSpaceDN w:val="0"/>
        <w:bidi/>
        <w:adjustRightInd w:val="0"/>
        <w:snapToGrid w:val="0"/>
      </w:pPr>
      <w:r>
        <w:tab/>
      </w:r>
      <w:r>
        <w:rPr>
          <w:rStyle w:val="FootnoteReference"/>
        </w:rPr>
        <w:footnoteRef/>
      </w:r>
      <w:r>
        <w:tab/>
      </w:r>
      <w:hyperlink r:id="rId1" w:history="1">
        <w:r w:rsidRPr="00D8247B">
          <w:rPr>
            <w:rStyle w:val="Hyperlink"/>
            <w:szCs w:val="18"/>
          </w:rPr>
          <w:t>https://extranet.who.int/ssa/Index.aspx</w:t>
        </w:r>
      </w:hyperlink>
      <w:r w:rsidR="009F6246">
        <w:rPr>
          <w:rStyle w:val="Hyperlink"/>
          <w:rFonts w:hint="cs"/>
          <w:szCs w:val="18"/>
          <w:rtl/>
        </w:rPr>
        <w:t xml:space="preserve"> (آخر تاريخ اطلاع في </w:t>
      </w:r>
      <w:r w:rsidR="00860E2E">
        <w:rPr>
          <w:rStyle w:val="Hyperlink"/>
          <w:rFonts w:hint="cs"/>
          <w:szCs w:val="18"/>
          <w:rtl/>
        </w:rPr>
        <w:t>6</w:t>
      </w:r>
      <w:r w:rsidR="009F6246">
        <w:rPr>
          <w:rStyle w:val="Hyperlink"/>
          <w:rFonts w:hint="cs"/>
          <w:szCs w:val="18"/>
          <w:rtl/>
        </w:rPr>
        <w:t xml:space="preserve"> </w:t>
      </w:r>
      <w:r w:rsidR="00860E2E">
        <w:rPr>
          <w:rStyle w:val="Hyperlink"/>
          <w:rFonts w:hint="cs"/>
          <w:szCs w:val="18"/>
          <w:rtl/>
        </w:rPr>
        <w:t>أكتوبر/تشرين الأول</w:t>
      </w:r>
      <w:r w:rsidR="009F6246">
        <w:rPr>
          <w:rStyle w:val="Hyperlink"/>
          <w:rFonts w:hint="cs"/>
          <w:szCs w:val="18"/>
          <w:rtl/>
        </w:rPr>
        <w:t xml:space="preserve"> 2021)</w:t>
      </w:r>
    </w:p>
  </w:footnote>
  <w:footnote w:id="5">
    <w:p w14:paraId="5E54A00C" w14:textId="6325EC54" w:rsidR="00DD6C7E" w:rsidRPr="00D76C56" w:rsidRDefault="00DD6C7E" w:rsidP="003C2C14">
      <w:pPr>
        <w:pStyle w:val="FootnoteText"/>
        <w:kinsoku w:val="0"/>
        <w:overflowPunct w:val="0"/>
        <w:autoSpaceDE w:val="0"/>
        <w:autoSpaceDN w:val="0"/>
        <w:bidi/>
        <w:adjustRightInd w:val="0"/>
        <w:snapToGrid w:val="0"/>
      </w:pPr>
      <w:r>
        <w:tab/>
      </w:r>
      <w:r>
        <w:rPr>
          <w:rStyle w:val="FootnoteReference"/>
        </w:rPr>
        <w:footnoteRef/>
      </w:r>
      <w:r>
        <w:tab/>
      </w:r>
      <w:r w:rsidR="003C2C14">
        <w:rPr>
          <w:rFonts w:hint="cs"/>
          <w:szCs w:val="18"/>
          <w:rtl/>
        </w:rPr>
        <w:t xml:space="preserve">المادتان 11 و12 من البروتوكول الإضافي </w:t>
      </w:r>
      <w:r w:rsidR="003C2C14" w:rsidRPr="00071BBE">
        <w:rPr>
          <w:rFonts w:ascii="Arial" w:hAnsi="Arial" w:cs="Arial"/>
          <w:sz w:val="16"/>
          <w:szCs w:val="16"/>
          <w:rtl/>
        </w:rPr>
        <w:t>إلى اتفاقيات جنيف المؤرخة في 12 أغسطس/آب 1949، والمرتبطة بحماية ضحايا النزاعات المسلحة غير الدولية (البروتوكول الثاني</w:t>
      </w:r>
      <w:r w:rsidR="00792982">
        <w:rPr>
          <w:rFonts w:ascii="Arial" w:hAnsi="Arial" w:cs="Arial" w:hint="cs"/>
          <w:sz w:val="16"/>
          <w:szCs w:val="16"/>
          <w:rtl/>
        </w:rPr>
        <w:t>)</w:t>
      </w:r>
      <w:r w:rsidR="00792982" w:rsidRPr="00071BBE">
        <w:rPr>
          <w:rFonts w:ascii="Arial" w:hAnsi="Arial" w:cs="Arial"/>
          <w:sz w:val="16"/>
          <w:szCs w:val="16"/>
          <w:rtl/>
        </w:rPr>
        <w:t xml:space="preserve"> </w:t>
      </w:r>
      <w:r w:rsidR="00792982">
        <w:rPr>
          <w:rFonts w:ascii="Arial" w:hAnsi="Arial" w:cs="Arial" w:hint="cs"/>
          <w:sz w:val="16"/>
          <w:szCs w:val="16"/>
          <w:rtl/>
        </w:rPr>
        <w:t>(</w:t>
      </w:r>
      <w:r w:rsidR="003C2C14" w:rsidRPr="00071BBE">
        <w:rPr>
          <w:rFonts w:ascii="Arial" w:hAnsi="Arial" w:cs="Arial"/>
          <w:sz w:val="16"/>
          <w:szCs w:val="16"/>
          <w:rtl/>
        </w:rPr>
        <w:t>"البروتوكول الإضافي الثاني"</w:t>
      </w:r>
      <w:r w:rsidR="00792982">
        <w:rPr>
          <w:rFonts w:ascii="Arial" w:hAnsi="Arial" w:cs="Arial" w:hint="cs"/>
          <w:sz w:val="16"/>
          <w:szCs w:val="16"/>
          <w:rtl/>
        </w:rPr>
        <w:t>).</w:t>
      </w:r>
    </w:p>
  </w:footnote>
  <w:footnote w:id="6">
    <w:p w14:paraId="6288A29E" w14:textId="096FC11C" w:rsidR="00DD6C7E" w:rsidRPr="00D76C56" w:rsidRDefault="00DD6C7E" w:rsidP="003149E8">
      <w:pPr>
        <w:pStyle w:val="FootnoteText"/>
        <w:kinsoku w:val="0"/>
        <w:overflowPunct w:val="0"/>
        <w:autoSpaceDE w:val="0"/>
        <w:autoSpaceDN w:val="0"/>
        <w:bidi/>
        <w:adjustRightInd w:val="0"/>
        <w:snapToGrid w:val="0"/>
      </w:pPr>
      <w:r>
        <w:tab/>
      </w:r>
      <w:r>
        <w:rPr>
          <w:rStyle w:val="FootnoteReference"/>
        </w:rPr>
        <w:footnoteRef/>
      </w:r>
      <w:r>
        <w:tab/>
      </w:r>
      <w:r w:rsidR="003149E8" w:rsidRPr="00071BBE">
        <w:rPr>
          <w:rFonts w:ascii="Arial" w:hAnsi="Arial" w:cs="Arial"/>
          <w:sz w:val="16"/>
          <w:szCs w:val="16"/>
          <w:rtl/>
        </w:rPr>
        <w:t xml:space="preserve">المادة 8-2-هـ-2 </w:t>
      </w:r>
      <w:r w:rsidR="003149E8">
        <w:rPr>
          <w:rFonts w:ascii="Arial" w:hAnsi="Arial" w:cs="Arial" w:hint="cs"/>
          <w:sz w:val="16"/>
          <w:szCs w:val="16"/>
          <w:rtl/>
        </w:rPr>
        <w:t>والمادة</w:t>
      </w:r>
      <w:r w:rsidR="003149E8" w:rsidRPr="00071BBE">
        <w:rPr>
          <w:rFonts w:ascii="Arial" w:hAnsi="Arial" w:cs="Arial"/>
          <w:sz w:val="16"/>
          <w:szCs w:val="16"/>
          <w:rtl/>
        </w:rPr>
        <w:t xml:space="preserve"> 8-2-هـ-4 من نظام روما الأساسي</w:t>
      </w:r>
      <w:r w:rsidR="003149E8">
        <w:rPr>
          <w:rFonts w:ascii="Arial" w:hAnsi="Arial" w:cs="Arial" w:hint="cs"/>
          <w:sz w:val="16"/>
          <w:szCs w:val="16"/>
          <w:rtl/>
        </w:rPr>
        <w:t xml:space="preserve">. </w:t>
      </w:r>
    </w:p>
  </w:footnote>
  <w:footnote w:id="7">
    <w:p w14:paraId="766DB3CA" w14:textId="76D1D8E4" w:rsidR="00780A9F" w:rsidRPr="00D76C56" w:rsidRDefault="00780A9F" w:rsidP="00AA44B9">
      <w:pPr>
        <w:pStyle w:val="FootnoteText"/>
        <w:kinsoku w:val="0"/>
        <w:overflowPunct w:val="0"/>
        <w:autoSpaceDE w:val="0"/>
        <w:autoSpaceDN w:val="0"/>
        <w:bidi/>
        <w:adjustRightInd w:val="0"/>
        <w:snapToGrid w:val="0"/>
      </w:pPr>
      <w:r>
        <w:tab/>
      </w:r>
      <w:r>
        <w:rPr>
          <w:rStyle w:val="FootnoteReference"/>
        </w:rPr>
        <w:footnoteRef/>
      </w:r>
      <w:r>
        <w:tab/>
      </w:r>
      <w:r w:rsidR="00AA44B9" w:rsidRPr="00071BBE">
        <w:rPr>
          <w:rFonts w:ascii="Arial" w:hAnsi="Arial" w:cs="Arial"/>
          <w:sz w:val="16"/>
          <w:szCs w:val="16"/>
          <w:rtl/>
        </w:rPr>
        <w:t>انتحر الطالب السادس والعشرون بعد الحادثة.</w:t>
      </w:r>
    </w:p>
  </w:footnote>
  <w:footnote w:id="8">
    <w:p w14:paraId="29B197B2" w14:textId="2F200DAC" w:rsidR="00CF2338" w:rsidRPr="00D76C56" w:rsidRDefault="00CF2338" w:rsidP="000C3766">
      <w:pPr>
        <w:pStyle w:val="FootnoteText"/>
        <w:kinsoku w:val="0"/>
        <w:overflowPunct w:val="0"/>
        <w:autoSpaceDE w:val="0"/>
        <w:autoSpaceDN w:val="0"/>
        <w:bidi/>
        <w:adjustRightInd w:val="0"/>
        <w:snapToGrid w:val="0"/>
        <w:rPr>
          <w:rtl/>
          <w:lang w:bidi="ar-LB"/>
        </w:rPr>
      </w:pPr>
      <w:r>
        <w:tab/>
      </w:r>
      <w:r>
        <w:rPr>
          <w:rStyle w:val="FootnoteReference"/>
        </w:rPr>
        <w:footnoteRef/>
      </w:r>
      <w:r>
        <w:tab/>
      </w:r>
      <w:r w:rsidR="000C3766">
        <w:rPr>
          <w:rFonts w:hint="cs"/>
          <w:szCs w:val="18"/>
          <w:rtl/>
          <w:lang w:bidi="ar-LB"/>
        </w:rPr>
        <w:t>المادة 3 المشتركة بين اتفاقيات جنيف؛ والمادة 13-2 والمادة 13-3 من البروتوكول الإضافي الثاني.</w:t>
      </w:r>
    </w:p>
  </w:footnote>
  <w:footnote w:id="9">
    <w:p w14:paraId="47F26985" w14:textId="5D5F573D" w:rsidR="00CF2338" w:rsidRPr="003F2DC5" w:rsidRDefault="00CF2338" w:rsidP="003F2DC5">
      <w:pPr>
        <w:pStyle w:val="FootnoteText"/>
        <w:kinsoku w:val="0"/>
        <w:overflowPunct w:val="0"/>
        <w:autoSpaceDE w:val="0"/>
        <w:autoSpaceDN w:val="0"/>
        <w:bidi/>
        <w:adjustRightInd w:val="0"/>
        <w:snapToGrid w:val="0"/>
        <w:rPr>
          <w:b/>
          <w:bCs/>
        </w:rPr>
      </w:pPr>
      <w:r>
        <w:tab/>
      </w:r>
      <w:r>
        <w:rPr>
          <w:rStyle w:val="FootnoteReference"/>
        </w:rPr>
        <w:footnoteRef/>
      </w:r>
      <w:r>
        <w:tab/>
      </w:r>
      <w:r w:rsidR="003F2DC5" w:rsidRPr="00071BBE">
        <w:rPr>
          <w:rFonts w:ascii="Arial" w:hAnsi="Arial" w:cs="Arial"/>
          <w:sz w:val="16"/>
          <w:szCs w:val="16"/>
          <w:rtl/>
          <w:lang w:bidi="ar-LB"/>
        </w:rPr>
        <w:t>المادة 8-2-هـ-1 من نظام روما الأساسي</w:t>
      </w:r>
      <w:r w:rsidR="003F2DC5">
        <w:rPr>
          <w:rFonts w:ascii="Arial" w:hAnsi="Arial" w:cs="Arial" w:hint="cs"/>
          <w:sz w:val="16"/>
          <w:szCs w:val="16"/>
          <w:rtl/>
          <w:lang w:bidi="ar-LB"/>
        </w:rPr>
        <w:t>.</w:t>
      </w:r>
    </w:p>
  </w:footnote>
  <w:footnote w:id="10">
    <w:p w14:paraId="3910C44A" w14:textId="49193B33" w:rsidR="005241F9" w:rsidRPr="00EA3BFD" w:rsidRDefault="005241F9" w:rsidP="00797F95">
      <w:pPr>
        <w:pStyle w:val="FootnoteText"/>
        <w:kinsoku w:val="0"/>
        <w:overflowPunct w:val="0"/>
        <w:autoSpaceDE w:val="0"/>
        <w:autoSpaceDN w:val="0"/>
        <w:bidi/>
        <w:adjustRightInd w:val="0"/>
        <w:snapToGrid w:val="0"/>
      </w:pPr>
      <w:r>
        <w:tab/>
      </w:r>
      <w:r>
        <w:rPr>
          <w:rStyle w:val="FootnoteReference"/>
        </w:rPr>
        <w:footnoteRef/>
      </w:r>
      <w:r>
        <w:tab/>
      </w:r>
      <w:r w:rsidR="00797F95">
        <w:rPr>
          <w:rFonts w:hint="cs"/>
          <w:szCs w:val="18"/>
          <w:rtl/>
        </w:rPr>
        <w:t>المادة 13-2 من البروتوكول الإضافي الثاني.</w:t>
      </w:r>
    </w:p>
  </w:footnote>
  <w:footnote w:id="11">
    <w:p w14:paraId="3F4EC619" w14:textId="409F4273" w:rsidR="005241F9" w:rsidRPr="00D76C56" w:rsidRDefault="005241F9" w:rsidP="0060355B">
      <w:pPr>
        <w:pStyle w:val="FootnoteText"/>
        <w:kinsoku w:val="0"/>
        <w:overflowPunct w:val="0"/>
        <w:autoSpaceDE w:val="0"/>
        <w:autoSpaceDN w:val="0"/>
        <w:bidi/>
        <w:adjustRightInd w:val="0"/>
        <w:snapToGrid w:val="0"/>
      </w:pPr>
      <w:r>
        <w:tab/>
      </w:r>
      <w:r>
        <w:rPr>
          <w:rStyle w:val="FootnoteReference"/>
        </w:rPr>
        <w:footnoteRef/>
      </w:r>
      <w:r>
        <w:tab/>
      </w:r>
      <w:r w:rsidR="0060355B">
        <w:rPr>
          <w:rFonts w:hint="cs"/>
          <w:szCs w:val="18"/>
          <w:rtl/>
        </w:rPr>
        <w:t>المادة 8-2-هـ-1 من نظام روما الأساسي.</w:t>
      </w:r>
    </w:p>
  </w:footnote>
  <w:footnote w:id="12">
    <w:p w14:paraId="78B117A6" w14:textId="03EA84E3" w:rsidR="005241F9" w:rsidRPr="00D76C56" w:rsidRDefault="005241F9" w:rsidP="0060355B">
      <w:pPr>
        <w:pStyle w:val="FootnoteText"/>
        <w:kinsoku w:val="0"/>
        <w:overflowPunct w:val="0"/>
        <w:autoSpaceDE w:val="0"/>
        <w:autoSpaceDN w:val="0"/>
        <w:bidi/>
        <w:adjustRightInd w:val="0"/>
        <w:snapToGrid w:val="0"/>
      </w:pPr>
      <w:r>
        <w:tab/>
      </w:r>
      <w:r>
        <w:rPr>
          <w:rStyle w:val="FootnoteReference"/>
        </w:rPr>
        <w:footnoteRef/>
      </w:r>
      <w:r>
        <w:tab/>
      </w:r>
      <w:r w:rsidR="0060355B" w:rsidRPr="00071BBE">
        <w:rPr>
          <w:rFonts w:ascii="Arial" w:hAnsi="Arial" w:cs="Arial"/>
          <w:sz w:val="16"/>
          <w:szCs w:val="16"/>
          <w:rtl/>
        </w:rPr>
        <w:t>اللجنة الدولية للصليب الأحمر، "القانون الدولي الإنساني العرفي- المجلد الأول: القواعد"</w:t>
      </w:r>
      <w:r w:rsidR="0060355B" w:rsidRPr="00071BBE">
        <w:rPr>
          <w:rFonts w:ascii="Arial" w:hAnsi="Arial" w:cs="Arial"/>
          <w:sz w:val="16"/>
          <w:szCs w:val="16"/>
        </w:rPr>
        <w:t>“Customary International Humanitarian Law—Volume I: Rules”</w:t>
      </w:r>
      <w:r w:rsidR="0060355B" w:rsidRPr="00071BBE">
        <w:rPr>
          <w:rFonts w:ascii="Arial" w:hAnsi="Arial" w:cs="Arial"/>
          <w:sz w:val="16"/>
          <w:szCs w:val="16"/>
          <w:rtl/>
        </w:rPr>
        <w:t xml:space="preserve">، كامبريدج، كامبريدج يونيفرسيتي بريس (2005) ("قواعد القانون الدولي الإنساني العرفي")، </w:t>
      </w:r>
      <w:r w:rsidR="0060355B" w:rsidRPr="00071BBE">
        <w:rPr>
          <w:rFonts w:ascii="Arial" w:hAnsi="Arial" w:cs="Arial"/>
          <w:sz w:val="16"/>
          <w:szCs w:val="16"/>
          <w:rtl/>
          <w:lang w:val="en-US" w:bidi="ar-LB"/>
        </w:rPr>
        <w:t>ص. 62-65</w:t>
      </w:r>
      <w:r w:rsidR="0060355B">
        <w:rPr>
          <w:rFonts w:ascii="Arial" w:hAnsi="Arial" w:cs="Arial" w:hint="cs"/>
          <w:sz w:val="16"/>
          <w:szCs w:val="16"/>
          <w:rtl/>
          <w:lang w:val="en-US" w:bidi="ar-LB"/>
        </w:rPr>
        <w:t>.</w:t>
      </w:r>
    </w:p>
  </w:footnote>
  <w:footnote w:id="13">
    <w:p w14:paraId="6F680AE0" w14:textId="574F6A86" w:rsidR="00E01236" w:rsidRPr="00EA3BFD" w:rsidRDefault="00E01236" w:rsidP="00E01236">
      <w:pPr>
        <w:pStyle w:val="FootnoteText"/>
        <w:kinsoku w:val="0"/>
        <w:overflowPunct w:val="0"/>
        <w:autoSpaceDE w:val="0"/>
        <w:autoSpaceDN w:val="0"/>
        <w:bidi/>
        <w:adjustRightInd w:val="0"/>
        <w:snapToGrid w:val="0"/>
      </w:pPr>
      <w:r>
        <w:tab/>
      </w:r>
      <w:r>
        <w:rPr>
          <w:rStyle w:val="FootnoteReference"/>
        </w:rPr>
        <w:footnoteRef/>
      </w:r>
      <w:r>
        <w:tab/>
      </w:r>
      <w:r w:rsidRPr="00BF5C75">
        <w:rPr>
          <w:rFonts w:ascii="Arial" w:hAnsi="Arial" w:cs="Arial" w:hint="cs"/>
          <w:sz w:val="16"/>
          <w:szCs w:val="16"/>
          <w:rtl/>
        </w:rPr>
        <w:t>المرفق 2، الفقرة 12.</w:t>
      </w:r>
    </w:p>
  </w:footnote>
  <w:footnote w:id="14">
    <w:p w14:paraId="1669F75F" w14:textId="6A8E32A2" w:rsidR="00A40965" w:rsidRPr="00D76C56" w:rsidRDefault="00A40965" w:rsidP="00BF5C75">
      <w:pPr>
        <w:pStyle w:val="FootnoteText"/>
        <w:kinsoku w:val="0"/>
        <w:overflowPunct w:val="0"/>
        <w:autoSpaceDE w:val="0"/>
        <w:autoSpaceDN w:val="0"/>
        <w:bidi/>
        <w:adjustRightInd w:val="0"/>
        <w:snapToGrid w:val="0"/>
      </w:pPr>
      <w:r>
        <w:tab/>
      </w:r>
      <w:r>
        <w:rPr>
          <w:rStyle w:val="FootnoteReference"/>
        </w:rPr>
        <w:footnoteRef/>
      </w:r>
      <w:r>
        <w:tab/>
      </w:r>
      <w:hyperlink r:id="rId2" w:history="1">
        <w:r w:rsidRPr="00D8247B">
          <w:rPr>
            <w:rStyle w:val="Hyperlink"/>
            <w:szCs w:val="18"/>
          </w:rPr>
          <w:t>https://www.bbc.com/news/world-africa-58009514</w:t>
        </w:r>
      </w:hyperlink>
      <w:r w:rsidRPr="00D8247B">
        <w:rPr>
          <w:szCs w:val="18"/>
        </w:rPr>
        <w:t xml:space="preserve"> </w:t>
      </w:r>
      <w:r w:rsidR="00BF5C75">
        <w:rPr>
          <w:rFonts w:hint="cs"/>
          <w:szCs w:val="18"/>
          <w:rtl/>
        </w:rPr>
        <w:t xml:space="preserve"> (آخر تاريخ اطلاع في </w:t>
      </w:r>
      <w:r w:rsidR="00860E2E">
        <w:rPr>
          <w:rFonts w:hint="cs"/>
          <w:szCs w:val="18"/>
          <w:rtl/>
        </w:rPr>
        <w:t>6 أكتوبر/تشرين الأول</w:t>
      </w:r>
      <w:r w:rsidR="00BF5C75">
        <w:rPr>
          <w:rFonts w:hint="cs"/>
          <w:szCs w:val="18"/>
          <w:rtl/>
        </w:rPr>
        <w:t xml:space="preserve"> 2021).</w:t>
      </w:r>
    </w:p>
  </w:footnote>
  <w:footnote w:id="15">
    <w:p w14:paraId="78055218" w14:textId="23D2C545" w:rsidR="00A40965" w:rsidRPr="00D76C56" w:rsidRDefault="00A40965" w:rsidP="00704370">
      <w:pPr>
        <w:pStyle w:val="FootnoteText"/>
        <w:kinsoku w:val="0"/>
        <w:overflowPunct w:val="0"/>
        <w:autoSpaceDE w:val="0"/>
        <w:autoSpaceDN w:val="0"/>
        <w:bidi/>
        <w:adjustRightInd w:val="0"/>
        <w:snapToGrid w:val="0"/>
      </w:pPr>
      <w:r>
        <w:tab/>
      </w:r>
      <w:r>
        <w:rPr>
          <w:rStyle w:val="FootnoteReference"/>
        </w:rPr>
        <w:footnoteRef/>
      </w:r>
      <w:r>
        <w:tab/>
      </w:r>
      <w:r w:rsidR="00704370">
        <w:rPr>
          <w:rFonts w:hint="cs"/>
          <w:szCs w:val="18"/>
          <w:rtl/>
        </w:rPr>
        <w:t>المادة 8-2-</w:t>
      </w:r>
      <w:r w:rsidR="007616E2">
        <w:rPr>
          <w:rFonts w:hint="cs"/>
          <w:szCs w:val="18"/>
          <w:rtl/>
        </w:rPr>
        <w:t>ج-1 من نظام روما الأساسي.</w:t>
      </w:r>
    </w:p>
  </w:footnote>
  <w:footnote w:id="16">
    <w:p w14:paraId="62477E6A" w14:textId="70DA7899" w:rsidR="001E21C6" w:rsidRPr="00EA3BFD" w:rsidRDefault="001E21C6" w:rsidP="009E3989">
      <w:pPr>
        <w:pStyle w:val="FootnoteText"/>
        <w:kinsoku w:val="0"/>
        <w:overflowPunct w:val="0"/>
        <w:autoSpaceDE w:val="0"/>
        <w:autoSpaceDN w:val="0"/>
        <w:bidi/>
        <w:adjustRightInd w:val="0"/>
        <w:snapToGrid w:val="0"/>
        <w:rPr>
          <w:szCs w:val="18"/>
        </w:rPr>
      </w:pPr>
      <w:r>
        <w:tab/>
      </w:r>
      <w:r>
        <w:rPr>
          <w:rStyle w:val="FootnoteReference"/>
        </w:rPr>
        <w:footnoteRef/>
      </w:r>
      <w:r>
        <w:tab/>
      </w:r>
      <w:r w:rsidR="009E3989">
        <w:rPr>
          <w:rFonts w:ascii="Arial" w:hAnsi="Arial" w:cs="Arial" w:hint="cs"/>
          <w:sz w:val="16"/>
          <w:szCs w:val="16"/>
          <w:rtl/>
        </w:rPr>
        <w:t>إنّ</w:t>
      </w:r>
      <w:r w:rsidR="009E3989" w:rsidRPr="00071BBE">
        <w:rPr>
          <w:rFonts w:ascii="Arial" w:hAnsi="Arial" w:cs="Arial"/>
          <w:sz w:val="16"/>
          <w:szCs w:val="16"/>
          <w:rtl/>
        </w:rPr>
        <w:t xml:space="preserve"> مبدأ التناسب في الهجوم متأصل في المبادئ الإنسانية، على النحو المنصوص عليه في ديباجة البروتوكول الإضافي الثاني</w:t>
      </w:r>
      <w:r w:rsidR="009E3989">
        <w:rPr>
          <w:rFonts w:ascii="Arial" w:hAnsi="Arial" w:cs="Arial" w:hint="cs"/>
          <w:sz w:val="16"/>
          <w:szCs w:val="16"/>
          <w:rtl/>
        </w:rPr>
        <w:t>.</w:t>
      </w:r>
      <w:r w:rsidR="009E3989" w:rsidRPr="00071BBE">
        <w:rPr>
          <w:rFonts w:ascii="Arial" w:hAnsi="Arial" w:cs="Arial"/>
          <w:sz w:val="16"/>
          <w:szCs w:val="16"/>
          <w:rtl/>
        </w:rPr>
        <w:t xml:space="preserve"> انظر أيضًا المادة 3-8-ج من ال</w:t>
      </w:r>
      <w:r w:rsidR="009E3989" w:rsidRPr="00071BBE">
        <w:rPr>
          <w:rFonts w:ascii="Arial" w:hAnsi="Arial" w:cs="Arial"/>
          <w:sz w:val="16"/>
          <w:szCs w:val="16"/>
          <w:rtl/>
          <w:lang w:bidi="ar-LB"/>
        </w:rPr>
        <w:t>ب</w:t>
      </w:r>
      <w:r w:rsidR="009E3989" w:rsidRPr="00071BBE">
        <w:rPr>
          <w:rFonts w:ascii="Arial" w:hAnsi="Arial" w:cs="Arial"/>
          <w:sz w:val="16"/>
          <w:szCs w:val="16"/>
          <w:rtl/>
        </w:rPr>
        <w:t>روتوكول المتعلق بحظر أو تقييد استخدام الألغام والأشراك الخداعية والنبائط الأخرى (البروتوكول الثاني بصيغته المعدلة في 3 مايو/أيار 1996) الملحق باتفاقية حظر أو تقييد استخدام أسلحة تقليدية معينة يمكن اعتبارها مفرطة الضرر أو عشوائية الأثر</w:t>
      </w:r>
      <w:r w:rsidR="009E3989">
        <w:rPr>
          <w:rFonts w:ascii="Arial" w:hAnsi="Arial" w:cs="Arial" w:hint="cs"/>
          <w:sz w:val="16"/>
          <w:szCs w:val="16"/>
          <w:rtl/>
        </w:rPr>
        <w:t>.</w:t>
      </w:r>
      <w:r w:rsidR="009E3989" w:rsidRPr="00071BBE">
        <w:rPr>
          <w:rFonts w:ascii="Arial" w:hAnsi="Arial" w:cs="Arial"/>
          <w:sz w:val="16"/>
          <w:szCs w:val="16"/>
          <w:rtl/>
        </w:rPr>
        <w:t xml:space="preserve"> ويشكل الاتحاد الروسي طرفًا في كل من الاتفاقية وبروتوكولها الإضافي.</w:t>
      </w:r>
    </w:p>
  </w:footnote>
  <w:footnote w:id="17">
    <w:p w14:paraId="5394BCBB" w14:textId="5AB5D272" w:rsidR="001E21C6" w:rsidRPr="00EA3BFD" w:rsidRDefault="001E21C6" w:rsidP="00890289">
      <w:pPr>
        <w:pStyle w:val="FootnoteText"/>
        <w:kinsoku w:val="0"/>
        <w:overflowPunct w:val="0"/>
        <w:autoSpaceDE w:val="0"/>
        <w:autoSpaceDN w:val="0"/>
        <w:bidi/>
        <w:adjustRightInd w:val="0"/>
        <w:snapToGrid w:val="0"/>
      </w:pPr>
      <w:r>
        <w:tab/>
      </w:r>
      <w:r>
        <w:rPr>
          <w:rStyle w:val="FootnoteReference"/>
        </w:rPr>
        <w:footnoteRef/>
      </w:r>
      <w:r>
        <w:tab/>
      </w:r>
      <w:r w:rsidR="00890289" w:rsidRPr="00071BBE">
        <w:rPr>
          <w:rFonts w:ascii="Arial" w:hAnsi="Arial" w:cs="Arial"/>
          <w:sz w:val="16"/>
          <w:szCs w:val="16"/>
          <w:rtl/>
        </w:rPr>
        <w:t>قواعد القانون الدولي الإنساني العرفي، ص. 280-283</w:t>
      </w:r>
      <w:r w:rsidR="00890289">
        <w:rPr>
          <w:rFonts w:ascii="Arial" w:hAnsi="Arial" w:cs="Arial" w:hint="cs"/>
          <w:sz w:val="16"/>
          <w:szCs w:val="16"/>
          <w:rtl/>
        </w:rPr>
        <w:t xml:space="preserve"> (القاعدة 81)، وص. 285-286 (القاعدة 83).</w:t>
      </w:r>
    </w:p>
  </w:footnote>
  <w:footnote w:id="18">
    <w:p w14:paraId="4BF69C36" w14:textId="514D2EDC" w:rsidR="001E21C6" w:rsidRPr="007F7490" w:rsidRDefault="001E21C6" w:rsidP="000473FA">
      <w:pPr>
        <w:pStyle w:val="FootnoteText"/>
        <w:kinsoku w:val="0"/>
        <w:overflowPunct w:val="0"/>
        <w:autoSpaceDE w:val="0"/>
        <w:autoSpaceDN w:val="0"/>
        <w:bidi/>
        <w:adjustRightInd w:val="0"/>
        <w:snapToGrid w:val="0"/>
      </w:pPr>
      <w:r>
        <w:tab/>
      </w:r>
      <w:r>
        <w:rPr>
          <w:rStyle w:val="FootnoteReference"/>
        </w:rPr>
        <w:footnoteRef/>
      </w:r>
      <w:r>
        <w:tab/>
      </w:r>
      <w:r w:rsidR="000473FA" w:rsidRPr="00071BBE">
        <w:rPr>
          <w:rFonts w:ascii="Arial" w:hAnsi="Arial" w:cs="Arial"/>
          <w:sz w:val="16"/>
          <w:szCs w:val="16"/>
          <w:rtl/>
        </w:rPr>
        <w:t>المادة 6 من العهد الدولي الخاص بالحقوق المدنية والسياسية</w:t>
      </w:r>
      <w:r w:rsidR="000473FA">
        <w:rPr>
          <w:rFonts w:ascii="Arial" w:hAnsi="Arial" w:cs="Arial" w:hint="cs"/>
          <w:sz w:val="16"/>
          <w:szCs w:val="16"/>
          <w:rtl/>
        </w:rPr>
        <w:t xml:space="preserve">، </w:t>
      </w:r>
      <w:r w:rsidR="000473FA" w:rsidRPr="00071BBE">
        <w:rPr>
          <w:rFonts w:ascii="Arial" w:hAnsi="Arial" w:cs="Arial"/>
          <w:sz w:val="16"/>
          <w:szCs w:val="16"/>
          <w:rtl/>
        </w:rPr>
        <w:t>ويجب قراءتها بالتزامن م</w:t>
      </w:r>
      <w:r w:rsidR="000473FA">
        <w:rPr>
          <w:rFonts w:ascii="Arial" w:hAnsi="Arial" w:cs="Arial" w:hint="cs"/>
          <w:sz w:val="16"/>
          <w:szCs w:val="16"/>
          <w:rtl/>
        </w:rPr>
        <w:t>ع</w:t>
      </w:r>
      <w:r w:rsidR="000473FA" w:rsidRPr="00071BBE">
        <w:rPr>
          <w:rFonts w:ascii="Arial" w:hAnsi="Arial" w:cs="Arial"/>
          <w:sz w:val="16"/>
          <w:szCs w:val="16"/>
          <w:rtl/>
        </w:rPr>
        <w:t xml:space="preserve"> المادة 4-2</w:t>
      </w:r>
      <w:r w:rsidR="000473FA">
        <w:rPr>
          <w:rFonts w:ascii="Arial" w:hAnsi="Arial" w:cs="Arial" w:hint="cs"/>
          <w:sz w:val="16"/>
          <w:szCs w:val="16"/>
          <w:rtl/>
        </w:rPr>
        <w:t>.</w:t>
      </w:r>
    </w:p>
  </w:footnote>
  <w:footnote w:id="19">
    <w:p w14:paraId="22213B2B" w14:textId="7A0DAD78" w:rsidR="00D345C9" w:rsidRPr="00A5369E" w:rsidRDefault="00D345C9" w:rsidP="00A5369E">
      <w:pPr>
        <w:pStyle w:val="EndnoteText"/>
        <w:bidi/>
        <w:spacing w:line="240" w:lineRule="auto"/>
        <w:ind w:left="0" w:right="0" w:firstLine="0"/>
        <w:jc w:val="both"/>
        <w:rPr>
          <w:szCs w:val="18"/>
        </w:rPr>
      </w:pPr>
      <w:r>
        <w:tab/>
      </w:r>
      <w:r>
        <w:rPr>
          <w:rStyle w:val="FootnoteReference"/>
        </w:rPr>
        <w:footnoteRef/>
      </w:r>
      <w:r>
        <w:tab/>
      </w:r>
      <w:r w:rsidR="00495C3B" w:rsidRPr="00783925">
        <w:rPr>
          <w:szCs w:val="18"/>
          <w:rtl/>
          <w:lang w:bidi="ar-LB"/>
        </w:rPr>
        <w:t>المادة 13-1</w:t>
      </w:r>
      <w:r w:rsidR="00495C3B">
        <w:rPr>
          <w:rFonts w:hint="cs"/>
          <w:szCs w:val="18"/>
          <w:rtl/>
          <w:lang w:bidi="ar-LB"/>
        </w:rPr>
        <w:t xml:space="preserve"> والمادة 13-2</w:t>
      </w:r>
      <w:r w:rsidR="00495C3B" w:rsidRPr="00783925">
        <w:rPr>
          <w:szCs w:val="18"/>
          <w:rtl/>
          <w:lang w:bidi="ar-LB"/>
        </w:rPr>
        <w:t xml:space="preserve"> من البروتوكول الإضافي الثاني</w:t>
      </w:r>
      <w:r w:rsidR="00495C3B">
        <w:rPr>
          <w:rFonts w:hint="cs"/>
          <w:szCs w:val="18"/>
          <w:rtl/>
          <w:lang w:bidi="ar-LB"/>
        </w:rPr>
        <w:t xml:space="preserve">. </w:t>
      </w:r>
      <w:r w:rsidR="00495C3B" w:rsidRPr="00783925">
        <w:rPr>
          <w:szCs w:val="18"/>
          <w:rtl/>
        </w:rPr>
        <w:t>يمكن أن يُستخلص مبدأ التناسب من المبادئ الإنسانية المنصوص عليه في ديباجة البروتوكول الإضافي الثاني.</w:t>
      </w:r>
    </w:p>
  </w:footnote>
  <w:footnote w:id="20">
    <w:p w14:paraId="6EDB5FF3" w14:textId="50B56F2F" w:rsidR="00D345C9" w:rsidRPr="00DB06F9" w:rsidRDefault="00D345C9" w:rsidP="00A5369E">
      <w:pPr>
        <w:pStyle w:val="FootnoteText"/>
        <w:kinsoku w:val="0"/>
        <w:overflowPunct w:val="0"/>
        <w:autoSpaceDE w:val="0"/>
        <w:autoSpaceDN w:val="0"/>
        <w:bidi/>
        <w:adjustRightInd w:val="0"/>
        <w:snapToGrid w:val="0"/>
      </w:pPr>
      <w:r>
        <w:tab/>
      </w:r>
      <w:r>
        <w:rPr>
          <w:rStyle w:val="FootnoteReference"/>
        </w:rPr>
        <w:footnoteRef/>
      </w:r>
      <w:r>
        <w:tab/>
      </w:r>
      <w:r w:rsidR="00A5369E" w:rsidRPr="00783925">
        <w:rPr>
          <w:szCs w:val="18"/>
          <w:rtl/>
        </w:rPr>
        <w:t>المادة 3 المشتركة بين اتفاقيات جنيف</w:t>
      </w:r>
      <w:r w:rsidR="00A5369E">
        <w:rPr>
          <w:rFonts w:hint="cs"/>
          <w:szCs w:val="18"/>
          <w:rtl/>
        </w:rPr>
        <w:t>؛ المادة 8 من البروتوكول الإضافي الثاني.</w:t>
      </w:r>
    </w:p>
  </w:footnote>
  <w:footnote w:id="21">
    <w:p w14:paraId="4AB6081D" w14:textId="3837DA4F" w:rsidR="00D345C9" w:rsidRPr="00DB06F9" w:rsidRDefault="00D345C9" w:rsidP="00346EBE">
      <w:pPr>
        <w:pStyle w:val="FootnoteText"/>
        <w:kinsoku w:val="0"/>
        <w:overflowPunct w:val="0"/>
        <w:autoSpaceDE w:val="0"/>
        <w:autoSpaceDN w:val="0"/>
        <w:bidi/>
        <w:adjustRightInd w:val="0"/>
        <w:snapToGrid w:val="0"/>
      </w:pPr>
      <w:r>
        <w:tab/>
      </w:r>
      <w:r>
        <w:rPr>
          <w:rStyle w:val="FootnoteReference"/>
        </w:rPr>
        <w:footnoteRef/>
      </w:r>
      <w:r>
        <w:tab/>
      </w:r>
      <w:r w:rsidR="00346EBE" w:rsidRPr="00783925">
        <w:rPr>
          <w:szCs w:val="18"/>
          <w:rtl/>
          <w:lang w:val="en-US"/>
        </w:rPr>
        <w:t xml:space="preserve">المادة 8-2-ج-1 </w:t>
      </w:r>
      <w:r w:rsidR="00346EBE" w:rsidRPr="00783925">
        <w:rPr>
          <w:szCs w:val="18"/>
          <w:rtl/>
        </w:rPr>
        <w:t xml:space="preserve">والمادة 8-2-ج-2 </w:t>
      </w:r>
      <w:r w:rsidR="00346EBE" w:rsidRPr="00783925">
        <w:rPr>
          <w:szCs w:val="18"/>
          <w:rtl/>
          <w:lang w:val="en-US"/>
        </w:rPr>
        <w:t>من نظام روما الأساسي</w:t>
      </w:r>
      <w:r w:rsidR="00346EBE">
        <w:rPr>
          <w:rFonts w:hint="cs"/>
          <w:szCs w:val="18"/>
          <w:rtl/>
          <w:lang w:val="en-US"/>
        </w:rPr>
        <w:t>.</w:t>
      </w:r>
    </w:p>
  </w:footnote>
  <w:footnote w:id="22">
    <w:p w14:paraId="529C1C58" w14:textId="2E2121C6" w:rsidR="00D345C9" w:rsidRPr="00DB06F9" w:rsidRDefault="00D345C9" w:rsidP="00352E6A">
      <w:pPr>
        <w:pStyle w:val="FootnoteText"/>
        <w:kinsoku w:val="0"/>
        <w:overflowPunct w:val="0"/>
        <w:autoSpaceDE w:val="0"/>
        <w:autoSpaceDN w:val="0"/>
        <w:bidi/>
        <w:adjustRightInd w:val="0"/>
        <w:snapToGrid w:val="0"/>
      </w:pPr>
      <w:r>
        <w:tab/>
      </w:r>
      <w:r>
        <w:rPr>
          <w:rStyle w:val="FootnoteReference"/>
        </w:rPr>
        <w:footnoteRef/>
      </w:r>
      <w:r>
        <w:tab/>
      </w:r>
      <w:r w:rsidR="00352E6A">
        <w:rPr>
          <w:rFonts w:hint="cs"/>
          <w:rtl/>
        </w:rPr>
        <w:t>المادة 4 من البروتوكول الإضافي الثاني؛ قواعد القانون الدولي الإنساني العرفي، ص. 311-314 (القاعدة 89).</w:t>
      </w:r>
    </w:p>
  </w:footnote>
  <w:footnote w:id="23">
    <w:p w14:paraId="5CB3ECFC" w14:textId="36832004" w:rsidR="00D345C9" w:rsidRPr="00DB06F9" w:rsidRDefault="00D345C9" w:rsidP="00B91D71">
      <w:pPr>
        <w:pStyle w:val="FootnoteText"/>
        <w:kinsoku w:val="0"/>
        <w:overflowPunct w:val="0"/>
        <w:autoSpaceDE w:val="0"/>
        <w:autoSpaceDN w:val="0"/>
        <w:bidi/>
        <w:adjustRightInd w:val="0"/>
        <w:snapToGrid w:val="0"/>
      </w:pPr>
      <w:r>
        <w:tab/>
      </w:r>
      <w:r>
        <w:rPr>
          <w:rStyle w:val="FootnoteReference"/>
        </w:rPr>
        <w:footnoteRef/>
      </w:r>
      <w:r>
        <w:tab/>
      </w:r>
      <w:r w:rsidR="003A79BE" w:rsidRPr="00783925">
        <w:rPr>
          <w:szCs w:val="18"/>
          <w:rtl/>
        </w:rPr>
        <w:t>المادة 8-2-هـ-10 من نظام روما الأساسي</w:t>
      </w:r>
      <w:r w:rsidR="003A79BE">
        <w:rPr>
          <w:rFonts w:hint="cs"/>
          <w:szCs w:val="18"/>
          <w:rtl/>
        </w:rPr>
        <w:t>.</w:t>
      </w:r>
    </w:p>
  </w:footnote>
  <w:footnote w:id="24">
    <w:p w14:paraId="5738AEB2" w14:textId="32D82868" w:rsidR="007A40B3" w:rsidRPr="00D66625" w:rsidRDefault="007A40B3" w:rsidP="00B06243">
      <w:pPr>
        <w:pStyle w:val="FootnoteText"/>
        <w:kinsoku w:val="0"/>
        <w:overflowPunct w:val="0"/>
        <w:autoSpaceDE w:val="0"/>
        <w:autoSpaceDN w:val="0"/>
        <w:bidi/>
        <w:adjustRightInd w:val="0"/>
        <w:snapToGrid w:val="0"/>
      </w:pPr>
      <w:r>
        <w:tab/>
      </w:r>
      <w:r>
        <w:rPr>
          <w:rStyle w:val="FootnoteReference"/>
        </w:rPr>
        <w:footnoteRef/>
      </w:r>
      <w:r>
        <w:tab/>
      </w:r>
      <w:r w:rsidR="00B06243">
        <w:rPr>
          <w:rFonts w:hint="cs"/>
          <w:rtl/>
        </w:rPr>
        <w:t>انظر الحاشية 18 أعلاه.</w:t>
      </w:r>
    </w:p>
  </w:footnote>
  <w:footnote w:id="25">
    <w:p w14:paraId="43159752" w14:textId="77777777" w:rsidR="00305B01" w:rsidRPr="00D66625" w:rsidRDefault="00305B01" w:rsidP="00305B01">
      <w:pPr>
        <w:pStyle w:val="FootnoteText"/>
        <w:kinsoku w:val="0"/>
        <w:overflowPunct w:val="0"/>
        <w:autoSpaceDE w:val="0"/>
        <w:autoSpaceDN w:val="0"/>
        <w:bidi/>
        <w:adjustRightInd w:val="0"/>
        <w:snapToGrid w:val="0"/>
      </w:pPr>
      <w:r>
        <w:tab/>
      </w:r>
      <w:r>
        <w:rPr>
          <w:rStyle w:val="FootnoteReference"/>
        </w:rPr>
        <w:footnoteRef/>
      </w:r>
      <w:r>
        <w:tab/>
      </w:r>
      <w:r>
        <w:rPr>
          <w:rFonts w:hint="cs"/>
          <w:rtl/>
        </w:rPr>
        <w:t>المرفق 2، الفقرة 13.</w:t>
      </w:r>
    </w:p>
  </w:footnote>
  <w:footnote w:id="26">
    <w:p w14:paraId="6D4BD879" w14:textId="238E671D" w:rsidR="00400FA2" w:rsidRPr="00194346" w:rsidRDefault="00400FA2" w:rsidP="00C9094A">
      <w:pPr>
        <w:pStyle w:val="FootnoteText"/>
        <w:kinsoku w:val="0"/>
        <w:overflowPunct w:val="0"/>
        <w:autoSpaceDE w:val="0"/>
        <w:autoSpaceDN w:val="0"/>
        <w:bidi/>
        <w:adjustRightInd w:val="0"/>
        <w:snapToGrid w:val="0"/>
      </w:pPr>
      <w:r>
        <w:tab/>
      </w:r>
      <w:r>
        <w:rPr>
          <w:rStyle w:val="FootnoteReference"/>
        </w:rPr>
        <w:footnoteRef/>
      </w:r>
      <w:r>
        <w:tab/>
      </w:r>
      <w:r w:rsidR="00C9094A">
        <w:rPr>
          <w:rFonts w:hint="cs"/>
          <w:szCs w:val="18"/>
          <w:rtl/>
        </w:rPr>
        <w:t>المادة 7-1-أ من نظام روما الأساسي؛ المرفق 2، الفقرة 4.</w:t>
      </w:r>
    </w:p>
  </w:footnote>
  <w:footnote w:id="27">
    <w:p w14:paraId="5ECB856E" w14:textId="0ECA0948" w:rsidR="00400FA2" w:rsidRPr="00194346" w:rsidRDefault="00400FA2" w:rsidP="00C9094A">
      <w:pPr>
        <w:pStyle w:val="FootnoteText"/>
        <w:kinsoku w:val="0"/>
        <w:overflowPunct w:val="0"/>
        <w:autoSpaceDE w:val="0"/>
        <w:autoSpaceDN w:val="0"/>
        <w:bidi/>
        <w:adjustRightInd w:val="0"/>
        <w:snapToGrid w:val="0"/>
      </w:pPr>
      <w:r>
        <w:tab/>
      </w:r>
      <w:r w:rsidRPr="00194346">
        <w:rPr>
          <w:rStyle w:val="FootnoteReference"/>
        </w:rPr>
        <w:footnoteRef/>
      </w:r>
      <w:r>
        <w:tab/>
      </w:r>
      <w:r w:rsidR="00C9094A" w:rsidRPr="00071BBE">
        <w:rPr>
          <w:rFonts w:ascii="Arial" w:eastAsia="Calibri" w:hAnsi="Arial" w:cs="Arial"/>
          <w:sz w:val="16"/>
          <w:szCs w:val="16"/>
          <w:rtl/>
        </w:rPr>
        <w:t>المادة 7-1-و من نظام روما الأساسي</w:t>
      </w:r>
      <w:r w:rsidR="00C9094A">
        <w:rPr>
          <w:rFonts w:ascii="Arial" w:eastAsia="Calibri" w:hAnsi="Arial" w:cs="Arial" w:hint="cs"/>
          <w:sz w:val="16"/>
          <w:szCs w:val="16"/>
          <w:rtl/>
        </w:rPr>
        <w:t>؛ المرفق 2، الفقرة 7.</w:t>
      </w:r>
    </w:p>
  </w:footnote>
  <w:footnote w:id="28">
    <w:p w14:paraId="311EB640" w14:textId="6D47BE16" w:rsidR="00400FA2" w:rsidRPr="00C9094A" w:rsidRDefault="00400FA2" w:rsidP="00C9094A">
      <w:pPr>
        <w:pStyle w:val="FootnoteText"/>
        <w:kinsoku w:val="0"/>
        <w:overflowPunct w:val="0"/>
        <w:autoSpaceDE w:val="0"/>
        <w:autoSpaceDN w:val="0"/>
        <w:bidi/>
        <w:adjustRightInd w:val="0"/>
        <w:snapToGrid w:val="0"/>
      </w:pPr>
      <w:r>
        <w:tab/>
      </w:r>
      <w:r w:rsidRPr="00194346">
        <w:rPr>
          <w:rStyle w:val="FootnoteReference"/>
        </w:rPr>
        <w:footnoteRef/>
      </w:r>
      <w:r w:rsidRPr="00C9094A">
        <w:tab/>
      </w:r>
      <w:r w:rsidR="00C9094A" w:rsidRPr="00071BBE">
        <w:rPr>
          <w:rFonts w:ascii="Arial" w:hAnsi="Arial" w:cs="Arial"/>
          <w:sz w:val="16"/>
          <w:szCs w:val="16"/>
          <w:rtl/>
          <w:lang w:bidi="ar-LB"/>
        </w:rPr>
        <w:t>المادة 7-1-هـ من نظام روما الأساسي</w:t>
      </w:r>
      <w:r w:rsidR="00C9094A">
        <w:rPr>
          <w:rFonts w:ascii="Arial" w:hAnsi="Arial" w:cs="Arial" w:hint="cs"/>
          <w:sz w:val="16"/>
          <w:szCs w:val="16"/>
          <w:rtl/>
          <w:lang w:bidi="ar-LB"/>
        </w:rPr>
        <w:t>؛ المرفق 2، الفقرة 6.</w:t>
      </w:r>
    </w:p>
  </w:footnote>
  <w:footnote w:id="29">
    <w:p w14:paraId="603CE5D6" w14:textId="61F918E0" w:rsidR="00400FA2" w:rsidRPr="00194346" w:rsidRDefault="00400FA2" w:rsidP="00C9094A">
      <w:pPr>
        <w:pStyle w:val="FootnoteText"/>
        <w:kinsoku w:val="0"/>
        <w:overflowPunct w:val="0"/>
        <w:autoSpaceDE w:val="0"/>
        <w:autoSpaceDN w:val="0"/>
        <w:bidi/>
        <w:adjustRightInd w:val="0"/>
        <w:snapToGrid w:val="0"/>
      </w:pPr>
      <w:r w:rsidRPr="00C9094A">
        <w:tab/>
      </w:r>
      <w:r w:rsidRPr="00194346">
        <w:rPr>
          <w:rStyle w:val="FootnoteReference"/>
        </w:rPr>
        <w:footnoteRef/>
      </w:r>
      <w:r>
        <w:tab/>
      </w:r>
      <w:r w:rsidR="00C9094A" w:rsidRPr="00071BBE">
        <w:rPr>
          <w:rFonts w:ascii="Arial" w:hAnsi="Arial" w:cs="Arial"/>
          <w:sz w:val="16"/>
          <w:szCs w:val="16"/>
          <w:rtl/>
        </w:rPr>
        <w:t>المادة 7-1-ز من نظام روما الأساسي</w:t>
      </w:r>
      <w:r w:rsidR="00C9094A">
        <w:rPr>
          <w:rFonts w:ascii="Arial" w:hAnsi="Arial" w:cs="Arial" w:hint="cs"/>
          <w:sz w:val="16"/>
          <w:szCs w:val="16"/>
          <w:rtl/>
        </w:rPr>
        <w:t>؛ المرفق 2، الفقرة 8.</w:t>
      </w:r>
    </w:p>
  </w:footnote>
  <w:footnote w:id="30">
    <w:p w14:paraId="69E36B82" w14:textId="2C3C2F34" w:rsidR="00400FA2" w:rsidRPr="00D116D7" w:rsidRDefault="00400FA2" w:rsidP="00C9094A">
      <w:pPr>
        <w:pStyle w:val="FootnoteText"/>
        <w:kinsoku w:val="0"/>
        <w:overflowPunct w:val="0"/>
        <w:autoSpaceDE w:val="0"/>
        <w:autoSpaceDN w:val="0"/>
        <w:bidi/>
        <w:adjustRightInd w:val="0"/>
        <w:snapToGrid w:val="0"/>
      </w:pPr>
      <w:r>
        <w:tab/>
      </w:r>
      <w:r w:rsidRPr="00194346">
        <w:rPr>
          <w:rStyle w:val="FootnoteReference"/>
        </w:rPr>
        <w:footnoteRef/>
      </w:r>
      <w:r>
        <w:tab/>
      </w:r>
      <w:r w:rsidR="00C9094A" w:rsidRPr="00071BBE">
        <w:rPr>
          <w:rFonts w:ascii="Arial" w:eastAsia="Calibri" w:hAnsi="Arial" w:cs="Arial"/>
          <w:sz w:val="16"/>
          <w:szCs w:val="16"/>
          <w:rtl/>
        </w:rPr>
        <w:t>المادة 7-1-ط من نظام روما الأساسي</w:t>
      </w:r>
      <w:r w:rsidR="00C9094A">
        <w:rPr>
          <w:rFonts w:ascii="Arial" w:eastAsia="Calibri" w:hAnsi="Arial" w:cs="Arial" w:hint="cs"/>
          <w:sz w:val="16"/>
          <w:szCs w:val="16"/>
          <w:rtl/>
        </w:rPr>
        <w:t>؛ المرفق 2، الفقرة 14.</w:t>
      </w:r>
    </w:p>
  </w:footnote>
  <w:footnote w:id="31">
    <w:p w14:paraId="05C0984C" w14:textId="769EBAF8" w:rsidR="003827D3" w:rsidRPr="001D368E" w:rsidRDefault="003827D3" w:rsidP="003827D3">
      <w:pPr>
        <w:pStyle w:val="FootnoteText"/>
        <w:kinsoku w:val="0"/>
        <w:overflowPunct w:val="0"/>
        <w:autoSpaceDE w:val="0"/>
        <w:autoSpaceDN w:val="0"/>
        <w:bidi/>
        <w:adjustRightInd w:val="0"/>
        <w:snapToGrid w:val="0"/>
      </w:pPr>
      <w:r>
        <w:tab/>
      </w:r>
      <w:r>
        <w:rPr>
          <w:rStyle w:val="FootnoteReference"/>
        </w:rPr>
        <w:footnoteRef/>
      </w:r>
      <w:r>
        <w:tab/>
      </w:r>
      <w:r w:rsidR="00037F9C" w:rsidRPr="007B7BCD">
        <w:rPr>
          <w:rFonts w:ascii="Arial" w:hAnsi="Arial" w:cs="Arial"/>
          <w:sz w:val="16"/>
          <w:szCs w:val="16"/>
          <w:rtl/>
        </w:rPr>
        <w:t>المادة 8-2-ج-1 من نظام روما الأساسي</w:t>
      </w:r>
      <w:r w:rsidR="00037F9C">
        <w:rPr>
          <w:rFonts w:ascii="Arial" w:hAnsi="Arial" w:cs="Arial" w:hint="cs"/>
          <w:sz w:val="16"/>
          <w:szCs w:val="16"/>
          <w:rtl/>
        </w:rPr>
        <w:t>.</w:t>
      </w:r>
    </w:p>
  </w:footnote>
  <w:footnote w:id="32">
    <w:p w14:paraId="41BB221D" w14:textId="16A86EEB" w:rsidR="00000CE8" w:rsidRPr="00252653" w:rsidRDefault="00000CE8" w:rsidP="00252653">
      <w:pPr>
        <w:pStyle w:val="EndnoteText"/>
        <w:bidi/>
        <w:spacing w:line="240" w:lineRule="auto"/>
        <w:ind w:left="0" w:right="0" w:firstLine="0"/>
        <w:jc w:val="both"/>
        <w:rPr>
          <w:rFonts w:ascii="Arial" w:hAnsi="Arial" w:cs="Arial"/>
          <w:sz w:val="16"/>
          <w:szCs w:val="16"/>
          <w:highlight w:val="yellow"/>
        </w:rPr>
      </w:pPr>
      <w:r>
        <w:tab/>
      </w:r>
      <w:r>
        <w:rPr>
          <w:rStyle w:val="FootnoteReference"/>
        </w:rPr>
        <w:footnoteRef/>
      </w:r>
      <w:r>
        <w:tab/>
      </w:r>
      <w:r w:rsidR="00252653" w:rsidRPr="00141CA6">
        <w:rPr>
          <w:rFonts w:ascii="Arial" w:hAnsi="Arial" w:cs="Arial"/>
          <w:sz w:val="16"/>
          <w:szCs w:val="16"/>
          <w:rtl/>
        </w:rPr>
        <w:t xml:space="preserve">أحصتْ المنظمة الدولية للهجرة 212،593 نازحًا داخليًا </w:t>
      </w:r>
      <w:r w:rsidR="00252653">
        <w:rPr>
          <w:rFonts w:ascii="Arial" w:hAnsi="Arial" w:cs="Arial" w:hint="cs"/>
          <w:sz w:val="16"/>
          <w:szCs w:val="16"/>
          <w:rtl/>
        </w:rPr>
        <w:t>اعتبارًا من</w:t>
      </w:r>
      <w:r w:rsidR="00252653" w:rsidRPr="00141CA6">
        <w:rPr>
          <w:rFonts w:ascii="Arial" w:hAnsi="Arial" w:cs="Arial"/>
          <w:sz w:val="16"/>
          <w:szCs w:val="16"/>
          <w:rtl/>
        </w:rPr>
        <w:t xml:space="preserve"> 30 يونيو/حزيران 2021.</w:t>
      </w:r>
    </w:p>
  </w:footnote>
  <w:footnote w:id="33">
    <w:p w14:paraId="174A6C37" w14:textId="1A65542A" w:rsidR="007F3AAE" w:rsidRPr="006500F0" w:rsidRDefault="007F3AAE" w:rsidP="007555C4">
      <w:pPr>
        <w:pStyle w:val="FootnoteText"/>
        <w:kinsoku w:val="0"/>
        <w:overflowPunct w:val="0"/>
        <w:autoSpaceDE w:val="0"/>
        <w:autoSpaceDN w:val="0"/>
        <w:bidi/>
        <w:adjustRightInd w:val="0"/>
        <w:snapToGrid w:val="0"/>
        <w:rPr>
          <w:rFonts w:asciiTheme="majorBidi" w:hAnsiTheme="majorBidi" w:cstheme="majorBidi"/>
          <w:szCs w:val="18"/>
        </w:rPr>
      </w:pPr>
      <w:r>
        <w:tab/>
      </w:r>
      <w:r>
        <w:rPr>
          <w:rStyle w:val="FootnoteReference"/>
        </w:rPr>
        <w:footnoteRef/>
      </w:r>
      <w:r>
        <w:tab/>
      </w:r>
      <w:r w:rsidRPr="006500F0">
        <w:rPr>
          <w:rFonts w:asciiTheme="majorBidi" w:hAnsiTheme="majorBidi" w:cstheme="majorBidi"/>
          <w:szCs w:val="18"/>
        </w:rPr>
        <w:t>A/HRC/38/39/Add.2</w:t>
      </w:r>
      <w:r w:rsidR="005F1EA9" w:rsidRPr="006500F0">
        <w:rPr>
          <w:rFonts w:asciiTheme="majorBidi" w:hAnsiTheme="majorBidi" w:cstheme="majorBidi"/>
          <w:szCs w:val="18"/>
          <w:rtl/>
        </w:rPr>
        <w:t>.</w:t>
      </w:r>
    </w:p>
  </w:footnote>
  <w:footnote w:id="34">
    <w:p w14:paraId="7C87CDE0" w14:textId="77777777" w:rsidR="00A71AF9" w:rsidRPr="006500F0" w:rsidRDefault="00A71AF9" w:rsidP="00A71AF9">
      <w:pPr>
        <w:pStyle w:val="EndnoteText"/>
        <w:bidi/>
        <w:spacing w:line="240" w:lineRule="auto"/>
        <w:ind w:left="0" w:right="0" w:firstLine="0"/>
        <w:jc w:val="both"/>
        <w:rPr>
          <w:rFonts w:asciiTheme="majorBidi" w:hAnsiTheme="majorBidi" w:cstheme="majorBidi"/>
          <w:szCs w:val="18"/>
        </w:rPr>
      </w:pPr>
      <w:r w:rsidRPr="006500F0">
        <w:rPr>
          <w:rFonts w:asciiTheme="majorBidi" w:hAnsiTheme="majorBidi" w:cstheme="majorBidi"/>
          <w:szCs w:val="18"/>
        </w:rPr>
        <w:tab/>
      </w:r>
      <w:r w:rsidRPr="006500F0">
        <w:rPr>
          <w:rStyle w:val="FootnoteReference"/>
          <w:rFonts w:asciiTheme="majorBidi" w:hAnsiTheme="majorBidi" w:cstheme="majorBidi"/>
          <w:szCs w:val="18"/>
        </w:rPr>
        <w:footnoteRef/>
      </w:r>
      <w:r w:rsidRPr="006500F0">
        <w:rPr>
          <w:rFonts w:asciiTheme="majorBidi" w:hAnsiTheme="majorBidi" w:cstheme="majorBidi"/>
          <w:szCs w:val="18"/>
        </w:rPr>
        <w:tab/>
        <w:t>E/CN.4/1998/53/Add.2</w:t>
      </w:r>
      <w:r w:rsidRPr="006500F0">
        <w:rPr>
          <w:rFonts w:asciiTheme="majorBidi" w:hAnsiTheme="majorBidi" w:cstheme="majorBidi"/>
          <w:szCs w:val="18"/>
          <w:rtl/>
        </w:rPr>
        <w:t xml:space="preserve"> ، </w:t>
      </w:r>
      <w:r w:rsidRPr="006500F0">
        <w:rPr>
          <w:rFonts w:asciiTheme="majorBidi" w:hAnsiTheme="majorBidi" w:cstheme="majorBidi"/>
          <w:szCs w:val="18"/>
          <w:rtl/>
          <w:lang w:val="en-US" w:bidi="ar-LB"/>
        </w:rPr>
        <w:t>المبادئ من 10 إلى 23، و28 و30.</w:t>
      </w:r>
    </w:p>
  </w:footnote>
  <w:footnote w:id="35">
    <w:p w14:paraId="574383AA" w14:textId="77777777" w:rsidR="00F74E87" w:rsidRPr="006500F0" w:rsidRDefault="00F74E87" w:rsidP="00F74E87">
      <w:pPr>
        <w:pStyle w:val="FootnoteText"/>
        <w:kinsoku w:val="0"/>
        <w:overflowPunct w:val="0"/>
        <w:autoSpaceDE w:val="0"/>
        <w:autoSpaceDN w:val="0"/>
        <w:bidi/>
        <w:adjustRightInd w:val="0"/>
        <w:snapToGrid w:val="0"/>
        <w:rPr>
          <w:rFonts w:asciiTheme="majorBidi" w:hAnsiTheme="majorBidi" w:cstheme="majorBidi"/>
          <w:szCs w:val="18"/>
        </w:rPr>
      </w:pPr>
      <w:r w:rsidRPr="006500F0">
        <w:rPr>
          <w:rFonts w:asciiTheme="majorBidi" w:hAnsiTheme="majorBidi" w:cstheme="majorBidi"/>
          <w:szCs w:val="18"/>
        </w:rPr>
        <w:tab/>
      </w:r>
      <w:r w:rsidRPr="006500F0">
        <w:rPr>
          <w:rStyle w:val="FootnoteReference"/>
          <w:rFonts w:asciiTheme="majorBidi" w:hAnsiTheme="majorBidi" w:cstheme="majorBidi"/>
          <w:szCs w:val="18"/>
        </w:rPr>
        <w:footnoteRef/>
      </w:r>
      <w:r w:rsidRPr="006500F0">
        <w:rPr>
          <w:rFonts w:asciiTheme="majorBidi" w:hAnsiTheme="majorBidi" w:cstheme="majorBidi"/>
          <w:szCs w:val="18"/>
        </w:rPr>
        <w:tab/>
      </w:r>
      <w:r w:rsidRPr="006500F0">
        <w:rPr>
          <w:rFonts w:asciiTheme="majorBidi" w:hAnsiTheme="majorBidi" w:cstheme="majorBidi"/>
          <w:szCs w:val="18"/>
          <w:rtl/>
        </w:rPr>
        <w:t>انظر المرفق 2، الفقرة 16.</w:t>
      </w:r>
    </w:p>
  </w:footnote>
  <w:footnote w:id="36">
    <w:p w14:paraId="67BEDD3F" w14:textId="55CB1B4F" w:rsidR="003D0127" w:rsidRPr="001828CD" w:rsidRDefault="003D0127" w:rsidP="00223E88">
      <w:pPr>
        <w:pStyle w:val="FootnoteText"/>
        <w:kinsoku w:val="0"/>
        <w:overflowPunct w:val="0"/>
        <w:autoSpaceDE w:val="0"/>
        <w:autoSpaceDN w:val="0"/>
        <w:bidi/>
        <w:adjustRightInd w:val="0"/>
        <w:snapToGrid w:val="0"/>
      </w:pPr>
      <w:r w:rsidRPr="006500F0">
        <w:rPr>
          <w:rFonts w:asciiTheme="majorBidi" w:hAnsiTheme="majorBidi" w:cstheme="majorBidi"/>
          <w:szCs w:val="18"/>
        </w:rPr>
        <w:tab/>
      </w:r>
      <w:r w:rsidRPr="006500F0">
        <w:rPr>
          <w:rStyle w:val="FootnoteReference"/>
          <w:rFonts w:asciiTheme="majorBidi" w:hAnsiTheme="majorBidi" w:cstheme="majorBidi"/>
          <w:szCs w:val="18"/>
        </w:rPr>
        <w:footnoteRef/>
      </w:r>
      <w:r w:rsidRPr="006500F0">
        <w:rPr>
          <w:rFonts w:asciiTheme="majorBidi" w:hAnsiTheme="majorBidi" w:cstheme="majorBidi"/>
          <w:szCs w:val="18"/>
        </w:rPr>
        <w:tab/>
      </w:r>
      <w:r w:rsidR="00223E88" w:rsidRPr="006500F0">
        <w:rPr>
          <w:rFonts w:asciiTheme="majorBidi" w:hAnsiTheme="majorBidi" w:cstheme="majorBidi"/>
          <w:szCs w:val="18"/>
          <w:rtl/>
        </w:rPr>
        <w:t xml:space="preserve">إنّ التفاوت بين عدد المهاجرين الذين تم اعتراضهم في البحر منذ بداية العام 2021 (حوالي 23 ألف مهاجر اعتبارًا من أغسطس/آب 2021) وعدد المهاجرين المحتجزين حاليًا في مراكز جهاز مكافحة الهجرة غير الشرعية (حوالي 7000) يثير مخاوف جدية من احتمال إعادة </w:t>
      </w:r>
      <w:r w:rsidR="00223E88" w:rsidRPr="006500F0">
        <w:rPr>
          <w:rFonts w:asciiTheme="majorBidi" w:hAnsiTheme="majorBidi" w:cstheme="majorBidi"/>
          <w:szCs w:val="18"/>
          <w:rtl/>
          <w:lang w:bidi="ar-LB"/>
        </w:rPr>
        <w:t>عدد كبير</w:t>
      </w:r>
      <w:r w:rsidR="00223E88" w:rsidRPr="006500F0">
        <w:rPr>
          <w:rFonts w:asciiTheme="majorBidi" w:hAnsiTheme="majorBidi" w:cstheme="majorBidi"/>
          <w:szCs w:val="18"/>
          <w:rtl/>
        </w:rPr>
        <w:t xml:space="preserve"> من المهاجرين إلى المهرّبين والمُتجِرين، أو أنهم في أيدي الجماعات المسلحة التي تسيء إليهم.</w:t>
      </w:r>
    </w:p>
  </w:footnote>
  <w:footnote w:id="37">
    <w:p w14:paraId="259103B6" w14:textId="31F2232B" w:rsidR="00B52BAA" w:rsidRPr="000964E2" w:rsidRDefault="00B52BAA" w:rsidP="000B4431">
      <w:pPr>
        <w:pStyle w:val="FootnoteText"/>
        <w:kinsoku w:val="0"/>
        <w:overflowPunct w:val="0"/>
        <w:autoSpaceDE w:val="0"/>
        <w:autoSpaceDN w:val="0"/>
        <w:bidi/>
        <w:adjustRightInd w:val="0"/>
        <w:snapToGrid w:val="0"/>
        <w:rPr>
          <w:rFonts w:asciiTheme="majorBidi" w:hAnsiTheme="majorBidi" w:cstheme="majorBidi"/>
          <w:szCs w:val="18"/>
        </w:rPr>
      </w:pPr>
      <w: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0B4431" w:rsidRPr="000964E2">
        <w:rPr>
          <w:rFonts w:asciiTheme="majorBidi" w:hAnsiTheme="majorBidi" w:cstheme="majorBidi"/>
          <w:szCs w:val="18"/>
          <w:rtl/>
        </w:rPr>
        <w:t>انظر الحاشية 25 أعلاه.</w:t>
      </w:r>
    </w:p>
  </w:footnote>
  <w:footnote w:id="38">
    <w:p w14:paraId="4531082D" w14:textId="7F103359" w:rsidR="00B52BAA" w:rsidRPr="000964E2" w:rsidRDefault="00B52BAA" w:rsidP="000B4431">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0B4431" w:rsidRPr="000964E2">
        <w:rPr>
          <w:rFonts w:asciiTheme="majorBidi" w:hAnsiTheme="majorBidi" w:cstheme="majorBidi"/>
          <w:szCs w:val="18"/>
          <w:rtl/>
        </w:rPr>
        <w:t>المادة 7-1-ج من نظام روما الأساسي؛ المرفق 2، الفقرة 5.</w:t>
      </w:r>
    </w:p>
  </w:footnote>
  <w:footnote w:id="39">
    <w:p w14:paraId="042B93C5" w14:textId="10C13EC8" w:rsidR="00B52BAA" w:rsidRPr="000964E2" w:rsidRDefault="00B52BAA" w:rsidP="00681C8A">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681C8A" w:rsidRPr="000964E2">
        <w:rPr>
          <w:rFonts w:asciiTheme="majorBidi" w:hAnsiTheme="majorBidi" w:cstheme="majorBidi"/>
          <w:szCs w:val="18"/>
          <w:rtl/>
        </w:rPr>
        <w:t>انظر الحاشية 26 أعلاه.</w:t>
      </w:r>
    </w:p>
  </w:footnote>
  <w:footnote w:id="40">
    <w:p w14:paraId="32F66395" w14:textId="6671534D" w:rsidR="00B52BAA" w:rsidRPr="000964E2" w:rsidRDefault="00B52BAA" w:rsidP="00681C8A">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681C8A" w:rsidRPr="000964E2">
        <w:rPr>
          <w:rFonts w:asciiTheme="majorBidi" w:hAnsiTheme="majorBidi" w:cstheme="majorBidi"/>
          <w:szCs w:val="18"/>
          <w:rtl/>
        </w:rPr>
        <w:t>انظر الحاشية 27 أعلاه.</w:t>
      </w:r>
    </w:p>
  </w:footnote>
  <w:footnote w:id="41">
    <w:p w14:paraId="009C88C3" w14:textId="2495A9E9" w:rsidR="00B52BAA" w:rsidRPr="000964E2" w:rsidRDefault="00B52BAA" w:rsidP="00681C8A">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681C8A" w:rsidRPr="000964E2">
        <w:rPr>
          <w:rFonts w:asciiTheme="majorBidi" w:hAnsiTheme="majorBidi" w:cstheme="majorBidi"/>
          <w:szCs w:val="18"/>
          <w:rtl/>
        </w:rPr>
        <w:t>انظر الحاشية 28 أعلاه.</w:t>
      </w:r>
    </w:p>
  </w:footnote>
  <w:footnote w:id="42">
    <w:p w14:paraId="5A81CC44" w14:textId="0F007EA0" w:rsidR="00B52BAA" w:rsidRPr="000964E2" w:rsidRDefault="00B52BAA" w:rsidP="00400E79">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400E79" w:rsidRPr="000964E2">
        <w:rPr>
          <w:rFonts w:asciiTheme="majorBidi" w:hAnsiTheme="majorBidi" w:cstheme="majorBidi"/>
          <w:szCs w:val="18"/>
          <w:rtl/>
        </w:rPr>
        <w:t>المادة 7-1-ح من نظام روما الأساسي؛ المرفق 2، الفقرة 9.</w:t>
      </w:r>
    </w:p>
  </w:footnote>
  <w:footnote w:id="43">
    <w:p w14:paraId="19863C62" w14:textId="4C9AD904" w:rsidR="00B52BAA" w:rsidRPr="000964E2" w:rsidRDefault="00B52BAA" w:rsidP="004A5B99">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8C3627" w:rsidRPr="000964E2">
        <w:rPr>
          <w:rFonts w:asciiTheme="majorBidi" w:hAnsiTheme="majorBidi" w:cstheme="majorBidi"/>
          <w:szCs w:val="18"/>
          <w:rtl/>
        </w:rPr>
        <w:t>المادة 7-1-ك من نظام روما الأساسي؛ المرفق 2، الفقرة 11.</w:t>
      </w:r>
    </w:p>
  </w:footnote>
  <w:footnote w:id="44">
    <w:p w14:paraId="700BE060" w14:textId="3C6BEC53" w:rsidR="000D2550" w:rsidRPr="000964E2" w:rsidRDefault="000D2550" w:rsidP="009210EA">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9210EA" w:rsidRPr="000964E2">
        <w:rPr>
          <w:rFonts w:asciiTheme="majorBidi" w:hAnsiTheme="majorBidi" w:cstheme="majorBidi"/>
          <w:szCs w:val="18"/>
          <w:rtl/>
        </w:rPr>
        <w:t>قواعد القانون الدولي الإنساني العرفي، ص. 68-71 (القاعدة 22).</w:t>
      </w:r>
    </w:p>
  </w:footnote>
  <w:footnote w:id="45">
    <w:p w14:paraId="4E31C1C2" w14:textId="56FE6A74" w:rsidR="009D14F1" w:rsidRPr="000964E2" w:rsidRDefault="009D14F1" w:rsidP="009210EA">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9210EA" w:rsidRPr="000964E2">
        <w:rPr>
          <w:rFonts w:asciiTheme="majorBidi" w:hAnsiTheme="majorBidi" w:cstheme="majorBidi"/>
          <w:szCs w:val="18"/>
          <w:rtl/>
        </w:rPr>
        <w:t>المادة 6 من العهد الدولي الخاص بالحقوق المدنية والسياسية.</w:t>
      </w:r>
    </w:p>
  </w:footnote>
  <w:footnote w:id="46">
    <w:p w14:paraId="7485EFB7" w14:textId="168DE5B5" w:rsidR="009D14F1" w:rsidRPr="000964E2" w:rsidRDefault="009D14F1" w:rsidP="009210EA">
      <w:pPr>
        <w:pStyle w:val="FootnoteText"/>
        <w:kinsoku w:val="0"/>
        <w:overflowPunct w:val="0"/>
        <w:autoSpaceDE w:val="0"/>
        <w:autoSpaceDN w:val="0"/>
        <w:bidi/>
        <w:adjustRightInd w:val="0"/>
        <w:snapToGrid w:val="0"/>
        <w:rPr>
          <w:rFonts w:asciiTheme="majorBidi" w:hAnsiTheme="majorBidi" w:cstheme="majorBidi"/>
          <w:szCs w:val="18"/>
        </w:rPr>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9210EA" w:rsidRPr="000964E2">
        <w:rPr>
          <w:rFonts w:asciiTheme="majorBidi" w:hAnsiTheme="majorBidi" w:cstheme="majorBidi"/>
          <w:szCs w:val="18"/>
          <w:rtl/>
        </w:rPr>
        <w:t>انظر الحاشية 18 أعلاه.</w:t>
      </w:r>
    </w:p>
  </w:footnote>
  <w:footnote w:id="47">
    <w:p w14:paraId="296E8727" w14:textId="42101DDA" w:rsidR="009D14F1" w:rsidRPr="00D66625" w:rsidRDefault="009D14F1" w:rsidP="009210EA">
      <w:pPr>
        <w:pStyle w:val="FootnoteText"/>
        <w:kinsoku w:val="0"/>
        <w:overflowPunct w:val="0"/>
        <w:autoSpaceDE w:val="0"/>
        <w:autoSpaceDN w:val="0"/>
        <w:bidi/>
        <w:adjustRightInd w:val="0"/>
        <w:snapToGrid w:val="0"/>
      </w:pPr>
      <w:r w:rsidRPr="000964E2">
        <w:rPr>
          <w:rFonts w:asciiTheme="majorBidi" w:hAnsiTheme="majorBidi" w:cstheme="majorBidi"/>
          <w:szCs w:val="18"/>
        </w:rPr>
        <w:tab/>
      </w:r>
      <w:r w:rsidRPr="000964E2">
        <w:rPr>
          <w:rStyle w:val="FootnoteReference"/>
          <w:rFonts w:asciiTheme="majorBidi" w:hAnsiTheme="majorBidi" w:cstheme="majorBidi"/>
          <w:szCs w:val="18"/>
        </w:rPr>
        <w:footnoteRef/>
      </w:r>
      <w:r w:rsidRPr="000964E2">
        <w:rPr>
          <w:rFonts w:asciiTheme="majorBidi" w:hAnsiTheme="majorBidi" w:cstheme="majorBidi"/>
          <w:szCs w:val="18"/>
        </w:rPr>
        <w:tab/>
      </w:r>
      <w:r w:rsidR="009210EA" w:rsidRPr="000964E2">
        <w:rPr>
          <w:rFonts w:asciiTheme="majorBidi" w:hAnsiTheme="majorBidi" w:cstheme="majorBidi"/>
          <w:szCs w:val="18"/>
          <w:rtl/>
        </w:rPr>
        <w:t>المادة 6 من العهد الدولي الخاص بالحقوق المدنية والسياسية.</w:t>
      </w:r>
    </w:p>
  </w:footnote>
  <w:footnote w:id="48">
    <w:p w14:paraId="5E805474" w14:textId="66F51B8D" w:rsidR="00366ED2" w:rsidRPr="0042212A" w:rsidRDefault="00366ED2" w:rsidP="002F3043">
      <w:pPr>
        <w:pStyle w:val="FootnoteText"/>
        <w:kinsoku w:val="0"/>
        <w:overflowPunct w:val="0"/>
        <w:autoSpaceDE w:val="0"/>
        <w:autoSpaceDN w:val="0"/>
        <w:bidi/>
        <w:adjustRightInd w:val="0"/>
        <w:snapToGrid w:val="0"/>
      </w:pPr>
      <w:r>
        <w:tab/>
      </w:r>
      <w:r>
        <w:rPr>
          <w:rStyle w:val="FootnoteReference"/>
        </w:rPr>
        <w:footnoteRef/>
      </w:r>
      <w:r>
        <w:tab/>
      </w:r>
      <w:hyperlink r:id="rId3" w:history="1">
        <w:r w:rsidRPr="00D8247B">
          <w:rPr>
            <w:rStyle w:val="Hyperlink"/>
            <w:szCs w:val="18"/>
          </w:rPr>
          <w:t>https://unsmil.unmissions.org/women-peace-and-</w:t>
        </w:r>
        <w:r w:rsidRPr="002F3737">
          <w:rPr>
            <w:rFonts w:eastAsiaTheme="minorHAnsi"/>
          </w:rPr>
          <w:t>security</w:t>
        </w:r>
        <w:r w:rsidRPr="00D8247B">
          <w:rPr>
            <w:rStyle w:val="Hyperlink"/>
            <w:szCs w:val="18"/>
          </w:rPr>
          <w:t>-libyan-context</w:t>
        </w:r>
      </w:hyperlink>
      <w:r w:rsidRPr="00D8247B">
        <w:rPr>
          <w:szCs w:val="18"/>
        </w:rPr>
        <w:t xml:space="preserve"> </w:t>
      </w:r>
      <w:r w:rsidR="002F3043">
        <w:rPr>
          <w:rFonts w:hint="cs"/>
          <w:szCs w:val="18"/>
          <w:rtl/>
        </w:rPr>
        <w:t xml:space="preserve"> (آخر تاريخ اطلاع في </w:t>
      </w:r>
      <w:r w:rsidR="00860E2E">
        <w:rPr>
          <w:rFonts w:hint="cs"/>
          <w:szCs w:val="18"/>
          <w:rtl/>
        </w:rPr>
        <w:t>6 أكتوبر/تشرين الأول</w:t>
      </w:r>
      <w:r w:rsidR="002F3043">
        <w:rPr>
          <w:rFonts w:hint="cs"/>
          <w:szCs w:val="18"/>
          <w:rtl/>
        </w:rPr>
        <w:t xml:space="preserve"> 2021).</w:t>
      </w:r>
    </w:p>
  </w:footnote>
  <w:footnote w:id="49">
    <w:p w14:paraId="717DE6F9" w14:textId="16F3CD4C" w:rsidR="00EE444D" w:rsidRPr="003831E5" w:rsidRDefault="00EE444D" w:rsidP="000F3952">
      <w:pPr>
        <w:pStyle w:val="FootnoteText"/>
        <w:kinsoku w:val="0"/>
        <w:overflowPunct w:val="0"/>
        <w:autoSpaceDE w:val="0"/>
        <w:autoSpaceDN w:val="0"/>
        <w:bidi/>
        <w:adjustRightInd w:val="0"/>
        <w:snapToGrid w:val="0"/>
      </w:pPr>
      <w:r>
        <w:tab/>
      </w:r>
      <w:r w:rsidRPr="0042212A">
        <w:rPr>
          <w:rStyle w:val="FootnoteReference"/>
        </w:rPr>
        <w:footnoteRef/>
      </w:r>
      <w:r>
        <w:tab/>
      </w:r>
      <w:r w:rsidR="000F3952">
        <w:rPr>
          <w:rFonts w:hint="cs"/>
          <w:rtl/>
        </w:rPr>
        <w:t>المرفق 2، الفقرة 15.</w:t>
      </w:r>
    </w:p>
  </w:footnote>
  <w:footnote w:id="50">
    <w:p w14:paraId="0763978B" w14:textId="77777777" w:rsidR="00871E56" w:rsidRPr="003831E5" w:rsidRDefault="00871E56" w:rsidP="00871E56">
      <w:pPr>
        <w:pStyle w:val="FootnoteText"/>
        <w:kinsoku w:val="0"/>
        <w:overflowPunct w:val="0"/>
        <w:autoSpaceDE w:val="0"/>
        <w:autoSpaceDN w:val="0"/>
        <w:bidi/>
        <w:adjustRightInd w:val="0"/>
        <w:snapToGrid w:val="0"/>
      </w:pPr>
      <w:r>
        <w:tab/>
      </w:r>
      <w:r w:rsidRPr="0042212A">
        <w:rPr>
          <w:rStyle w:val="FootnoteReference"/>
        </w:rPr>
        <w:footnoteRef/>
      </w:r>
      <w:r>
        <w:tab/>
      </w:r>
      <w:r>
        <w:rPr>
          <w:rFonts w:hint="cs"/>
          <w:rtl/>
        </w:rPr>
        <w:t>المرفق 2، الفقرة 14.</w:t>
      </w:r>
    </w:p>
  </w:footnote>
  <w:footnote w:id="51">
    <w:p w14:paraId="6E95A0C2" w14:textId="076446D8" w:rsidR="00CA5BCE" w:rsidRPr="004E5C2E" w:rsidRDefault="00CA5BCE" w:rsidP="00DF6924">
      <w:pPr>
        <w:pStyle w:val="FootnoteText"/>
        <w:kinsoku w:val="0"/>
        <w:overflowPunct w:val="0"/>
        <w:autoSpaceDE w:val="0"/>
        <w:autoSpaceDN w:val="0"/>
        <w:bidi/>
        <w:adjustRightInd w:val="0"/>
        <w:snapToGrid w:val="0"/>
      </w:pPr>
      <w:r>
        <w:tab/>
      </w:r>
      <w:r>
        <w:rPr>
          <w:rStyle w:val="FootnoteReference"/>
        </w:rPr>
        <w:footnoteRef/>
      </w:r>
      <w:r>
        <w:tab/>
      </w:r>
      <w:r w:rsidR="00DF6924" w:rsidRPr="00431B16">
        <w:rPr>
          <w:szCs w:val="18"/>
          <w:rtl/>
        </w:rPr>
        <w:t>في ما يتعلق بسهام، انظر المادة 2-3 من العهد الدولي الخاص بالحقوق المدنية والسياسية، ويجب قراءتها بالاقتران مع المواد 6 و7 و9 و16. وفي ما يتعلق بأسرتها، انظر المادة 2-3، ويجب قراءتها بالاقتران مع المادتيْن 7 و17.</w:t>
      </w:r>
    </w:p>
  </w:footnote>
  <w:footnote w:id="52">
    <w:p w14:paraId="517CF149" w14:textId="77777777" w:rsidR="00481640" w:rsidRPr="004E5C2E" w:rsidRDefault="00481640" w:rsidP="00481640">
      <w:pPr>
        <w:pStyle w:val="FootnoteText"/>
        <w:kinsoku w:val="0"/>
        <w:overflowPunct w:val="0"/>
        <w:autoSpaceDE w:val="0"/>
        <w:autoSpaceDN w:val="0"/>
        <w:bidi/>
        <w:adjustRightInd w:val="0"/>
        <w:snapToGrid w:val="0"/>
        <w:rPr>
          <w:lang w:val="fr-CA"/>
        </w:rPr>
      </w:pPr>
      <w:r w:rsidRPr="00E06490">
        <w:rPr>
          <w:lang w:val="en-US"/>
        </w:rPr>
        <w:tab/>
      </w:r>
      <w:r>
        <w:rPr>
          <w:rStyle w:val="FootnoteReference"/>
        </w:rPr>
        <w:footnoteRef/>
      </w:r>
      <w:r>
        <w:rPr>
          <w:lang w:val="fr-CA"/>
        </w:rPr>
        <w:tab/>
      </w:r>
      <w:r>
        <w:rPr>
          <w:rFonts w:hint="cs"/>
          <w:rtl/>
          <w:lang w:val="fr-CA"/>
        </w:rPr>
        <w:t>المادة 6.</w:t>
      </w:r>
    </w:p>
  </w:footnote>
  <w:footnote w:id="53">
    <w:p w14:paraId="45572166" w14:textId="77777777" w:rsidR="00481640" w:rsidRPr="004E5C2E" w:rsidRDefault="00481640" w:rsidP="00481640">
      <w:pPr>
        <w:pStyle w:val="FootnoteText"/>
        <w:kinsoku w:val="0"/>
        <w:overflowPunct w:val="0"/>
        <w:autoSpaceDE w:val="0"/>
        <w:autoSpaceDN w:val="0"/>
        <w:bidi/>
        <w:adjustRightInd w:val="0"/>
        <w:snapToGrid w:val="0"/>
        <w:rPr>
          <w:lang w:val="fr-CA"/>
        </w:rPr>
      </w:pPr>
      <w:r>
        <w:rPr>
          <w:lang w:val="fr-CA"/>
        </w:rPr>
        <w:tab/>
      </w:r>
      <w:r>
        <w:rPr>
          <w:rStyle w:val="FootnoteReference"/>
        </w:rPr>
        <w:footnoteRef/>
      </w:r>
      <w:r>
        <w:rPr>
          <w:lang w:val="fr-CA"/>
        </w:rPr>
        <w:tab/>
      </w:r>
      <w:r>
        <w:rPr>
          <w:rFonts w:hint="cs"/>
          <w:rtl/>
          <w:lang w:val="fr-CA"/>
        </w:rPr>
        <w:t xml:space="preserve"> المادة 2-هـ. </w:t>
      </w:r>
    </w:p>
  </w:footnote>
  <w:footnote w:id="54">
    <w:p w14:paraId="3077C3CE" w14:textId="266CBA03" w:rsidR="0049491B" w:rsidRPr="0095090F" w:rsidRDefault="0049491B" w:rsidP="0095090F">
      <w:pPr>
        <w:pStyle w:val="FootnoteText"/>
        <w:kinsoku w:val="0"/>
        <w:overflowPunct w:val="0"/>
        <w:autoSpaceDE w:val="0"/>
        <w:autoSpaceDN w:val="0"/>
        <w:bidi/>
        <w:adjustRightInd w:val="0"/>
        <w:snapToGrid w:val="0"/>
        <w:rPr>
          <w:szCs w:val="18"/>
          <w:lang w:val="fr-CA"/>
        </w:rPr>
      </w:pPr>
      <w:r>
        <w:rPr>
          <w:lang w:val="fr-CA"/>
        </w:rPr>
        <w:tab/>
      </w:r>
      <w:r>
        <w:rPr>
          <w:rStyle w:val="FootnoteReference"/>
        </w:rPr>
        <w:footnoteRef/>
      </w:r>
      <w:r>
        <w:rPr>
          <w:lang w:val="fr-CA"/>
        </w:rPr>
        <w:tab/>
      </w:r>
      <w:r w:rsidR="0095090F">
        <w:rPr>
          <w:rFonts w:hint="cs"/>
          <w:szCs w:val="18"/>
          <w:rtl/>
        </w:rPr>
        <w:t xml:space="preserve">المادة 4-2 </w:t>
      </w:r>
      <w:r w:rsidR="0095090F" w:rsidRPr="0095090F">
        <w:rPr>
          <w:szCs w:val="18"/>
          <w:rtl/>
        </w:rPr>
        <w:t>والمادة 6-3. وينطبق التزام مماثل إلى حد كبير على ليبيا بموجب الميثاق الأفريقي لحقوق الطفل ورفاهيته</w:t>
      </w:r>
      <w:r w:rsidR="0095090F">
        <w:rPr>
          <w:rFonts w:hint="cs"/>
          <w:szCs w:val="18"/>
          <w:rtl/>
        </w:rPr>
        <w:t>.</w:t>
      </w:r>
    </w:p>
  </w:footnote>
  <w:footnote w:id="55">
    <w:p w14:paraId="010B3E86" w14:textId="48A435E6" w:rsidR="0049491B" w:rsidRPr="00E679FB" w:rsidRDefault="0049491B" w:rsidP="0095090F">
      <w:pPr>
        <w:pStyle w:val="FootnoteText"/>
        <w:kinsoku w:val="0"/>
        <w:overflowPunct w:val="0"/>
        <w:autoSpaceDE w:val="0"/>
        <w:autoSpaceDN w:val="0"/>
        <w:bidi/>
        <w:adjustRightInd w:val="0"/>
        <w:snapToGrid w:val="0"/>
        <w:rPr>
          <w:lang w:val="fr-CA"/>
        </w:rPr>
      </w:pPr>
      <w:r w:rsidRPr="0095090F">
        <w:rPr>
          <w:lang w:val="fr-CA"/>
        </w:rPr>
        <w:tab/>
      </w:r>
      <w:r>
        <w:rPr>
          <w:rStyle w:val="FootnoteReference"/>
        </w:rPr>
        <w:footnoteRef/>
      </w:r>
      <w:r>
        <w:rPr>
          <w:lang w:val="fr-CA"/>
        </w:rPr>
        <w:tab/>
      </w:r>
      <w:r w:rsidR="0095090F">
        <w:rPr>
          <w:rFonts w:hint="cs"/>
          <w:rtl/>
          <w:lang w:val="fr-CA"/>
        </w:rPr>
        <w:t>المادة 4-2.</w:t>
      </w:r>
    </w:p>
  </w:footnote>
  <w:footnote w:id="56">
    <w:p w14:paraId="66840B4C" w14:textId="77777777" w:rsidR="00AA0C68" w:rsidRPr="00E679FB" w:rsidRDefault="00AA0C68" w:rsidP="00AA0C68">
      <w:pPr>
        <w:pStyle w:val="FootnoteText"/>
        <w:kinsoku w:val="0"/>
        <w:overflowPunct w:val="0"/>
        <w:autoSpaceDE w:val="0"/>
        <w:autoSpaceDN w:val="0"/>
        <w:bidi/>
        <w:adjustRightInd w:val="0"/>
        <w:snapToGrid w:val="0"/>
        <w:rPr>
          <w:lang w:val="fr-CA"/>
        </w:rPr>
      </w:pPr>
      <w:r>
        <w:rPr>
          <w:lang w:val="fr-CA"/>
        </w:rPr>
        <w:tab/>
      </w:r>
      <w:r>
        <w:rPr>
          <w:rStyle w:val="FootnoteReference"/>
        </w:rPr>
        <w:footnoteRef/>
      </w:r>
      <w:r>
        <w:rPr>
          <w:lang w:val="fr-CA"/>
        </w:rPr>
        <w:tab/>
      </w:r>
      <w:r>
        <w:rPr>
          <w:rFonts w:hint="cs"/>
          <w:rtl/>
          <w:lang w:val="fr-CA"/>
        </w:rPr>
        <w:t>المادة 3-1 والمادة 37-ب من اتفاقية حقوق الطفل.</w:t>
      </w:r>
    </w:p>
  </w:footnote>
  <w:footnote w:id="57">
    <w:p w14:paraId="05E2F820" w14:textId="77777777" w:rsidR="00AA0C68" w:rsidRPr="00E679FB" w:rsidRDefault="00AA0C68" w:rsidP="00AA0C68">
      <w:pPr>
        <w:pStyle w:val="FootnoteText"/>
        <w:kinsoku w:val="0"/>
        <w:overflowPunct w:val="0"/>
        <w:autoSpaceDE w:val="0"/>
        <w:autoSpaceDN w:val="0"/>
        <w:bidi/>
        <w:adjustRightInd w:val="0"/>
        <w:snapToGrid w:val="0"/>
        <w:rPr>
          <w:lang w:val="fr-CA"/>
        </w:rPr>
      </w:pPr>
      <w:r>
        <w:rPr>
          <w:lang w:val="fr-CA"/>
        </w:rPr>
        <w:tab/>
      </w:r>
      <w:r>
        <w:rPr>
          <w:rStyle w:val="FootnoteReference"/>
        </w:rPr>
        <w:footnoteRef/>
      </w:r>
      <w:r>
        <w:rPr>
          <w:lang w:val="fr-CA"/>
        </w:rPr>
        <w:tab/>
      </w:r>
      <w:r>
        <w:rPr>
          <w:rFonts w:hint="cs"/>
          <w:rtl/>
          <w:lang w:val="fr-CA"/>
        </w:rPr>
        <w:t>المادة 37-أ من اتفاقية حقوق الطفل.</w:t>
      </w:r>
    </w:p>
  </w:footnote>
  <w:footnote w:id="58">
    <w:p w14:paraId="3151A951" w14:textId="77777777" w:rsidR="00AA0C68" w:rsidRPr="00D66625" w:rsidRDefault="00AA0C68" w:rsidP="00AA0C68">
      <w:pPr>
        <w:pStyle w:val="FootnoteText"/>
        <w:kinsoku w:val="0"/>
        <w:overflowPunct w:val="0"/>
        <w:autoSpaceDE w:val="0"/>
        <w:autoSpaceDN w:val="0"/>
        <w:bidi/>
        <w:adjustRightInd w:val="0"/>
        <w:snapToGrid w:val="0"/>
      </w:pPr>
      <w:r w:rsidRPr="00E06490">
        <w:rPr>
          <w:lang w:val="fr-FR"/>
        </w:rPr>
        <w:tab/>
      </w:r>
      <w:r>
        <w:rPr>
          <w:rStyle w:val="FootnoteReference"/>
        </w:rPr>
        <w:footnoteRef/>
      </w:r>
      <w:r>
        <w:tab/>
      </w:r>
      <w:r>
        <w:rPr>
          <w:rFonts w:hint="cs"/>
          <w:rtl/>
        </w:rPr>
        <w:t>المادة 37-ج من اتفاقية حقوق الطفل.</w:t>
      </w:r>
    </w:p>
  </w:footnote>
  <w:footnote w:id="59">
    <w:p w14:paraId="1E652A57" w14:textId="47280224" w:rsidR="00AE254A" w:rsidRPr="003B240A" w:rsidRDefault="00AE254A" w:rsidP="00A95958">
      <w:pPr>
        <w:pStyle w:val="FootnoteText"/>
        <w:kinsoku w:val="0"/>
        <w:overflowPunct w:val="0"/>
        <w:autoSpaceDE w:val="0"/>
        <w:autoSpaceDN w:val="0"/>
        <w:bidi/>
        <w:adjustRightInd w:val="0"/>
        <w:snapToGrid w:val="0"/>
      </w:pPr>
      <w:r>
        <w:tab/>
      </w:r>
      <w:r>
        <w:rPr>
          <w:rStyle w:val="FootnoteReference"/>
        </w:rPr>
        <w:footnoteRef/>
      </w:r>
      <w:r>
        <w:tab/>
      </w:r>
      <w:r w:rsidR="00A95958">
        <w:rPr>
          <w:rFonts w:hint="cs"/>
          <w:rtl/>
        </w:rPr>
        <w:t xml:space="preserve">انظر أيضًا </w:t>
      </w:r>
      <w:r w:rsidR="00A95958" w:rsidRPr="00C13BF7">
        <w:rPr>
          <w:rFonts w:hint="cs"/>
          <w:rtl/>
        </w:rPr>
        <w:t>تحليل</w:t>
      </w:r>
      <w:r w:rsidR="00C13BF7">
        <w:rPr>
          <w:rFonts w:hint="cs"/>
          <w:rtl/>
        </w:rPr>
        <w:t xml:space="preserve"> </w:t>
      </w:r>
      <w:r w:rsidR="00C13BF7" w:rsidRPr="00C13BF7">
        <w:rPr>
          <w:rtl/>
        </w:rPr>
        <w:t>برنامج التطبيقات الساتلية العملياتية التابع لمعهد الأمم المتحدة للتدريب والبحث</w:t>
      </w:r>
      <w:r w:rsidR="00C13BF7">
        <w:rPr>
          <w:rFonts w:hint="cs"/>
          <w:rtl/>
        </w:rPr>
        <w:t xml:space="preserve"> لصور الأقمار الصناعية التي تظهر اختلال التربة بالقرب </w:t>
      </w:r>
      <w:r w:rsidR="00C13BF7" w:rsidRPr="00305D02">
        <w:rPr>
          <w:rFonts w:hint="cs"/>
          <w:rtl/>
        </w:rPr>
        <w:t>من ترهونة، على الرابط التالي:</w:t>
      </w:r>
      <w:r w:rsidR="00860E2E" w:rsidRPr="00860E2E">
        <w:t xml:space="preserve"> </w:t>
      </w:r>
      <w:r w:rsidR="00860E2E" w:rsidRPr="009528A1">
        <w:t>https://www.ohchr.org/Documents/HRBodies/HRCouncil/FFM-Libya/UNOSAT.pdf</w:t>
      </w:r>
      <w:r w:rsidR="00C13BF7">
        <w:rPr>
          <w:rFonts w:hint="cs"/>
          <w:rtl/>
        </w:rPr>
        <w:t xml:space="preserve"> (آخر تاريخ اطلاع في </w:t>
      </w:r>
      <w:r w:rsidR="00860E2E">
        <w:t>6</w:t>
      </w:r>
      <w:r w:rsidR="00C13BF7">
        <w:rPr>
          <w:rFonts w:hint="cs"/>
          <w:rtl/>
        </w:rPr>
        <w:t xml:space="preserve"> اكتوبر/تشرين الأول 2021).</w:t>
      </w:r>
    </w:p>
  </w:footnote>
  <w:footnote w:id="60">
    <w:p w14:paraId="5B38D098" w14:textId="41836940" w:rsidR="009B05F2" w:rsidRPr="00B6087B" w:rsidRDefault="009B05F2" w:rsidP="00580570">
      <w:pPr>
        <w:pStyle w:val="FootnoteText"/>
        <w:kinsoku w:val="0"/>
        <w:overflowPunct w:val="0"/>
        <w:autoSpaceDE w:val="0"/>
        <w:autoSpaceDN w:val="0"/>
        <w:bidi/>
        <w:adjustRightInd w:val="0"/>
        <w:snapToGrid w:val="0"/>
      </w:pPr>
      <w:r>
        <w:tab/>
      </w:r>
      <w:r>
        <w:rPr>
          <w:rStyle w:val="FootnoteReference"/>
        </w:rPr>
        <w:footnoteRef/>
      </w:r>
      <w:r>
        <w:tab/>
      </w:r>
      <w:hyperlink r:id="rId4" w:history="1">
        <w:r w:rsidRPr="00D8247B">
          <w:rPr>
            <w:rStyle w:val="Hyperlink"/>
            <w:szCs w:val="18"/>
          </w:rPr>
          <w:t>https://www.state.gov/wp-content/uploads/2021/03/LIBYA-2020-HUMAN-RIGHTS-REPORT.pdf</w:t>
        </w:r>
      </w:hyperlink>
      <w:r w:rsidRPr="00D8247B">
        <w:rPr>
          <w:szCs w:val="18"/>
        </w:rPr>
        <w:t xml:space="preserve"> </w:t>
      </w:r>
      <w:r w:rsidR="00580570">
        <w:rPr>
          <w:rFonts w:hint="cs"/>
          <w:szCs w:val="18"/>
          <w:rtl/>
        </w:rPr>
        <w:t xml:space="preserve"> (آخر تاريخ اطلاع في </w:t>
      </w:r>
      <w:r w:rsidR="00860E2E">
        <w:rPr>
          <w:rFonts w:hint="cs"/>
          <w:szCs w:val="18"/>
          <w:rtl/>
        </w:rPr>
        <w:t>6 أكتوبر/تشرين الأول</w:t>
      </w:r>
      <w:r w:rsidR="00580570">
        <w:rPr>
          <w:rFonts w:hint="cs"/>
          <w:szCs w:val="18"/>
          <w:rtl/>
        </w:rPr>
        <w:t xml:space="preserve"> 2021)</w:t>
      </w:r>
    </w:p>
  </w:footnote>
  <w:footnote w:id="61">
    <w:p w14:paraId="28B8BB70" w14:textId="77777777" w:rsidR="00D65B58" w:rsidRPr="003831E5" w:rsidRDefault="00D65B58" w:rsidP="00D65B58">
      <w:pPr>
        <w:pStyle w:val="FootnoteText"/>
        <w:kinsoku w:val="0"/>
        <w:overflowPunct w:val="0"/>
        <w:autoSpaceDE w:val="0"/>
        <w:autoSpaceDN w:val="0"/>
        <w:bidi/>
        <w:adjustRightInd w:val="0"/>
        <w:snapToGrid w:val="0"/>
      </w:pPr>
      <w:r>
        <w:tab/>
      </w:r>
      <w:r>
        <w:rPr>
          <w:rStyle w:val="FootnoteReference"/>
        </w:rPr>
        <w:footnoteRef/>
      </w:r>
      <w:r>
        <w:tab/>
      </w:r>
      <w:r w:rsidRPr="00580570">
        <w:rPr>
          <w:rFonts w:hint="cs"/>
          <w:szCs w:val="18"/>
          <w:rtl/>
        </w:rPr>
        <w:t>المرجع نفسه</w:t>
      </w:r>
      <w:r>
        <w:rPr>
          <w:rFonts w:hint="cs"/>
          <w:i/>
          <w:iCs/>
          <w:szCs w:val="18"/>
          <w:rt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934307" w14:textId="1B7147CF" w:rsidR="00F71583" w:rsidRPr="00CB5FA5" w:rsidRDefault="00F71583">
    <w:pPr>
      <w:pStyle w:val="Header"/>
      <w:rPr>
        <w:lang w:val="fr-CH"/>
      </w:rPr>
    </w:pPr>
    <w:r>
      <w:rPr>
        <w:lang w:val="fr-CH"/>
      </w:rPr>
      <w:t>A/HRC/48/</w:t>
    </w:r>
    <w:r w:rsidRPr="00C87F17">
      <w:rPr>
        <w:lang w:val="fr-CH"/>
      </w:rPr>
      <w:t>83</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A1907B" w14:textId="65486239" w:rsidR="00F71583" w:rsidRPr="00240855" w:rsidRDefault="00F71583" w:rsidP="00D56C06">
    <w:pPr>
      <w:pStyle w:val="Header"/>
      <w:jc w:val="right"/>
      <w:rPr>
        <w:lang w:val="fr-CH"/>
      </w:rPr>
    </w:pPr>
    <w:r>
      <w:rPr>
        <w:lang w:val="fr-CH"/>
      </w:rPr>
      <w:t>A/HRC/48/83</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91EE13" w14:textId="1FEBD4DD" w:rsidR="00F71583" w:rsidRDefault="00F71583" w:rsidP="00587C2D">
    <w:pPr>
      <w:pStyle w:val="Header"/>
      <w:jc w:val="righ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411169" w14:textId="7571D98C" w:rsidR="00F71583" w:rsidRPr="00587C2D" w:rsidRDefault="00F71583" w:rsidP="00587C2D">
    <w:pPr>
      <w:pStyle w:val="Header"/>
      <w:rPr>
        <w:lang w:val="fr-CH"/>
      </w:rPr>
    </w:pPr>
    <w:r>
      <w:rPr>
        <w:lang w:val="fr-CH"/>
      </w:rPr>
      <w:t>A/HRC/48/</w:t>
    </w:r>
    <w:r w:rsidRPr="00C87F17">
      <w:rPr>
        <w:lang w:val="fr-CH"/>
      </w:rPr>
      <w:t>83</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F27A9"/>
    <w:multiLevelType w:val="hybridMultilevel"/>
    <w:tmpl w:val="A2CE3E46"/>
    <w:lvl w:ilvl="0" w:tplc="9A8EBE6A">
      <w:start w:val="1"/>
      <w:numFmt w:val="upperRoman"/>
      <w:lvlText w:val="%1."/>
      <w:lvlJc w:val="left"/>
      <w:pPr>
        <w:ind w:left="1395" w:hanging="720"/>
      </w:pPr>
      <w:rPr>
        <w:rFonts w:hint="default"/>
      </w:rPr>
    </w:lvl>
    <w:lvl w:ilvl="1" w:tplc="08090019" w:tentative="1">
      <w:start w:val="1"/>
      <w:numFmt w:val="lowerLetter"/>
      <w:lvlText w:val="%2."/>
      <w:lvlJc w:val="left"/>
      <w:pPr>
        <w:ind w:left="1755" w:hanging="360"/>
      </w:pPr>
    </w:lvl>
    <w:lvl w:ilvl="2" w:tplc="0809001B" w:tentative="1">
      <w:start w:val="1"/>
      <w:numFmt w:val="lowerRoman"/>
      <w:lvlText w:val="%3."/>
      <w:lvlJc w:val="right"/>
      <w:pPr>
        <w:ind w:left="2475" w:hanging="180"/>
      </w:pPr>
    </w:lvl>
    <w:lvl w:ilvl="3" w:tplc="0809000F" w:tentative="1">
      <w:start w:val="1"/>
      <w:numFmt w:val="decimal"/>
      <w:lvlText w:val="%4."/>
      <w:lvlJc w:val="left"/>
      <w:pPr>
        <w:ind w:left="3195" w:hanging="360"/>
      </w:pPr>
    </w:lvl>
    <w:lvl w:ilvl="4" w:tplc="08090019" w:tentative="1">
      <w:start w:val="1"/>
      <w:numFmt w:val="lowerLetter"/>
      <w:lvlText w:val="%5."/>
      <w:lvlJc w:val="left"/>
      <w:pPr>
        <w:ind w:left="3915" w:hanging="360"/>
      </w:pPr>
    </w:lvl>
    <w:lvl w:ilvl="5" w:tplc="0809001B" w:tentative="1">
      <w:start w:val="1"/>
      <w:numFmt w:val="lowerRoman"/>
      <w:lvlText w:val="%6."/>
      <w:lvlJc w:val="right"/>
      <w:pPr>
        <w:ind w:left="4635" w:hanging="180"/>
      </w:pPr>
    </w:lvl>
    <w:lvl w:ilvl="6" w:tplc="0809000F" w:tentative="1">
      <w:start w:val="1"/>
      <w:numFmt w:val="decimal"/>
      <w:lvlText w:val="%7."/>
      <w:lvlJc w:val="left"/>
      <w:pPr>
        <w:ind w:left="5355" w:hanging="360"/>
      </w:pPr>
    </w:lvl>
    <w:lvl w:ilvl="7" w:tplc="08090019" w:tentative="1">
      <w:start w:val="1"/>
      <w:numFmt w:val="lowerLetter"/>
      <w:lvlText w:val="%8."/>
      <w:lvlJc w:val="left"/>
      <w:pPr>
        <w:ind w:left="6075" w:hanging="360"/>
      </w:pPr>
    </w:lvl>
    <w:lvl w:ilvl="8" w:tplc="0809001B" w:tentative="1">
      <w:start w:val="1"/>
      <w:numFmt w:val="lowerRoman"/>
      <w:lvlText w:val="%9."/>
      <w:lvlJc w:val="right"/>
      <w:pPr>
        <w:ind w:left="6795" w:hanging="180"/>
      </w:pPr>
    </w:lvl>
  </w:abstractNum>
  <w:abstractNum w:abstractNumId="1"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D954887"/>
    <w:multiLevelType w:val="hybridMultilevel"/>
    <w:tmpl w:val="09765CE2"/>
    <w:lvl w:ilvl="0" w:tplc="DC3A3A9E">
      <w:start w:val="1"/>
      <w:numFmt w:val="decimal"/>
      <w:pStyle w:val="ParNoG"/>
      <w:lvlText w:val="%1."/>
      <w:lvlJc w:val="left"/>
      <w:pPr>
        <w:tabs>
          <w:tab w:val="num" w:pos="1701"/>
        </w:tabs>
        <w:ind w:left="1134" w:firstLine="0"/>
      </w:pPr>
      <w:rPr>
        <w:rFonts w:ascii="Times New Roman" w:hAnsi="Times New Roman" w:hint="default"/>
        <w:b w:val="0"/>
        <w:i w:val="0"/>
        <w:sz w:val="20"/>
        <w:lang w:val="en-GB"/>
      </w:rPr>
    </w:lvl>
    <w:lvl w:ilvl="1" w:tplc="040C0019">
      <w:start w:val="1"/>
      <w:numFmt w:val="lowerLetter"/>
      <w:lvlText w:val="%2."/>
      <w:lvlJc w:val="left"/>
      <w:pPr>
        <w:tabs>
          <w:tab w:val="num" w:pos="1440"/>
        </w:tabs>
        <w:ind w:left="1440" w:hanging="360"/>
      </w:pPr>
    </w:lvl>
    <w:lvl w:ilvl="2" w:tplc="040C001B">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15:restartNumberingAfterBreak="0">
    <w:nsid w:val="10B766A4"/>
    <w:multiLevelType w:val="hybridMultilevel"/>
    <w:tmpl w:val="E4C29700"/>
    <w:lvl w:ilvl="0" w:tplc="040C0015">
      <w:start w:val="1"/>
      <w:numFmt w:val="upperLetter"/>
      <w:lvlText w:val="%1."/>
      <w:lvlJc w:val="left"/>
      <w:pPr>
        <w:ind w:left="1494" w:hanging="360"/>
      </w:pPr>
      <w:rPr>
        <w:rFonts w:hint="default"/>
      </w:rPr>
    </w:lvl>
    <w:lvl w:ilvl="1" w:tplc="040C0019">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4" w15:restartNumberingAfterBreak="0">
    <w:nsid w:val="15185FD7"/>
    <w:multiLevelType w:val="hybridMultilevel"/>
    <w:tmpl w:val="DFC63552"/>
    <w:lvl w:ilvl="0" w:tplc="E062C080">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D64313"/>
    <w:multiLevelType w:val="hybridMultilevel"/>
    <w:tmpl w:val="6CB61892"/>
    <w:lvl w:ilvl="0" w:tplc="0409000F">
      <w:start w:val="1"/>
      <w:numFmt w:val="decimal"/>
      <w:lvlText w:val="%1."/>
      <w:lvlJc w:val="left"/>
      <w:pPr>
        <w:ind w:left="720" w:hanging="360"/>
      </w:pPr>
      <w:rPr>
        <w:rFonts w:hint="default"/>
      </w:rPr>
    </w:lvl>
    <w:lvl w:ilvl="1" w:tplc="0FFC85E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B16385"/>
    <w:multiLevelType w:val="hybridMultilevel"/>
    <w:tmpl w:val="1040CC02"/>
    <w:lvl w:ilvl="0" w:tplc="B89AA038">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 w15:restartNumberingAfterBreak="0">
    <w:nsid w:val="3C1A68C5"/>
    <w:multiLevelType w:val="hybridMultilevel"/>
    <w:tmpl w:val="25D6C89C"/>
    <w:lvl w:ilvl="0" w:tplc="A4CA7018">
      <w:numFmt w:val="bullet"/>
      <w:lvlText w:val="-"/>
      <w:lvlJc w:val="left"/>
      <w:pPr>
        <w:ind w:left="437" w:hanging="140"/>
      </w:pPr>
      <w:rPr>
        <w:rFonts w:ascii="Times New Roman" w:eastAsia="Times New Roman" w:hAnsi="Times New Roman" w:cs="Times New Roman" w:hint="default"/>
        <w:w w:val="100"/>
        <w:sz w:val="24"/>
        <w:szCs w:val="24"/>
        <w:lang w:val="en-US" w:eastAsia="en-US" w:bidi="ar-SA"/>
      </w:rPr>
    </w:lvl>
    <w:lvl w:ilvl="1" w:tplc="CCE4C5B0">
      <w:numFmt w:val="bullet"/>
      <w:lvlText w:val="•"/>
      <w:lvlJc w:val="left"/>
      <w:pPr>
        <w:ind w:left="1442" w:hanging="140"/>
      </w:pPr>
      <w:rPr>
        <w:rFonts w:hint="default"/>
        <w:lang w:val="en-US" w:eastAsia="en-US" w:bidi="ar-SA"/>
      </w:rPr>
    </w:lvl>
    <w:lvl w:ilvl="2" w:tplc="98906B1A">
      <w:numFmt w:val="bullet"/>
      <w:lvlText w:val="•"/>
      <w:lvlJc w:val="left"/>
      <w:pPr>
        <w:ind w:left="2444" w:hanging="140"/>
      </w:pPr>
      <w:rPr>
        <w:rFonts w:hint="default"/>
        <w:lang w:val="en-US" w:eastAsia="en-US" w:bidi="ar-SA"/>
      </w:rPr>
    </w:lvl>
    <w:lvl w:ilvl="3" w:tplc="430804AC">
      <w:numFmt w:val="bullet"/>
      <w:lvlText w:val="•"/>
      <w:lvlJc w:val="left"/>
      <w:pPr>
        <w:ind w:left="3446" w:hanging="140"/>
      </w:pPr>
      <w:rPr>
        <w:rFonts w:hint="default"/>
        <w:lang w:val="en-US" w:eastAsia="en-US" w:bidi="ar-SA"/>
      </w:rPr>
    </w:lvl>
    <w:lvl w:ilvl="4" w:tplc="7CC28002">
      <w:numFmt w:val="bullet"/>
      <w:lvlText w:val="•"/>
      <w:lvlJc w:val="left"/>
      <w:pPr>
        <w:ind w:left="4448" w:hanging="140"/>
      </w:pPr>
      <w:rPr>
        <w:rFonts w:hint="default"/>
        <w:lang w:val="en-US" w:eastAsia="en-US" w:bidi="ar-SA"/>
      </w:rPr>
    </w:lvl>
    <w:lvl w:ilvl="5" w:tplc="5BD43B6A">
      <w:numFmt w:val="bullet"/>
      <w:lvlText w:val="•"/>
      <w:lvlJc w:val="left"/>
      <w:pPr>
        <w:ind w:left="5450" w:hanging="140"/>
      </w:pPr>
      <w:rPr>
        <w:rFonts w:hint="default"/>
        <w:lang w:val="en-US" w:eastAsia="en-US" w:bidi="ar-SA"/>
      </w:rPr>
    </w:lvl>
    <w:lvl w:ilvl="6" w:tplc="D1A679AE">
      <w:numFmt w:val="bullet"/>
      <w:lvlText w:val="•"/>
      <w:lvlJc w:val="left"/>
      <w:pPr>
        <w:ind w:left="6452" w:hanging="140"/>
      </w:pPr>
      <w:rPr>
        <w:rFonts w:hint="default"/>
        <w:lang w:val="en-US" w:eastAsia="en-US" w:bidi="ar-SA"/>
      </w:rPr>
    </w:lvl>
    <w:lvl w:ilvl="7" w:tplc="AD205974">
      <w:numFmt w:val="bullet"/>
      <w:lvlText w:val="•"/>
      <w:lvlJc w:val="left"/>
      <w:pPr>
        <w:ind w:left="7454" w:hanging="140"/>
      </w:pPr>
      <w:rPr>
        <w:rFonts w:hint="default"/>
        <w:lang w:val="en-US" w:eastAsia="en-US" w:bidi="ar-SA"/>
      </w:rPr>
    </w:lvl>
    <w:lvl w:ilvl="8" w:tplc="265AD3E2">
      <w:numFmt w:val="bullet"/>
      <w:lvlText w:val="•"/>
      <w:lvlJc w:val="left"/>
      <w:pPr>
        <w:ind w:left="8456" w:hanging="140"/>
      </w:pPr>
      <w:rPr>
        <w:rFonts w:hint="default"/>
        <w:lang w:val="en-US" w:eastAsia="en-US" w:bidi="ar-SA"/>
      </w:rPr>
    </w:lvl>
  </w:abstractNum>
  <w:abstractNum w:abstractNumId="8" w15:restartNumberingAfterBreak="0">
    <w:nsid w:val="3FD108D3"/>
    <w:multiLevelType w:val="hybridMultilevel"/>
    <w:tmpl w:val="D9308CFC"/>
    <w:lvl w:ilvl="0" w:tplc="22F21298">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9" w15:restartNumberingAfterBreak="0">
    <w:nsid w:val="405E2769"/>
    <w:multiLevelType w:val="hybridMultilevel"/>
    <w:tmpl w:val="2A182B5C"/>
    <w:lvl w:ilvl="0" w:tplc="07E2DE36">
      <w:start w:val="1"/>
      <w:numFmt w:val="upperLetter"/>
      <w:pStyle w:val="TitleA"/>
      <w:lvlText w:val="%1."/>
      <w:lvlJc w:val="left"/>
      <w:pPr>
        <w:ind w:left="1068" w:hanging="360"/>
      </w:pPr>
    </w:lvl>
    <w:lvl w:ilvl="1" w:tplc="040C0001">
      <w:start w:val="1"/>
      <w:numFmt w:val="bullet"/>
      <w:lvlText w:val=""/>
      <w:lvlJc w:val="left"/>
      <w:pPr>
        <w:ind w:left="2340" w:hanging="360"/>
      </w:pPr>
      <w:rPr>
        <w:rFonts w:ascii="Symbol" w:hAnsi="Symbol" w:hint="default"/>
      </w:rPr>
    </w:lvl>
    <w:lvl w:ilvl="2" w:tplc="040C001B">
      <w:start w:val="1"/>
      <w:numFmt w:val="lowerRoman"/>
      <w:lvlText w:val="%3."/>
      <w:lvlJc w:val="right"/>
      <w:pPr>
        <w:ind w:left="2508" w:hanging="180"/>
      </w:pPr>
    </w:lvl>
    <w:lvl w:ilvl="3" w:tplc="040C000F">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0" w15:restartNumberingAfterBreak="0">
    <w:nsid w:val="4DBC77AD"/>
    <w:multiLevelType w:val="hybridMultilevel"/>
    <w:tmpl w:val="D5166F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0DE2951"/>
    <w:multiLevelType w:val="hybridMultilevel"/>
    <w:tmpl w:val="BFB4EA1E"/>
    <w:lvl w:ilvl="0" w:tplc="33A6F67C">
      <w:start w:val="1"/>
      <w:numFmt w:val="upperLetter"/>
      <w:lvlText w:val="%1."/>
      <w:lvlJc w:val="left"/>
      <w:pPr>
        <w:ind w:left="3440" w:hanging="2600"/>
      </w:pPr>
      <w:rPr>
        <w:rFonts w:hint="default"/>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12" w15:restartNumberingAfterBreak="0">
    <w:nsid w:val="542D03CD"/>
    <w:multiLevelType w:val="hybridMultilevel"/>
    <w:tmpl w:val="C050698A"/>
    <w:lvl w:ilvl="0" w:tplc="0809000F">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3" w15:restartNumberingAfterBreak="0">
    <w:nsid w:val="59D874BB"/>
    <w:multiLevelType w:val="hybridMultilevel"/>
    <w:tmpl w:val="60ECC950"/>
    <w:lvl w:ilvl="0" w:tplc="AF4810B6">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4" w15:restartNumberingAfterBreak="0">
    <w:nsid w:val="65413C71"/>
    <w:multiLevelType w:val="hybridMultilevel"/>
    <w:tmpl w:val="39CE2010"/>
    <w:lvl w:ilvl="0" w:tplc="F500C80E">
      <w:start w:val="296"/>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707545A"/>
    <w:multiLevelType w:val="hybridMultilevel"/>
    <w:tmpl w:val="9ADEADBC"/>
    <w:lvl w:ilvl="0" w:tplc="AB92AE80">
      <w:start w:val="1"/>
      <w:numFmt w:val="arabicAbjad"/>
      <w:lvlText w:val="%1."/>
      <w:lvlJc w:val="left"/>
      <w:pPr>
        <w:ind w:left="1569" w:hanging="360"/>
      </w:pPr>
      <w:rPr>
        <w:rFonts w:hint="default"/>
        <w:b/>
        <w:bCs/>
        <w:spacing w:val="-1"/>
        <w:w w:val="87"/>
      </w:rPr>
    </w:lvl>
    <w:lvl w:ilvl="1" w:tplc="04090019" w:tentative="1">
      <w:start w:val="1"/>
      <w:numFmt w:val="lowerLetter"/>
      <w:lvlText w:val="%2."/>
      <w:lvlJc w:val="left"/>
      <w:pPr>
        <w:ind w:left="2289" w:hanging="360"/>
      </w:pPr>
    </w:lvl>
    <w:lvl w:ilvl="2" w:tplc="0409001B" w:tentative="1">
      <w:start w:val="1"/>
      <w:numFmt w:val="lowerRoman"/>
      <w:lvlText w:val="%3."/>
      <w:lvlJc w:val="right"/>
      <w:pPr>
        <w:ind w:left="3009" w:hanging="180"/>
      </w:pPr>
    </w:lvl>
    <w:lvl w:ilvl="3" w:tplc="0409000F" w:tentative="1">
      <w:start w:val="1"/>
      <w:numFmt w:val="decimal"/>
      <w:lvlText w:val="%4."/>
      <w:lvlJc w:val="left"/>
      <w:pPr>
        <w:ind w:left="3729" w:hanging="360"/>
      </w:pPr>
    </w:lvl>
    <w:lvl w:ilvl="4" w:tplc="04090019" w:tentative="1">
      <w:start w:val="1"/>
      <w:numFmt w:val="lowerLetter"/>
      <w:lvlText w:val="%5."/>
      <w:lvlJc w:val="left"/>
      <w:pPr>
        <w:ind w:left="4449" w:hanging="360"/>
      </w:pPr>
    </w:lvl>
    <w:lvl w:ilvl="5" w:tplc="0409001B" w:tentative="1">
      <w:start w:val="1"/>
      <w:numFmt w:val="lowerRoman"/>
      <w:lvlText w:val="%6."/>
      <w:lvlJc w:val="right"/>
      <w:pPr>
        <w:ind w:left="5169" w:hanging="180"/>
      </w:pPr>
    </w:lvl>
    <w:lvl w:ilvl="6" w:tplc="0409000F" w:tentative="1">
      <w:start w:val="1"/>
      <w:numFmt w:val="decimal"/>
      <w:lvlText w:val="%7."/>
      <w:lvlJc w:val="left"/>
      <w:pPr>
        <w:ind w:left="5889" w:hanging="360"/>
      </w:pPr>
    </w:lvl>
    <w:lvl w:ilvl="7" w:tplc="04090019" w:tentative="1">
      <w:start w:val="1"/>
      <w:numFmt w:val="lowerLetter"/>
      <w:lvlText w:val="%8."/>
      <w:lvlJc w:val="left"/>
      <w:pPr>
        <w:ind w:left="6609" w:hanging="360"/>
      </w:pPr>
    </w:lvl>
    <w:lvl w:ilvl="8" w:tplc="0409001B" w:tentative="1">
      <w:start w:val="1"/>
      <w:numFmt w:val="lowerRoman"/>
      <w:lvlText w:val="%9."/>
      <w:lvlJc w:val="right"/>
      <w:pPr>
        <w:ind w:left="7329" w:hanging="180"/>
      </w:pPr>
    </w:lvl>
  </w:abstractNum>
  <w:abstractNum w:abstractNumId="16"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B3B02EB"/>
    <w:multiLevelType w:val="hybridMultilevel"/>
    <w:tmpl w:val="24DC53D2"/>
    <w:lvl w:ilvl="0" w:tplc="F91096A0">
      <w:start w:val="1"/>
      <w:numFmt w:val="decimal"/>
      <w:pStyle w:val="SingleTxtG-Withnumbering"/>
      <w:lvlText w:val="%1."/>
      <w:lvlJc w:val="left"/>
      <w:pPr>
        <w:ind w:left="1495" w:hanging="360"/>
      </w:pPr>
      <w:rPr>
        <w:b w:val="0"/>
        <w:i w:val="0"/>
        <w:sz w:val="20"/>
        <w:szCs w:val="20"/>
        <w:vertAlign w:val="baseline"/>
      </w:rPr>
    </w:lvl>
    <w:lvl w:ilvl="1" w:tplc="F4CCD84C">
      <w:start w:val="1"/>
      <w:numFmt w:val="lowerLetter"/>
      <w:lvlText w:val="(%2)"/>
      <w:lvlJc w:val="left"/>
      <w:pPr>
        <w:ind w:left="2724" w:hanging="51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8" w15:restartNumberingAfterBreak="0">
    <w:nsid w:val="6B8D524F"/>
    <w:multiLevelType w:val="hybridMultilevel"/>
    <w:tmpl w:val="6D6EA6E0"/>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16"/>
  </w:num>
  <w:num w:numId="3">
    <w:abstractNumId w:val="2"/>
  </w:num>
  <w:num w:numId="4">
    <w:abstractNumId w:val="0"/>
  </w:num>
  <w:num w:numId="5">
    <w:abstractNumId w:val="18"/>
  </w:num>
  <w:num w:numId="6">
    <w:abstractNumId w:val="9"/>
  </w:num>
  <w:num w:numId="7">
    <w:abstractNumId w:val="3"/>
  </w:num>
  <w:num w:numId="8">
    <w:abstractNumId w:val="12"/>
  </w:num>
  <w:num w:numId="9">
    <w:abstractNumId w:val="17"/>
  </w:num>
  <w:num w:numId="10">
    <w:abstractNumId w:val="10"/>
  </w:num>
  <w:num w:numId="11">
    <w:abstractNumId w:val="5"/>
  </w:num>
  <w:num w:numId="12">
    <w:abstractNumId w:val="14"/>
  </w:num>
  <w:num w:numId="13">
    <w:abstractNumId w:val="7"/>
  </w:num>
  <w:num w:numId="14">
    <w:abstractNumId w:val="2"/>
    <w:lvlOverride w:ilvl="0">
      <w:startOverride w:val="1"/>
    </w:lvlOverride>
  </w:num>
  <w:num w:numId="15">
    <w:abstractNumId w:val="6"/>
  </w:num>
  <w:num w:numId="16">
    <w:abstractNumId w:val="13"/>
  </w:num>
  <w:num w:numId="17">
    <w:abstractNumId w:val="2"/>
    <w:lvlOverride w:ilvl="0">
      <w:startOverride w:val="1"/>
    </w:lvlOverride>
  </w:num>
  <w:num w:numId="18">
    <w:abstractNumId w:val="8"/>
  </w:num>
  <w:num w:numId="19">
    <w:abstractNumId w:val="4"/>
  </w:num>
  <w:num w:numId="20">
    <w:abstractNumId w:val="2"/>
    <w:lvlOverride w:ilvl="0">
      <w:startOverride w:val="1"/>
    </w:lvlOverride>
  </w:num>
  <w:num w:numId="21">
    <w:abstractNumId w:val="2"/>
    <w:lvlOverride w:ilvl="0">
      <w:startOverride w:val="1"/>
    </w:lvlOverride>
  </w:num>
  <w:num w:numId="22">
    <w:abstractNumId w:val="2"/>
    <w:lvlOverride w:ilvl="0">
      <w:startOverride w:val="1"/>
    </w:lvlOverride>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num>
  <w:num w:numId="25">
    <w:abstractNumId w:val="1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GB" w:vendorID="64" w:dllVersion="5" w:nlCheck="1" w:checkStyle="1"/>
  <w:activeWritingStyle w:appName="MSWord" w:lang="en-GB" w:vendorID="64" w:dllVersion="6" w:nlCheck="1" w:checkStyle="0"/>
  <w:activeWritingStyle w:appName="MSWord" w:lang="fr-CH" w:vendorID="64" w:dllVersion="6" w:nlCheck="1" w:checkStyle="0"/>
  <w:activeWritingStyle w:appName="MSWord" w:lang="en-GB" w:vendorID="64" w:dllVersion="4096" w:nlCheck="1" w:checkStyle="0"/>
  <w:activeWritingStyle w:appName="MSWord" w:lang="fr-CH" w:vendorID="64" w:dllVersion="4096" w:nlCheck="1" w:checkStyle="0"/>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activeWritingStyle w:appName="MSWord" w:lang="en-CA" w:vendorID="64" w:dllVersion="6" w:nlCheck="1" w:checkStyle="0"/>
  <w:activeWritingStyle w:appName="MSWord" w:lang="en-US" w:vendorID="64" w:dllVersion="6" w:nlCheck="1" w:checkStyle="0"/>
  <w:activeWritingStyle w:appName="MSWord" w:lang="fr-CA" w:vendorID="64" w:dllVersion="6" w:nlCheck="1" w:checkStyle="0"/>
  <w:activeWritingStyle w:appName="MSWord" w:lang="en-AU" w:vendorID="64" w:dllVersion="6" w:nlCheck="1" w:checkStyle="0"/>
  <w:activeWritingStyle w:appName="MSWord" w:lang="fr-FR" w:vendorID="64" w:dllVersion="6" w:nlCheck="1" w:checkStyle="0"/>
  <w:activeWritingStyle w:appName="MSWord" w:lang="en-CA" w:vendorID="64" w:dllVersion="0" w:nlCheck="1" w:checkStyle="0"/>
  <w:activeWritingStyle w:appName="MSWord" w:lang="en-GB" w:vendorID="64" w:dllVersion="0" w:nlCheck="1" w:checkStyle="0"/>
  <w:activeWritingStyle w:appName="MSWord" w:lang="en-US" w:vendorID="64" w:dllVersion="0" w:nlCheck="1" w:checkStyle="0"/>
  <w:activeWritingStyle w:appName="MSWord" w:lang="en-AU" w:vendorID="64" w:dllVersion="0" w:nlCheck="1" w:checkStyle="0"/>
  <w:activeWritingStyle w:appName="MSWord" w:lang="fr-CH" w:vendorID="64" w:dllVersion="0" w:nlCheck="1" w:checkStyle="0"/>
  <w:activeWritingStyle w:appName="MSWord" w:lang="fr-CA" w:vendorID="64" w:dllVersion="0" w:nlCheck="1" w:checkStyle="0"/>
  <w:activeWritingStyle w:appName="MSWord" w:lang="fr-FR" w:vendorID="64" w:dllVersion="0" w:nlCheck="1" w:checkStyle="0"/>
  <w:activeWritingStyle w:appName="MSWord" w:lang="en-GB" w:vendorID="64" w:dllVersion="131078" w:nlCheck="1" w:checkStyle="0"/>
  <w:activeWritingStyle w:appName="MSWord" w:lang="en-US" w:vendorID="64" w:dllVersion="131078" w:nlCheck="1" w:checkStyle="0"/>
  <w:activeWritingStyle w:appName="MSWord" w:lang="en-CA"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6C06"/>
    <w:rsid w:val="00000CE8"/>
    <w:rsid w:val="00001426"/>
    <w:rsid w:val="000019BA"/>
    <w:rsid w:val="00002382"/>
    <w:rsid w:val="000026BA"/>
    <w:rsid w:val="00002C92"/>
    <w:rsid w:val="00002DB9"/>
    <w:rsid w:val="00002FA3"/>
    <w:rsid w:val="0000381A"/>
    <w:rsid w:val="00003E9D"/>
    <w:rsid w:val="000044C1"/>
    <w:rsid w:val="00004C56"/>
    <w:rsid w:val="00004F87"/>
    <w:rsid w:val="00007F7F"/>
    <w:rsid w:val="000100D8"/>
    <w:rsid w:val="00010E66"/>
    <w:rsid w:val="00011D9F"/>
    <w:rsid w:val="00012250"/>
    <w:rsid w:val="00012C4C"/>
    <w:rsid w:val="0001327D"/>
    <w:rsid w:val="00013624"/>
    <w:rsid w:val="00014B8A"/>
    <w:rsid w:val="00014D5B"/>
    <w:rsid w:val="000154D8"/>
    <w:rsid w:val="00015725"/>
    <w:rsid w:val="00015AE5"/>
    <w:rsid w:val="00015E5B"/>
    <w:rsid w:val="00016821"/>
    <w:rsid w:val="000178D3"/>
    <w:rsid w:val="00020686"/>
    <w:rsid w:val="000219B6"/>
    <w:rsid w:val="00022022"/>
    <w:rsid w:val="00022808"/>
    <w:rsid w:val="00022DB5"/>
    <w:rsid w:val="00025445"/>
    <w:rsid w:val="00026050"/>
    <w:rsid w:val="0002663D"/>
    <w:rsid w:val="0003051F"/>
    <w:rsid w:val="00030E1E"/>
    <w:rsid w:val="00031D38"/>
    <w:rsid w:val="00032078"/>
    <w:rsid w:val="00032818"/>
    <w:rsid w:val="00032971"/>
    <w:rsid w:val="00033B19"/>
    <w:rsid w:val="00033EB7"/>
    <w:rsid w:val="0003435E"/>
    <w:rsid w:val="00034387"/>
    <w:rsid w:val="00034524"/>
    <w:rsid w:val="000345F4"/>
    <w:rsid w:val="00035EA6"/>
    <w:rsid w:val="00035FC4"/>
    <w:rsid w:val="000368D9"/>
    <w:rsid w:val="00037424"/>
    <w:rsid w:val="0003768F"/>
    <w:rsid w:val="00037F9C"/>
    <w:rsid w:val="00040040"/>
    <w:rsid w:val="000403D1"/>
    <w:rsid w:val="0004064B"/>
    <w:rsid w:val="00040E23"/>
    <w:rsid w:val="00040F4E"/>
    <w:rsid w:val="000411F0"/>
    <w:rsid w:val="000416D2"/>
    <w:rsid w:val="00041863"/>
    <w:rsid w:val="000424B3"/>
    <w:rsid w:val="0004280C"/>
    <w:rsid w:val="00042EF6"/>
    <w:rsid w:val="0004310F"/>
    <w:rsid w:val="000440BD"/>
    <w:rsid w:val="000442B9"/>
    <w:rsid w:val="000449AA"/>
    <w:rsid w:val="00044A75"/>
    <w:rsid w:val="000454BE"/>
    <w:rsid w:val="00045CF9"/>
    <w:rsid w:val="000462DC"/>
    <w:rsid w:val="00046376"/>
    <w:rsid w:val="00046860"/>
    <w:rsid w:val="00046967"/>
    <w:rsid w:val="000473FA"/>
    <w:rsid w:val="00050640"/>
    <w:rsid w:val="00050F6B"/>
    <w:rsid w:val="00051F97"/>
    <w:rsid w:val="00052567"/>
    <w:rsid w:val="0005261E"/>
    <w:rsid w:val="00052620"/>
    <w:rsid w:val="00052F4C"/>
    <w:rsid w:val="0005311E"/>
    <w:rsid w:val="00054605"/>
    <w:rsid w:val="000547C4"/>
    <w:rsid w:val="00055737"/>
    <w:rsid w:val="00055BC2"/>
    <w:rsid w:val="00056259"/>
    <w:rsid w:val="0005662A"/>
    <w:rsid w:val="00056D7C"/>
    <w:rsid w:val="00056E2D"/>
    <w:rsid w:val="00057627"/>
    <w:rsid w:val="00060235"/>
    <w:rsid w:val="000613AD"/>
    <w:rsid w:val="00061491"/>
    <w:rsid w:val="0006186D"/>
    <w:rsid w:val="000629B5"/>
    <w:rsid w:val="00062A54"/>
    <w:rsid w:val="000633CE"/>
    <w:rsid w:val="0006538C"/>
    <w:rsid w:val="000653D8"/>
    <w:rsid w:val="0006798D"/>
    <w:rsid w:val="00070CF3"/>
    <w:rsid w:val="000715CC"/>
    <w:rsid w:val="00071A3E"/>
    <w:rsid w:val="00071F3A"/>
    <w:rsid w:val="00072C8C"/>
    <w:rsid w:val="000731D2"/>
    <w:rsid w:val="00073978"/>
    <w:rsid w:val="00073A3D"/>
    <w:rsid w:val="00073B22"/>
    <w:rsid w:val="00073E70"/>
    <w:rsid w:val="0007459B"/>
    <w:rsid w:val="000757F2"/>
    <w:rsid w:val="00076652"/>
    <w:rsid w:val="0007693E"/>
    <w:rsid w:val="0008004F"/>
    <w:rsid w:val="00080546"/>
    <w:rsid w:val="00083846"/>
    <w:rsid w:val="00084BDD"/>
    <w:rsid w:val="00085A2E"/>
    <w:rsid w:val="00086504"/>
    <w:rsid w:val="000865E7"/>
    <w:rsid w:val="000875AB"/>
    <w:rsid w:val="000876EB"/>
    <w:rsid w:val="0009110F"/>
    <w:rsid w:val="00091419"/>
    <w:rsid w:val="00091B77"/>
    <w:rsid w:val="0009217B"/>
    <w:rsid w:val="000924EA"/>
    <w:rsid w:val="000931C0"/>
    <w:rsid w:val="0009335A"/>
    <w:rsid w:val="00093FEC"/>
    <w:rsid w:val="0009514A"/>
    <w:rsid w:val="000954A3"/>
    <w:rsid w:val="00095B07"/>
    <w:rsid w:val="00095DA5"/>
    <w:rsid w:val="000964E2"/>
    <w:rsid w:val="00096501"/>
    <w:rsid w:val="000965A9"/>
    <w:rsid w:val="000969B7"/>
    <w:rsid w:val="00096A81"/>
    <w:rsid w:val="00096DC7"/>
    <w:rsid w:val="00097AB5"/>
    <w:rsid w:val="000A0ABF"/>
    <w:rsid w:val="000A250F"/>
    <w:rsid w:val="000A3369"/>
    <w:rsid w:val="000A3F3A"/>
    <w:rsid w:val="000A458D"/>
    <w:rsid w:val="000A5299"/>
    <w:rsid w:val="000A6C71"/>
    <w:rsid w:val="000A709B"/>
    <w:rsid w:val="000A718A"/>
    <w:rsid w:val="000A741D"/>
    <w:rsid w:val="000A7548"/>
    <w:rsid w:val="000A77D9"/>
    <w:rsid w:val="000A78C4"/>
    <w:rsid w:val="000B01C0"/>
    <w:rsid w:val="000B051D"/>
    <w:rsid w:val="000B0AAF"/>
    <w:rsid w:val="000B11EF"/>
    <w:rsid w:val="000B139F"/>
    <w:rsid w:val="000B16D7"/>
    <w:rsid w:val="000B16DE"/>
    <w:rsid w:val="000B175B"/>
    <w:rsid w:val="000B1BCF"/>
    <w:rsid w:val="000B243F"/>
    <w:rsid w:val="000B2701"/>
    <w:rsid w:val="000B2851"/>
    <w:rsid w:val="000B2960"/>
    <w:rsid w:val="000B2AA0"/>
    <w:rsid w:val="000B3A0F"/>
    <w:rsid w:val="000B4431"/>
    <w:rsid w:val="000B4904"/>
    <w:rsid w:val="000B4A3B"/>
    <w:rsid w:val="000B4B0D"/>
    <w:rsid w:val="000B4BCD"/>
    <w:rsid w:val="000B5690"/>
    <w:rsid w:val="000B5FD5"/>
    <w:rsid w:val="000B672E"/>
    <w:rsid w:val="000B6CC7"/>
    <w:rsid w:val="000B7A47"/>
    <w:rsid w:val="000B7B69"/>
    <w:rsid w:val="000C0DD8"/>
    <w:rsid w:val="000C1C59"/>
    <w:rsid w:val="000C2115"/>
    <w:rsid w:val="000C2508"/>
    <w:rsid w:val="000C2B6B"/>
    <w:rsid w:val="000C3766"/>
    <w:rsid w:val="000C3F0E"/>
    <w:rsid w:val="000C497F"/>
    <w:rsid w:val="000C5037"/>
    <w:rsid w:val="000C59D8"/>
    <w:rsid w:val="000C5C62"/>
    <w:rsid w:val="000C6AFA"/>
    <w:rsid w:val="000C6B1E"/>
    <w:rsid w:val="000C6C40"/>
    <w:rsid w:val="000C70EF"/>
    <w:rsid w:val="000C79EB"/>
    <w:rsid w:val="000C7BB8"/>
    <w:rsid w:val="000C7F8D"/>
    <w:rsid w:val="000D0326"/>
    <w:rsid w:val="000D044D"/>
    <w:rsid w:val="000D09FE"/>
    <w:rsid w:val="000D0CBE"/>
    <w:rsid w:val="000D120D"/>
    <w:rsid w:val="000D149F"/>
    <w:rsid w:val="000D1851"/>
    <w:rsid w:val="000D1A70"/>
    <w:rsid w:val="000D2550"/>
    <w:rsid w:val="000D2751"/>
    <w:rsid w:val="000D2E2A"/>
    <w:rsid w:val="000D3789"/>
    <w:rsid w:val="000D3956"/>
    <w:rsid w:val="000D559E"/>
    <w:rsid w:val="000D64D7"/>
    <w:rsid w:val="000D68D2"/>
    <w:rsid w:val="000D787A"/>
    <w:rsid w:val="000E0415"/>
    <w:rsid w:val="000E05D2"/>
    <w:rsid w:val="000E1139"/>
    <w:rsid w:val="000E368E"/>
    <w:rsid w:val="000E37B5"/>
    <w:rsid w:val="000E3905"/>
    <w:rsid w:val="000E3C47"/>
    <w:rsid w:val="000E3FED"/>
    <w:rsid w:val="000E4149"/>
    <w:rsid w:val="000E4D47"/>
    <w:rsid w:val="000E5F8B"/>
    <w:rsid w:val="000E645A"/>
    <w:rsid w:val="000E66E2"/>
    <w:rsid w:val="000E6744"/>
    <w:rsid w:val="000E7BEC"/>
    <w:rsid w:val="000F04A3"/>
    <w:rsid w:val="000F0636"/>
    <w:rsid w:val="000F10A8"/>
    <w:rsid w:val="000F27DD"/>
    <w:rsid w:val="000F29BA"/>
    <w:rsid w:val="000F3952"/>
    <w:rsid w:val="000F3FDB"/>
    <w:rsid w:val="000F467D"/>
    <w:rsid w:val="000F5A18"/>
    <w:rsid w:val="000F6052"/>
    <w:rsid w:val="000F61E1"/>
    <w:rsid w:val="000F7986"/>
    <w:rsid w:val="000F79C3"/>
    <w:rsid w:val="000F7D96"/>
    <w:rsid w:val="0010050E"/>
    <w:rsid w:val="00100A84"/>
    <w:rsid w:val="00101029"/>
    <w:rsid w:val="00101797"/>
    <w:rsid w:val="0010185D"/>
    <w:rsid w:val="00101A0D"/>
    <w:rsid w:val="00102D1C"/>
    <w:rsid w:val="0010387E"/>
    <w:rsid w:val="00103AAF"/>
    <w:rsid w:val="001041BA"/>
    <w:rsid w:val="001044FD"/>
    <w:rsid w:val="00104640"/>
    <w:rsid w:val="00104B4E"/>
    <w:rsid w:val="00104F20"/>
    <w:rsid w:val="00105D8A"/>
    <w:rsid w:val="0010776C"/>
    <w:rsid w:val="0010796C"/>
    <w:rsid w:val="001102EE"/>
    <w:rsid w:val="001105CB"/>
    <w:rsid w:val="00110913"/>
    <w:rsid w:val="00111C87"/>
    <w:rsid w:val="0011252E"/>
    <w:rsid w:val="00112B21"/>
    <w:rsid w:val="00113A35"/>
    <w:rsid w:val="00113D8D"/>
    <w:rsid w:val="001144F9"/>
    <w:rsid w:val="00114E42"/>
    <w:rsid w:val="001156C4"/>
    <w:rsid w:val="001165F7"/>
    <w:rsid w:val="00116E4F"/>
    <w:rsid w:val="0011751E"/>
    <w:rsid w:val="00117571"/>
    <w:rsid w:val="0012103E"/>
    <w:rsid w:val="00121403"/>
    <w:rsid w:val="00121757"/>
    <w:rsid w:val="00122345"/>
    <w:rsid w:val="00123944"/>
    <w:rsid w:val="00123AF9"/>
    <w:rsid w:val="00124006"/>
    <w:rsid w:val="00124655"/>
    <w:rsid w:val="0012474C"/>
    <w:rsid w:val="00124B72"/>
    <w:rsid w:val="0012565E"/>
    <w:rsid w:val="0012610B"/>
    <w:rsid w:val="001264BD"/>
    <w:rsid w:val="001276D9"/>
    <w:rsid w:val="001301EB"/>
    <w:rsid w:val="0013094A"/>
    <w:rsid w:val="00130B8B"/>
    <w:rsid w:val="00130F2B"/>
    <w:rsid w:val="00131B38"/>
    <w:rsid w:val="00132EAE"/>
    <w:rsid w:val="0013311D"/>
    <w:rsid w:val="00133296"/>
    <w:rsid w:val="00134B5D"/>
    <w:rsid w:val="00134C7B"/>
    <w:rsid w:val="001351AF"/>
    <w:rsid w:val="0013595B"/>
    <w:rsid w:val="00135FBA"/>
    <w:rsid w:val="0013600B"/>
    <w:rsid w:val="0013778C"/>
    <w:rsid w:val="00137CB0"/>
    <w:rsid w:val="00137ED1"/>
    <w:rsid w:val="00140423"/>
    <w:rsid w:val="0014070B"/>
    <w:rsid w:val="00140C08"/>
    <w:rsid w:val="00140C12"/>
    <w:rsid w:val="001423DE"/>
    <w:rsid w:val="001425B8"/>
    <w:rsid w:val="00142626"/>
    <w:rsid w:val="001433BC"/>
    <w:rsid w:val="00143706"/>
    <w:rsid w:val="00143B63"/>
    <w:rsid w:val="0014455C"/>
    <w:rsid w:val="00144C2F"/>
    <w:rsid w:val="00144FDF"/>
    <w:rsid w:val="00145865"/>
    <w:rsid w:val="00145A45"/>
    <w:rsid w:val="0014672E"/>
    <w:rsid w:val="00146D32"/>
    <w:rsid w:val="0014786C"/>
    <w:rsid w:val="00147B7C"/>
    <w:rsid w:val="00150070"/>
    <w:rsid w:val="001501C7"/>
    <w:rsid w:val="00150235"/>
    <w:rsid w:val="001509BA"/>
    <w:rsid w:val="00151240"/>
    <w:rsid w:val="00151379"/>
    <w:rsid w:val="0015140F"/>
    <w:rsid w:val="00151680"/>
    <w:rsid w:val="00151BB4"/>
    <w:rsid w:val="00151BF2"/>
    <w:rsid w:val="00152334"/>
    <w:rsid w:val="00154F11"/>
    <w:rsid w:val="00155769"/>
    <w:rsid w:val="00157634"/>
    <w:rsid w:val="001601A5"/>
    <w:rsid w:val="001604A3"/>
    <w:rsid w:val="0016129E"/>
    <w:rsid w:val="001619A4"/>
    <w:rsid w:val="001620F9"/>
    <w:rsid w:val="0016441F"/>
    <w:rsid w:val="00164546"/>
    <w:rsid w:val="00164A91"/>
    <w:rsid w:val="00165184"/>
    <w:rsid w:val="00165F99"/>
    <w:rsid w:val="00166D8F"/>
    <w:rsid w:val="00167750"/>
    <w:rsid w:val="00170773"/>
    <w:rsid w:val="0017083C"/>
    <w:rsid w:val="00170CB6"/>
    <w:rsid w:val="001715E7"/>
    <w:rsid w:val="001719AC"/>
    <w:rsid w:val="00171BFA"/>
    <w:rsid w:val="00171D43"/>
    <w:rsid w:val="001724EC"/>
    <w:rsid w:val="00173968"/>
    <w:rsid w:val="00173B80"/>
    <w:rsid w:val="00174E90"/>
    <w:rsid w:val="00174FEE"/>
    <w:rsid w:val="0017581D"/>
    <w:rsid w:val="001758E3"/>
    <w:rsid w:val="00175EAE"/>
    <w:rsid w:val="00176B90"/>
    <w:rsid w:val="00176ED6"/>
    <w:rsid w:val="0018034D"/>
    <w:rsid w:val="00180C80"/>
    <w:rsid w:val="001821F7"/>
    <w:rsid w:val="001828CD"/>
    <w:rsid w:val="0018371B"/>
    <w:rsid w:val="00183D29"/>
    <w:rsid w:val="001848C2"/>
    <w:rsid w:val="00184EE4"/>
    <w:rsid w:val="00185311"/>
    <w:rsid w:val="001854AA"/>
    <w:rsid w:val="0018620C"/>
    <w:rsid w:val="001873D6"/>
    <w:rsid w:val="00187571"/>
    <w:rsid w:val="00187917"/>
    <w:rsid w:val="0019008B"/>
    <w:rsid w:val="00190BE8"/>
    <w:rsid w:val="001910B1"/>
    <w:rsid w:val="00192010"/>
    <w:rsid w:val="00192063"/>
    <w:rsid w:val="00192802"/>
    <w:rsid w:val="00192AB6"/>
    <w:rsid w:val="001935DD"/>
    <w:rsid w:val="00194346"/>
    <w:rsid w:val="00195A59"/>
    <w:rsid w:val="00195A75"/>
    <w:rsid w:val="00196BE4"/>
    <w:rsid w:val="00197A68"/>
    <w:rsid w:val="00197B6B"/>
    <w:rsid w:val="001A03A1"/>
    <w:rsid w:val="001A0921"/>
    <w:rsid w:val="001A0DD6"/>
    <w:rsid w:val="001A1740"/>
    <w:rsid w:val="001A1FB4"/>
    <w:rsid w:val="001A29B9"/>
    <w:rsid w:val="001A2B5D"/>
    <w:rsid w:val="001A3661"/>
    <w:rsid w:val="001A3745"/>
    <w:rsid w:val="001A3C63"/>
    <w:rsid w:val="001A5062"/>
    <w:rsid w:val="001A5391"/>
    <w:rsid w:val="001A59FC"/>
    <w:rsid w:val="001A5F84"/>
    <w:rsid w:val="001A668C"/>
    <w:rsid w:val="001A7178"/>
    <w:rsid w:val="001A78BF"/>
    <w:rsid w:val="001B076D"/>
    <w:rsid w:val="001B1EF5"/>
    <w:rsid w:val="001B29E1"/>
    <w:rsid w:val="001B3F64"/>
    <w:rsid w:val="001B42F9"/>
    <w:rsid w:val="001B453C"/>
    <w:rsid w:val="001B4B04"/>
    <w:rsid w:val="001B4BE7"/>
    <w:rsid w:val="001B5907"/>
    <w:rsid w:val="001B6702"/>
    <w:rsid w:val="001B729B"/>
    <w:rsid w:val="001C0271"/>
    <w:rsid w:val="001C0A96"/>
    <w:rsid w:val="001C0B7E"/>
    <w:rsid w:val="001C0E77"/>
    <w:rsid w:val="001C1718"/>
    <w:rsid w:val="001C265E"/>
    <w:rsid w:val="001C3222"/>
    <w:rsid w:val="001C48F0"/>
    <w:rsid w:val="001C4B4C"/>
    <w:rsid w:val="001C4B86"/>
    <w:rsid w:val="001C4C15"/>
    <w:rsid w:val="001C5339"/>
    <w:rsid w:val="001C62D0"/>
    <w:rsid w:val="001C6663"/>
    <w:rsid w:val="001C6B29"/>
    <w:rsid w:val="001C75DF"/>
    <w:rsid w:val="001C7895"/>
    <w:rsid w:val="001C7EAF"/>
    <w:rsid w:val="001D0294"/>
    <w:rsid w:val="001D0599"/>
    <w:rsid w:val="001D26DF"/>
    <w:rsid w:val="001D326D"/>
    <w:rsid w:val="001D368E"/>
    <w:rsid w:val="001D54C7"/>
    <w:rsid w:val="001D62A9"/>
    <w:rsid w:val="001D6902"/>
    <w:rsid w:val="001D77A9"/>
    <w:rsid w:val="001E0038"/>
    <w:rsid w:val="001E08D3"/>
    <w:rsid w:val="001E0E93"/>
    <w:rsid w:val="001E0E99"/>
    <w:rsid w:val="001E1ABE"/>
    <w:rsid w:val="001E1D6F"/>
    <w:rsid w:val="001E1E00"/>
    <w:rsid w:val="001E21C6"/>
    <w:rsid w:val="001E2790"/>
    <w:rsid w:val="001E2B4B"/>
    <w:rsid w:val="001E333C"/>
    <w:rsid w:val="001E42BD"/>
    <w:rsid w:val="001E4D46"/>
    <w:rsid w:val="001E4D90"/>
    <w:rsid w:val="001E5BCB"/>
    <w:rsid w:val="001E5CCF"/>
    <w:rsid w:val="001E6135"/>
    <w:rsid w:val="001E6C41"/>
    <w:rsid w:val="001F0B35"/>
    <w:rsid w:val="001F2BB1"/>
    <w:rsid w:val="001F3091"/>
    <w:rsid w:val="001F3209"/>
    <w:rsid w:val="001F3294"/>
    <w:rsid w:val="001F3B14"/>
    <w:rsid w:val="001F3BD2"/>
    <w:rsid w:val="001F4343"/>
    <w:rsid w:val="001F468A"/>
    <w:rsid w:val="001F565B"/>
    <w:rsid w:val="001F610B"/>
    <w:rsid w:val="001F6551"/>
    <w:rsid w:val="001F7B6A"/>
    <w:rsid w:val="001F7B8F"/>
    <w:rsid w:val="001F7C67"/>
    <w:rsid w:val="002005FF"/>
    <w:rsid w:val="00202746"/>
    <w:rsid w:val="00202C35"/>
    <w:rsid w:val="00202FCA"/>
    <w:rsid w:val="0020307D"/>
    <w:rsid w:val="00203232"/>
    <w:rsid w:val="00204091"/>
    <w:rsid w:val="00204344"/>
    <w:rsid w:val="002044F2"/>
    <w:rsid w:val="00204931"/>
    <w:rsid w:val="00204DD0"/>
    <w:rsid w:val="0020552E"/>
    <w:rsid w:val="00205901"/>
    <w:rsid w:val="00206865"/>
    <w:rsid w:val="00206A66"/>
    <w:rsid w:val="00206AB7"/>
    <w:rsid w:val="00206CED"/>
    <w:rsid w:val="00207DA7"/>
    <w:rsid w:val="0021013F"/>
    <w:rsid w:val="0021020D"/>
    <w:rsid w:val="002108B3"/>
    <w:rsid w:val="00210D95"/>
    <w:rsid w:val="002111F2"/>
    <w:rsid w:val="002114FC"/>
    <w:rsid w:val="0021160A"/>
    <w:rsid w:val="00211C94"/>
    <w:rsid w:val="00211D67"/>
    <w:rsid w:val="00211E0B"/>
    <w:rsid w:val="00211E72"/>
    <w:rsid w:val="00211FD9"/>
    <w:rsid w:val="002121E2"/>
    <w:rsid w:val="00212203"/>
    <w:rsid w:val="00212A25"/>
    <w:rsid w:val="002133DD"/>
    <w:rsid w:val="00213802"/>
    <w:rsid w:val="00214047"/>
    <w:rsid w:val="00214203"/>
    <w:rsid w:val="00214A9D"/>
    <w:rsid w:val="00215AE0"/>
    <w:rsid w:val="002167B4"/>
    <w:rsid w:val="0021789D"/>
    <w:rsid w:val="00217DEC"/>
    <w:rsid w:val="0022057D"/>
    <w:rsid w:val="00220682"/>
    <w:rsid w:val="00220E21"/>
    <w:rsid w:val="00220F6A"/>
    <w:rsid w:val="0022130F"/>
    <w:rsid w:val="0022152F"/>
    <w:rsid w:val="0022244D"/>
    <w:rsid w:val="00222B66"/>
    <w:rsid w:val="00222D6A"/>
    <w:rsid w:val="00223598"/>
    <w:rsid w:val="00223D12"/>
    <w:rsid w:val="00223E88"/>
    <w:rsid w:val="0022474C"/>
    <w:rsid w:val="00224768"/>
    <w:rsid w:val="00224925"/>
    <w:rsid w:val="00225730"/>
    <w:rsid w:val="00225AA6"/>
    <w:rsid w:val="002272B6"/>
    <w:rsid w:val="0022743D"/>
    <w:rsid w:val="002303B8"/>
    <w:rsid w:val="00230ABC"/>
    <w:rsid w:val="00232A3A"/>
    <w:rsid w:val="00232B46"/>
    <w:rsid w:val="0023378F"/>
    <w:rsid w:val="002337E1"/>
    <w:rsid w:val="00233ED8"/>
    <w:rsid w:val="00234040"/>
    <w:rsid w:val="0023443B"/>
    <w:rsid w:val="00234465"/>
    <w:rsid w:val="002347A1"/>
    <w:rsid w:val="00234E77"/>
    <w:rsid w:val="00235991"/>
    <w:rsid w:val="00236887"/>
    <w:rsid w:val="00237785"/>
    <w:rsid w:val="0023789E"/>
    <w:rsid w:val="002403D5"/>
    <w:rsid w:val="002404F7"/>
    <w:rsid w:val="00240581"/>
    <w:rsid w:val="0024070A"/>
    <w:rsid w:val="00240855"/>
    <w:rsid w:val="002410DD"/>
    <w:rsid w:val="00241466"/>
    <w:rsid w:val="00241937"/>
    <w:rsid w:val="00242BF8"/>
    <w:rsid w:val="00242DD5"/>
    <w:rsid w:val="002444AD"/>
    <w:rsid w:val="002444FF"/>
    <w:rsid w:val="00244D89"/>
    <w:rsid w:val="00245989"/>
    <w:rsid w:val="002459FA"/>
    <w:rsid w:val="00245C2E"/>
    <w:rsid w:val="00246096"/>
    <w:rsid w:val="00246452"/>
    <w:rsid w:val="00246DF1"/>
    <w:rsid w:val="00250A44"/>
    <w:rsid w:val="0025120B"/>
    <w:rsid w:val="00251F46"/>
    <w:rsid w:val="00252653"/>
    <w:rsid w:val="0025358E"/>
    <w:rsid w:val="002535B9"/>
    <w:rsid w:val="00253A58"/>
    <w:rsid w:val="00253A83"/>
    <w:rsid w:val="00253D58"/>
    <w:rsid w:val="002550EA"/>
    <w:rsid w:val="002568D5"/>
    <w:rsid w:val="00257577"/>
    <w:rsid w:val="0025768A"/>
    <w:rsid w:val="002608B1"/>
    <w:rsid w:val="00260D8C"/>
    <w:rsid w:val="00260E15"/>
    <w:rsid w:val="00261801"/>
    <w:rsid w:val="00261BA3"/>
    <w:rsid w:val="00262127"/>
    <w:rsid w:val="00262400"/>
    <w:rsid w:val="00262CC2"/>
    <w:rsid w:val="002631F3"/>
    <w:rsid w:val="00263692"/>
    <w:rsid w:val="00263727"/>
    <w:rsid w:val="0026376B"/>
    <w:rsid w:val="00263BBE"/>
    <w:rsid w:val="002650F3"/>
    <w:rsid w:val="002651AB"/>
    <w:rsid w:val="0026554C"/>
    <w:rsid w:val="002669CE"/>
    <w:rsid w:val="00266FDB"/>
    <w:rsid w:val="00267B27"/>
    <w:rsid w:val="00267E94"/>
    <w:rsid w:val="00267F27"/>
    <w:rsid w:val="002709C9"/>
    <w:rsid w:val="0027107E"/>
    <w:rsid w:val="00271497"/>
    <w:rsid w:val="00272014"/>
    <w:rsid w:val="00272972"/>
    <w:rsid w:val="00273BF2"/>
    <w:rsid w:val="0027461F"/>
    <w:rsid w:val="00275388"/>
    <w:rsid w:val="00275A38"/>
    <w:rsid w:val="00276585"/>
    <w:rsid w:val="0027664A"/>
    <w:rsid w:val="00276FE3"/>
    <w:rsid w:val="0027725F"/>
    <w:rsid w:val="002774EE"/>
    <w:rsid w:val="00277ACD"/>
    <w:rsid w:val="00277FDC"/>
    <w:rsid w:val="00280E75"/>
    <w:rsid w:val="00281009"/>
    <w:rsid w:val="0028145B"/>
    <w:rsid w:val="00281992"/>
    <w:rsid w:val="00282C4D"/>
    <w:rsid w:val="00282FD1"/>
    <w:rsid w:val="002834F2"/>
    <w:rsid w:val="00283789"/>
    <w:rsid w:val="00283B3B"/>
    <w:rsid w:val="00283EA6"/>
    <w:rsid w:val="00283F25"/>
    <w:rsid w:val="00285151"/>
    <w:rsid w:val="00286C03"/>
    <w:rsid w:val="0029072A"/>
    <w:rsid w:val="00290F2C"/>
    <w:rsid w:val="00291C11"/>
    <w:rsid w:val="002924A8"/>
    <w:rsid w:val="0029274E"/>
    <w:rsid w:val="002928D8"/>
    <w:rsid w:val="0029382F"/>
    <w:rsid w:val="00293F60"/>
    <w:rsid w:val="00294A01"/>
    <w:rsid w:val="00294CB7"/>
    <w:rsid w:val="00294CFC"/>
    <w:rsid w:val="002954A4"/>
    <w:rsid w:val="002954CC"/>
    <w:rsid w:val="00295CAF"/>
    <w:rsid w:val="00295E90"/>
    <w:rsid w:val="00296457"/>
    <w:rsid w:val="002971D4"/>
    <w:rsid w:val="002A036F"/>
    <w:rsid w:val="002A06C7"/>
    <w:rsid w:val="002A11DC"/>
    <w:rsid w:val="002A1269"/>
    <w:rsid w:val="002A130C"/>
    <w:rsid w:val="002A1526"/>
    <w:rsid w:val="002A16B4"/>
    <w:rsid w:val="002A1B1D"/>
    <w:rsid w:val="002A233A"/>
    <w:rsid w:val="002A31BF"/>
    <w:rsid w:val="002A411D"/>
    <w:rsid w:val="002A5494"/>
    <w:rsid w:val="002A5C55"/>
    <w:rsid w:val="002A6885"/>
    <w:rsid w:val="002A7443"/>
    <w:rsid w:val="002A74BD"/>
    <w:rsid w:val="002A76F3"/>
    <w:rsid w:val="002A78DD"/>
    <w:rsid w:val="002A7BAB"/>
    <w:rsid w:val="002A7E12"/>
    <w:rsid w:val="002A7E44"/>
    <w:rsid w:val="002B0037"/>
    <w:rsid w:val="002B01D3"/>
    <w:rsid w:val="002B0722"/>
    <w:rsid w:val="002B077B"/>
    <w:rsid w:val="002B1D9C"/>
    <w:rsid w:val="002B20B7"/>
    <w:rsid w:val="002B2695"/>
    <w:rsid w:val="002B290C"/>
    <w:rsid w:val="002B2A06"/>
    <w:rsid w:val="002B33F9"/>
    <w:rsid w:val="002B35C4"/>
    <w:rsid w:val="002B3F3F"/>
    <w:rsid w:val="002B40D1"/>
    <w:rsid w:val="002B4632"/>
    <w:rsid w:val="002B4938"/>
    <w:rsid w:val="002B4C4C"/>
    <w:rsid w:val="002B7E87"/>
    <w:rsid w:val="002C118B"/>
    <w:rsid w:val="002C135E"/>
    <w:rsid w:val="002C21F0"/>
    <w:rsid w:val="002C28AF"/>
    <w:rsid w:val="002C2B01"/>
    <w:rsid w:val="002C3459"/>
    <w:rsid w:val="002C381A"/>
    <w:rsid w:val="002C4BB3"/>
    <w:rsid w:val="002C4BEB"/>
    <w:rsid w:val="002C4C5E"/>
    <w:rsid w:val="002C5A17"/>
    <w:rsid w:val="002C5B8C"/>
    <w:rsid w:val="002C7C22"/>
    <w:rsid w:val="002D06D1"/>
    <w:rsid w:val="002D0D36"/>
    <w:rsid w:val="002D0F11"/>
    <w:rsid w:val="002D1B2B"/>
    <w:rsid w:val="002D1FC4"/>
    <w:rsid w:val="002D307E"/>
    <w:rsid w:val="002D4A2A"/>
    <w:rsid w:val="002D58CC"/>
    <w:rsid w:val="002D5D2F"/>
    <w:rsid w:val="002D5D4C"/>
    <w:rsid w:val="002D6540"/>
    <w:rsid w:val="002D67BF"/>
    <w:rsid w:val="002D6B97"/>
    <w:rsid w:val="002D6C40"/>
    <w:rsid w:val="002D75F7"/>
    <w:rsid w:val="002E0274"/>
    <w:rsid w:val="002E02AF"/>
    <w:rsid w:val="002E0799"/>
    <w:rsid w:val="002E0889"/>
    <w:rsid w:val="002E19B5"/>
    <w:rsid w:val="002E1E50"/>
    <w:rsid w:val="002E2C42"/>
    <w:rsid w:val="002E3858"/>
    <w:rsid w:val="002E3BD6"/>
    <w:rsid w:val="002E412D"/>
    <w:rsid w:val="002E50E1"/>
    <w:rsid w:val="002E5338"/>
    <w:rsid w:val="002E5D19"/>
    <w:rsid w:val="002E5ECB"/>
    <w:rsid w:val="002E7E74"/>
    <w:rsid w:val="002F05E8"/>
    <w:rsid w:val="002F08C7"/>
    <w:rsid w:val="002F126B"/>
    <w:rsid w:val="002F1920"/>
    <w:rsid w:val="002F1CE2"/>
    <w:rsid w:val="002F2607"/>
    <w:rsid w:val="002F3043"/>
    <w:rsid w:val="002F3737"/>
    <w:rsid w:val="002F3858"/>
    <w:rsid w:val="002F41C5"/>
    <w:rsid w:val="002F41DB"/>
    <w:rsid w:val="002F4B0B"/>
    <w:rsid w:val="002F5BC1"/>
    <w:rsid w:val="002F61E8"/>
    <w:rsid w:val="002F6DBC"/>
    <w:rsid w:val="002F6FF8"/>
    <w:rsid w:val="00300DB0"/>
    <w:rsid w:val="00300DD8"/>
    <w:rsid w:val="003017FD"/>
    <w:rsid w:val="00302288"/>
    <w:rsid w:val="00302CA8"/>
    <w:rsid w:val="003035C4"/>
    <w:rsid w:val="00304574"/>
    <w:rsid w:val="00305395"/>
    <w:rsid w:val="00305B01"/>
    <w:rsid w:val="00305D02"/>
    <w:rsid w:val="003060AC"/>
    <w:rsid w:val="00306E5F"/>
    <w:rsid w:val="0031046E"/>
    <w:rsid w:val="00310540"/>
    <w:rsid w:val="003105AB"/>
    <w:rsid w:val="003107FA"/>
    <w:rsid w:val="00310EBF"/>
    <w:rsid w:val="00311B39"/>
    <w:rsid w:val="00311D30"/>
    <w:rsid w:val="003124FA"/>
    <w:rsid w:val="00312D8C"/>
    <w:rsid w:val="003130AE"/>
    <w:rsid w:val="003132C9"/>
    <w:rsid w:val="00314306"/>
    <w:rsid w:val="003147DD"/>
    <w:rsid w:val="00314881"/>
    <w:rsid w:val="003149E8"/>
    <w:rsid w:val="00314AB7"/>
    <w:rsid w:val="00314D03"/>
    <w:rsid w:val="00315648"/>
    <w:rsid w:val="00315C09"/>
    <w:rsid w:val="00317F04"/>
    <w:rsid w:val="00320A99"/>
    <w:rsid w:val="00320E2F"/>
    <w:rsid w:val="00321615"/>
    <w:rsid w:val="00322269"/>
    <w:rsid w:val="003223AB"/>
    <w:rsid w:val="0032293E"/>
    <w:rsid w:val="003229D8"/>
    <w:rsid w:val="00322C17"/>
    <w:rsid w:val="00323532"/>
    <w:rsid w:val="00323C13"/>
    <w:rsid w:val="00323F19"/>
    <w:rsid w:val="0032406C"/>
    <w:rsid w:val="003257B4"/>
    <w:rsid w:val="00325C50"/>
    <w:rsid w:val="00325CDC"/>
    <w:rsid w:val="00325D90"/>
    <w:rsid w:val="00327447"/>
    <w:rsid w:val="0032769F"/>
    <w:rsid w:val="00327BED"/>
    <w:rsid w:val="00327F8E"/>
    <w:rsid w:val="00330EB6"/>
    <w:rsid w:val="00331327"/>
    <w:rsid w:val="0033134B"/>
    <w:rsid w:val="003314D1"/>
    <w:rsid w:val="00331B66"/>
    <w:rsid w:val="00332676"/>
    <w:rsid w:val="0033286D"/>
    <w:rsid w:val="00332B7B"/>
    <w:rsid w:val="0033308E"/>
    <w:rsid w:val="0033362C"/>
    <w:rsid w:val="00333708"/>
    <w:rsid w:val="003350AD"/>
    <w:rsid w:val="00335A2F"/>
    <w:rsid w:val="0033661C"/>
    <w:rsid w:val="00336DD3"/>
    <w:rsid w:val="00336F16"/>
    <w:rsid w:val="0033744B"/>
    <w:rsid w:val="00337B3A"/>
    <w:rsid w:val="003404ED"/>
    <w:rsid w:val="003405E1"/>
    <w:rsid w:val="00340A7B"/>
    <w:rsid w:val="00340BDB"/>
    <w:rsid w:val="00340EE5"/>
    <w:rsid w:val="00341937"/>
    <w:rsid w:val="00342346"/>
    <w:rsid w:val="003424DB"/>
    <w:rsid w:val="0034393C"/>
    <w:rsid w:val="00343941"/>
    <w:rsid w:val="003439E8"/>
    <w:rsid w:val="00346E90"/>
    <w:rsid w:val="00346EBE"/>
    <w:rsid w:val="0034723E"/>
    <w:rsid w:val="003477DD"/>
    <w:rsid w:val="00347B2E"/>
    <w:rsid w:val="00350E6E"/>
    <w:rsid w:val="00351AA1"/>
    <w:rsid w:val="00351AB8"/>
    <w:rsid w:val="00351B70"/>
    <w:rsid w:val="003527F2"/>
    <w:rsid w:val="00352E6A"/>
    <w:rsid w:val="00355F7B"/>
    <w:rsid w:val="003567BE"/>
    <w:rsid w:val="00357975"/>
    <w:rsid w:val="00360808"/>
    <w:rsid w:val="003611D6"/>
    <w:rsid w:val="0036270A"/>
    <w:rsid w:val="00362760"/>
    <w:rsid w:val="00362872"/>
    <w:rsid w:val="00364363"/>
    <w:rsid w:val="0036442B"/>
    <w:rsid w:val="00364872"/>
    <w:rsid w:val="00365114"/>
    <w:rsid w:val="0036573D"/>
    <w:rsid w:val="00366ED2"/>
    <w:rsid w:val="00367126"/>
    <w:rsid w:val="0036746C"/>
    <w:rsid w:val="00367E51"/>
    <w:rsid w:val="00370836"/>
    <w:rsid w:val="00370DD2"/>
    <w:rsid w:val="00370FD9"/>
    <w:rsid w:val="003712DC"/>
    <w:rsid w:val="003715FD"/>
    <w:rsid w:val="00371C35"/>
    <w:rsid w:val="003720D4"/>
    <w:rsid w:val="003726FE"/>
    <w:rsid w:val="00372BED"/>
    <w:rsid w:val="0037309D"/>
    <w:rsid w:val="003730F3"/>
    <w:rsid w:val="0037399C"/>
    <w:rsid w:val="00373C8D"/>
    <w:rsid w:val="0037452A"/>
    <w:rsid w:val="003767E2"/>
    <w:rsid w:val="0037722D"/>
    <w:rsid w:val="0037780D"/>
    <w:rsid w:val="0038012E"/>
    <w:rsid w:val="00380360"/>
    <w:rsid w:val="003807DE"/>
    <w:rsid w:val="00380D0C"/>
    <w:rsid w:val="00381B77"/>
    <w:rsid w:val="00381E84"/>
    <w:rsid w:val="00381EBE"/>
    <w:rsid w:val="00381FEA"/>
    <w:rsid w:val="003825A8"/>
    <w:rsid w:val="003827D3"/>
    <w:rsid w:val="003831DD"/>
    <w:rsid w:val="003831E5"/>
    <w:rsid w:val="00384036"/>
    <w:rsid w:val="003843B7"/>
    <w:rsid w:val="0038479C"/>
    <w:rsid w:val="003850CF"/>
    <w:rsid w:val="00386568"/>
    <w:rsid w:val="00386DC1"/>
    <w:rsid w:val="003877E8"/>
    <w:rsid w:val="003907A2"/>
    <w:rsid w:val="00390C01"/>
    <w:rsid w:val="003925E3"/>
    <w:rsid w:val="0039277A"/>
    <w:rsid w:val="003929B7"/>
    <w:rsid w:val="00393030"/>
    <w:rsid w:val="0039317B"/>
    <w:rsid w:val="003932D0"/>
    <w:rsid w:val="00393320"/>
    <w:rsid w:val="00393814"/>
    <w:rsid w:val="0039391B"/>
    <w:rsid w:val="00393B91"/>
    <w:rsid w:val="00394197"/>
    <w:rsid w:val="003972E0"/>
    <w:rsid w:val="003975ED"/>
    <w:rsid w:val="003977F4"/>
    <w:rsid w:val="003978DA"/>
    <w:rsid w:val="00397A76"/>
    <w:rsid w:val="003A03DB"/>
    <w:rsid w:val="003A09A2"/>
    <w:rsid w:val="003A1707"/>
    <w:rsid w:val="003A36D7"/>
    <w:rsid w:val="003A3708"/>
    <w:rsid w:val="003A3E80"/>
    <w:rsid w:val="003A40FB"/>
    <w:rsid w:val="003A4822"/>
    <w:rsid w:val="003A5D7C"/>
    <w:rsid w:val="003A6112"/>
    <w:rsid w:val="003A6452"/>
    <w:rsid w:val="003A6C0A"/>
    <w:rsid w:val="003A7664"/>
    <w:rsid w:val="003A79BE"/>
    <w:rsid w:val="003B0376"/>
    <w:rsid w:val="003B1DAB"/>
    <w:rsid w:val="003B240A"/>
    <w:rsid w:val="003B26B1"/>
    <w:rsid w:val="003B2AE7"/>
    <w:rsid w:val="003B4694"/>
    <w:rsid w:val="003B4848"/>
    <w:rsid w:val="003B5547"/>
    <w:rsid w:val="003B57DD"/>
    <w:rsid w:val="003B5FDB"/>
    <w:rsid w:val="003B6132"/>
    <w:rsid w:val="003B6E12"/>
    <w:rsid w:val="003B6EB3"/>
    <w:rsid w:val="003B7A15"/>
    <w:rsid w:val="003B7C63"/>
    <w:rsid w:val="003C1054"/>
    <w:rsid w:val="003C16A8"/>
    <w:rsid w:val="003C1775"/>
    <w:rsid w:val="003C1FC4"/>
    <w:rsid w:val="003C2004"/>
    <w:rsid w:val="003C2B28"/>
    <w:rsid w:val="003C2C14"/>
    <w:rsid w:val="003C2CC4"/>
    <w:rsid w:val="003C3135"/>
    <w:rsid w:val="003C3BF5"/>
    <w:rsid w:val="003C3F02"/>
    <w:rsid w:val="003C4BED"/>
    <w:rsid w:val="003C5964"/>
    <w:rsid w:val="003C7760"/>
    <w:rsid w:val="003C7A00"/>
    <w:rsid w:val="003C7C5E"/>
    <w:rsid w:val="003D0127"/>
    <w:rsid w:val="003D01D6"/>
    <w:rsid w:val="003D0B6C"/>
    <w:rsid w:val="003D1662"/>
    <w:rsid w:val="003D19E9"/>
    <w:rsid w:val="003D1EAC"/>
    <w:rsid w:val="003D1F50"/>
    <w:rsid w:val="003D2537"/>
    <w:rsid w:val="003D39ED"/>
    <w:rsid w:val="003D3AFE"/>
    <w:rsid w:val="003D3DCC"/>
    <w:rsid w:val="003D3EE8"/>
    <w:rsid w:val="003D486A"/>
    <w:rsid w:val="003D4B23"/>
    <w:rsid w:val="003D4F08"/>
    <w:rsid w:val="003D5816"/>
    <w:rsid w:val="003D5EF1"/>
    <w:rsid w:val="003D6499"/>
    <w:rsid w:val="003D7062"/>
    <w:rsid w:val="003D7BC8"/>
    <w:rsid w:val="003E080F"/>
    <w:rsid w:val="003E1C3D"/>
    <w:rsid w:val="003E2377"/>
    <w:rsid w:val="003E2517"/>
    <w:rsid w:val="003E26F6"/>
    <w:rsid w:val="003E33E2"/>
    <w:rsid w:val="003E400D"/>
    <w:rsid w:val="003E437B"/>
    <w:rsid w:val="003E4C97"/>
    <w:rsid w:val="003E57A4"/>
    <w:rsid w:val="003E5AA5"/>
    <w:rsid w:val="003E5D09"/>
    <w:rsid w:val="003E5FF1"/>
    <w:rsid w:val="003E7815"/>
    <w:rsid w:val="003F0A97"/>
    <w:rsid w:val="003F0E5F"/>
    <w:rsid w:val="003F1274"/>
    <w:rsid w:val="003F255E"/>
    <w:rsid w:val="003F2731"/>
    <w:rsid w:val="003F2DC5"/>
    <w:rsid w:val="003F34DF"/>
    <w:rsid w:val="003F3594"/>
    <w:rsid w:val="003F432F"/>
    <w:rsid w:val="003F4E7A"/>
    <w:rsid w:val="003F50DD"/>
    <w:rsid w:val="003F686F"/>
    <w:rsid w:val="003F6A99"/>
    <w:rsid w:val="003F71C8"/>
    <w:rsid w:val="003F7583"/>
    <w:rsid w:val="003F7F4D"/>
    <w:rsid w:val="004002B4"/>
    <w:rsid w:val="0040067A"/>
    <w:rsid w:val="00400E79"/>
    <w:rsid w:val="00400FA2"/>
    <w:rsid w:val="004012E1"/>
    <w:rsid w:val="004017C6"/>
    <w:rsid w:val="004020D6"/>
    <w:rsid w:val="00402529"/>
    <w:rsid w:val="004028AC"/>
    <w:rsid w:val="00403243"/>
    <w:rsid w:val="0040325E"/>
    <w:rsid w:val="004034D0"/>
    <w:rsid w:val="00403CD1"/>
    <w:rsid w:val="00403EAA"/>
    <w:rsid w:val="00404526"/>
    <w:rsid w:val="004048D7"/>
    <w:rsid w:val="00405835"/>
    <w:rsid w:val="00405BD3"/>
    <w:rsid w:val="00406196"/>
    <w:rsid w:val="004066C8"/>
    <w:rsid w:val="0040700E"/>
    <w:rsid w:val="0040761E"/>
    <w:rsid w:val="00410FBB"/>
    <w:rsid w:val="004117BD"/>
    <w:rsid w:val="00411845"/>
    <w:rsid w:val="00411926"/>
    <w:rsid w:val="00411A20"/>
    <w:rsid w:val="00412258"/>
    <w:rsid w:val="00412306"/>
    <w:rsid w:val="0041254F"/>
    <w:rsid w:val="00412770"/>
    <w:rsid w:val="004133BB"/>
    <w:rsid w:val="00413759"/>
    <w:rsid w:val="00413765"/>
    <w:rsid w:val="00415255"/>
    <w:rsid w:val="0041597A"/>
    <w:rsid w:val="00416643"/>
    <w:rsid w:val="00416840"/>
    <w:rsid w:val="00416C3E"/>
    <w:rsid w:val="00416C41"/>
    <w:rsid w:val="00417281"/>
    <w:rsid w:val="004176B0"/>
    <w:rsid w:val="00417ABA"/>
    <w:rsid w:val="0042009B"/>
    <w:rsid w:val="0042212A"/>
    <w:rsid w:val="00423B92"/>
    <w:rsid w:val="00424BB4"/>
    <w:rsid w:val="00424C80"/>
    <w:rsid w:val="00424CBF"/>
    <w:rsid w:val="00425164"/>
    <w:rsid w:val="00427B5D"/>
    <w:rsid w:val="00427D2B"/>
    <w:rsid w:val="0043010F"/>
    <w:rsid w:val="0043028A"/>
    <w:rsid w:val="0043142D"/>
    <w:rsid w:val="00431C9B"/>
    <w:rsid w:val="004325CB"/>
    <w:rsid w:val="004327F2"/>
    <w:rsid w:val="00432B8B"/>
    <w:rsid w:val="004352AA"/>
    <w:rsid w:val="00435D42"/>
    <w:rsid w:val="004362D3"/>
    <w:rsid w:val="004364D1"/>
    <w:rsid w:val="00436B5D"/>
    <w:rsid w:val="00436E5F"/>
    <w:rsid w:val="00436F23"/>
    <w:rsid w:val="004372B1"/>
    <w:rsid w:val="0043735D"/>
    <w:rsid w:val="004373CC"/>
    <w:rsid w:val="00437D93"/>
    <w:rsid w:val="0044185A"/>
    <w:rsid w:val="00442883"/>
    <w:rsid w:val="00443FF4"/>
    <w:rsid w:val="004442EF"/>
    <w:rsid w:val="00444487"/>
    <w:rsid w:val="00444A00"/>
    <w:rsid w:val="0044503A"/>
    <w:rsid w:val="0044525F"/>
    <w:rsid w:val="00445466"/>
    <w:rsid w:val="00445A43"/>
    <w:rsid w:val="00446796"/>
    <w:rsid w:val="00446BE4"/>
    <w:rsid w:val="00446DE4"/>
    <w:rsid w:val="00447761"/>
    <w:rsid w:val="00447B33"/>
    <w:rsid w:val="00447E8A"/>
    <w:rsid w:val="00450856"/>
    <w:rsid w:val="00451EC3"/>
    <w:rsid w:val="00452CD3"/>
    <w:rsid w:val="00453D70"/>
    <w:rsid w:val="00454576"/>
    <w:rsid w:val="00454A36"/>
    <w:rsid w:val="004559A2"/>
    <w:rsid w:val="00456C53"/>
    <w:rsid w:val="00457C7D"/>
    <w:rsid w:val="00457FBA"/>
    <w:rsid w:val="00461F52"/>
    <w:rsid w:val="004623C3"/>
    <w:rsid w:val="004647BB"/>
    <w:rsid w:val="004649D3"/>
    <w:rsid w:val="00464EC9"/>
    <w:rsid w:val="004654E5"/>
    <w:rsid w:val="00465754"/>
    <w:rsid w:val="00466D99"/>
    <w:rsid w:val="00467945"/>
    <w:rsid w:val="00467E46"/>
    <w:rsid w:val="00467EEE"/>
    <w:rsid w:val="004709D3"/>
    <w:rsid w:val="00470C81"/>
    <w:rsid w:val="00470DC3"/>
    <w:rsid w:val="004713DC"/>
    <w:rsid w:val="004717FF"/>
    <w:rsid w:val="00471C92"/>
    <w:rsid w:val="004721B1"/>
    <w:rsid w:val="004726FF"/>
    <w:rsid w:val="00473A03"/>
    <w:rsid w:val="00473B99"/>
    <w:rsid w:val="00473FFB"/>
    <w:rsid w:val="00474CA9"/>
    <w:rsid w:val="00475750"/>
    <w:rsid w:val="00475D9E"/>
    <w:rsid w:val="00476E2E"/>
    <w:rsid w:val="00480D5E"/>
    <w:rsid w:val="00481640"/>
    <w:rsid w:val="00481C62"/>
    <w:rsid w:val="00481E66"/>
    <w:rsid w:val="004825C9"/>
    <w:rsid w:val="00483618"/>
    <w:rsid w:val="004842C7"/>
    <w:rsid w:val="004846F0"/>
    <w:rsid w:val="0048481F"/>
    <w:rsid w:val="00484CB8"/>
    <w:rsid w:val="004859EC"/>
    <w:rsid w:val="00485B3E"/>
    <w:rsid w:val="00486113"/>
    <w:rsid w:val="0048683E"/>
    <w:rsid w:val="00487291"/>
    <w:rsid w:val="00487C77"/>
    <w:rsid w:val="00487F3F"/>
    <w:rsid w:val="00490492"/>
    <w:rsid w:val="00490651"/>
    <w:rsid w:val="00490769"/>
    <w:rsid w:val="00490F39"/>
    <w:rsid w:val="004911A5"/>
    <w:rsid w:val="00491B67"/>
    <w:rsid w:val="004924AD"/>
    <w:rsid w:val="00492EA7"/>
    <w:rsid w:val="00493822"/>
    <w:rsid w:val="0049491B"/>
    <w:rsid w:val="00494991"/>
    <w:rsid w:val="0049550C"/>
    <w:rsid w:val="00495B2E"/>
    <w:rsid w:val="00495C3B"/>
    <w:rsid w:val="00495EA7"/>
    <w:rsid w:val="00496551"/>
    <w:rsid w:val="00496A15"/>
    <w:rsid w:val="00496D22"/>
    <w:rsid w:val="00497A74"/>
    <w:rsid w:val="00497D11"/>
    <w:rsid w:val="004A00F1"/>
    <w:rsid w:val="004A01A4"/>
    <w:rsid w:val="004A04C1"/>
    <w:rsid w:val="004A080A"/>
    <w:rsid w:val="004A1294"/>
    <w:rsid w:val="004A17B2"/>
    <w:rsid w:val="004A1F64"/>
    <w:rsid w:val="004A2AC6"/>
    <w:rsid w:val="004A3150"/>
    <w:rsid w:val="004A338C"/>
    <w:rsid w:val="004A3908"/>
    <w:rsid w:val="004A40E9"/>
    <w:rsid w:val="004A5ADD"/>
    <w:rsid w:val="004A5B99"/>
    <w:rsid w:val="004A62FD"/>
    <w:rsid w:val="004A782C"/>
    <w:rsid w:val="004B062C"/>
    <w:rsid w:val="004B07A6"/>
    <w:rsid w:val="004B0952"/>
    <w:rsid w:val="004B13CF"/>
    <w:rsid w:val="004B13ED"/>
    <w:rsid w:val="004B16B3"/>
    <w:rsid w:val="004B1FD9"/>
    <w:rsid w:val="004B2134"/>
    <w:rsid w:val="004B21ED"/>
    <w:rsid w:val="004B36BB"/>
    <w:rsid w:val="004B3AEF"/>
    <w:rsid w:val="004B6698"/>
    <w:rsid w:val="004B71B0"/>
    <w:rsid w:val="004B75D2"/>
    <w:rsid w:val="004B7BBA"/>
    <w:rsid w:val="004C00B1"/>
    <w:rsid w:val="004C0B13"/>
    <w:rsid w:val="004C0FE1"/>
    <w:rsid w:val="004C195D"/>
    <w:rsid w:val="004C2622"/>
    <w:rsid w:val="004C2920"/>
    <w:rsid w:val="004C395E"/>
    <w:rsid w:val="004C3D68"/>
    <w:rsid w:val="004C475A"/>
    <w:rsid w:val="004C4AF0"/>
    <w:rsid w:val="004C4C2A"/>
    <w:rsid w:val="004C61D2"/>
    <w:rsid w:val="004C6C2A"/>
    <w:rsid w:val="004D1140"/>
    <w:rsid w:val="004D1A06"/>
    <w:rsid w:val="004D2211"/>
    <w:rsid w:val="004D23A3"/>
    <w:rsid w:val="004D29A4"/>
    <w:rsid w:val="004D2A50"/>
    <w:rsid w:val="004D2F99"/>
    <w:rsid w:val="004D32B7"/>
    <w:rsid w:val="004D3519"/>
    <w:rsid w:val="004D3643"/>
    <w:rsid w:val="004D3902"/>
    <w:rsid w:val="004D3B58"/>
    <w:rsid w:val="004D3BB1"/>
    <w:rsid w:val="004D3DA8"/>
    <w:rsid w:val="004D4738"/>
    <w:rsid w:val="004D4A59"/>
    <w:rsid w:val="004D5407"/>
    <w:rsid w:val="004D5EDA"/>
    <w:rsid w:val="004D7C52"/>
    <w:rsid w:val="004D7EBC"/>
    <w:rsid w:val="004E01DB"/>
    <w:rsid w:val="004E07B2"/>
    <w:rsid w:val="004E0AE6"/>
    <w:rsid w:val="004E2647"/>
    <w:rsid w:val="004E2DBD"/>
    <w:rsid w:val="004E3BF9"/>
    <w:rsid w:val="004E4967"/>
    <w:rsid w:val="004E4A46"/>
    <w:rsid w:val="004E547C"/>
    <w:rsid w:val="004E57EF"/>
    <w:rsid w:val="004E5A06"/>
    <w:rsid w:val="004E5A60"/>
    <w:rsid w:val="004E5C2E"/>
    <w:rsid w:val="004E5FDF"/>
    <w:rsid w:val="004E654C"/>
    <w:rsid w:val="004E7061"/>
    <w:rsid w:val="004E755B"/>
    <w:rsid w:val="004F0FAA"/>
    <w:rsid w:val="004F16AB"/>
    <w:rsid w:val="004F43E4"/>
    <w:rsid w:val="004F469F"/>
    <w:rsid w:val="004F55ED"/>
    <w:rsid w:val="004F564A"/>
    <w:rsid w:val="004F6DE3"/>
    <w:rsid w:val="004F6F1B"/>
    <w:rsid w:val="00500A57"/>
    <w:rsid w:val="00500C8B"/>
    <w:rsid w:val="005021D3"/>
    <w:rsid w:val="00502256"/>
    <w:rsid w:val="00504379"/>
    <w:rsid w:val="005044B6"/>
    <w:rsid w:val="005045C4"/>
    <w:rsid w:val="005049CB"/>
    <w:rsid w:val="00504BB0"/>
    <w:rsid w:val="005055DD"/>
    <w:rsid w:val="00505617"/>
    <w:rsid w:val="005059F1"/>
    <w:rsid w:val="00505EC6"/>
    <w:rsid w:val="0050673D"/>
    <w:rsid w:val="00506A02"/>
    <w:rsid w:val="00507645"/>
    <w:rsid w:val="0051043C"/>
    <w:rsid w:val="00510E17"/>
    <w:rsid w:val="00510EC5"/>
    <w:rsid w:val="005110AD"/>
    <w:rsid w:val="0051132A"/>
    <w:rsid w:val="005113F6"/>
    <w:rsid w:val="005119D4"/>
    <w:rsid w:val="00512917"/>
    <w:rsid w:val="0051386B"/>
    <w:rsid w:val="00514535"/>
    <w:rsid w:val="00515A6E"/>
    <w:rsid w:val="00515AF1"/>
    <w:rsid w:val="00517178"/>
    <w:rsid w:val="005174CF"/>
    <w:rsid w:val="00517625"/>
    <w:rsid w:val="00517CF9"/>
    <w:rsid w:val="0052176C"/>
    <w:rsid w:val="00521860"/>
    <w:rsid w:val="00521C05"/>
    <w:rsid w:val="005223C2"/>
    <w:rsid w:val="005229B0"/>
    <w:rsid w:val="00523C4D"/>
    <w:rsid w:val="00523CDC"/>
    <w:rsid w:val="00523E9D"/>
    <w:rsid w:val="00523F3E"/>
    <w:rsid w:val="005241F9"/>
    <w:rsid w:val="00525897"/>
    <w:rsid w:val="00525F94"/>
    <w:rsid w:val="005261E5"/>
    <w:rsid w:val="0052718C"/>
    <w:rsid w:val="00527477"/>
    <w:rsid w:val="00527493"/>
    <w:rsid w:val="005279CA"/>
    <w:rsid w:val="00530E1D"/>
    <w:rsid w:val="0053215C"/>
    <w:rsid w:val="005327E3"/>
    <w:rsid w:val="005327F2"/>
    <w:rsid w:val="00533956"/>
    <w:rsid w:val="00534727"/>
    <w:rsid w:val="00534979"/>
    <w:rsid w:val="00534EA3"/>
    <w:rsid w:val="00536416"/>
    <w:rsid w:val="00536552"/>
    <w:rsid w:val="0053667B"/>
    <w:rsid w:val="00537CDE"/>
    <w:rsid w:val="005402E2"/>
    <w:rsid w:val="00540551"/>
    <w:rsid w:val="005420F2"/>
    <w:rsid w:val="00542277"/>
    <w:rsid w:val="00542574"/>
    <w:rsid w:val="005429EC"/>
    <w:rsid w:val="00542ADD"/>
    <w:rsid w:val="005436AB"/>
    <w:rsid w:val="005438AD"/>
    <w:rsid w:val="00544235"/>
    <w:rsid w:val="00544E85"/>
    <w:rsid w:val="005460C3"/>
    <w:rsid w:val="00546924"/>
    <w:rsid w:val="00546DBF"/>
    <w:rsid w:val="00547664"/>
    <w:rsid w:val="005501E0"/>
    <w:rsid w:val="00550710"/>
    <w:rsid w:val="00550E20"/>
    <w:rsid w:val="005515D6"/>
    <w:rsid w:val="0055240C"/>
    <w:rsid w:val="00553C2F"/>
    <w:rsid w:val="00553C67"/>
    <w:rsid w:val="00553D76"/>
    <w:rsid w:val="00553F53"/>
    <w:rsid w:val="005544FF"/>
    <w:rsid w:val="00554F39"/>
    <w:rsid w:val="0055511E"/>
    <w:rsid w:val="005552B5"/>
    <w:rsid w:val="0055570E"/>
    <w:rsid w:val="00555C23"/>
    <w:rsid w:val="00555C68"/>
    <w:rsid w:val="00556EC9"/>
    <w:rsid w:val="0055782E"/>
    <w:rsid w:val="00557D13"/>
    <w:rsid w:val="00557F77"/>
    <w:rsid w:val="00560221"/>
    <w:rsid w:val="005603AA"/>
    <w:rsid w:val="00560FD5"/>
    <w:rsid w:val="0056117B"/>
    <w:rsid w:val="00561401"/>
    <w:rsid w:val="005619EE"/>
    <w:rsid w:val="00561A8F"/>
    <w:rsid w:val="00562621"/>
    <w:rsid w:val="00562A64"/>
    <w:rsid w:val="0057010B"/>
    <w:rsid w:val="00570F3F"/>
    <w:rsid w:val="0057116B"/>
    <w:rsid w:val="00571365"/>
    <w:rsid w:val="00571A9A"/>
    <w:rsid w:val="00572241"/>
    <w:rsid w:val="005724A1"/>
    <w:rsid w:val="00572AEE"/>
    <w:rsid w:val="00573268"/>
    <w:rsid w:val="005745E0"/>
    <w:rsid w:val="005747EA"/>
    <w:rsid w:val="00574D24"/>
    <w:rsid w:val="0057570A"/>
    <w:rsid w:val="0057625B"/>
    <w:rsid w:val="00576511"/>
    <w:rsid w:val="00577129"/>
    <w:rsid w:val="00580570"/>
    <w:rsid w:val="005809E5"/>
    <w:rsid w:val="00580A65"/>
    <w:rsid w:val="00580D36"/>
    <w:rsid w:val="00581864"/>
    <w:rsid w:val="005820F9"/>
    <w:rsid w:val="005822BD"/>
    <w:rsid w:val="005826E6"/>
    <w:rsid w:val="0058351C"/>
    <w:rsid w:val="00583732"/>
    <w:rsid w:val="00583A00"/>
    <w:rsid w:val="00583F2D"/>
    <w:rsid w:val="0058480A"/>
    <w:rsid w:val="0058486F"/>
    <w:rsid w:val="00585E74"/>
    <w:rsid w:val="0058626E"/>
    <w:rsid w:val="00586645"/>
    <w:rsid w:val="00587C2D"/>
    <w:rsid w:val="00587E2F"/>
    <w:rsid w:val="00591384"/>
    <w:rsid w:val="00591489"/>
    <w:rsid w:val="00591C8A"/>
    <w:rsid w:val="0059257C"/>
    <w:rsid w:val="005927AE"/>
    <w:rsid w:val="00592A07"/>
    <w:rsid w:val="00592AAB"/>
    <w:rsid w:val="00593BAC"/>
    <w:rsid w:val="00595528"/>
    <w:rsid w:val="005958A6"/>
    <w:rsid w:val="00595B04"/>
    <w:rsid w:val="00595DFD"/>
    <w:rsid w:val="005961AD"/>
    <w:rsid w:val="005964A8"/>
    <w:rsid w:val="00596CC9"/>
    <w:rsid w:val="00596E95"/>
    <w:rsid w:val="0059794F"/>
    <w:rsid w:val="005A01A7"/>
    <w:rsid w:val="005A0E16"/>
    <w:rsid w:val="005A140B"/>
    <w:rsid w:val="005A1633"/>
    <w:rsid w:val="005A1A7F"/>
    <w:rsid w:val="005A1AAB"/>
    <w:rsid w:val="005A20F0"/>
    <w:rsid w:val="005A2EEB"/>
    <w:rsid w:val="005A3069"/>
    <w:rsid w:val="005A33FA"/>
    <w:rsid w:val="005A49C4"/>
    <w:rsid w:val="005A6590"/>
    <w:rsid w:val="005A6F0A"/>
    <w:rsid w:val="005A7F0F"/>
    <w:rsid w:val="005B06DA"/>
    <w:rsid w:val="005B1D60"/>
    <w:rsid w:val="005B39D6"/>
    <w:rsid w:val="005B3DB3"/>
    <w:rsid w:val="005B55CC"/>
    <w:rsid w:val="005B689F"/>
    <w:rsid w:val="005B6E48"/>
    <w:rsid w:val="005B788A"/>
    <w:rsid w:val="005C110D"/>
    <w:rsid w:val="005C30D7"/>
    <w:rsid w:val="005C3B22"/>
    <w:rsid w:val="005C46C4"/>
    <w:rsid w:val="005C4734"/>
    <w:rsid w:val="005C6395"/>
    <w:rsid w:val="005D1907"/>
    <w:rsid w:val="005D1FAC"/>
    <w:rsid w:val="005D1FFD"/>
    <w:rsid w:val="005D21B0"/>
    <w:rsid w:val="005D2408"/>
    <w:rsid w:val="005D2CDF"/>
    <w:rsid w:val="005D300D"/>
    <w:rsid w:val="005D37E5"/>
    <w:rsid w:val="005D470F"/>
    <w:rsid w:val="005D4741"/>
    <w:rsid w:val="005D4D52"/>
    <w:rsid w:val="005D53BE"/>
    <w:rsid w:val="005D5E5F"/>
    <w:rsid w:val="005D6D48"/>
    <w:rsid w:val="005D78DB"/>
    <w:rsid w:val="005E0F67"/>
    <w:rsid w:val="005E106A"/>
    <w:rsid w:val="005E1712"/>
    <w:rsid w:val="005E19A0"/>
    <w:rsid w:val="005E1BD7"/>
    <w:rsid w:val="005E234A"/>
    <w:rsid w:val="005E328A"/>
    <w:rsid w:val="005E4B6F"/>
    <w:rsid w:val="005E52B7"/>
    <w:rsid w:val="005E686B"/>
    <w:rsid w:val="005E7738"/>
    <w:rsid w:val="005E7EAC"/>
    <w:rsid w:val="005E7EB5"/>
    <w:rsid w:val="005F0ABB"/>
    <w:rsid w:val="005F1458"/>
    <w:rsid w:val="005F1840"/>
    <w:rsid w:val="005F191A"/>
    <w:rsid w:val="005F1AEE"/>
    <w:rsid w:val="005F1E60"/>
    <w:rsid w:val="005F1EA9"/>
    <w:rsid w:val="005F1F5F"/>
    <w:rsid w:val="005F28F0"/>
    <w:rsid w:val="005F2C63"/>
    <w:rsid w:val="005F2E9C"/>
    <w:rsid w:val="005F3D93"/>
    <w:rsid w:val="005F4429"/>
    <w:rsid w:val="005F448B"/>
    <w:rsid w:val="005F4FD0"/>
    <w:rsid w:val="005F5D16"/>
    <w:rsid w:val="005F64F4"/>
    <w:rsid w:val="005F66B8"/>
    <w:rsid w:val="005F671D"/>
    <w:rsid w:val="005F77E8"/>
    <w:rsid w:val="005F7A70"/>
    <w:rsid w:val="006002A5"/>
    <w:rsid w:val="00600D2B"/>
    <w:rsid w:val="00601440"/>
    <w:rsid w:val="00602B7A"/>
    <w:rsid w:val="00602F7A"/>
    <w:rsid w:val="00603107"/>
    <w:rsid w:val="006033D5"/>
    <w:rsid w:val="0060355B"/>
    <w:rsid w:val="006044EF"/>
    <w:rsid w:val="00604C51"/>
    <w:rsid w:val="00604D63"/>
    <w:rsid w:val="00604FB3"/>
    <w:rsid w:val="0060501E"/>
    <w:rsid w:val="0060503C"/>
    <w:rsid w:val="00605EA8"/>
    <w:rsid w:val="006067D6"/>
    <w:rsid w:val="00606C13"/>
    <w:rsid w:val="0060704D"/>
    <w:rsid w:val="0060744C"/>
    <w:rsid w:val="006104DC"/>
    <w:rsid w:val="00611820"/>
    <w:rsid w:val="00611864"/>
    <w:rsid w:val="00611AC2"/>
    <w:rsid w:val="00611F2B"/>
    <w:rsid w:val="00611FC4"/>
    <w:rsid w:val="006121CF"/>
    <w:rsid w:val="00612347"/>
    <w:rsid w:val="00612A9A"/>
    <w:rsid w:val="00613513"/>
    <w:rsid w:val="00614352"/>
    <w:rsid w:val="006147E0"/>
    <w:rsid w:val="00614CAE"/>
    <w:rsid w:val="006152A0"/>
    <w:rsid w:val="00616156"/>
    <w:rsid w:val="0061636B"/>
    <w:rsid w:val="00616A67"/>
    <w:rsid w:val="006170FF"/>
    <w:rsid w:val="0061748E"/>
    <w:rsid w:val="006176FB"/>
    <w:rsid w:val="00617704"/>
    <w:rsid w:val="006178EE"/>
    <w:rsid w:val="0061799F"/>
    <w:rsid w:val="0062098A"/>
    <w:rsid w:val="00620D4B"/>
    <w:rsid w:val="00620EBB"/>
    <w:rsid w:val="0062191C"/>
    <w:rsid w:val="00621AAD"/>
    <w:rsid w:val="00621E35"/>
    <w:rsid w:val="00621F00"/>
    <w:rsid w:val="00622198"/>
    <w:rsid w:val="00623D8F"/>
    <w:rsid w:val="00624541"/>
    <w:rsid w:val="00624AB2"/>
    <w:rsid w:val="0062550D"/>
    <w:rsid w:val="00625AA3"/>
    <w:rsid w:val="00625BDF"/>
    <w:rsid w:val="00626050"/>
    <w:rsid w:val="00626B6A"/>
    <w:rsid w:val="00627307"/>
    <w:rsid w:val="00630495"/>
    <w:rsid w:val="006312FA"/>
    <w:rsid w:val="00631ECF"/>
    <w:rsid w:val="00631ED1"/>
    <w:rsid w:val="006325DC"/>
    <w:rsid w:val="00632C66"/>
    <w:rsid w:val="00634E1B"/>
    <w:rsid w:val="00635B66"/>
    <w:rsid w:val="00635E23"/>
    <w:rsid w:val="00636719"/>
    <w:rsid w:val="00637796"/>
    <w:rsid w:val="00640B26"/>
    <w:rsid w:val="00640C2B"/>
    <w:rsid w:val="00640D1D"/>
    <w:rsid w:val="00640EE4"/>
    <w:rsid w:val="00641331"/>
    <w:rsid w:val="006423C8"/>
    <w:rsid w:val="00642AD0"/>
    <w:rsid w:val="0064337B"/>
    <w:rsid w:val="006433F3"/>
    <w:rsid w:val="006439CD"/>
    <w:rsid w:val="00643ED9"/>
    <w:rsid w:val="0064407B"/>
    <w:rsid w:val="00644377"/>
    <w:rsid w:val="006447FD"/>
    <w:rsid w:val="00644A4B"/>
    <w:rsid w:val="00645662"/>
    <w:rsid w:val="00645E62"/>
    <w:rsid w:val="00646A98"/>
    <w:rsid w:val="00647D38"/>
    <w:rsid w:val="006500F0"/>
    <w:rsid w:val="006501BD"/>
    <w:rsid w:val="00650CB9"/>
    <w:rsid w:val="00651522"/>
    <w:rsid w:val="0065279B"/>
    <w:rsid w:val="006528F2"/>
    <w:rsid w:val="00653FBC"/>
    <w:rsid w:val="006552B8"/>
    <w:rsid w:val="00655B60"/>
    <w:rsid w:val="00655FC8"/>
    <w:rsid w:val="00660BB6"/>
    <w:rsid w:val="00661B9D"/>
    <w:rsid w:val="006624F6"/>
    <w:rsid w:val="00662646"/>
    <w:rsid w:val="00664718"/>
    <w:rsid w:val="00664D23"/>
    <w:rsid w:val="00664ECC"/>
    <w:rsid w:val="006656AD"/>
    <w:rsid w:val="00665A9E"/>
    <w:rsid w:val="00667D75"/>
    <w:rsid w:val="0067040B"/>
    <w:rsid w:val="006706E1"/>
    <w:rsid w:val="00670741"/>
    <w:rsid w:val="00670BB1"/>
    <w:rsid w:val="006715E2"/>
    <w:rsid w:val="00672D10"/>
    <w:rsid w:val="00673359"/>
    <w:rsid w:val="0067379C"/>
    <w:rsid w:val="0067490D"/>
    <w:rsid w:val="00675C22"/>
    <w:rsid w:val="00675E13"/>
    <w:rsid w:val="00675F1D"/>
    <w:rsid w:val="006763B8"/>
    <w:rsid w:val="006768AB"/>
    <w:rsid w:val="00676A2B"/>
    <w:rsid w:val="00676A75"/>
    <w:rsid w:val="00677049"/>
    <w:rsid w:val="006771E6"/>
    <w:rsid w:val="00677353"/>
    <w:rsid w:val="00680166"/>
    <w:rsid w:val="006806E5"/>
    <w:rsid w:val="0068081B"/>
    <w:rsid w:val="00680863"/>
    <w:rsid w:val="00680F6B"/>
    <w:rsid w:val="0068101D"/>
    <w:rsid w:val="00681729"/>
    <w:rsid w:val="00681B51"/>
    <w:rsid w:val="00681C8A"/>
    <w:rsid w:val="00681E65"/>
    <w:rsid w:val="006820B4"/>
    <w:rsid w:val="0068239B"/>
    <w:rsid w:val="00682502"/>
    <w:rsid w:val="006827A1"/>
    <w:rsid w:val="00683C96"/>
    <w:rsid w:val="00683FD3"/>
    <w:rsid w:val="006841C7"/>
    <w:rsid w:val="006858FE"/>
    <w:rsid w:val="00686B7C"/>
    <w:rsid w:val="00686C8B"/>
    <w:rsid w:val="006873A5"/>
    <w:rsid w:val="00690E25"/>
    <w:rsid w:val="00691733"/>
    <w:rsid w:val="00691BC5"/>
    <w:rsid w:val="0069232D"/>
    <w:rsid w:val="00693411"/>
    <w:rsid w:val="00693E48"/>
    <w:rsid w:val="00693E66"/>
    <w:rsid w:val="006941B6"/>
    <w:rsid w:val="006942BE"/>
    <w:rsid w:val="0069479C"/>
    <w:rsid w:val="00694B80"/>
    <w:rsid w:val="006959E5"/>
    <w:rsid w:val="00696BD6"/>
    <w:rsid w:val="00697687"/>
    <w:rsid w:val="00697F84"/>
    <w:rsid w:val="006A0384"/>
    <w:rsid w:val="006A0442"/>
    <w:rsid w:val="006A05F3"/>
    <w:rsid w:val="006A0B7B"/>
    <w:rsid w:val="006A1FF5"/>
    <w:rsid w:val="006A21C6"/>
    <w:rsid w:val="006A2394"/>
    <w:rsid w:val="006A2754"/>
    <w:rsid w:val="006A2CB6"/>
    <w:rsid w:val="006A3A57"/>
    <w:rsid w:val="006A3C58"/>
    <w:rsid w:val="006A4D3D"/>
    <w:rsid w:val="006A51EE"/>
    <w:rsid w:val="006A58E1"/>
    <w:rsid w:val="006A5E2F"/>
    <w:rsid w:val="006A657B"/>
    <w:rsid w:val="006A6B9D"/>
    <w:rsid w:val="006A710F"/>
    <w:rsid w:val="006A7259"/>
    <w:rsid w:val="006A7392"/>
    <w:rsid w:val="006B1958"/>
    <w:rsid w:val="006B2032"/>
    <w:rsid w:val="006B212F"/>
    <w:rsid w:val="006B279E"/>
    <w:rsid w:val="006B3189"/>
    <w:rsid w:val="006B3EA2"/>
    <w:rsid w:val="006B468F"/>
    <w:rsid w:val="006B54DA"/>
    <w:rsid w:val="006B581D"/>
    <w:rsid w:val="006B6117"/>
    <w:rsid w:val="006B67B4"/>
    <w:rsid w:val="006B6A34"/>
    <w:rsid w:val="006B735E"/>
    <w:rsid w:val="006B7D65"/>
    <w:rsid w:val="006C033E"/>
    <w:rsid w:val="006C0916"/>
    <w:rsid w:val="006C0F6C"/>
    <w:rsid w:val="006C1562"/>
    <w:rsid w:val="006C22C6"/>
    <w:rsid w:val="006C22D0"/>
    <w:rsid w:val="006C2881"/>
    <w:rsid w:val="006C3F90"/>
    <w:rsid w:val="006C5DA2"/>
    <w:rsid w:val="006C6F79"/>
    <w:rsid w:val="006C7420"/>
    <w:rsid w:val="006C7917"/>
    <w:rsid w:val="006D04C5"/>
    <w:rsid w:val="006D0DD6"/>
    <w:rsid w:val="006D14DF"/>
    <w:rsid w:val="006D169E"/>
    <w:rsid w:val="006D1960"/>
    <w:rsid w:val="006D20C8"/>
    <w:rsid w:val="006D37D1"/>
    <w:rsid w:val="006D411E"/>
    <w:rsid w:val="006D4202"/>
    <w:rsid w:val="006D5C5F"/>
    <w:rsid w:val="006D6DA6"/>
    <w:rsid w:val="006D71FF"/>
    <w:rsid w:val="006D729D"/>
    <w:rsid w:val="006E022B"/>
    <w:rsid w:val="006E0BD9"/>
    <w:rsid w:val="006E1144"/>
    <w:rsid w:val="006E122F"/>
    <w:rsid w:val="006E128C"/>
    <w:rsid w:val="006E197E"/>
    <w:rsid w:val="006E2392"/>
    <w:rsid w:val="006E2AE6"/>
    <w:rsid w:val="006E2F97"/>
    <w:rsid w:val="006E3121"/>
    <w:rsid w:val="006E388C"/>
    <w:rsid w:val="006E40E8"/>
    <w:rsid w:val="006E47B0"/>
    <w:rsid w:val="006E5139"/>
    <w:rsid w:val="006E564B"/>
    <w:rsid w:val="006E5BD9"/>
    <w:rsid w:val="006E5CEB"/>
    <w:rsid w:val="006E604D"/>
    <w:rsid w:val="006E6CBE"/>
    <w:rsid w:val="006E6DAA"/>
    <w:rsid w:val="006E7064"/>
    <w:rsid w:val="006E7497"/>
    <w:rsid w:val="006F0131"/>
    <w:rsid w:val="006F049D"/>
    <w:rsid w:val="006F0773"/>
    <w:rsid w:val="006F13F0"/>
    <w:rsid w:val="006F1CF6"/>
    <w:rsid w:val="006F2630"/>
    <w:rsid w:val="006F29DE"/>
    <w:rsid w:val="006F2EAA"/>
    <w:rsid w:val="006F3D3F"/>
    <w:rsid w:val="006F4891"/>
    <w:rsid w:val="006F4E2D"/>
    <w:rsid w:val="006F5035"/>
    <w:rsid w:val="006F57A1"/>
    <w:rsid w:val="006F64C9"/>
    <w:rsid w:val="006F6DE0"/>
    <w:rsid w:val="006F71AB"/>
    <w:rsid w:val="006F7E2B"/>
    <w:rsid w:val="0070034C"/>
    <w:rsid w:val="00700581"/>
    <w:rsid w:val="00700CC0"/>
    <w:rsid w:val="00700FE0"/>
    <w:rsid w:val="0070174F"/>
    <w:rsid w:val="007017C4"/>
    <w:rsid w:val="007018C5"/>
    <w:rsid w:val="007021C0"/>
    <w:rsid w:val="00702CE1"/>
    <w:rsid w:val="00703E11"/>
    <w:rsid w:val="00704370"/>
    <w:rsid w:val="0070456F"/>
    <w:rsid w:val="00704C7D"/>
    <w:rsid w:val="00705944"/>
    <w:rsid w:val="007065EB"/>
    <w:rsid w:val="0070675B"/>
    <w:rsid w:val="007072D2"/>
    <w:rsid w:val="0070764A"/>
    <w:rsid w:val="007076C5"/>
    <w:rsid w:val="00710014"/>
    <w:rsid w:val="007100E0"/>
    <w:rsid w:val="0071032E"/>
    <w:rsid w:val="00711444"/>
    <w:rsid w:val="00711538"/>
    <w:rsid w:val="0071163D"/>
    <w:rsid w:val="00711912"/>
    <w:rsid w:val="0071243B"/>
    <w:rsid w:val="00712616"/>
    <w:rsid w:val="00712CD4"/>
    <w:rsid w:val="00712FF0"/>
    <w:rsid w:val="007136AD"/>
    <w:rsid w:val="007141A1"/>
    <w:rsid w:val="00714511"/>
    <w:rsid w:val="007146A3"/>
    <w:rsid w:val="007146A9"/>
    <w:rsid w:val="00714D11"/>
    <w:rsid w:val="007164D2"/>
    <w:rsid w:val="0071701B"/>
    <w:rsid w:val="0071776F"/>
    <w:rsid w:val="00720183"/>
    <w:rsid w:val="00720AF2"/>
    <w:rsid w:val="00721589"/>
    <w:rsid w:val="00721A27"/>
    <w:rsid w:val="00723C85"/>
    <w:rsid w:val="0072532F"/>
    <w:rsid w:val="007253CB"/>
    <w:rsid w:val="0072571D"/>
    <w:rsid w:val="007260A9"/>
    <w:rsid w:val="007262FF"/>
    <w:rsid w:val="0072632A"/>
    <w:rsid w:val="00727364"/>
    <w:rsid w:val="007276F1"/>
    <w:rsid w:val="007278F2"/>
    <w:rsid w:val="00730226"/>
    <w:rsid w:val="0073183B"/>
    <w:rsid w:val="00731C64"/>
    <w:rsid w:val="007337F5"/>
    <w:rsid w:val="007338FA"/>
    <w:rsid w:val="00733E75"/>
    <w:rsid w:val="00734DC4"/>
    <w:rsid w:val="007359D2"/>
    <w:rsid w:val="00735BA6"/>
    <w:rsid w:val="00736206"/>
    <w:rsid w:val="00736720"/>
    <w:rsid w:val="00736C3C"/>
    <w:rsid w:val="007371EB"/>
    <w:rsid w:val="007377BE"/>
    <w:rsid w:val="00737BF3"/>
    <w:rsid w:val="007410D9"/>
    <w:rsid w:val="0074200B"/>
    <w:rsid w:val="00742B62"/>
    <w:rsid w:val="00743A04"/>
    <w:rsid w:val="007444DD"/>
    <w:rsid w:val="00745386"/>
    <w:rsid w:val="00745B78"/>
    <w:rsid w:val="0074692A"/>
    <w:rsid w:val="0074697C"/>
    <w:rsid w:val="00747DB6"/>
    <w:rsid w:val="0075013B"/>
    <w:rsid w:val="00750BA2"/>
    <w:rsid w:val="00751514"/>
    <w:rsid w:val="00752383"/>
    <w:rsid w:val="00752448"/>
    <w:rsid w:val="0075294F"/>
    <w:rsid w:val="00752953"/>
    <w:rsid w:val="00752F5B"/>
    <w:rsid w:val="00753022"/>
    <w:rsid w:val="00753EA7"/>
    <w:rsid w:val="00754153"/>
    <w:rsid w:val="00755481"/>
    <w:rsid w:val="007555C4"/>
    <w:rsid w:val="00755EFB"/>
    <w:rsid w:val="00757481"/>
    <w:rsid w:val="00757A55"/>
    <w:rsid w:val="0076032B"/>
    <w:rsid w:val="007603AA"/>
    <w:rsid w:val="0076077D"/>
    <w:rsid w:val="00760B46"/>
    <w:rsid w:val="00760F8F"/>
    <w:rsid w:val="007616E2"/>
    <w:rsid w:val="00761DD2"/>
    <w:rsid w:val="00761ECE"/>
    <w:rsid w:val="007621EC"/>
    <w:rsid w:val="00762432"/>
    <w:rsid w:val="007626FF"/>
    <w:rsid w:val="007642A2"/>
    <w:rsid w:val="00764655"/>
    <w:rsid w:val="007646A9"/>
    <w:rsid w:val="00764C71"/>
    <w:rsid w:val="00765917"/>
    <w:rsid w:val="00765C0D"/>
    <w:rsid w:val="00766F48"/>
    <w:rsid w:val="00767BE6"/>
    <w:rsid w:val="0077080F"/>
    <w:rsid w:val="00770B7E"/>
    <w:rsid w:val="00770B99"/>
    <w:rsid w:val="00770E99"/>
    <w:rsid w:val="00772DA9"/>
    <w:rsid w:val="007745FC"/>
    <w:rsid w:val="00774D8D"/>
    <w:rsid w:val="00775EF6"/>
    <w:rsid w:val="0077739C"/>
    <w:rsid w:val="00777877"/>
    <w:rsid w:val="00780A9F"/>
    <w:rsid w:val="0078235A"/>
    <w:rsid w:val="007832E8"/>
    <w:rsid w:val="00783492"/>
    <w:rsid w:val="00783645"/>
    <w:rsid w:val="0078418C"/>
    <w:rsid w:val="00784B23"/>
    <w:rsid w:val="0078504F"/>
    <w:rsid w:val="00785822"/>
    <w:rsid w:val="007858FB"/>
    <w:rsid w:val="00785AF4"/>
    <w:rsid w:val="00786E78"/>
    <w:rsid w:val="007871C5"/>
    <w:rsid w:val="00787979"/>
    <w:rsid w:val="00787A9E"/>
    <w:rsid w:val="00790F65"/>
    <w:rsid w:val="007927E9"/>
    <w:rsid w:val="00792982"/>
    <w:rsid w:val="00792A77"/>
    <w:rsid w:val="00792C35"/>
    <w:rsid w:val="007930CF"/>
    <w:rsid w:val="0079310E"/>
    <w:rsid w:val="007932A4"/>
    <w:rsid w:val="007938E0"/>
    <w:rsid w:val="00793B06"/>
    <w:rsid w:val="00793CB8"/>
    <w:rsid w:val="0079433A"/>
    <w:rsid w:val="007954EB"/>
    <w:rsid w:val="00795696"/>
    <w:rsid w:val="007956CC"/>
    <w:rsid w:val="00795BAC"/>
    <w:rsid w:val="007964CB"/>
    <w:rsid w:val="00796D45"/>
    <w:rsid w:val="00797F95"/>
    <w:rsid w:val="007A0087"/>
    <w:rsid w:val="007A0114"/>
    <w:rsid w:val="007A1266"/>
    <w:rsid w:val="007A17AE"/>
    <w:rsid w:val="007A1869"/>
    <w:rsid w:val="007A1B4D"/>
    <w:rsid w:val="007A1D7C"/>
    <w:rsid w:val="007A222F"/>
    <w:rsid w:val="007A2476"/>
    <w:rsid w:val="007A3802"/>
    <w:rsid w:val="007A385F"/>
    <w:rsid w:val="007A40B3"/>
    <w:rsid w:val="007A507A"/>
    <w:rsid w:val="007A5607"/>
    <w:rsid w:val="007A56D2"/>
    <w:rsid w:val="007A5B76"/>
    <w:rsid w:val="007A6296"/>
    <w:rsid w:val="007A6CCC"/>
    <w:rsid w:val="007A76B1"/>
    <w:rsid w:val="007A7744"/>
    <w:rsid w:val="007A79E4"/>
    <w:rsid w:val="007B02E1"/>
    <w:rsid w:val="007B0590"/>
    <w:rsid w:val="007B0683"/>
    <w:rsid w:val="007B072C"/>
    <w:rsid w:val="007B073D"/>
    <w:rsid w:val="007B0D00"/>
    <w:rsid w:val="007B2875"/>
    <w:rsid w:val="007B3747"/>
    <w:rsid w:val="007B3F11"/>
    <w:rsid w:val="007B4C5A"/>
    <w:rsid w:val="007B6529"/>
    <w:rsid w:val="007B6AD0"/>
    <w:rsid w:val="007B6BA5"/>
    <w:rsid w:val="007B7182"/>
    <w:rsid w:val="007B7396"/>
    <w:rsid w:val="007C0D73"/>
    <w:rsid w:val="007C1116"/>
    <w:rsid w:val="007C1923"/>
    <w:rsid w:val="007C1B62"/>
    <w:rsid w:val="007C26E4"/>
    <w:rsid w:val="007C3273"/>
    <w:rsid w:val="007C3390"/>
    <w:rsid w:val="007C34E8"/>
    <w:rsid w:val="007C3CEB"/>
    <w:rsid w:val="007C4D3F"/>
    <w:rsid w:val="007C4F4B"/>
    <w:rsid w:val="007C50C2"/>
    <w:rsid w:val="007C59E1"/>
    <w:rsid w:val="007C62F7"/>
    <w:rsid w:val="007C63CB"/>
    <w:rsid w:val="007C6777"/>
    <w:rsid w:val="007C6D5A"/>
    <w:rsid w:val="007C6D68"/>
    <w:rsid w:val="007C70C3"/>
    <w:rsid w:val="007C7F69"/>
    <w:rsid w:val="007D008A"/>
    <w:rsid w:val="007D034A"/>
    <w:rsid w:val="007D05D6"/>
    <w:rsid w:val="007D06A5"/>
    <w:rsid w:val="007D1E50"/>
    <w:rsid w:val="007D2A4D"/>
    <w:rsid w:val="007D2CDC"/>
    <w:rsid w:val="007D4896"/>
    <w:rsid w:val="007D530F"/>
    <w:rsid w:val="007D5327"/>
    <w:rsid w:val="007D557B"/>
    <w:rsid w:val="007D6131"/>
    <w:rsid w:val="007D6800"/>
    <w:rsid w:val="007D72F1"/>
    <w:rsid w:val="007D7AF4"/>
    <w:rsid w:val="007E10C5"/>
    <w:rsid w:val="007E1256"/>
    <w:rsid w:val="007E16C5"/>
    <w:rsid w:val="007E351D"/>
    <w:rsid w:val="007E5385"/>
    <w:rsid w:val="007E5B25"/>
    <w:rsid w:val="007E7405"/>
    <w:rsid w:val="007E768E"/>
    <w:rsid w:val="007F0614"/>
    <w:rsid w:val="007F0BFF"/>
    <w:rsid w:val="007F176A"/>
    <w:rsid w:val="007F1E41"/>
    <w:rsid w:val="007F1F90"/>
    <w:rsid w:val="007F22EA"/>
    <w:rsid w:val="007F310F"/>
    <w:rsid w:val="007F3308"/>
    <w:rsid w:val="007F3354"/>
    <w:rsid w:val="007F3621"/>
    <w:rsid w:val="007F3724"/>
    <w:rsid w:val="007F3AAE"/>
    <w:rsid w:val="007F40D4"/>
    <w:rsid w:val="007F439F"/>
    <w:rsid w:val="007F46F9"/>
    <w:rsid w:val="007F47CA"/>
    <w:rsid w:val="007F4E3B"/>
    <w:rsid w:val="007F542D"/>
    <w:rsid w:val="007F5525"/>
    <w:rsid w:val="007F5C3F"/>
    <w:rsid w:val="007F5F23"/>
    <w:rsid w:val="007F62DB"/>
    <w:rsid w:val="007F6611"/>
    <w:rsid w:val="007F6C62"/>
    <w:rsid w:val="007F7490"/>
    <w:rsid w:val="007F7F11"/>
    <w:rsid w:val="008009C1"/>
    <w:rsid w:val="00801865"/>
    <w:rsid w:val="00801AA5"/>
    <w:rsid w:val="00803458"/>
    <w:rsid w:val="00806E3A"/>
    <w:rsid w:val="00810D87"/>
    <w:rsid w:val="00811B6E"/>
    <w:rsid w:val="0081229C"/>
    <w:rsid w:val="00812CD3"/>
    <w:rsid w:val="0081354E"/>
    <w:rsid w:val="008155C3"/>
    <w:rsid w:val="00815AA7"/>
    <w:rsid w:val="008164D7"/>
    <w:rsid w:val="008168CE"/>
    <w:rsid w:val="00816AC7"/>
    <w:rsid w:val="00816ADD"/>
    <w:rsid w:val="00816D55"/>
    <w:rsid w:val="00817585"/>
    <w:rsid w:val="008175E9"/>
    <w:rsid w:val="008176BE"/>
    <w:rsid w:val="00817A16"/>
    <w:rsid w:val="00817BEA"/>
    <w:rsid w:val="00820873"/>
    <w:rsid w:val="00820E23"/>
    <w:rsid w:val="008211DB"/>
    <w:rsid w:val="00821490"/>
    <w:rsid w:val="0082243E"/>
    <w:rsid w:val="00822764"/>
    <w:rsid w:val="00822844"/>
    <w:rsid w:val="0082296F"/>
    <w:rsid w:val="00822E17"/>
    <w:rsid w:val="00822E7A"/>
    <w:rsid w:val="00823C4F"/>
    <w:rsid w:val="008242D7"/>
    <w:rsid w:val="00825464"/>
    <w:rsid w:val="008258EE"/>
    <w:rsid w:val="00825B48"/>
    <w:rsid w:val="00825D8B"/>
    <w:rsid w:val="00825D95"/>
    <w:rsid w:val="00825F5D"/>
    <w:rsid w:val="00826765"/>
    <w:rsid w:val="008270BF"/>
    <w:rsid w:val="00827CCE"/>
    <w:rsid w:val="0083044F"/>
    <w:rsid w:val="008309B5"/>
    <w:rsid w:val="00830C06"/>
    <w:rsid w:val="00830C58"/>
    <w:rsid w:val="00830ED5"/>
    <w:rsid w:val="00831323"/>
    <w:rsid w:val="008314EF"/>
    <w:rsid w:val="00831732"/>
    <w:rsid w:val="00832536"/>
    <w:rsid w:val="00832871"/>
    <w:rsid w:val="008330FF"/>
    <w:rsid w:val="008338EA"/>
    <w:rsid w:val="008338F8"/>
    <w:rsid w:val="00833D9E"/>
    <w:rsid w:val="0083446E"/>
    <w:rsid w:val="00835295"/>
    <w:rsid w:val="0083651A"/>
    <w:rsid w:val="00836546"/>
    <w:rsid w:val="008367A9"/>
    <w:rsid w:val="00836DB7"/>
    <w:rsid w:val="00837002"/>
    <w:rsid w:val="0083708F"/>
    <w:rsid w:val="00840EA4"/>
    <w:rsid w:val="0084199A"/>
    <w:rsid w:val="00842240"/>
    <w:rsid w:val="0084326D"/>
    <w:rsid w:val="00843EB8"/>
    <w:rsid w:val="00845A6D"/>
    <w:rsid w:val="0084794F"/>
    <w:rsid w:val="008504CE"/>
    <w:rsid w:val="008506DF"/>
    <w:rsid w:val="008506F5"/>
    <w:rsid w:val="00851FA7"/>
    <w:rsid w:val="00852093"/>
    <w:rsid w:val="00852147"/>
    <w:rsid w:val="00853DE1"/>
    <w:rsid w:val="0085406E"/>
    <w:rsid w:val="008557E9"/>
    <w:rsid w:val="00856351"/>
    <w:rsid w:val="008565FC"/>
    <w:rsid w:val="00856882"/>
    <w:rsid w:val="00856CD2"/>
    <w:rsid w:val="00856D27"/>
    <w:rsid w:val="008575F3"/>
    <w:rsid w:val="00857E9C"/>
    <w:rsid w:val="00860E2E"/>
    <w:rsid w:val="00861BC6"/>
    <w:rsid w:val="00861F01"/>
    <w:rsid w:val="0086224F"/>
    <w:rsid w:val="00863028"/>
    <w:rsid w:val="00863502"/>
    <w:rsid w:val="0086598E"/>
    <w:rsid w:val="008669BC"/>
    <w:rsid w:val="00866B9D"/>
    <w:rsid w:val="00866F83"/>
    <w:rsid w:val="00867891"/>
    <w:rsid w:val="008704D5"/>
    <w:rsid w:val="00871E56"/>
    <w:rsid w:val="00871FD5"/>
    <w:rsid w:val="0087218A"/>
    <w:rsid w:val="0087258C"/>
    <w:rsid w:val="0087267C"/>
    <w:rsid w:val="00872B2A"/>
    <w:rsid w:val="00872CC4"/>
    <w:rsid w:val="00872ECA"/>
    <w:rsid w:val="00872FE7"/>
    <w:rsid w:val="0087308F"/>
    <w:rsid w:val="008732CE"/>
    <w:rsid w:val="00874A81"/>
    <w:rsid w:val="0087549C"/>
    <w:rsid w:val="00875E88"/>
    <w:rsid w:val="008770C7"/>
    <w:rsid w:val="008819D3"/>
    <w:rsid w:val="00881D97"/>
    <w:rsid w:val="00882AE8"/>
    <w:rsid w:val="00882BC8"/>
    <w:rsid w:val="008830EF"/>
    <w:rsid w:val="00883160"/>
    <w:rsid w:val="008831A0"/>
    <w:rsid w:val="00883C58"/>
    <w:rsid w:val="00883DA1"/>
    <w:rsid w:val="008847BB"/>
    <w:rsid w:val="008850EF"/>
    <w:rsid w:val="00890289"/>
    <w:rsid w:val="0089116E"/>
    <w:rsid w:val="0089138F"/>
    <w:rsid w:val="00893351"/>
    <w:rsid w:val="00893BBD"/>
    <w:rsid w:val="008942EA"/>
    <w:rsid w:val="00894843"/>
    <w:rsid w:val="00895B00"/>
    <w:rsid w:val="00895E25"/>
    <w:rsid w:val="00895F29"/>
    <w:rsid w:val="008972D7"/>
    <w:rsid w:val="008979B1"/>
    <w:rsid w:val="00897C15"/>
    <w:rsid w:val="00897D2C"/>
    <w:rsid w:val="008A0A58"/>
    <w:rsid w:val="008A0C4E"/>
    <w:rsid w:val="008A0F3C"/>
    <w:rsid w:val="008A1EB8"/>
    <w:rsid w:val="008A1EE8"/>
    <w:rsid w:val="008A1FD0"/>
    <w:rsid w:val="008A2017"/>
    <w:rsid w:val="008A3BD6"/>
    <w:rsid w:val="008A3ED7"/>
    <w:rsid w:val="008A3EFB"/>
    <w:rsid w:val="008A5413"/>
    <w:rsid w:val="008A564E"/>
    <w:rsid w:val="008A6221"/>
    <w:rsid w:val="008A638C"/>
    <w:rsid w:val="008A6B25"/>
    <w:rsid w:val="008A6C4F"/>
    <w:rsid w:val="008A6F15"/>
    <w:rsid w:val="008A762F"/>
    <w:rsid w:val="008A7A02"/>
    <w:rsid w:val="008B083F"/>
    <w:rsid w:val="008B099D"/>
    <w:rsid w:val="008B09A7"/>
    <w:rsid w:val="008B0C2D"/>
    <w:rsid w:val="008B0FC9"/>
    <w:rsid w:val="008B1100"/>
    <w:rsid w:val="008B172D"/>
    <w:rsid w:val="008B1E32"/>
    <w:rsid w:val="008B1ED3"/>
    <w:rsid w:val="008B273E"/>
    <w:rsid w:val="008B3192"/>
    <w:rsid w:val="008B40A6"/>
    <w:rsid w:val="008B4468"/>
    <w:rsid w:val="008B4B02"/>
    <w:rsid w:val="008B516C"/>
    <w:rsid w:val="008B6A2E"/>
    <w:rsid w:val="008B72DF"/>
    <w:rsid w:val="008B74D5"/>
    <w:rsid w:val="008B76F4"/>
    <w:rsid w:val="008C0E20"/>
    <w:rsid w:val="008C1751"/>
    <w:rsid w:val="008C1E4D"/>
    <w:rsid w:val="008C1FE5"/>
    <w:rsid w:val="008C3627"/>
    <w:rsid w:val="008C36AD"/>
    <w:rsid w:val="008C4782"/>
    <w:rsid w:val="008C49E7"/>
    <w:rsid w:val="008C5219"/>
    <w:rsid w:val="008C5290"/>
    <w:rsid w:val="008C6358"/>
    <w:rsid w:val="008C722C"/>
    <w:rsid w:val="008D0B9D"/>
    <w:rsid w:val="008D173C"/>
    <w:rsid w:val="008D206C"/>
    <w:rsid w:val="008D21BD"/>
    <w:rsid w:val="008D269C"/>
    <w:rsid w:val="008D30A1"/>
    <w:rsid w:val="008D30DC"/>
    <w:rsid w:val="008D3E09"/>
    <w:rsid w:val="008D41ED"/>
    <w:rsid w:val="008D5544"/>
    <w:rsid w:val="008D5879"/>
    <w:rsid w:val="008D6702"/>
    <w:rsid w:val="008D67E7"/>
    <w:rsid w:val="008D6A5A"/>
    <w:rsid w:val="008D6E5F"/>
    <w:rsid w:val="008D71B5"/>
    <w:rsid w:val="008D7867"/>
    <w:rsid w:val="008D7CDD"/>
    <w:rsid w:val="008E0B18"/>
    <w:rsid w:val="008E0E46"/>
    <w:rsid w:val="008E0E54"/>
    <w:rsid w:val="008E1716"/>
    <w:rsid w:val="008E1953"/>
    <w:rsid w:val="008E1BB1"/>
    <w:rsid w:val="008E2793"/>
    <w:rsid w:val="008E3440"/>
    <w:rsid w:val="008E43AE"/>
    <w:rsid w:val="008E5A05"/>
    <w:rsid w:val="008E67C8"/>
    <w:rsid w:val="008E741D"/>
    <w:rsid w:val="008E7698"/>
    <w:rsid w:val="008E7AB5"/>
    <w:rsid w:val="008F2C7E"/>
    <w:rsid w:val="008F336D"/>
    <w:rsid w:val="008F3953"/>
    <w:rsid w:val="008F3D43"/>
    <w:rsid w:val="008F4C2F"/>
    <w:rsid w:val="008F4DFA"/>
    <w:rsid w:val="008F58C7"/>
    <w:rsid w:val="008F5D40"/>
    <w:rsid w:val="008F637D"/>
    <w:rsid w:val="008F6984"/>
    <w:rsid w:val="008F781E"/>
    <w:rsid w:val="008F7F9A"/>
    <w:rsid w:val="009001AF"/>
    <w:rsid w:val="0090112E"/>
    <w:rsid w:val="00901CC6"/>
    <w:rsid w:val="009022C2"/>
    <w:rsid w:val="00902B41"/>
    <w:rsid w:val="009033A2"/>
    <w:rsid w:val="0090452C"/>
    <w:rsid w:val="00904C6F"/>
    <w:rsid w:val="00905381"/>
    <w:rsid w:val="00905A3F"/>
    <w:rsid w:val="00906029"/>
    <w:rsid w:val="00906B62"/>
    <w:rsid w:val="00906ECF"/>
    <w:rsid w:val="009076F7"/>
    <w:rsid w:val="00907C3F"/>
    <w:rsid w:val="00910041"/>
    <w:rsid w:val="009108AE"/>
    <w:rsid w:val="00910FDD"/>
    <w:rsid w:val="00913678"/>
    <w:rsid w:val="00913A5E"/>
    <w:rsid w:val="00913E51"/>
    <w:rsid w:val="009144D8"/>
    <w:rsid w:val="009148F3"/>
    <w:rsid w:val="00915052"/>
    <w:rsid w:val="00915AC6"/>
    <w:rsid w:val="00915F43"/>
    <w:rsid w:val="00915FCC"/>
    <w:rsid w:val="009162A1"/>
    <w:rsid w:val="00920608"/>
    <w:rsid w:val="009206E0"/>
    <w:rsid w:val="00920700"/>
    <w:rsid w:val="009209BB"/>
    <w:rsid w:val="009210EA"/>
    <w:rsid w:val="00921A13"/>
    <w:rsid w:val="00921FF9"/>
    <w:rsid w:val="0092237C"/>
    <w:rsid w:val="009228CB"/>
    <w:rsid w:val="00923437"/>
    <w:rsid w:val="00923851"/>
    <w:rsid w:val="0092386F"/>
    <w:rsid w:val="0092460C"/>
    <w:rsid w:val="00924C9E"/>
    <w:rsid w:val="00925095"/>
    <w:rsid w:val="00925554"/>
    <w:rsid w:val="00925DBF"/>
    <w:rsid w:val="00926698"/>
    <w:rsid w:val="00930AC5"/>
    <w:rsid w:val="00931199"/>
    <w:rsid w:val="00931B2C"/>
    <w:rsid w:val="009325D7"/>
    <w:rsid w:val="0093265A"/>
    <w:rsid w:val="00932896"/>
    <w:rsid w:val="0093374C"/>
    <w:rsid w:val="00933E30"/>
    <w:rsid w:val="00934226"/>
    <w:rsid w:val="00935F2E"/>
    <w:rsid w:val="009365A0"/>
    <w:rsid w:val="009369D5"/>
    <w:rsid w:val="0093707B"/>
    <w:rsid w:val="00937C38"/>
    <w:rsid w:val="00937D66"/>
    <w:rsid w:val="009400EB"/>
    <w:rsid w:val="00940DEB"/>
    <w:rsid w:val="00940FBA"/>
    <w:rsid w:val="00941790"/>
    <w:rsid w:val="00941DC9"/>
    <w:rsid w:val="009427E3"/>
    <w:rsid w:val="009439C3"/>
    <w:rsid w:val="009440B5"/>
    <w:rsid w:val="00944ADA"/>
    <w:rsid w:val="00944C53"/>
    <w:rsid w:val="009455C2"/>
    <w:rsid w:val="0094598A"/>
    <w:rsid w:val="009459E1"/>
    <w:rsid w:val="00945A43"/>
    <w:rsid w:val="00945BD2"/>
    <w:rsid w:val="00946575"/>
    <w:rsid w:val="009478DF"/>
    <w:rsid w:val="00947B77"/>
    <w:rsid w:val="009507F5"/>
    <w:rsid w:val="0095090F"/>
    <w:rsid w:val="00950AC4"/>
    <w:rsid w:val="009510F5"/>
    <w:rsid w:val="0095124A"/>
    <w:rsid w:val="00952656"/>
    <w:rsid w:val="009537B4"/>
    <w:rsid w:val="0095433C"/>
    <w:rsid w:val="00955D35"/>
    <w:rsid w:val="00956D9B"/>
    <w:rsid w:val="00957612"/>
    <w:rsid w:val="00957974"/>
    <w:rsid w:val="00957F53"/>
    <w:rsid w:val="00960474"/>
    <w:rsid w:val="00960C89"/>
    <w:rsid w:val="00960F66"/>
    <w:rsid w:val="009610C9"/>
    <w:rsid w:val="00961956"/>
    <w:rsid w:val="009634BC"/>
    <w:rsid w:val="009634F2"/>
    <w:rsid w:val="00963A00"/>
    <w:rsid w:val="00963CBA"/>
    <w:rsid w:val="009640E7"/>
    <w:rsid w:val="00964AB0"/>
    <w:rsid w:val="00965356"/>
    <w:rsid w:val="009654B7"/>
    <w:rsid w:val="00965766"/>
    <w:rsid w:val="00965EF7"/>
    <w:rsid w:val="0096603C"/>
    <w:rsid w:val="00966491"/>
    <w:rsid w:val="00966CCB"/>
    <w:rsid w:val="00967C16"/>
    <w:rsid w:val="0097027D"/>
    <w:rsid w:val="009705C3"/>
    <w:rsid w:val="009712F4"/>
    <w:rsid w:val="00972A91"/>
    <w:rsid w:val="009748A4"/>
    <w:rsid w:val="0097579E"/>
    <w:rsid w:val="00975C61"/>
    <w:rsid w:val="00975DD2"/>
    <w:rsid w:val="00976CD2"/>
    <w:rsid w:val="00980636"/>
    <w:rsid w:val="00980773"/>
    <w:rsid w:val="00980776"/>
    <w:rsid w:val="00981149"/>
    <w:rsid w:val="00982293"/>
    <w:rsid w:val="00983D9E"/>
    <w:rsid w:val="00984682"/>
    <w:rsid w:val="00984886"/>
    <w:rsid w:val="00985BEF"/>
    <w:rsid w:val="00985FF2"/>
    <w:rsid w:val="00987DAA"/>
    <w:rsid w:val="0099038A"/>
    <w:rsid w:val="0099102C"/>
    <w:rsid w:val="00991261"/>
    <w:rsid w:val="0099162F"/>
    <w:rsid w:val="009926B6"/>
    <w:rsid w:val="00993399"/>
    <w:rsid w:val="00993B02"/>
    <w:rsid w:val="009943E7"/>
    <w:rsid w:val="0099456C"/>
    <w:rsid w:val="009957B9"/>
    <w:rsid w:val="00995ECE"/>
    <w:rsid w:val="00996760"/>
    <w:rsid w:val="00997475"/>
    <w:rsid w:val="009977E6"/>
    <w:rsid w:val="00997864"/>
    <w:rsid w:val="00997BC4"/>
    <w:rsid w:val="00997F4B"/>
    <w:rsid w:val="009A04AE"/>
    <w:rsid w:val="009A0B83"/>
    <w:rsid w:val="009A161E"/>
    <w:rsid w:val="009A1BD5"/>
    <w:rsid w:val="009A1E1F"/>
    <w:rsid w:val="009A2470"/>
    <w:rsid w:val="009A2568"/>
    <w:rsid w:val="009A2622"/>
    <w:rsid w:val="009A34FA"/>
    <w:rsid w:val="009A3793"/>
    <w:rsid w:val="009A43F3"/>
    <w:rsid w:val="009A4B5A"/>
    <w:rsid w:val="009A51AE"/>
    <w:rsid w:val="009A65EC"/>
    <w:rsid w:val="009B00D5"/>
    <w:rsid w:val="009B02D9"/>
    <w:rsid w:val="009B05F2"/>
    <w:rsid w:val="009B08DC"/>
    <w:rsid w:val="009B185F"/>
    <w:rsid w:val="009B19DE"/>
    <w:rsid w:val="009B1EA4"/>
    <w:rsid w:val="009B3800"/>
    <w:rsid w:val="009B41C0"/>
    <w:rsid w:val="009B5081"/>
    <w:rsid w:val="009B5160"/>
    <w:rsid w:val="009B52AF"/>
    <w:rsid w:val="009B6730"/>
    <w:rsid w:val="009B6B5E"/>
    <w:rsid w:val="009B7D78"/>
    <w:rsid w:val="009C05E1"/>
    <w:rsid w:val="009C088D"/>
    <w:rsid w:val="009C0EDC"/>
    <w:rsid w:val="009C16F9"/>
    <w:rsid w:val="009C1CFF"/>
    <w:rsid w:val="009C2208"/>
    <w:rsid w:val="009C2863"/>
    <w:rsid w:val="009C3885"/>
    <w:rsid w:val="009C3A70"/>
    <w:rsid w:val="009C4417"/>
    <w:rsid w:val="009C49B7"/>
    <w:rsid w:val="009C6235"/>
    <w:rsid w:val="009C65B5"/>
    <w:rsid w:val="009C7BBE"/>
    <w:rsid w:val="009C7EE6"/>
    <w:rsid w:val="009D07EE"/>
    <w:rsid w:val="009D0C92"/>
    <w:rsid w:val="009D14F1"/>
    <w:rsid w:val="009D1984"/>
    <w:rsid w:val="009D1BC9"/>
    <w:rsid w:val="009D22AC"/>
    <w:rsid w:val="009D299E"/>
    <w:rsid w:val="009D474B"/>
    <w:rsid w:val="009D47D1"/>
    <w:rsid w:val="009D4806"/>
    <w:rsid w:val="009D50DB"/>
    <w:rsid w:val="009D5C0F"/>
    <w:rsid w:val="009D69FB"/>
    <w:rsid w:val="009D6CEF"/>
    <w:rsid w:val="009D6E15"/>
    <w:rsid w:val="009D7640"/>
    <w:rsid w:val="009E0476"/>
    <w:rsid w:val="009E0FD9"/>
    <w:rsid w:val="009E11D3"/>
    <w:rsid w:val="009E1347"/>
    <w:rsid w:val="009E1C4E"/>
    <w:rsid w:val="009E2557"/>
    <w:rsid w:val="009E360F"/>
    <w:rsid w:val="009E3989"/>
    <w:rsid w:val="009E47F1"/>
    <w:rsid w:val="009E5261"/>
    <w:rsid w:val="009E6D3A"/>
    <w:rsid w:val="009E743B"/>
    <w:rsid w:val="009E7509"/>
    <w:rsid w:val="009F0086"/>
    <w:rsid w:val="009F0720"/>
    <w:rsid w:val="009F0984"/>
    <w:rsid w:val="009F11FF"/>
    <w:rsid w:val="009F18F2"/>
    <w:rsid w:val="009F1BA1"/>
    <w:rsid w:val="009F1E13"/>
    <w:rsid w:val="009F23F1"/>
    <w:rsid w:val="009F3A5F"/>
    <w:rsid w:val="009F4E9B"/>
    <w:rsid w:val="009F5318"/>
    <w:rsid w:val="009F5475"/>
    <w:rsid w:val="009F6246"/>
    <w:rsid w:val="009F64ED"/>
    <w:rsid w:val="009F7469"/>
    <w:rsid w:val="009F7F2B"/>
    <w:rsid w:val="00A000AA"/>
    <w:rsid w:val="00A0036A"/>
    <w:rsid w:val="00A00461"/>
    <w:rsid w:val="00A00893"/>
    <w:rsid w:val="00A011CC"/>
    <w:rsid w:val="00A027AE"/>
    <w:rsid w:val="00A03DBB"/>
    <w:rsid w:val="00A04052"/>
    <w:rsid w:val="00A04273"/>
    <w:rsid w:val="00A0518D"/>
    <w:rsid w:val="00A058A1"/>
    <w:rsid w:val="00A05E0B"/>
    <w:rsid w:val="00A06C7A"/>
    <w:rsid w:val="00A0706B"/>
    <w:rsid w:val="00A07540"/>
    <w:rsid w:val="00A10590"/>
    <w:rsid w:val="00A10822"/>
    <w:rsid w:val="00A10D52"/>
    <w:rsid w:val="00A11032"/>
    <w:rsid w:val="00A126CB"/>
    <w:rsid w:val="00A12F71"/>
    <w:rsid w:val="00A139F2"/>
    <w:rsid w:val="00A13EE1"/>
    <w:rsid w:val="00A1427D"/>
    <w:rsid w:val="00A14C27"/>
    <w:rsid w:val="00A1542E"/>
    <w:rsid w:val="00A15521"/>
    <w:rsid w:val="00A155BC"/>
    <w:rsid w:val="00A15862"/>
    <w:rsid w:val="00A15BAF"/>
    <w:rsid w:val="00A161B3"/>
    <w:rsid w:val="00A16C0F"/>
    <w:rsid w:val="00A170AE"/>
    <w:rsid w:val="00A178D9"/>
    <w:rsid w:val="00A17F15"/>
    <w:rsid w:val="00A20535"/>
    <w:rsid w:val="00A20673"/>
    <w:rsid w:val="00A20905"/>
    <w:rsid w:val="00A20BBE"/>
    <w:rsid w:val="00A215AC"/>
    <w:rsid w:val="00A21BA8"/>
    <w:rsid w:val="00A22471"/>
    <w:rsid w:val="00A22EA8"/>
    <w:rsid w:val="00A2377C"/>
    <w:rsid w:val="00A238B7"/>
    <w:rsid w:val="00A24F8B"/>
    <w:rsid w:val="00A251D4"/>
    <w:rsid w:val="00A25E98"/>
    <w:rsid w:val="00A2689B"/>
    <w:rsid w:val="00A26BE7"/>
    <w:rsid w:val="00A273E8"/>
    <w:rsid w:val="00A2770A"/>
    <w:rsid w:val="00A27F5C"/>
    <w:rsid w:val="00A3006A"/>
    <w:rsid w:val="00A30584"/>
    <w:rsid w:val="00A30A78"/>
    <w:rsid w:val="00A314E5"/>
    <w:rsid w:val="00A32E21"/>
    <w:rsid w:val="00A337CB"/>
    <w:rsid w:val="00A33992"/>
    <w:rsid w:val="00A34674"/>
    <w:rsid w:val="00A346F5"/>
    <w:rsid w:val="00A35967"/>
    <w:rsid w:val="00A35E2C"/>
    <w:rsid w:val="00A36AF2"/>
    <w:rsid w:val="00A3778D"/>
    <w:rsid w:val="00A37D23"/>
    <w:rsid w:val="00A37EE2"/>
    <w:rsid w:val="00A40663"/>
    <w:rsid w:val="00A40965"/>
    <w:rsid w:val="00A410D9"/>
    <w:rsid w:val="00A427D7"/>
    <w:rsid w:val="00A439EA"/>
    <w:rsid w:val="00A44148"/>
    <w:rsid w:val="00A44B59"/>
    <w:rsid w:val="00A4620F"/>
    <w:rsid w:val="00A4634F"/>
    <w:rsid w:val="00A4695D"/>
    <w:rsid w:val="00A47EFE"/>
    <w:rsid w:val="00A50060"/>
    <w:rsid w:val="00A5195B"/>
    <w:rsid w:val="00A51CF3"/>
    <w:rsid w:val="00A5248D"/>
    <w:rsid w:val="00A527C1"/>
    <w:rsid w:val="00A52AF7"/>
    <w:rsid w:val="00A532B6"/>
    <w:rsid w:val="00A5357E"/>
    <w:rsid w:val="00A5369E"/>
    <w:rsid w:val="00A548A7"/>
    <w:rsid w:val="00A54E95"/>
    <w:rsid w:val="00A5608B"/>
    <w:rsid w:val="00A568E6"/>
    <w:rsid w:val="00A5726C"/>
    <w:rsid w:val="00A57E2F"/>
    <w:rsid w:val="00A60177"/>
    <w:rsid w:val="00A610CC"/>
    <w:rsid w:val="00A620FC"/>
    <w:rsid w:val="00A621BE"/>
    <w:rsid w:val="00A6326E"/>
    <w:rsid w:val="00A633BF"/>
    <w:rsid w:val="00A65D9B"/>
    <w:rsid w:val="00A65E59"/>
    <w:rsid w:val="00A6785E"/>
    <w:rsid w:val="00A67BEA"/>
    <w:rsid w:val="00A67D09"/>
    <w:rsid w:val="00A7052B"/>
    <w:rsid w:val="00A707AB"/>
    <w:rsid w:val="00A70E9B"/>
    <w:rsid w:val="00A71AF9"/>
    <w:rsid w:val="00A71B48"/>
    <w:rsid w:val="00A72413"/>
    <w:rsid w:val="00A7282A"/>
    <w:rsid w:val="00A72F22"/>
    <w:rsid w:val="00A732C9"/>
    <w:rsid w:val="00A732FA"/>
    <w:rsid w:val="00A7368B"/>
    <w:rsid w:val="00A73D32"/>
    <w:rsid w:val="00A73F00"/>
    <w:rsid w:val="00A742BB"/>
    <w:rsid w:val="00A7482B"/>
    <w:rsid w:val="00A748A6"/>
    <w:rsid w:val="00A74900"/>
    <w:rsid w:val="00A7500A"/>
    <w:rsid w:val="00A80414"/>
    <w:rsid w:val="00A809ED"/>
    <w:rsid w:val="00A80F0B"/>
    <w:rsid w:val="00A8154F"/>
    <w:rsid w:val="00A82B15"/>
    <w:rsid w:val="00A84A4C"/>
    <w:rsid w:val="00A85178"/>
    <w:rsid w:val="00A8601F"/>
    <w:rsid w:val="00A860B9"/>
    <w:rsid w:val="00A86414"/>
    <w:rsid w:val="00A86B18"/>
    <w:rsid w:val="00A876B8"/>
    <w:rsid w:val="00A879A4"/>
    <w:rsid w:val="00A87E95"/>
    <w:rsid w:val="00A9041A"/>
    <w:rsid w:val="00A9080E"/>
    <w:rsid w:val="00A90ED8"/>
    <w:rsid w:val="00A910F9"/>
    <w:rsid w:val="00A92E29"/>
    <w:rsid w:val="00A941D3"/>
    <w:rsid w:val="00A94D1C"/>
    <w:rsid w:val="00A94EF9"/>
    <w:rsid w:val="00A95958"/>
    <w:rsid w:val="00A96498"/>
    <w:rsid w:val="00A9676B"/>
    <w:rsid w:val="00A9725A"/>
    <w:rsid w:val="00A97EC8"/>
    <w:rsid w:val="00AA01AE"/>
    <w:rsid w:val="00AA0907"/>
    <w:rsid w:val="00AA0C68"/>
    <w:rsid w:val="00AA1F81"/>
    <w:rsid w:val="00AA41B8"/>
    <w:rsid w:val="00AA44B9"/>
    <w:rsid w:val="00AA4E75"/>
    <w:rsid w:val="00AA5871"/>
    <w:rsid w:val="00AA596F"/>
    <w:rsid w:val="00AA688E"/>
    <w:rsid w:val="00AA6FFA"/>
    <w:rsid w:val="00AA7494"/>
    <w:rsid w:val="00AA78C1"/>
    <w:rsid w:val="00AB0111"/>
    <w:rsid w:val="00AB03F3"/>
    <w:rsid w:val="00AB05D2"/>
    <w:rsid w:val="00AB1015"/>
    <w:rsid w:val="00AB1221"/>
    <w:rsid w:val="00AB13B2"/>
    <w:rsid w:val="00AB150A"/>
    <w:rsid w:val="00AB1569"/>
    <w:rsid w:val="00AB199D"/>
    <w:rsid w:val="00AB1C39"/>
    <w:rsid w:val="00AB1E2D"/>
    <w:rsid w:val="00AB1F9E"/>
    <w:rsid w:val="00AB2198"/>
    <w:rsid w:val="00AB2BC1"/>
    <w:rsid w:val="00AB2E00"/>
    <w:rsid w:val="00AB32CC"/>
    <w:rsid w:val="00AB37ED"/>
    <w:rsid w:val="00AB3A75"/>
    <w:rsid w:val="00AB4DF0"/>
    <w:rsid w:val="00AB5069"/>
    <w:rsid w:val="00AB5188"/>
    <w:rsid w:val="00AB51EA"/>
    <w:rsid w:val="00AB6340"/>
    <w:rsid w:val="00AB6412"/>
    <w:rsid w:val="00AB7246"/>
    <w:rsid w:val="00AB7F45"/>
    <w:rsid w:val="00AC021B"/>
    <w:rsid w:val="00AC02A9"/>
    <w:rsid w:val="00AC0B37"/>
    <w:rsid w:val="00AC1154"/>
    <w:rsid w:val="00AC2444"/>
    <w:rsid w:val="00AC27ED"/>
    <w:rsid w:val="00AC29A9"/>
    <w:rsid w:val="00AC3134"/>
    <w:rsid w:val="00AC41CE"/>
    <w:rsid w:val="00AC45BA"/>
    <w:rsid w:val="00AC4F85"/>
    <w:rsid w:val="00AC5AE2"/>
    <w:rsid w:val="00AC5C93"/>
    <w:rsid w:val="00AC61CE"/>
    <w:rsid w:val="00AC67F8"/>
    <w:rsid w:val="00AC6F45"/>
    <w:rsid w:val="00AD0088"/>
    <w:rsid w:val="00AD03A6"/>
    <w:rsid w:val="00AD09E9"/>
    <w:rsid w:val="00AD2175"/>
    <w:rsid w:val="00AD2527"/>
    <w:rsid w:val="00AD29FD"/>
    <w:rsid w:val="00AD2BC2"/>
    <w:rsid w:val="00AD2F61"/>
    <w:rsid w:val="00AD4116"/>
    <w:rsid w:val="00AD4162"/>
    <w:rsid w:val="00AD44E3"/>
    <w:rsid w:val="00AD4625"/>
    <w:rsid w:val="00AD4DEB"/>
    <w:rsid w:val="00AD51AE"/>
    <w:rsid w:val="00AD5220"/>
    <w:rsid w:val="00AD5366"/>
    <w:rsid w:val="00AD55DA"/>
    <w:rsid w:val="00AD6782"/>
    <w:rsid w:val="00AD67EF"/>
    <w:rsid w:val="00AE0A09"/>
    <w:rsid w:val="00AE0D60"/>
    <w:rsid w:val="00AE1AD2"/>
    <w:rsid w:val="00AE2178"/>
    <w:rsid w:val="00AE2222"/>
    <w:rsid w:val="00AE254A"/>
    <w:rsid w:val="00AE273C"/>
    <w:rsid w:val="00AE2ED6"/>
    <w:rsid w:val="00AE3D6B"/>
    <w:rsid w:val="00AE4265"/>
    <w:rsid w:val="00AE427C"/>
    <w:rsid w:val="00AE47D3"/>
    <w:rsid w:val="00AE557A"/>
    <w:rsid w:val="00AE5B20"/>
    <w:rsid w:val="00AE5E71"/>
    <w:rsid w:val="00AE650B"/>
    <w:rsid w:val="00AE7267"/>
    <w:rsid w:val="00AE7704"/>
    <w:rsid w:val="00AE77B1"/>
    <w:rsid w:val="00AF0177"/>
    <w:rsid w:val="00AF0576"/>
    <w:rsid w:val="00AF06B8"/>
    <w:rsid w:val="00AF0D8B"/>
    <w:rsid w:val="00AF1DA2"/>
    <w:rsid w:val="00AF2287"/>
    <w:rsid w:val="00AF2576"/>
    <w:rsid w:val="00AF3829"/>
    <w:rsid w:val="00AF419B"/>
    <w:rsid w:val="00AF4DCF"/>
    <w:rsid w:val="00AF6AB7"/>
    <w:rsid w:val="00AF6D68"/>
    <w:rsid w:val="00B000F2"/>
    <w:rsid w:val="00B0116E"/>
    <w:rsid w:val="00B0152E"/>
    <w:rsid w:val="00B022D4"/>
    <w:rsid w:val="00B02622"/>
    <w:rsid w:val="00B02CAD"/>
    <w:rsid w:val="00B0318A"/>
    <w:rsid w:val="00B037F0"/>
    <w:rsid w:val="00B04F48"/>
    <w:rsid w:val="00B056E2"/>
    <w:rsid w:val="00B05D69"/>
    <w:rsid w:val="00B06243"/>
    <w:rsid w:val="00B06AC7"/>
    <w:rsid w:val="00B06F90"/>
    <w:rsid w:val="00B103E7"/>
    <w:rsid w:val="00B10FC3"/>
    <w:rsid w:val="00B115F1"/>
    <w:rsid w:val="00B11B6E"/>
    <w:rsid w:val="00B12D82"/>
    <w:rsid w:val="00B1381C"/>
    <w:rsid w:val="00B139A0"/>
    <w:rsid w:val="00B13DF8"/>
    <w:rsid w:val="00B14D8B"/>
    <w:rsid w:val="00B1539D"/>
    <w:rsid w:val="00B1575C"/>
    <w:rsid w:val="00B15951"/>
    <w:rsid w:val="00B15C24"/>
    <w:rsid w:val="00B20301"/>
    <w:rsid w:val="00B20BAB"/>
    <w:rsid w:val="00B2192C"/>
    <w:rsid w:val="00B22F22"/>
    <w:rsid w:val="00B2327D"/>
    <w:rsid w:val="00B2394D"/>
    <w:rsid w:val="00B23CD8"/>
    <w:rsid w:val="00B24252"/>
    <w:rsid w:val="00B253A9"/>
    <w:rsid w:val="00B2597D"/>
    <w:rsid w:val="00B25BAF"/>
    <w:rsid w:val="00B26346"/>
    <w:rsid w:val="00B2718F"/>
    <w:rsid w:val="00B27578"/>
    <w:rsid w:val="00B30179"/>
    <w:rsid w:val="00B305CA"/>
    <w:rsid w:val="00B309A9"/>
    <w:rsid w:val="00B30EB5"/>
    <w:rsid w:val="00B325C1"/>
    <w:rsid w:val="00B32738"/>
    <w:rsid w:val="00B32B1D"/>
    <w:rsid w:val="00B3317B"/>
    <w:rsid w:val="00B334DC"/>
    <w:rsid w:val="00B33E47"/>
    <w:rsid w:val="00B3434F"/>
    <w:rsid w:val="00B35B0F"/>
    <w:rsid w:val="00B35FBC"/>
    <w:rsid w:val="00B3631A"/>
    <w:rsid w:val="00B36C42"/>
    <w:rsid w:val="00B372D9"/>
    <w:rsid w:val="00B3774F"/>
    <w:rsid w:val="00B40381"/>
    <w:rsid w:val="00B404CC"/>
    <w:rsid w:val="00B40A92"/>
    <w:rsid w:val="00B413BF"/>
    <w:rsid w:val="00B42DF8"/>
    <w:rsid w:val="00B43824"/>
    <w:rsid w:val="00B43D33"/>
    <w:rsid w:val="00B448CB"/>
    <w:rsid w:val="00B4524F"/>
    <w:rsid w:val="00B459EB"/>
    <w:rsid w:val="00B46282"/>
    <w:rsid w:val="00B46A04"/>
    <w:rsid w:val="00B46DFB"/>
    <w:rsid w:val="00B5013B"/>
    <w:rsid w:val="00B513D1"/>
    <w:rsid w:val="00B52204"/>
    <w:rsid w:val="00B52BAA"/>
    <w:rsid w:val="00B52CC9"/>
    <w:rsid w:val="00B53013"/>
    <w:rsid w:val="00B54703"/>
    <w:rsid w:val="00B5482F"/>
    <w:rsid w:val="00B55B83"/>
    <w:rsid w:val="00B561D2"/>
    <w:rsid w:val="00B56E56"/>
    <w:rsid w:val="00B6087B"/>
    <w:rsid w:val="00B60FAB"/>
    <w:rsid w:val="00B611E9"/>
    <w:rsid w:val="00B61236"/>
    <w:rsid w:val="00B62416"/>
    <w:rsid w:val="00B6297B"/>
    <w:rsid w:val="00B630F7"/>
    <w:rsid w:val="00B639A1"/>
    <w:rsid w:val="00B64C6D"/>
    <w:rsid w:val="00B65432"/>
    <w:rsid w:val="00B65471"/>
    <w:rsid w:val="00B66203"/>
    <w:rsid w:val="00B67129"/>
    <w:rsid w:val="00B678E4"/>
    <w:rsid w:val="00B67CEE"/>
    <w:rsid w:val="00B67E36"/>
    <w:rsid w:val="00B67F5E"/>
    <w:rsid w:val="00B70674"/>
    <w:rsid w:val="00B70D66"/>
    <w:rsid w:val="00B71121"/>
    <w:rsid w:val="00B714D4"/>
    <w:rsid w:val="00B719BA"/>
    <w:rsid w:val="00B724C4"/>
    <w:rsid w:val="00B73577"/>
    <w:rsid w:val="00B73E65"/>
    <w:rsid w:val="00B7436E"/>
    <w:rsid w:val="00B7493F"/>
    <w:rsid w:val="00B74C6C"/>
    <w:rsid w:val="00B750A1"/>
    <w:rsid w:val="00B7619E"/>
    <w:rsid w:val="00B763B2"/>
    <w:rsid w:val="00B7717D"/>
    <w:rsid w:val="00B7767F"/>
    <w:rsid w:val="00B77C5A"/>
    <w:rsid w:val="00B77F83"/>
    <w:rsid w:val="00B77FB8"/>
    <w:rsid w:val="00B801F5"/>
    <w:rsid w:val="00B809D9"/>
    <w:rsid w:val="00B80F69"/>
    <w:rsid w:val="00B81718"/>
    <w:rsid w:val="00B81E12"/>
    <w:rsid w:val="00B821D8"/>
    <w:rsid w:val="00B82742"/>
    <w:rsid w:val="00B82F65"/>
    <w:rsid w:val="00B834DE"/>
    <w:rsid w:val="00B83CB5"/>
    <w:rsid w:val="00B8438F"/>
    <w:rsid w:val="00B84552"/>
    <w:rsid w:val="00B8493D"/>
    <w:rsid w:val="00B84B54"/>
    <w:rsid w:val="00B84C03"/>
    <w:rsid w:val="00B85F08"/>
    <w:rsid w:val="00B86474"/>
    <w:rsid w:val="00B865BF"/>
    <w:rsid w:val="00B86960"/>
    <w:rsid w:val="00B86AE4"/>
    <w:rsid w:val="00B87110"/>
    <w:rsid w:val="00B87332"/>
    <w:rsid w:val="00B87D16"/>
    <w:rsid w:val="00B87DA1"/>
    <w:rsid w:val="00B87F03"/>
    <w:rsid w:val="00B900DA"/>
    <w:rsid w:val="00B90467"/>
    <w:rsid w:val="00B905C3"/>
    <w:rsid w:val="00B908DD"/>
    <w:rsid w:val="00B90B45"/>
    <w:rsid w:val="00B91D71"/>
    <w:rsid w:val="00B9323C"/>
    <w:rsid w:val="00B93926"/>
    <w:rsid w:val="00B93C66"/>
    <w:rsid w:val="00B95379"/>
    <w:rsid w:val="00B957CA"/>
    <w:rsid w:val="00B95F4A"/>
    <w:rsid w:val="00B9783E"/>
    <w:rsid w:val="00B978D6"/>
    <w:rsid w:val="00B97A41"/>
    <w:rsid w:val="00B97B7C"/>
    <w:rsid w:val="00B97D33"/>
    <w:rsid w:val="00B97F13"/>
    <w:rsid w:val="00B97FA8"/>
    <w:rsid w:val="00BA11D7"/>
    <w:rsid w:val="00BA161C"/>
    <w:rsid w:val="00BA19B9"/>
    <w:rsid w:val="00BA1ECD"/>
    <w:rsid w:val="00BA2E84"/>
    <w:rsid w:val="00BA3F6A"/>
    <w:rsid w:val="00BA44D9"/>
    <w:rsid w:val="00BA4724"/>
    <w:rsid w:val="00BA477B"/>
    <w:rsid w:val="00BA4C2C"/>
    <w:rsid w:val="00BA5FAA"/>
    <w:rsid w:val="00BA7967"/>
    <w:rsid w:val="00BB0964"/>
    <w:rsid w:val="00BB16F8"/>
    <w:rsid w:val="00BB31A3"/>
    <w:rsid w:val="00BB3C06"/>
    <w:rsid w:val="00BB3D20"/>
    <w:rsid w:val="00BB4218"/>
    <w:rsid w:val="00BB4CB8"/>
    <w:rsid w:val="00BB4CD9"/>
    <w:rsid w:val="00BB4D14"/>
    <w:rsid w:val="00BB54C0"/>
    <w:rsid w:val="00BB67A9"/>
    <w:rsid w:val="00BB695A"/>
    <w:rsid w:val="00BB7BE2"/>
    <w:rsid w:val="00BB7DF8"/>
    <w:rsid w:val="00BC0A18"/>
    <w:rsid w:val="00BC11C4"/>
    <w:rsid w:val="00BC11C8"/>
    <w:rsid w:val="00BC1385"/>
    <w:rsid w:val="00BC19AB"/>
    <w:rsid w:val="00BC2413"/>
    <w:rsid w:val="00BC2741"/>
    <w:rsid w:val="00BC30F2"/>
    <w:rsid w:val="00BC3EE2"/>
    <w:rsid w:val="00BC45F8"/>
    <w:rsid w:val="00BC46BF"/>
    <w:rsid w:val="00BC585C"/>
    <w:rsid w:val="00BC589E"/>
    <w:rsid w:val="00BC638F"/>
    <w:rsid w:val="00BC65C9"/>
    <w:rsid w:val="00BC6808"/>
    <w:rsid w:val="00BC68A4"/>
    <w:rsid w:val="00BC69F5"/>
    <w:rsid w:val="00BC74E9"/>
    <w:rsid w:val="00BC79EB"/>
    <w:rsid w:val="00BD07BB"/>
    <w:rsid w:val="00BD15EF"/>
    <w:rsid w:val="00BD1A12"/>
    <w:rsid w:val="00BD1C87"/>
    <w:rsid w:val="00BD22BF"/>
    <w:rsid w:val="00BD25E8"/>
    <w:rsid w:val="00BD2E73"/>
    <w:rsid w:val="00BD3933"/>
    <w:rsid w:val="00BD3BD3"/>
    <w:rsid w:val="00BD52DE"/>
    <w:rsid w:val="00BD6977"/>
    <w:rsid w:val="00BD7250"/>
    <w:rsid w:val="00BD73B6"/>
    <w:rsid w:val="00BD78F7"/>
    <w:rsid w:val="00BE0EDD"/>
    <w:rsid w:val="00BE1852"/>
    <w:rsid w:val="00BE1900"/>
    <w:rsid w:val="00BE2439"/>
    <w:rsid w:val="00BE2EDA"/>
    <w:rsid w:val="00BE379F"/>
    <w:rsid w:val="00BE3CFF"/>
    <w:rsid w:val="00BE42E0"/>
    <w:rsid w:val="00BE50FF"/>
    <w:rsid w:val="00BE5215"/>
    <w:rsid w:val="00BE60A6"/>
    <w:rsid w:val="00BE618E"/>
    <w:rsid w:val="00BE655C"/>
    <w:rsid w:val="00BE75B3"/>
    <w:rsid w:val="00BE762C"/>
    <w:rsid w:val="00BF1453"/>
    <w:rsid w:val="00BF1566"/>
    <w:rsid w:val="00BF24B4"/>
    <w:rsid w:val="00BF37B6"/>
    <w:rsid w:val="00BF38A0"/>
    <w:rsid w:val="00BF4287"/>
    <w:rsid w:val="00BF4ECE"/>
    <w:rsid w:val="00BF4F86"/>
    <w:rsid w:val="00BF5422"/>
    <w:rsid w:val="00BF572B"/>
    <w:rsid w:val="00BF5C75"/>
    <w:rsid w:val="00BF5F9F"/>
    <w:rsid w:val="00BF6329"/>
    <w:rsid w:val="00BF6547"/>
    <w:rsid w:val="00BF65EB"/>
    <w:rsid w:val="00BF67B6"/>
    <w:rsid w:val="00BF6EB9"/>
    <w:rsid w:val="00BF7072"/>
    <w:rsid w:val="00BF73B8"/>
    <w:rsid w:val="00BF752E"/>
    <w:rsid w:val="00BF7BFF"/>
    <w:rsid w:val="00C00F82"/>
    <w:rsid w:val="00C00F98"/>
    <w:rsid w:val="00C0225E"/>
    <w:rsid w:val="00C023E2"/>
    <w:rsid w:val="00C02AAD"/>
    <w:rsid w:val="00C033FC"/>
    <w:rsid w:val="00C03DFD"/>
    <w:rsid w:val="00C04160"/>
    <w:rsid w:val="00C04269"/>
    <w:rsid w:val="00C04729"/>
    <w:rsid w:val="00C04CB3"/>
    <w:rsid w:val="00C04E2D"/>
    <w:rsid w:val="00C04EA4"/>
    <w:rsid w:val="00C05F60"/>
    <w:rsid w:val="00C069B5"/>
    <w:rsid w:val="00C06D15"/>
    <w:rsid w:val="00C07FD2"/>
    <w:rsid w:val="00C10E09"/>
    <w:rsid w:val="00C115A2"/>
    <w:rsid w:val="00C11898"/>
    <w:rsid w:val="00C11C18"/>
    <w:rsid w:val="00C1227A"/>
    <w:rsid w:val="00C123C3"/>
    <w:rsid w:val="00C1290C"/>
    <w:rsid w:val="00C12CA4"/>
    <w:rsid w:val="00C13821"/>
    <w:rsid w:val="00C13BF7"/>
    <w:rsid w:val="00C1426E"/>
    <w:rsid w:val="00C145E3"/>
    <w:rsid w:val="00C152EF"/>
    <w:rsid w:val="00C16279"/>
    <w:rsid w:val="00C162E7"/>
    <w:rsid w:val="00C16D42"/>
    <w:rsid w:val="00C177D2"/>
    <w:rsid w:val="00C217E7"/>
    <w:rsid w:val="00C228F8"/>
    <w:rsid w:val="00C2304B"/>
    <w:rsid w:val="00C23752"/>
    <w:rsid w:val="00C23CA0"/>
    <w:rsid w:val="00C23DC8"/>
    <w:rsid w:val="00C23F55"/>
    <w:rsid w:val="00C24693"/>
    <w:rsid w:val="00C252FB"/>
    <w:rsid w:val="00C25780"/>
    <w:rsid w:val="00C2583F"/>
    <w:rsid w:val="00C25A9F"/>
    <w:rsid w:val="00C27382"/>
    <w:rsid w:val="00C27C13"/>
    <w:rsid w:val="00C30904"/>
    <w:rsid w:val="00C30C0B"/>
    <w:rsid w:val="00C32538"/>
    <w:rsid w:val="00C32B42"/>
    <w:rsid w:val="00C33D41"/>
    <w:rsid w:val="00C3520B"/>
    <w:rsid w:val="00C353BE"/>
    <w:rsid w:val="00C35F0B"/>
    <w:rsid w:val="00C367FC"/>
    <w:rsid w:val="00C36948"/>
    <w:rsid w:val="00C36BE3"/>
    <w:rsid w:val="00C36E46"/>
    <w:rsid w:val="00C37100"/>
    <w:rsid w:val="00C3760A"/>
    <w:rsid w:val="00C37639"/>
    <w:rsid w:val="00C377B0"/>
    <w:rsid w:val="00C40573"/>
    <w:rsid w:val="00C408E2"/>
    <w:rsid w:val="00C41E80"/>
    <w:rsid w:val="00C42138"/>
    <w:rsid w:val="00C4265C"/>
    <w:rsid w:val="00C42992"/>
    <w:rsid w:val="00C43418"/>
    <w:rsid w:val="00C44353"/>
    <w:rsid w:val="00C443B7"/>
    <w:rsid w:val="00C44ACA"/>
    <w:rsid w:val="00C454FC"/>
    <w:rsid w:val="00C457ED"/>
    <w:rsid w:val="00C463DD"/>
    <w:rsid w:val="00C4675A"/>
    <w:rsid w:val="00C46A85"/>
    <w:rsid w:val="00C47B2B"/>
    <w:rsid w:val="00C47D23"/>
    <w:rsid w:val="00C47E14"/>
    <w:rsid w:val="00C47E94"/>
    <w:rsid w:val="00C503F8"/>
    <w:rsid w:val="00C50CF0"/>
    <w:rsid w:val="00C518EF"/>
    <w:rsid w:val="00C52317"/>
    <w:rsid w:val="00C53A9B"/>
    <w:rsid w:val="00C53EC6"/>
    <w:rsid w:val="00C54549"/>
    <w:rsid w:val="00C54C2B"/>
    <w:rsid w:val="00C54E4B"/>
    <w:rsid w:val="00C553AC"/>
    <w:rsid w:val="00C5578A"/>
    <w:rsid w:val="00C5582B"/>
    <w:rsid w:val="00C5586A"/>
    <w:rsid w:val="00C55C98"/>
    <w:rsid w:val="00C55E39"/>
    <w:rsid w:val="00C56ABA"/>
    <w:rsid w:val="00C56E4C"/>
    <w:rsid w:val="00C57719"/>
    <w:rsid w:val="00C57C3F"/>
    <w:rsid w:val="00C57CAE"/>
    <w:rsid w:val="00C57DDA"/>
    <w:rsid w:val="00C607EF"/>
    <w:rsid w:val="00C60C40"/>
    <w:rsid w:val="00C61ADD"/>
    <w:rsid w:val="00C61ECE"/>
    <w:rsid w:val="00C61F03"/>
    <w:rsid w:val="00C62567"/>
    <w:rsid w:val="00C6293B"/>
    <w:rsid w:val="00C62A38"/>
    <w:rsid w:val="00C6363A"/>
    <w:rsid w:val="00C64458"/>
    <w:rsid w:val="00C64A6C"/>
    <w:rsid w:val="00C6508A"/>
    <w:rsid w:val="00C6532B"/>
    <w:rsid w:val="00C656FA"/>
    <w:rsid w:val="00C65C45"/>
    <w:rsid w:val="00C65C69"/>
    <w:rsid w:val="00C66B86"/>
    <w:rsid w:val="00C66D03"/>
    <w:rsid w:val="00C66D65"/>
    <w:rsid w:val="00C66F36"/>
    <w:rsid w:val="00C67FD6"/>
    <w:rsid w:val="00C7019B"/>
    <w:rsid w:val="00C70AAC"/>
    <w:rsid w:val="00C7186C"/>
    <w:rsid w:val="00C71E60"/>
    <w:rsid w:val="00C720C6"/>
    <w:rsid w:val="00C7264E"/>
    <w:rsid w:val="00C72D16"/>
    <w:rsid w:val="00C73D11"/>
    <w:rsid w:val="00C745C3"/>
    <w:rsid w:val="00C7489D"/>
    <w:rsid w:val="00C75ED7"/>
    <w:rsid w:val="00C764FC"/>
    <w:rsid w:val="00C76D20"/>
    <w:rsid w:val="00C775F4"/>
    <w:rsid w:val="00C802D6"/>
    <w:rsid w:val="00C803A6"/>
    <w:rsid w:val="00C80E3B"/>
    <w:rsid w:val="00C80EFC"/>
    <w:rsid w:val="00C818D8"/>
    <w:rsid w:val="00C82E7A"/>
    <w:rsid w:val="00C83420"/>
    <w:rsid w:val="00C84460"/>
    <w:rsid w:val="00C84CA9"/>
    <w:rsid w:val="00C861B4"/>
    <w:rsid w:val="00C861F4"/>
    <w:rsid w:val="00C87A95"/>
    <w:rsid w:val="00C87F17"/>
    <w:rsid w:val="00C9025F"/>
    <w:rsid w:val="00C9094A"/>
    <w:rsid w:val="00C90BF1"/>
    <w:rsid w:val="00C91007"/>
    <w:rsid w:val="00C910A7"/>
    <w:rsid w:val="00C910AE"/>
    <w:rsid w:val="00C913AC"/>
    <w:rsid w:val="00C91BFC"/>
    <w:rsid w:val="00C94341"/>
    <w:rsid w:val="00C94CCF"/>
    <w:rsid w:val="00C94EE8"/>
    <w:rsid w:val="00C955D0"/>
    <w:rsid w:val="00C9731A"/>
    <w:rsid w:val="00C97366"/>
    <w:rsid w:val="00C973FB"/>
    <w:rsid w:val="00C97C9B"/>
    <w:rsid w:val="00C97E92"/>
    <w:rsid w:val="00CA1FA2"/>
    <w:rsid w:val="00CA21FB"/>
    <w:rsid w:val="00CA26CF"/>
    <w:rsid w:val="00CA2A58"/>
    <w:rsid w:val="00CA2EAF"/>
    <w:rsid w:val="00CA3626"/>
    <w:rsid w:val="00CA3C01"/>
    <w:rsid w:val="00CA4515"/>
    <w:rsid w:val="00CA4542"/>
    <w:rsid w:val="00CA4888"/>
    <w:rsid w:val="00CA4BAF"/>
    <w:rsid w:val="00CA51A3"/>
    <w:rsid w:val="00CA54D4"/>
    <w:rsid w:val="00CA5682"/>
    <w:rsid w:val="00CA5BCE"/>
    <w:rsid w:val="00CA6060"/>
    <w:rsid w:val="00CA6332"/>
    <w:rsid w:val="00CA67D4"/>
    <w:rsid w:val="00CA6A4F"/>
    <w:rsid w:val="00CA6C95"/>
    <w:rsid w:val="00CA6EA8"/>
    <w:rsid w:val="00CA6F48"/>
    <w:rsid w:val="00CA7B9E"/>
    <w:rsid w:val="00CB0A5E"/>
    <w:rsid w:val="00CB0A7C"/>
    <w:rsid w:val="00CB0B1F"/>
    <w:rsid w:val="00CB1B73"/>
    <w:rsid w:val="00CB1E37"/>
    <w:rsid w:val="00CB45F8"/>
    <w:rsid w:val="00CB51C7"/>
    <w:rsid w:val="00CB5453"/>
    <w:rsid w:val="00CB5E4A"/>
    <w:rsid w:val="00CB5FA5"/>
    <w:rsid w:val="00CB6146"/>
    <w:rsid w:val="00CB7AF5"/>
    <w:rsid w:val="00CC0B55"/>
    <w:rsid w:val="00CC0DB1"/>
    <w:rsid w:val="00CC1A47"/>
    <w:rsid w:val="00CC2E72"/>
    <w:rsid w:val="00CC31C4"/>
    <w:rsid w:val="00CC38E3"/>
    <w:rsid w:val="00CC4405"/>
    <w:rsid w:val="00CC4DA0"/>
    <w:rsid w:val="00CC5D21"/>
    <w:rsid w:val="00CC6428"/>
    <w:rsid w:val="00CC6B56"/>
    <w:rsid w:val="00CC6EC5"/>
    <w:rsid w:val="00CC79F3"/>
    <w:rsid w:val="00CD0719"/>
    <w:rsid w:val="00CD0891"/>
    <w:rsid w:val="00CD0C5C"/>
    <w:rsid w:val="00CD1168"/>
    <w:rsid w:val="00CD3691"/>
    <w:rsid w:val="00CD4B21"/>
    <w:rsid w:val="00CD515F"/>
    <w:rsid w:val="00CD6576"/>
    <w:rsid w:val="00CD6995"/>
    <w:rsid w:val="00CD6E95"/>
    <w:rsid w:val="00CD7070"/>
    <w:rsid w:val="00CE0136"/>
    <w:rsid w:val="00CE1D85"/>
    <w:rsid w:val="00CE204A"/>
    <w:rsid w:val="00CE2E88"/>
    <w:rsid w:val="00CE3325"/>
    <w:rsid w:val="00CE3483"/>
    <w:rsid w:val="00CE357B"/>
    <w:rsid w:val="00CE4A8F"/>
    <w:rsid w:val="00CE5BD4"/>
    <w:rsid w:val="00CE6352"/>
    <w:rsid w:val="00CE6929"/>
    <w:rsid w:val="00CE7500"/>
    <w:rsid w:val="00CE761F"/>
    <w:rsid w:val="00CE7685"/>
    <w:rsid w:val="00CE7C0F"/>
    <w:rsid w:val="00CF0214"/>
    <w:rsid w:val="00CF18A4"/>
    <w:rsid w:val="00CF2338"/>
    <w:rsid w:val="00CF23DD"/>
    <w:rsid w:val="00CF2666"/>
    <w:rsid w:val="00CF2947"/>
    <w:rsid w:val="00CF586F"/>
    <w:rsid w:val="00CF5B1E"/>
    <w:rsid w:val="00CF6C59"/>
    <w:rsid w:val="00CF7B81"/>
    <w:rsid w:val="00CF7C2A"/>
    <w:rsid w:val="00CF7D43"/>
    <w:rsid w:val="00D001A7"/>
    <w:rsid w:val="00D002AD"/>
    <w:rsid w:val="00D002BA"/>
    <w:rsid w:val="00D008E6"/>
    <w:rsid w:val="00D015A4"/>
    <w:rsid w:val="00D01B01"/>
    <w:rsid w:val="00D0271E"/>
    <w:rsid w:val="00D02775"/>
    <w:rsid w:val="00D0312F"/>
    <w:rsid w:val="00D0374E"/>
    <w:rsid w:val="00D03A5C"/>
    <w:rsid w:val="00D03F41"/>
    <w:rsid w:val="00D04137"/>
    <w:rsid w:val="00D04521"/>
    <w:rsid w:val="00D04700"/>
    <w:rsid w:val="00D04A3B"/>
    <w:rsid w:val="00D051E3"/>
    <w:rsid w:val="00D056DB"/>
    <w:rsid w:val="00D05727"/>
    <w:rsid w:val="00D05D49"/>
    <w:rsid w:val="00D06759"/>
    <w:rsid w:val="00D067A1"/>
    <w:rsid w:val="00D07D9B"/>
    <w:rsid w:val="00D10742"/>
    <w:rsid w:val="00D11129"/>
    <w:rsid w:val="00D116D7"/>
    <w:rsid w:val="00D11CB8"/>
    <w:rsid w:val="00D11E8A"/>
    <w:rsid w:val="00D12021"/>
    <w:rsid w:val="00D1242F"/>
    <w:rsid w:val="00D126E8"/>
    <w:rsid w:val="00D12A84"/>
    <w:rsid w:val="00D12C09"/>
    <w:rsid w:val="00D133EC"/>
    <w:rsid w:val="00D13F13"/>
    <w:rsid w:val="00D15283"/>
    <w:rsid w:val="00D15FF1"/>
    <w:rsid w:val="00D162A6"/>
    <w:rsid w:val="00D17157"/>
    <w:rsid w:val="00D17E39"/>
    <w:rsid w:val="00D2031B"/>
    <w:rsid w:val="00D203E9"/>
    <w:rsid w:val="00D20F50"/>
    <w:rsid w:val="00D2122D"/>
    <w:rsid w:val="00D2148F"/>
    <w:rsid w:val="00D219B6"/>
    <w:rsid w:val="00D21A63"/>
    <w:rsid w:val="00D22332"/>
    <w:rsid w:val="00D23AC4"/>
    <w:rsid w:val="00D248E4"/>
    <w:rsid w:val="00D25FE2"/>
    <w:rsid w:val="00D260A6"/>
    <w:rsid w:val="00D260F2"/>
    <w:rsid w:val="00D27E47"/>
    <w:rsid w:val="00D31B22"/>
    <w:rsid w:val="00D31DA3"/>
    <w:rsid w:val="00D31EA7"/>
    <w:rsid w:val="00D31EE0"/>
    <w:rsid w:val="00D336EB"/>
    <w:rsid w:val="00D33851"/>
    <w:rsid w:val="00D33CA3"/>
    <w:rsid w:val="00D33CEE"/>
    <w:rsid w:val="00D345C9"/>
    <w:rsid w:val="00D347E3"/>
    <w:rsid w:val="00D34EE0"/>
    <w:rsid w:val="00D34F86"/>
    <w:rsid w:val="00D35020"/>
    <w:rsid w:val="00D35293"/>
    <w:rsid w:val="00D3701D"/>
    <w:rsid w:val="00D375D4"/>
    <w:rsid w:val="00D37CB1"/>
    <w:rsid w:val="00D40F17"/>
    <w:rsid w:val="00D412C8"/>
    <w:rsid w:val="00D43252"/>
    <w:rsid w:val="00D43539"/>
    <w:rsid w:val="00D438B3"/>
    <w:rsid w:val="00D43B40"/>
    <w:rsid w:val="00D43EFF"/>
    <w:rsid w:val="00D4416D"/>
    <w:rsid w:val="00D4451B"/>
    <w:rsid w:val="00D44E8A"/>
    <w:rsid w:val="00D45244"/>
    <w:rsid w:val="00D456A9"/>
    <w:rsid w:val="00D46095"/>
    <w:rsid w:val="00D4655C"/>
    <w:rsid w:val="00D46847"/>
    <w:rsid w:val="00D46B57"/>
    <w:rsid w:val="00D46BB4"/>
    <w:rsid w:val="00D46EE7"/>
    <w:rsid w:val="00D47198"/>
    <w:rsid w:val="00D5057F"/>
    <w:rsid w:val="00D510EB"/>
    <w:rsid w:val="00D51B62"/>
    <w:rsid w:val="00D52DD2"/>
    <w:rsid w:val="00D530FF"/>
    <w:rsid w:val="00D5349F"/>
    <w:rsid w:val="00D54016"/>
    <w:rsid w:val="00D542AF"/>
    <w:rsid w:val="00D5449F"/>
    <w:rsid w:val="00D550F9"/>
    <w:rsid w:val="00D559F3"/>
    <w:rsid w:val="00D563A7"/>
    <w:rsid w:val="00D5646C"/>
    <w:rsid w:val="00D566BC"/>
    <w:rsid w:val="00D56C06"/>
    <w:rsid w:val="00D56D48"/>
    <w:rsid w:val="00D572B0"/>
    <w:rsid w:val="00D6035A"/>
    <w:rsid w:val="00D61461"/>
    <w:rsid w:val="00D61AD0"/>
    <w:rsid w:val="00D6246D"/>
    <w:rsid w:val="00D62668"/>
    <w:rsid w:val="00D62940"/>
    <w:rsid w:val="00D62E90"/>
    <w:rsid w:val="00D63272"/>
    <w:rsid w:val="00D63EB6"/>
    <w:rsid w:val="00D6490D"/>
    <w:rsid w:val="00D6515F"/>
    <w:rsid w:val="00D6558B"/>
    <w:rsid w:val="00D6596D"/>
    <w:rsid w:val="00D65B58"/>
    <w:rsid w:val="00D65C3B"/>
    <w:rsid w:val="00D65C7D"/>
    <w:rsid w:val="00D65D41"/>
    <w:rsid w:val="00D66078"/>
    <w:rsid w:val="00D661F5"/>
    <w:rsid w:val="00D66625"/>
    <w:rsid w:val="00D66FF8"/>
    <w:rsid w:val="00D678C3"/>
    <w:rsid w:val="00D67D04"/>
    <w:rsid w:val="00D67D09"/>
    <w:rsid w:val="00D700CF"/>
    <w:rsid w:val="00D7020C"/>
    <w:rsid w:val="00D71092"/>
    <w:rsid w:val="00D72585"/>
    <w:rsid w:val="00D730F5"/>
    <w:rsid w:val="00D73697"/>
    <w:rsid w:val="00D73700"/>
    <w:rsid w:val="00D739B1"/>
    <w:rsid w:val="00D73D41"/>
    <w:rsid w:val="00D745F7"/>
    <w:rsid w:val="00D7466B"/>
    <w:rsid w:val="00D75649"/>
    <w:rsid w:val="00D768EB"/>
    <w:rsid w:val="00D76AC9"/>
    <w:rsid w:val="00D76BE5"/>
    <w:rsid w:val="00D76C56"/>
    <w:rsid w:val="00D770F1"/>
    <w:rsid w:val="00D779FE"/>
    <w:rsid w:val="00D81315"/>
    <w:rsid w:val="00D81ABF"/>
    <w:rsid w:val="00D8247B"/>
    <w:rsid w:val="00D832BE"/>
    <w:rsid w:val="00D84156"/>
    <w:rsid w:val="00D84BD6"/>
    <w:rsid w:val="00D87707"/>
    <w:rsid w:val="00D8775D"/>
    <w:rsid w:val="00D9071D"/>
    <w:rsid w:val="00D9093D"/>
    <w:rsid w:val="00D919F7"/>
    <w:rsid w:val="00D92CB5"/>
    <w:rsid w:val="00D92EA3"/>
    <w:rsid w:val="00D93238"/>
    <w:rsid w:val="00D938F2"/>
    <w:rsid w:val="00D94917"/>
    <w:rsid w:val="00D95196"/>
    <w:rsid w:val="00D9557B"/>
    <w:rsid w:val="00D95B9F"/>
    <w:rsid w:val="00D95DD5"/>
    <w:rsid w:val="00D96842"/>
    <w:rsid w:val="00D975A1"/>
    <w:rsid w:val="00D978C6"/>
    <w:rsid w:val="00DA0E87"/>
    <w:rsid w:val="00DA1506"/>
    <w:rsid w:val="00DA2B70"/>
    <w:rsid w:val="00DA2C17"/>
    <w:rsid w:val="00DA32C4"/>
    <w:rsid w:val="00DA3A53"/>
    <w:rsid w:val="00DA5EF5"/>
    <w:rsid w:val="00DA67AD"/>
    <w:rsid w:val="00DA77EC"/>
    <w:rsid w:val="00DA7879"/>
    <w:rsid w:val="00DB06F9"/>
    <w:rsid w:val="00DB18CE"/>
    <w:rsid w:val="00DB1B66"/>
    <w:rsid w:val="00DB1EAA"/>
    <w:rsid w:val="00DB3046"/>
    <w:rsid w:val="00DB4279"/>
    <w:rsid w:val="00DB4374"/>
    <w:rsid w:val="00DB44CD"/>
    <w:rsid w:val="00DB4B60"/>
    <w:rsid w:val="00DB5566"/>
    <w:rsid w:val="00DB6F31"/>
    <w:rsid w:val="00DB71AE"/>
    <w:rsid w:val="00DB7340"/>
    <w:rsid w:val="00DB79DB"/>
    <w:rsid w:val="00DC20FB"/>
    <w:rsid w:val="00DC2BF4"/>
    <w:rsid w:val="00DC4479"/>
    <w:rsid w:val="00DC4CB7"/>
    <w:rsid w:val="00DC586F"/>
    <w:rsid w:val="00DC5C71"/>
    <w:rsid w:val="00DC5DD9"/>
    <w:rsid w:val="00DC6884"/>
    <w:rsid w:val="00DC6AC9"/>
    <w:rsid w:val="00DC7019"/>
    <w:rsid w:val="00DD0B7C"/>
    <w:rsid w:val="00DD1F9A"/>
    <w:rsid w:val="00DD301D"/>
    <w:rsid w:val="00DD3915"/>
    <w:rsid w:val="00DD3F8C"/>
    <w:rsid w:val="00DD4324"/>
    <w:rsid w:val="00DD4C24"/>
    <w:rsid w:val="00DD5A69"/>
    <w:rsid w:val="00DD6C7E"/>
    <w:rsid w:val="00DD748E"/>
    <w:rsid w:val="00DE0029"/>
    <w:rsid w:val="00DE003C"/>
    <w:rsid w:val="00DE03F6"/>
    <w:rsid w:val="00DE0938"/>
    <w:rsid w:val="00DE188D"/>
    <w:rsid w:val="00DE1C52"/>
    <w:rsid w:val="00DE2543"/>
    <w:rsid w:val="00DE3B32"/>
    <w:rsid w:val="00DE3EC0"/>
    <w:rsid w:val="00DE41CB"/>
    <w:rsid w:val="00DE47FD"/>
    <w:rsid w:val="00DE4896"/>
    <w:rsid w:val="00DE499F"/>
    <w:rsid w:val="00DE6779"/>
    <w:rsid w:val="00DE7146"/>
    <w:rsid w:val="00DE753F"/>
    <w:rsid w:val="00DE7683"/>
    <w:rsid w:val="00DE79CE"/>
    <w:rsid w:val="00DF01BF"/>
    <w:rsid w:val="00DF0343"/>
    <w:rsid w:val="00DF0784"/>
    <w:rsid w:val="00DF0790"/>
    <w:rsid w:val="00DF0ACC"/>
    <w:rsid w:val="00DF1ABD"/>
    <w:rsid w:val="00DF2A34"/>
    <w:rsid w:val="00DF2C5C"/>
    <w:rsid w:val="00DF3141"/>
    <w:rsid w:val="00DF36FD"/>
    <w:rsid w:val="00DF373D"/>
    <w:rsid w:val="00DF59B6"/>
    <w:rsid w:val="00DF6924"/>
    <w:rsid w:val="00DF7B78"/>
    <w:rsid w:val="00DF7C2C"/>
    <w:rsid w:val="00E0093F"/>
    <w:rsid w:val="00E00A6C"/>
    <w:rsid w:val="00E00D68"/>
    <w:rsid w:val="00E00ED0"/>
    <w:rsid w:val="00E01236"/>
    <w:rsid w:val="00E0123B"/>
    <w:rsid w:val="00E01603"/>
    <w:rsid w:val="00E01757"/>
    <w:rsid w:val="00E01835"/>
    <w:rsid w:val="00E025E9"/>
    <w:rsid w:val="00E02906"/>
    <w:rsid w:val="00E04243"/>
    <w:rsid w:val="00E04998"/>
    <w:rsid w:val="00E05176"/>
    <w:rsid w:val="00E06490"/>
    <w:rsid w:val="00E07472"/>
    <w:rsid w:val="00E074F6"/>
    <w:rsid w:val="00E07C1E"/>
    <w:rsid w:val="00E104B2"/>
    <w:rsid w:val="00E105DD"/>
    <w:rsid w:val="00E10E5C"/>
    <w:rsid w:val="00E10FA6"/>
    <w:rsid w:val="00E11161"/>
    <w:rsid w:val="00E11593"/>
    <w:rsid w:val="00E1183E"/>
    <w:rsid w:val="00E125A2"/>
    <w:rsid w:val="00E12B6B"/>
    <w:rsid w:val="00E130AB"/>
    <w:rsid w:val="00E13B97"/>
    <w:rsid w:val="00E143E2"/>
    <w:rsid w:val="00E14CAF"/>
    <w:rsid w:val="00E14CBC"/>
    <w:rsid w:val="00E16EC2"/>
    <w:rsid w:val="00E17008"/>
    <w:rsid w:val="00E17342"/>
    <w:rsid w:val="00E17FDA"/>
    <w:rsid w:val="00E20361"/>
    <w:rsid w:val="00E20D1E"/>
    <w:rsid w:val="00E213F1"/>
    <w:rsid w:val="00E21557"/>
    <w:rsid w:val="00E2270C"/>
    <w:rsid w:val="00E228C9"/>
    <w:rsid w:val="00E22C98"/>
    <w:rsid w:val="00E231DD"/>
    <w:rsid w:val="00E23A7A"/>
    <w:rsid w:val="00E24CE5"/>
    <w:rsid w:val="00E24DE6"/>
    <w:rsid w:val="00E253BB"/>
    <w:rsid w:val="00E2561A"/>
    <w:rsid w:val="00E256B3"/>
    <w:rsid w:val="00E258B5"/>
    <w:rsid w:val="00E25DD4"/>
    <w:rsid w:val="00E265E9"/>
    <w:rsid w:val="00E26684"/>
    <w:rsid w:val="00E26A4D"/>
    <w:rsid w:val="00E26BB4"/>
    <w:rsid w:val="00E3051A"/>
    <w:rsid w:val="00E30CA7"/>
    <w:rsid w:val="00E3120A"/>
    <w:rsid w:val="00E3132F"/>
    <w:rsid w:val="00E31840"/>
    <w:rsid w:val="00E32D42"/>
    <w:rsid w:val="00E33C46"/>
    <w:rsid w:val="00E3492C"/>
    <w:rsid w:val="00E35246"/>
    <w:rsid w:val="00E35358"/>
    <w:rsid w:val="00E35710"/>
    <w:rsid w:val="00E368D3"/>
    <w:rsid w:val="00E36C95"/>
    <w:rsid w:val="00E36F98"/>
    <w:rsid w:val="00E37E0D"/>
    <w:rsid w:val="00E40841"/>
    <w:rsid w:val="00E40C91"/>
    <w:rsid w:val="00E40DE2"/>
    <w:rsid w:val="00E412BD"/>
    <w:rsid w:val="00E414A3"/>
    <w:rsid w:val="00E41AB3"/>
    <w:rsid w:val="00E41B4B"/>
    <w:rsid w:val="00E43803"/>
    <w:rsid w:val="00E438D9"/>
    <w:rsid w:val="00E44C14"/>
    <w:rsid w:val="00E456FB"/>
    <w:rsid w:val="00E45720"/>
    <w:rsid w:val="00E45A30"/>
    <w:rsid w:val="00E47884"/>
    <w:rsid w:val="00E5005E"/>
    <w:rsid w:val="00E503CF"/>
    <w:rsid w:val="00E507A1"/>
    <w:rsid w:val="00E517D9"/>
    <w:rsid w:val="00E51FB8"/>
    <w:rsid w:val="00E520C6"/>
    <w:rsid w:val="00E520E4"/>
    <w:rsid w:val="00E52D37"/>
    <w:rsid w:val="00E53D39"/>
    <w:rsid w:val="00E53F61"/>
    <w:rsid w:val="00E54634"/>
    <w:rsid w:val="00E5493D"/>
    <w:rsid w:val="00E54C5A"/>
    <w:rsid w:val="00E559A6"/>
    <w:rsid w:val="00E55F71"/>
    <w:rsid w:val="00E5644E"/>
    <w:rsid w:val="00E56BCE"/>
    <w:rsid w:val="00E57F44"/>
    <w:rsid w:val="00E605F6"/>
    <w:rsid w:val="00E60E5A"/>
    <w:rsid w:val="00E61DA3"/>
    <w:rsid w:val="00E62FC0"/>
    <w:rsid w:val="00E63268"/>
    <w:rsid w:val="00E63982"/>
    <w:rsid w:val="00E63CCC"/>
    <w:rsid w:val="00E65764"/>
    <w:rsid w:val="00E65A6D"/>
    <w:rsid w:val="00E66F36"/>
    <w:rsid w:val="00E67057"/>
    <w:rsid w:val="00E679FB"/>
    <w:rsid w:val="00E67BA9"/>
    <w:rsid w:val="00E70704"/>
    <w:rsid w:val="00E722F0"/>
    <w:rsid w:val="00E7235C"/>
    <w:rsid w:val="00E72527"/>
    <w:rsid w:val="00E7260F"/>
    <w:rsid w:val="00E7420B"/>
    <w:rsid w:val="00E74E82"/>
    <w:rsid w:val="00E7664B"/>
    <w:rsid w:val="00E77CD4"/>
    <w:rsid w:val="00E77F54"/>
    <w:rsid w:val="00E80028"/>
    <w:rsid w:val="00E801F1"/>
    <w:rsid w:val="00E806EE"/>
    <w:rsid w:val="00E81260"/>
    <w:rsid w:val="00E8243C"/>
    <w:rsid w:val="00E824D1"/>
    <w:rsid w:val="00E83586"/>
    <w:rsid w:val="00E85978"/>
    <w:rsid w:val="00E85995"/>
    <w:rsid w:val="00E860F0"/>
    <w:rsid w:val="00E87675"/>
    <w:rsid w:val="00E90A6B"/>
    <w:rsid w:val="00E9169C"/>
    <w:rsid w:val="00E919AE"/>
    <w:rsid w:val="00E91A28"/>
    <w:rsid w:val="00E9240A"/>
    <w:rsid w:val="00E92922"/>
    <w:rsid w:val="00E92BA3"/>
    <w:rsid w:val="00E93125"/>
    <w:rsid w:val="00E93919"/>
    <w:rsid w:val="00E94813"/>
    <w:rsid w:val="00E94915"/>
    <w:rsid w:val="00E94C81"/>
    <w:rsid w:val="00E951B3"/>
    <w:rsid w:val="00E95867"/>
    <w:rsid w:val="00E95E17"/>
    <w:rsid w:val="00E95F68"/>
    <w:rsid w:val="00E96630"/>
    <w:rsid w:val="00E9693C"/>
    <w:rsid w:val="00E9697B"/>
    <w:rsid w:val="00E97E21"/>
    <w:rsid w:val="00EA051E"/>
    <w:rsid w:val="00EA0C11"/>
    <w:rsid w:val="00EA14F7"/>
    <w:rsid w:val="00EA17BE"/>
    <w:rsid w:val="00EA2049"/>
    <w:rsid w:val="00EA219C"/>
    <w:rsid w:val="00EA3441"/>
    <w:rsid w:val="00EA3BFD"/>
    <w:rsid w:val="00EB00F0"/>
    <w:rsid w:val="00EB08A7"/>
    <w:rsid w:val="00EB0FB9"/>
    <w:rsid w:val="00EB154A"/>
    <w:rsid w:val="00EB2584"/>
    <w:rsid w:val="00EB27C0"/>
    <w:rsid w:val="00EB2C57"/>
    <w:rsid w:val="00EB2CE0"/>
    <w:rsid w:val="00EB2EBD"/>
    <w:rsid w:val="00EB36D4"/>
    <w:rsid w:val="00EB38FF"/>
    <w:rsid w:val="00EB47CC"/>
    <w:rsid w:val="00EB5079"/>
    <w:rsid w:val="00EB5245"/>
    <w:rsid w:val="00EB5A0E"/>
    <w:rsid w:val="00EB5C57"/>
    <w:rsid w:val="00EB5E91"/>
    <w:rsid w:val="00EB6AE8"/>
    <w:rsid w:val="00EB6E14"/>
    <w:rsid w:val="00EB76FD"/>
    <w:rsid w:val="00EB78F3"/>
    <w:rsid w:val="00EC03B0"/>
    <w:rsid w:val="00EC1254"/>
    <w:rsid w:val="00EC1AD2"/>
    <w:rsid w:val="00EC1AD9"/>
    <w:rsid w:val="00EC291D"/>
    <w:rsid w:val="00EC2EF2"/>
    <w:rsid w:val="00EC36C9"/>
    <w:rsid w:val="00EC40CF"/>
    <w:rsid w:val="00EC4B42"/>
    <w:rsid w:val="00EC5273"/>
    <w:rsid w:val="00EC56D7"/>
    <w:rsid w:val="00EC683C"/>
    <w:rsid w:val="00EC6FAB"/>
    <w:rsid w:val="00EC747C"/>
    <w:rsid w:val="00EC7857"/>
    <w:rsid w:val="00EC7EE4"/>
    <w:rsid w:val="00ED05E9"/>
    <w:rsid w:val="00ED0CA9"/>
    <w:rsid w:val="00ED25D2"/>
    <w:rsid w:val="00ED2DED"/>
    <w:rsid w:val="00ED3253"/>
    <w:rsid w:val="00ED3B72"/>
    <w:rsid w:val="00ED3C1C"/>
    <w:rsid w:val="00ED4064"/>
    <w:rsid w:val="00ED4B02"/>
    <w:rsid w:val="00ED70C9"/>
    <w:rsid w:val="00ED73B5"/>
    <w:rsid w:val="00ED7A2A"/>
    <w:rsid w:val="00ED7BDA"/>
    <w:rsid w:val="00ED7C69"/>
    <w:rsid w:val="00EE03AA"/>
    <w:rsid w:val="00EE051E"/>
    <w:rsid w:val="00EE2475"/>
    <w:rsid w:val="00EE2787"/>
    <w:rsid w:val="00EE3995"/>
    <w:rsid w:val="00EE444D"/>
    <w:rsid w:val="00EE502D"/>
    <w:rsid w:val="00EE574B"/>
    <w:rsid w:val="00EE5CDC"/>
    <w:rsid w:val="00EE5EAD"/>
    <w:rsid w:val="00EE5EF1"/>
    <w:rsid w:val="00EE6816"/>
    <w:rsid w:val="00EE73A5"/>
    <w:rsid w:val="00EE77B7"/>
    <w:rsid w:val="00EE7B42"/>
    <w:rsid w:val="00EF0802"/>
    <w:rsid w:val="00EF0975"/>
    <w:rsid w:val="00EF0D0D"/>
    <w:rsid w:val="00EF17E5"/>
    <w:rsid w:val="00EF1AE1"/>
    <w:rsid w:val="00EF1C47"/>
    <w:rsid w:val="00EF1D7F"/>
    <w:rsid w:val="00EF22FD"/>
    <w:rsid w:val="00EF30EC"/>
    <w:rsid w:val="00EF3B7E"/>
    <w:rsid w:val="00EF3FD9"/>
    <w:rsid w:val="00EF44AF"/>
    <w:rsid w:val="00EF4CB6"/>
    <w:rsid w:val="00EF53BC"/>
    <w:rsid w:val="00EF5830"/>
    <w:rsid w:val="00EF5BDB"/>
    <w:rsid w:val="00EF783B"/>
    <w:rsid w:val="00F007A2"/>
    <w:rsid w:val="00F0121C"/>
    <w:rsid w:val="00F01815"/>
    <w:rsid w:val="00F01E89"/>
    <w:rsid w:val="00F0219B"/>
    <w:rsid w:val="00F023F1"/>
    <w:rsid w:val="00F02644"/>
    <w:rsid w:val="00F029DA"/>
    <w:rsid w:val="00F02F13"/>
    <w:rsid w:val="00F03777"/>
    <w:rsid w:val="00F0566B"/>
    <w:rsid w:val="00F05852"/>
    <w:rsid w:val="00F06567"/>
    <w:rsid w:val="00F06879"/>
    <w:rsid w:val="00F06A6D"/>
    <w:rsid w:val="00F06EFB"/>
    <w:rsid w:val="00F07032"/>
    <w:rsid w:val="00F071F8"/>
    <w:rsid w:val="00F07243"/>
    <w:rsid w:val="00F076CF"/>
    <w:rsid w:val="00F0796B"/>
    <w:rsid w:val="00F079FE"/>
    <w:rsid w:val="00F07FBA"/>
    <w:rsid w:val="00F07FD9"/>
    <w:rsid w:val="00F1121A"/>
    <w:rsid w:val="00F1248B"/>
    <w:rsid w:val="00F12BE9"/>
    <w:rsid w:val="00F12F48"/>
    <w:rsid w:val="00F14F87"/>
    <w:rsid w:val="00F15600"/>
    <w:rsid w:val="00F15E26"/>
    <w:rsid w:val="00F1694D"/>
    <w:rsid w:val="00F17581"/>
    <w:rsid w:val="00F17D83"/>
    <w:rsid w:val="00F21198"/>
    <w:rsid w:val="00F21749"/>
    <w:rsid w:val="00F23089"/>
    <w:rsid w:val="00F23933"/>
    <w:rsid w:val="00F23B00"/>
    <w:rsid w:val="00F24119"/>
    <w:rsid w:val="00F24A88"/>
    <w:rsid w:val="00F24EB2"/>
    <w:rsid w:val="00F25A20"/>
    <w:rsid w:val="00F25AC1"/>
    <w:rsid w:val="00F25BE2"/>
    <w:rsid w:val="00F27078"/>
    <w:rsid w:val="00F27E10"/>
    <w:rsid w:val="00F30781"/>
    <w:rsid w:val="00F308E2"/>
    <w:rsid w:val="00F30DC2"/>
    <w:rsid w:val="00F31251"/>
    <w:rsid w:val="00F316DF"/>
    <w:rsid w:val="00F31E11"/>
    <w:rsid w:val="00F320D4"/>
    <w:rsid w:val="00F326B2"/>
    <w:rsid w:val="00F32F41"/>
    <w:rsid w:val="00F33ACF"/>
    <w:rsid w:val="00F33BF6"/>
    <w:rsid w:val="00F35905"/>
    <w:rsid w:val="00F371D0"/>
    <w:rsid w:val="00F372A2"/>
    <w:rsid w:val="00F372F1"/>
    <w:rsid w:val="00F379B7"/>
    <w:rsid w:val="00F37E7D"/>
    <w:rsid w:val="00F40830"/>
    <w:rsid w:val="00F40A9F"/>
    <w:rsid w:val="00F40E75"/>
    <w:rsid w:val="00F4181F"/>
    <w:rsid w:val="00F4261F"/>
    <w:rsid w:val="00F42BC1"/>
    <w:rsid w:val="00F42CD9"/>
    <w:rsid w:val="00F42D6F"/>
    <w:rsid w:val="00F43D55"/>
    <w:rsid w:val="00F44C25"/>
    <w:rsid w:val="00F45037"/>
    <w:rsid w:val="00F45593"/>
    <w:rsid w:val="00F45C73"/>
    <w:rsid w:val="00F45E0D"/>
    <w:rsid w:val="00F45FFA"/>
    <w:rsid w:val="00F461DE"/>
    <w:rsid w:val="00F464C3"/>
    <w:rsid w:val="00F46B6D"/>
    <w:rsid w:val="00F472AD"/>
    <w:rsid w:val="00F478DC"/>
    <w:rsid w:val="00F47E23"/>
    <w:rsid w:val="00F47F3F"/>
    <w:rsid w:val="00F5061A"/>
    <w:rsid w:val="00F507F2"/>
    <w:rsid w:val="00F50973"/>
    <w:rsid w:val="00F51790"/>
    <w:rsid w:val="00F51EA7"/>
    <w:rsid w:val="00F52936"/>
    <w:rsid w:val="00F52F14"/>
    <w:rsid w:val="00F53E90"/>
    <w:rsid w:val="00F53F7B"/>
    <w:rsid w:val="00F54083"/>
    <w:rsid w:val="00F544CC"/>
    <w:rsid w:val="00F544F4"/>
    <w:rsid w:val="00F562A9"/>
    <w:rsid w:val="00F56C01"/>
    <w:rsid w:val="00F56E0C"/>
    <w:rsid w:val="00F57A67"/>
    <w:rsid w:val="00F57D52"/>
    <w:rsid w:val="00F60201"/>
    <w:rsid w:val="00F62CFC"/>
    <w:rsid w:val="00F6307C"/>
    <w:rsid w:val="00F63DE9"/>
    <w:rsid w:val="00F64717"/>
    <w:rsid w:val="00F6480A"/>
    <w:rsid w:val="00F64DF6"/>
    <w:rsid w:val="00F64F52"/>
    <w:rsid w:val="00F65212"/>
    <w:rsid w:val="00F65430"/>
    <w:rsid w:val="00F65B46"/>
    <w:rsid w:val="00F6622C"/>
    <w:rsid w:val="00F6656E"/>
    <w:rsid w:val="00F6723D"/>
    <w:rsid w:val="00F677B6"/>
    <w:rsid w:val="00F677CB"/>
    <w:rsid w:val="00F678D9"/>
    <w:rsid w:val="00F67B04"/>
    <w:rsid w:val="00F7004E"/>
    <w:rsid w:val="00F70581"/>
    <w:rsid w:val="00F70F8D"/>
    <w:rsid w:val="00F70FD1"/>
    <w:rsid w:val="00F71443"/>
    <w:rsid w:val="00F71583"/>
    <w:rsid w:val="00F72F3E"/>
    <w:rsid w:val="00F732C3"/>
    <w:rsid w:val="00F732D7"/>
    <w:rsid w:val="00F73D85"/>
    <w:rsid w:val="00F73FCF"/>
    <w:rsid w:val="00F742B1"/>
    <w:rsid w:val="00F7438D"/>
    <w:rsid w:val="00F74E87"/>
    <w:rsid w:val="00F74ED0"/>
    <w:rsid w:val="00F74FC0"/>
    <w:rsid w:val="00F75CD2"/>
    <w:rsid w:val="00F764C9"/>
    <w:rsid w:val="00F77196"/>
    <w:rsid w:val="00F771B1"/>
    <w:rsid w:val="00F773C2"/>
    <w:rsid w:val="00F77BB7"/>
    <w:rsid w:val="00F8022A"/>
    <w:rsid w:val="00F80F58"/>
    <w:rsid w:val="00F811D7"/>
    <w:rsid w:val="00F8255E"/>
    <w:rsid w:val="00F83506"/>
    <w:rsid w:val="00F84E03"/>
    <w:rsid w:val="00F84F86"/>
    <w:rsid w:val="00F8523A"/>
    <w:rsid w:val="00F854FF"/>
    <w:rsid w:val="00F85F3C"/>
    <w:rsid w:val="00F862CD"/>
    <w:rsid w:val="00F86969"/>
    <w:rsid w:val="00F869C4"/>
    <w:rsid w:val="00F86BA3"/>
    <w:rsid w:val="00F8743D"/>
    <w:rsid w:val="00F875AA"/>
    <w:rsid w:val="00F875F7"/>
    <w:rsid w:val="00F906E3"/>
    <w:rsid w:val="00F9128A"/>
    <w:rsid w:val="00F9226C"/>
    <w:rsid w:val="00F92665"/>
    <w:rsid w:val="00F93375"/>
    <w:rsid w:val="00F934E2"/>
    <w:rsid w:val="00F936A7"/>
    <w:rsid w:val="00F93FEC"/>
    <w:rsid w:val="00F94821"/>
    <w:rsid w:val="00F95C70"/>
    <w:rsid w:val="00F95F1D"/>
    <w:rsid w:val="00F96C57"/>
    <w:rsid w:val="00F97696"/>
    <w:rsid w:val="00F9782F"/>
    <w:rsid w:val="00FA01C2"/>
    <w:rsid w:val="00FA08E5"/>
    <w:rsid w:val="00FA11AE"/>
    <w:rsid w:val="00FA1333"/>
    <w:rsid w:val="00FA179E"/>
    <w:rsid w:val="00FA29C3"/>
    <w:rsid w:val="00FA38B9"/>
    <w:rsid w:val="00FA41DF"/>
    <w:rsid w:val="00FA4221"/>
    <w:rsid w:val="00FA4639"/>
    <w:rsid w:val="00FA47CC"/>
    <w:rsid w:val="00FA4818"/>
    <w:rsid w:val="00FA4CD4"/>
    <w:rsid w:val="00FA54F6"/>
    <w:rsid w:val="00FA5F08"/>
    <w:rsid w:val="00FA5F28"/>
    <w:rsid w:val="00FA68DF"/>
    <w:rsid w:val="00FA6984"/>
    <w:rsid w:val="00FA71B5"/>
    <w:rsid w:val="00FA7DE6"/>
    <w:rsid w:val="00FA7DF3"/>
    <w:rsid w:val="00FA7E91"/>
    <w:rsid w:val="00FA7F74"/>
    <w:rsid w:val="00FB0920"/>
    <w:rsid w:val="00FB1773"/>
    <w:rsid w:val="00FB1B39"/>
    <w:rsid w:val="00FB1FF5"/>
    <w:rsid w:val="00FB29B5"/>
    <w:rsid w:val="00FB29D1"/>
    <w:rsid w:val="00FB3749"/>
    <w:rsid w:val="00FB3939"/>
    <w:rsid w:val="00FB398C"/>
    <w:rsid w:val="00FB3BBF"/>
    <w:rsid w:val="00FB5668"/>
    <w:rsid w:val="00FB6B98"/>
    <w:rsid w:val="00FB6D89"/>
    <w:rsid w:val="00FB6EA3"/>
    <w:rsid w:val="00FB7616"/>
    <w:rsid w:val="00FB768C"/>
    <w:rsid w:val="00FC092B"/>
    <w:rsid w:val="00FC0E1C"/>
    <w:rsid w:val="00FC121A"/>
    <w:rsid w:val="00FC12DD"/>
    <w:rsid w:val="00FC2498"/>
    <w:rsid w:val="00FC2AEC"/>
    <w:rsid w:val="00FC3721"/>
    <w:rsid w:val="00FC3E2F"/>
    <w:rsid w:val="00FC5618"/>
    <w:rsid w:val="00FC6096"/>
    <w:rsid w:val="00FC68B7"/>
    <w:rsid w:val="00FC717C"/>
    <w:rsid w:val="00FC72F8"/>
    <w:rsid w:val="00FC73A3"/>
    <w:rsid w:val="00FC755B"/>
    <w:rsid w:val="00FC7573"/>
    <w:rsid w:val="00FD0318"/>
    <w:rsid w:val="00FD152C"/>
    <w:rsid w:val="00FD22AF"/>
    <w:rsid w:val="00FD2ABD"/>
    <w:rsid w:val="00FD4166"/>
    <w:rsid w:val="00FD5AB9"/>
    <w:rsid w:val="00FD5C80"/>
    <w:rsid w:val="00FD6437"/>
    <w:rsid w:val="00FD6911"/>
    <w:rsid w:val="00FD7C12"/>
    <w:rsid w:val="00FE11E1"/>
    <w:rsid w:val="00FE146F"/>
    <w:rsid w:val="00FE15BF"/>
    <w:rsid w:val="00FE20A6"/>
    <w:rsid w:val="00FE2454"/>
    <w:rsid w:val="00FE3AC0"/>
    <w:rsid w:val="00FE492A"/>
    <w:rsid w:val="00FE534A"/>
    <w:rsid w:val="00FE53B7"/>
    <w:rsid w:val="00FE53CA"/>
    <w:rsid w:val="00FE64E2"/>
    <w:rsid w:val="00FE6654"/>
    <w:rsid w:val="00FE69B5"/>
    <w:rsid w:val="00FE74ED"/>
    <w:rsid w:val="00FF1E7F"/>
    <w:rsid w:val="00FF1F18"/>
    <w:rsid w:val="00FF323A"/>
    <w:rsid w:val="00FF340E"/>
    <w:rsid w:val="00FF3F7D"/>
    <w:rsid w:val="00FF4018"/>
    <w:rsid w:val="00FF4A9B"/>
    <w:rsid w:val="00FF4B56"/>
    <w:rsid w:val="00FF5610"/>
    <w:rsid w:val="00FF5C22"/>
    <w:rsid w:val="00FF6339"/>
    <w:rsid w:val="00FF651B"/>
    <w:rsid w:val="00FF66CD"/>
    <w:rsid w:val="00FF6707"/>
    <w:rsid w:val="00FF676C"/>
    <w:rsid w:val="00FF6925"/>
    <w:rsid w:val="00FF7146"/>
    <w:rsid w:val="00FF79BC"/>
    <w:rsid w:val="00FF7AA4"/>
    <w:rsid w:val="00FF7B22"/>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7E6339C"/>
  <w15:docId w15:val="{916B649A-882B-4BF7-B0E2-2ADF91F40C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qFormat="1"/>
    <w:lsdException w:name="endnote reference" w:semiHidden="1" w:uiPriority="99" w:unhideWhenUsed="1" w:qFormat="1"/>
    <w:lsdException w:name="endnote text" w:semiHidden="1" w:uiPriority="99"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6924"/>
    <w:pPr>
      <w:suppressAutoHyphens/>
      <w:spacing w:line="240" w:lineRule="atLeast"/>
    </w:pPr>
    <w:rPr>
      <w:lang w:eastAsia="en-US"/>
    </w:rPr>
  </w:style>
  <w:style w:type="paragraph" w:styleId="Heading1">
    <w:name w:val="heading 1"/>
    <w:aliases w:val="Table_G"/>
    <w:basedOn w:val="SingleTxtG"/>
    <w:next w:val="SingleTxtG"/>
    <w:qFormat/>
    <w:rsid w:val="00CF0214"/>
    <w:pPr>
      <w:spacing w:after="0" w:line="240" w:lineRule="auto"/>
      <w:ind w:right="0"/>
      <w:jc w:val="left"/>
      <w:outlineLvl w:val="0"/>
    </w:pPr>
  </w:style>
  <w:style w:type="paragraph" w:styleId="Heading2">
    <w:name w:val="heading 2"/>
    <w:basedOn w:val="Normal"/>
    <w:next w:val="Normal"/>
    <w:semiHidden/>
    <w:qFormat/>
    <w:rsid w:val="00CF0214"/>
    <w:pPr>
      <w:spacing w:line="240" w:lineRule="auto"/>
      <w:outlineLvl w:val="1"/>
    </w:pPr>
  </w:style>
  <w:style w:type="paragraph" w:styleId="Heading3">
    <w:name w:val="heading 3"/>
    <w:basedOn w:val="Normal"/>
    <w:next w:val="Normal"/>
    <w:semiHidden/>
    <w:qFormat/>
    <w:rsid w:val="00CF0214"/>
    <w:pPr>
      <w:spacing w:line="240" w:lineRule="auto"/>
      <w:outlineLvl w:val="2"/>
    </w:pPr>
  </w:style>
  <w:style w:type="paragraph" w:styleId="Heading4">
    <w:name w:val="heading 4"/>
    <w:basedOn w:val="Normal"/>
    <w:next w:val="Normal"/>
    <w:semiHidden/>
    <w:qFormat/>
    <w:rsid w:val="00CF0214"/>
    <w:pPr>
      <w:spacing w:line="240" w:lineRule="auto"/>
      <w:outlineLvl w:val="3"/>
    </w:pPr>
  </w:style>
  <w:style w:type="paragraph" w:styleId="Heading5">
    <w:name w:val="heading 5"/>
    <w:basedOn w:val="Normal"/>
    <w:next w:val="Normal"/>
    <w:semiHidden/>
    <w:qFormat/>
    <w:rsid w:val="00CF0214"/>
    <w:pPr>
      <w:spacing w:line="240" w:lineRule="auto"/>
      <w:outlineLvl w:val="4"/>
    </w:pPr>
  </w:style>
  <w:style w:type="paragraph" w:styleId="Heading6">
    <w:name w:val="heading 6"/>
    <w:basedOn w:val="Normal"/>
    <w:next w:val="Normal"/>
    <w:semiHidden/>
    <w:qFormat/>
    <w:rsid w:val="00CF0214"/>
    <w:pPr>
      <w:spacing w:line="240" w:lineRule="auto"/>
      <w:outlineLvl w:val="5"/>
    </w:pPr>
  </w:style>
  <w:style w:type="paragraph" w:styleId="Heading7">
    <w:name w:val="heading 7"/>
    <w:basedOn w:val="Normal"/>
    <w:next w:val="Normal"/>
    <w:semiHidden/>
    <w:qFormat/>
    <w:rsid w:val="00CF0214"/>
    <w:pPr>
      <w:spacing w:line="240" w:lineRule="auto"/>
      <w:outlineLvl w:val="6"/>
    </w:pPr>
  </w:style>
  <w:style w:type="paragraph" w:styleId="Heading8">
    <w:name w:val="heading 8"/>
    <w:basedOn w:val="Normal"/>
    <w:next w:val="Normal"/>
    <w:semiHidden/>
    <w:qFormat/>
    <w:rsid w:val="00CF0214"/>
    <w:pPr>
      <w:spacing w:line="240" w:lineRule="auto"/>
      <w:outlineLvl w:val="7"/>
    </w:pPr>
  </w:style>
  <w:style w:type="paragraph" w:styleId="Heading9">
    <w:name w:val="heading 9"/>
    <w:basedOn w:val="Normal"/>
    <w:next w:val="Normal"/>
    <w:semiHidden/>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paragraph" w:customStyle="1" w:styleId="HMG">
    <w:name w:val="_ H __M_G"/>
    <w:basedOn w:val="Normal"/>
    <w:next w:val="Normal"/>
    <w:qFormat/>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CF0214"/>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Footnote,text,Footnotes refss,Footnote number,Fago Fußnotenzeichen,Footnote Ref,16 Point,Superscript 6 Point,Fago Fu?notenzeichen,Fago Fuﬂnotenzeichen,ftref,a Footnote Reference,FZ,Appel note de bas de page,Ref FNs Char,[0],[,Ref"/>
    <w:link w:val="ENFootnoteReference"/>
    <w:qFormat/>
    <w:rsid w:val="00CF0214"/>
    <w:rPr>
      <w:rFonts w:ascii="Times New Roman" w:hAnsi="Times New Roman"/>
      <w:sz w:val="18"/>
      <w:vertAlign w:val="superscript"/>
    </w:rPr>
  </w:style>
  <w:style w:type="character" w:styleId="EndnoteReference">
    <w:name w:val="endnote reference"/>
    <w:aliases w:val="1_G"/>
    <w:uiPriority w:val="99"/>
    <w:qFormat/>
    <w:rsid w:val="00CF0214"/>
    <w:rPr>
      <w:rFonts w:ascii="Times New Roman" w:hAnsi="Times New Roman"/>
      <w:sz w:val="18"/>
      <w:vertAlign w:val="superscript"/>
    </w:rPr>
  </w:style>
  <w:style w:type="paragraph" w:styleId="Header">
    <w:name w:val="header"/>
    <w:aliases w:val="6_G"/>
    <w:basedOn w:val="Normal"/>
    <w:link w:val="HeaderChar"/>
    <w:qFormat/>
    <w:rsid w:val="00CF0214"/>
    <w:pPr>
      <w:pBdr>
        <w:bottom w:val="single" w:sz="4" w:space="4" w:color="auto"/>
      </w:pBdr>
      <w:spacing w:line="240" w:lineRule="auto"/>
    </w:pPr>
    <w:rPr>
      <w:b/>
      <w:sz w:val="18"/>
    </w:rPr>
  </w:style>
  <w:style w:type="table" w:styleId="TableGrid">
    <w:name w:val="Table Grid"/>
    <w:basedOn w:val="TableNormal"/>
    <w:semiHidden/>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semiHidden/>
    <w:rsid w:val="00CF0214"/>
    <w:rPr>
      <w:color w:val="auto"/>
      <w:u w:val="none"/>
    </w:rPr>
  </w:style>
  <w:style w:type="character" w:styleId="FollowedHyperlink">
    <w:name w:val="FollowedHyperlink"/>
    <w:semiHidden/>
    <w:rsid w:val="00CF0214"/>
    <w:rPr>
      <w:color w:val="auto"/>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Footnote Text Char3,Footnote Text Char1 Char,Footnote Text Char Char Char,Footnote Text Char1 Char Char Char,Footnote Text Char Char Char Char Char1,Text pozn. pod čarou Char,Note de bas de page2,Footnotes,fn,FOOTNOTES,f,single space"/>
    <w:basedOn w:val="Normal"/>
    <w:link w:val="FootnoteTextChar"/>
    <w:qFormat/>
    <w:rsid w:val="00CF0214"/>
    <w:pPr>
      <w:tabs>
        <w:tab w:val="right" w:pos="1021"/>
      </w:tabs>
      <w:spacing w:line="220" w:lineRule="exact"/>
      <w:ind w:left="1134" w:right="1134" w:hanging="1134"/>
    </w:pPr>
    <w:rPr>
      <w:sz w:val="18"/>
    </w:rPr>
  </w:style>
  <w:style w:type="paragraph" w:styleId="EndnoteText">
    <w:name w:val="endnote text"/>
    <w:aliases w:val="2_G"/>
    <w:basedOn w:val="FootnoteText"/>
    <w:link w:val="EndnoteTextChar"/>
    <w:uiPriority w:val="99"/>
    <w:qFormat/>
    <w:rsid w:val="00CF0214"/>
  </w:style>
  <w:style w:type="character" w:styleId="PageNumber">
    <w:name w:val="page number"/>
    <w:aliases w:val="7_G"/>
    <w:qFormat/>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qFormat/>
    <w:rsid w:val="00CF0214"/>
    <w:pPr>
      <w:numPr>
        <w:numId w:val="1"/>
      </w:numPr>
      <w:spacing w:after="120"/>
      <w:ind w:right="1134"/>
      <w:jc w:val="both"/>
    </w:pPr>
  </w:style>
  <w:style w:type="paragraph" w:styleId="Footer">
    <w:name w:val="footer"/>
    <w:aliases w:val="3_G"/>
    <w:basedOn w:val="Normal"/>
    <w:link w:val="FooterChar"/>
    <w:uiPriority w:val="99"/>
    <w:qFormat/>
    <w:rsid w:val="00CF0214"/>
    <w:pPr>
      <w:spacing w:line="240" w:lineRule="auto"/>
    </w:pPr>
    <w:rPr>
      <w:sz w:val="16"/>
    </w:rPr>
  </w:style>
  <w:style w:type="paragraph" w:customStyle="1" w:styleId="Bullet2G">
    <w:name w:val="_Bullet 2_G"/>
    <w:basedOn w:val="Normal"/>
    <w:qFormat/>
    <w:rsid w:val="00CF0214"/>
    <w:pPr>
      <w:numPr>
        <w:numId w:val="2"/>
      </w:numPr>
      <w:spacing w:after="120"/>
      <w:ind w:right="1134"/>
      <w:jc w:val="both"/>
    </w:pPr>
  </w:style>
  <w:style w:type="paragraph" w:customStyle="1" w:styleId="H1G">
    <w:name w:val="_ H_1_G"/>
    <w:basedOn w:val="Normal"/>
    <w:next w:val="Normal"/>
    <w:link w:val="H1GChar"/>
    <w:qFormat/>
    <w:rsid w:val="00CF021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CF021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CF0214"/>
    <w:pPr>
      <w:keepNext/>
      <w:keepLines/>
      <w:tabs>
        <w:tab w:val="right" w:pos="851"/>
      </w:tabs>
      <w:spacing w:before="240" w:after="120" w:line="240" w:lineRule="exact"/>
      <w:ind w:left="1134" w:right="1134" w:hanging="1134"/>
    </w:pPr>
  </w:style>
  <w:style w:type="paragraph" w:styleId="BalloonText">
    <w:name w:val="Balloon Text"/>
    <w:basedOn w:val="Normal"/>
    <w:link w:val="BalloonTextChar"/>
    <w:semiHidden/>
    <w:rsid w:val="00946575"/>
    <w:pPr>
      <w:spacing w:line="240" w:lineRule="auto"/>
    </w:pPr>
    <w:rPr>
      <w:rFonts w:ascii="Tahoma" w:hAnsi="Tahoma" w:cs="Tahoma"/>
      <w:sz w:val="16"/>
      <w:szCs w:val="16"/>
    </w:rPr>
  </w:style>
  <w:style w:type="character" w:customStyle="1" w:styleId="BalloonTextChar">
    <w:name w:val="Balloon Text Char"/>
    <w:link w:val="BalloonText"/>
    <w:semiHidden/>
    <w:rsid w:val="00946575"/>
    <w:rPr>
      <w:rFonts w:ascii="Tahoma" w:hAnsi="Tahoma" w:cs="Tahoma"/>
      <w:sz w:val="16"/>
      <w:szCs w:val="16"/>
      <w:lang w:val="en-GB" w:eastAsia="en-US"/>
    </w:rPr>
  </w:style>
  <w:style w:type="paragraph" w:customStyle="1" w:styleId="ParNoG">
    <w:name w:val="_ParNo_G"/>
    <w:basedOn w:val="SingleTxtG"/>
    <w:qFormat/>
    <w:rsid w:val="005A0E16"/>
    <w:pPr>
      <w:numPr>
        <w:numId w:val="3"/>
      </w:numPr>
      <w:kinsoku w:val="0"/>
      <w:overflowPunct w:val="0"/>
      <w:autoSpaceDE w:val="0"/>
      <w:autoSpaceDN w:val="0"/>
      <w:adjustRightInd w:val="0"/>
      <w:snapToGrid w:val="0"/>
    </w:pPr>
  </w:style>
  <w:style w:type="paragraph" w:styleId="ListParagraph">
    <w:name w:val="List Paragraph"/>
    <w:aliases w:val="List Paragraph (numbered (a)),References,lp1,ReferencesCxSpLast,Numbered List Paragraph,Bullets,Title Style 1,Medium Grid 1 - Accent 21,List Paragraph1,List Paragraph nowy,Liste 1,List Bullet Mary,123 List Paragraph,Celula,Normal 2,normal"/>
    <w:basedOn w:val="Normal"/>
    <w:link w:val="ListParagraphChar"/>
    <w:uiPriority w:val="34"/>
    <w:qFormat/>
    <w:rsid w:val="00B97B7C"/>
    <w:pPr>
      <w:ind w:left="720"/>
      <w:contextualSpacing/>
    </w:pPr>
  </w:style>
  <w:style w:type="character" w:styleId="CommentReference">
    <w:name w:val="annotation reference"/>
    <w:uiPriority w:val="99"/>
    <w:rsid w:val="00234040"/>
    <w:rPr>
      <w:sz w:val="16"/>
      <w:szCs w:val="16"/>
    </w:rPr>
  </w:style>
  <w:style w:type="paragraph" w:styleId="CommentText">
    <w:name w:val="annotation text"/>
    <w:basedOn w:val="Normal"/>
    <w:link w:val="CommentTextChar"/>
    <w:uiPriority w:val="99"/>
    <w:rsid w:val="00234040"/>
  </w:style>
  <w:style w:type="character" w:customStyle="1" w:styleId="CommentTextChar">
    <w:name w:val="Comment Text Char"/>
    <w:link w:val="CommentText"/>
    <w:uiPriority w:val="99"/>
    <w:rsid w:val="00234040"/>
    <w:rPr>
      <w:lang w:val="en-GB" w:eastAsia="en-US"/>
    </w:rPr>
  </w:style>
  <w:style w:type="character" w:customStyle="1" w:styleId="FootnoteTextChar">
    <w:name w:val="Footnote Text Char"/>
    <w:aliases w:val="5_G Char,Footnote Text Char3 Char,Footnote Text Char1 Char Char,Footnote Text Char Char Char Char,Footnote Text Char1 Char Char Char Char,Footnote Text Char Char Char Char Char1 Char,Text pozn. pod čarou Char Char,Footnotes Char"/>
    <w:basedOn w:val="DefaultParagraphFont"/>
    <w:link w:val="FootnoteText"/>
    <w:qFormat/>
    <w:rsid w:val="002B7E87"/>
    <w:rPr>
      <w:sz w:val="18"/>
      <w:lang w:eastAsia="en-US"/>
    </w:rPr>
  </w:style>
  <w:style w:type="paragraph" w:customStyle="1" w:styleId="TitleA">
    <w:name w:val="Title A"/>
    <w:basedOn w:val="Normal"/>
    <w:qFormat/>
    <w:rsid w:val="007338FA"/>
    <w:pPr>
      <w:numPr>
        <w:numId w:val="6"/>
      </w:numPr>
      <w:suppressAutoHyphens w:val="0"/>
      <w:spacing w:line="240" w:lineRule="auto"/>
      <w:jc w:val="both"/>
    </w:pPr>
    <w:rPr>
      <w:rFonts w:asciiTheme="minorHAnsi" w:eastAsiaTheme="minorHAnsi" w:hAnsiTheme="minorHAnsi" w:cstheme="minorBidi"/>
      <w:sz w:val="24"/>
      <w:szCs w:val="24"/>
      <w:lang w:val="en-CA"/>
    </w:rPr>
  </w:style>
  <w:style w:type="paragraph" w:customStyle="1" w:styleId="ColorfulList-Accent11">
    <w:name w:val="Colorful List - Accent 11"/>
    <w:basedOn w:val="Normal"/>
    <w:uiPriority w:val="34"/>
    <w:qFormat/>
    <w:rsid w:val="007338FA"/>
    <w:pPr>
      <w:suppressAutoHyphens w:val="0"/>
      <w:spacing w:after="200" w:line="276" w:lineRule="auto"/>
      <w:ind w:left="720"/>
      <w:contextualSpacing/>
    </w:pPr>
    <w:rPr>
      <w:rFonts w:ascii="Calibri" w:eastAsia="Calibri" w:hAnsi="Calibri" w:cs="Arial"/>
      <w:sz w:val="22"/>
      <w:szCs w:val="22"/>
      <w:lang w:val="en-US"/>
    </w:rPr>
  </w:style>
  <w:style w:type="character" w:customStyle="1" w:styleId="UnresolvedMention1">
    <w:name w:val="Unresolved Mention1"/>
    <w:basedOn w:val="DefaultParagraphFont"/>
    <w:uiPriority w:val="99"/>
    <w:semiHidden/>
    <w:unhideWhenUsed/>
    <w:rsid w:val="00957974"/>
    <w:rPr>
      <w:color w:val="605E5C"/>
      <w:shd w:val="clear" w:color="auto" w:fill="E1DFDD"/>
    </w:rPr>
  </w:style>
  <w:style w:type="paragraph" w:customStyle="1" w:styleId="ENFootnoteReference">
    <w:name w:val="EN Footnote Reference"/>
    <w:aliases w:val="-E Fußnotenzeichen,number,SUPERS,BVI fnr תו Char Char Char,BVI fnr Car Car תו Char Char Char,BVI fnr Car תו Char Char Char,BVI fn"/>
    <w:basedOn w:val="Normal"/>
    <w:link w:val="FootnoteReference"/>
    <w:rsid w:val="00CE3325"/>
    <w:pPr>
      <w:suppressAutoHyphens w:val="0"/>
      <w:spacing w:after="160" w:line="240" w:lineRule="exact"/>
    </w:pPr>
    <w:rPr>
      <w:sz w:val="18"/>
      <w:vertAlign w:val="superscript"/>
      <w:lang w:eastAsia="en-GB"/>
    </w:rPr>
  </w:style>
  <w:style w:type="paragraph" w:customStyle="1" w:styleId="CharChar1CharCharCharChar1CharCharCharCharCharCharCharCharCharCharCharCharCharCharCharChar">
    <w:name w:val="Char Char1 Char Char Char Char1 Char Char Char Char Char Char Char Char Char Char Char Char (文字) Char Char Char Char"/>
    <w:aliases w:val="Char Char Char Char1 Char Char (文字) Char Char Char Char"/>
    <w:basedOn w:val="Normal"/>
    <w:next w:val="Normal"/>
    <w:autoRedefine/>
    <w:uiPriority w:val="99"/>
    <w:qFormat/>
    <w:rsid w:val="00C162E7"/>
    <w:pPr>
      <w:suppressAutoHyphens w:val="0"/>
      <w:spacing w:after="160" w:line="240" w:lineRule="exact"/>
    </w:pPr>
    <w:rPr>
      <w:rFonts w:asciiTheme="minorHAnsi" w:eastAsiaTheme="minorHAnsi" w:hAnsiTheme="minorHAnsi" w:cstheme="minorBidi"/>
      <w:sz w:val="22"/>
      <w:szCs w:val="22"/>
      <w:vertAlign w:val="superscript"/>
      <w:lang w:val="en-US"/>
    </w:rPr>
  </w:style>
  <w:style w:type="character" w:customStyle="1" w:styleId="ListParagraphChar">
    <w:name w:val="List Paragraph Char"/>
    <w:aliases w:val="List Paragraph (numbered (a)) Char,References Char,lp1 Char,ReferencesCxSpLast Char,Numbered List Paragraph Char,Bullets Char,Title Style 1 Char,Medium Grid 1 - Accent 21 Char,List Paragraph1 Char,List Paragraph nowy Char,Celula Char"/>
    <w:basedOn w:val="DefaultParagraphFont"/>
    <w:link w:val="ListParagraph"/>
    <w:uiPriority w:val="34"/>
    <w:qFormat/>
    <w:locked/>
    <w:rsid w:val="00294A01"/>
    <w:rPr>
      <w:lang w:eastAsia="en-US"/>
    </w:rPr>
  </w:style>
  <w:style w:type="paragraph" w:customStyle="1" w:styleId="Pardfaut">
    <w:name w:val="Par défaut"/>
    <w:rsid w:val="00697F84"/>
    <w:pPr>
      <w:pBdr>
        <w:top w:val="nil"/>
        <w:left w:val="nil"/>
        <w:bottom w:val="nil"/>
        <w:right w:val="nil"/>
        <w:between w:val="nil"/>
        <w:bar w:val="nil"/>
      </w:pBdr>
      <w:spacing w:before="160" w:line="288" w:lineRule="auto"/>
    </w:pPr>
    <w:rPr>
      <w:rFonts w:ascii="Helvetica Neue" w:eastAsia="Arial Unicode MS" w:hAnsi="Helvetica Neue" w:cs="Arial Unicode MS"/>
      <w:color w:val="000000"/>
      <w:sz w:val="24"/>
      <w:szCs w:val="24"/>
      <w:bdr w:val="nil"/>
      <w:lang w:val="fr-FR" w:eastAsia="fr-FR"/>
      <w14:textOutline w14:w="0" w14:cap="flat" w14:cmpd="sng" w14:algn="ctr">
        <w14:noFill/>
        <w14:prstDash w14:val="solid"/>
        <w14:bevel/>
      </w14:textOutline>
    </w:rPr>
  </w:style>
  <w:style w:type="character" w:customStyle="1" w:styleId="Aucun">
    <w:name w:val="Aucun"/>
    <w:rsid w:val="00697F84"/>
  </w:style>
  <w:style w:type="paragraph" w:styleId="CommentSubject">
    <w:name w:val="annotation subject"/>
    <w:basedOn w:val="CommentText"/>
    <w:next w:val="CommentText"/>
    <w:link w:val="CommentSubjectChar"/>
    <w:uiPriority w:val="99"/>
    <w:semiHidden/>
    <w:unhideWhenUsed/>
    <w:rsid w:val="00E72527"/>
    <w:pPr>
      <w:spacing w:line="240" w:lineRule="auto"/>
    </w:pPr>
    <w:rPr>
      <w:b/>
      <w:bCs/>
    </w:rPr>
  </w:style>
  <w:style w:type="character" w:customStyle="1" w:styleId="CommentSubjectChar">
    <w:name w:val="Comment Subject Char"/>
    <w:basedOn w:val="CommentTextChar"/>
    <w:link w:val="CommentSubject"/>
    <w:uiPriority w:val="99"/>
    <w:semiHidden/>
    <w:rsid w:val="00E72527"/>
    <w:rPr>
      <w:b/>
      <w:bCs/>
      <w:lang w:val="en-GB" w:eastAsia="en-US"/>
    </w:rPr>
  </w:style>
  <w:style w:type="paragraph" w:customStyle="1" w:styleId="SingleTxtG-Withnumbering">
    <w:name w:val="_ Single Txt_G - With numbering"/>
    <w:basedOn w:val="Normal"/>
    <w:qFormat/>
    <w:rsid w:val="00325C50"/>
    <w:pPr>
      <w:numPr>
        <w:numId w:val="9"/>
      </w:numPr>
      <w:tabs>
        <w:tab w:val="left" w:pos="1701"/>
      </w:tabs>
      <w:spacing w:after="120"/>
      <w:ind w:right="1134"/>
      <w:jc w:val="both"/>
    </w:pPr>
    <w:rPr>
      <w:lang w:val="x-none"/>
    </w:rPr>
  </w:style>
  <w:style w:type="character" w:styleId="Strong">
    <w:name w:val="Strong"/>
    <w:basedOn w:val="DefaultParagraphFont"/>
    <w:uiPriority w:val="22"/>
    <w:qFormat/>
    <w:rsid w:val="003567BE"/>
    <w:rPr>
      <w:b/>
      <w:bCs/>
    </w:rPr>
  </w:style>
  <w:style w:type="character" w:customStyle="1" w:styleId="EndnoteTextChar">
    <w:name w:val="Endnote Text Char"/>
    <w:aliases w:val="2_G Char"/>
    <w:basedOn w:val="DefaultParagraphFont"/>
    <w:link w:val="EndnoteText"/>
    <w:uiPriority w:val="99"/>
    <w:rsid w:val="00100A84"/>
    <w:rPr>
      <w:sz w:val="18"/>
      <w:lang w:eastAsia="en-US"/>
    </w:rPr>
  </w:style>
  <w:style w:type="character" w:styleId="Emphasis">
    <w:name w:val="Emphasis"/>
    <w:basedOn w:val="DefaultParagraphFont"/>
    <w:uiPriority w:val="20"/>
    <w:qFormat/>
    <w:rsid w:val="001A1FB4"/>
    <w:rPr>
      <w:i/>
      <w:iCs/>
    </w:rPr>
  </w:style>
  <w:style w:type="paragraph" w:styleId="Revision">
    <w:name w:val="Revision"/>
    <w:hidden/>
    <w:uiPriority w:val="99"/>
    <w:semiHidden/>
    <w:rsid w:val="00EF0D0D"/>
    <w:rPr>
      <w:lang w:eastAsia="en-US"/>
    </w:rPr>
  </w:style>
  <w:style w:type="paragraph" w:styleId="NormalWeb">
    <w:name w:val="Normal (Web)"/>
    <w:basedOn w:val="Normal"/>
    <w:uiPriority w:val="99"/>
    <w:unhideWhenUsed/>
    <w:rsid w:val="00403243"/>
    <w:pPr>
      <w:suppressAutoHyphens w:val="0"/>
      <w:spacing w:before="100" w:beforeAutospacing="1" w:after="100" w:afterAutospacing="1" w:line="240" w:lineRule="auto"/>
    </w:pPr>
    <w:rPr>
      <w:sz w:val="24"/>
      <w:szCs w:val="24"/>
      <w:lang w:eastAsia="en-GB"/>
    </w:rPr>
  </w:style>
  <w:style w:type="paragraph" w:styleId="NoSpacing">
    <w:name w:val="No Spacing"/>
    <w:uiPriority w:val="1"/>
    <w:qFormat/>
    <w:rsid w:val="009B02D9"/>
    <w:rPr>
      <w:rFonts w:asciiTheme="minorHAnsi" w:eastAsiaTheme="minorHAnsi" w:hAnsiTheme="minorHAnsi" w:cstheme="minorBidi"/>
      <w:sz w:val="22"/>
      <w:szCs w:val="22"/>
      <w:lang w:eastAsia="en-US"/>
    </w:rPr>
  </w:style>
  <w:style w:type="character" w:customStyle="1" w:styleId="FooterChar">
    <w:name w:val="Footer Char"/>
    <w:aliases w:val="3_G Char"/>
    <w:basedOn w:val="DefaultParagraphFont"/>
    <w:link w:val="Footer"/>
    <w:uiPriority w:val="99"/>
    <w:rsid w:val="00490769"/>
    <w:rPr>
      <w:sz w:val="16"/>
      <w:lang w:eastAsia="en-US"/>
    </w:rPr>
  </w:style>
  <w:style w:type="character" w:customStyle="1" w:styleId="HeaderChar">
    <w:name w:val="Header Char"/>
    <w:aliases w:val="6_G Char"/>
    <w:basedOn w:val="DefaultParagraphFont"/>
    <w:link w:val="Header"/>
    <w:rsid w:val="00587C2D"/>
    <w:rPr>
      <w:b/>
      <w:sz w:val="18"/>
      <w:lang w:eastAsia="en-US"/>
    </w:rPr>
  </w:style>
  <w:style w:type="character" w:customStyle="1" w:styleId="HChGChar">
    <w:name w:val="_ H _Ch_G Char"/>
    <w:link w:val="HChG"/>
    <w:rsid w:val="00FA4CD4"/>
    <w:rPr>
      <w:b/>
      <w:sz w:val="28"/>
      <w:lang w:eastAsia="en-US"/>
    </w:rPr>
  </w:style>
  <w:style w:type="character" w:customStyle="1" w:styleId="H1GChar">
    <w:name w:val="_ H_1_G Char"/>
    <w:link w:val="H1G"/>
    <w:locked/>
    <w:rsid w:val="00FA4CD4"/>
    <w:rPr>
      <w:b/>
      <w:sz w:val="24"/>
      <w:lang w:eastAsia="en-US"/>
    </w:rPr>
  </w:style>
  <w:style w:type="paragraph" w:customStyle="1" w:styleId="Footnote4G">
    <w:name w:val="Footnote 4G"/>
    <w:basedOn w:val="FootnoteText"/>
    <w:next w:val="FootnoteText"/>
    <w:autoRedefine/>
    <w:qFormat/>
    <w:rsid w:val="00FA4CD4"/>
    <w:pPr>
      <w:tabs>
        <w:tab w:val="clear" w:pos="1021"/>
        <w:tab w:val="left" w:pos="851"/>
      </w:tabs>
      <w:suppressAutoHyphens w:val="0"/>
      <w:spacing w:line="240" w:lineRule="atLeast"/>
      <w:ind w:left="0" w:right="0" w:firstLine="0"/>
    </w:pPr>
    <w:rPr>
      <w:rFonts w:eastAsia="SimSun" w:cstheme="minorBidi"/>
      <w:szCs w:val="22"/>
      <w:vertAlign w:val="superscript"/>
      <w:lang w:eastAsia="zh-CN"/>
    </w:rPr>
  </w:style>
  <w:style w:type="character" w:customStyle="1" w:styleId="SingleTxtGChar">
    <w:name w:val="_ Single Txt_G Char"/>
    <w:link w:val="SingleTxtG"/>
    <w:rsid w:val="00FA4CD4"/>
    <w:rPr>
      <w:lang w:eastAsia="en-US"/>
    </w:rPr>
  </w:style>
  <w:style w:type="character" w:customStyle="1" w:styleId="preferred">
    <w:name w:val="preferred"/>
    <w:basedOn w:val="DefaultParagraphFont"/>
    <w:rsid w:val="009E0476"/>
  </w:style>
  <w:style w:type="character" w:customStyle="1" w:styleId="admitted">
    <w:name w:val="admitted"/>
    <w:basedOn w:val="DefaultParagraphFont"/>
    <w:rsid w:val="009E04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9221251">
      <w:bodyDiv w:val="1"/>
      <w:marLeft w:val="0"/>
      <w:marRight w:val="0"/>
      <w:marTop w:val="0"/>
      <w:marBottom w:val="0"/>
      <w:divBdr>
        <w:top w:val="none" w:sz="0" w:space="0" w:color="auto"/>
        <w:left w:val="none" w:sz="0" w:space="0" w:color="auto"/>
        <w:bottom w:val="none" w:sz="0" w:space="0" w:color="auto"/>
        <w:right w:val="none" w:sz="0" w:space="0" w:color="auto"/>
      </w:divBdr>
    </w:div>
    <w:div w:id="1086534559">
      <w:bodyDiv w:val="1"/>
      <w:marLeft w:val="0"/>
      <w:marRight w:val="0"/>
      <w:marTop w:val="0"/>
      <w:marBottom w:val="0"/>
      <w:divBdr>
        <w:top w:val="none" w:sz="0" w:space="0" w:color="auto"/>
        <w:left w:val="none" w:sz="0" w:space="0" w:color="auto"/>
        <w:bottom w:val="none" w:sz="0" w:space="0" w:color="auto"/>
        <w:right w:val="none" w:sz="0" w:space="0" w:color="auto"/>
      </w:divBdr>
    </w:div>
    <w:div w:id="1618099713">
      <w:bodyDiv w:val="1"/>
      <w:marLeft w:val="0"/>
      <w:marRight w:val="0"/>
      <w:marTop w:val="0"/>
      <w:marBottom w:val="0"/>
      <w:divBdr>
        <w:top w:val="none" w:sz="0" w:space="0" w:color="auto"/>
        <w:left w:val="none" w:sz="0" w:space="0" w:color="auto"/>
        <w:bottom w:val="none" w:sz="0" w:space="0" w:color="auto"/>
        <w:right w:val="none" w:sz="0" w:space="0" w:color="auto"/>
      </w:divBdr>
    </w:div>
    <w:div w:id="1751197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5.png"/><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9.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4.png"/><Relationship Id="rId29"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8.pn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7.png"/><Relationship Id="rId28" Type="http://schemas.openxmlformats.org/officeDocument/2006/relationships/image" Target="media/image12.png"/><Relationship Id="rId10" Type="http://schemas.openxmlformats.org/officeDocument/2006/relationships/endnotes" Target="endnotes.xml"/><Relationship Id="rId19" Type="http://schemas.openxmlformats.org/officeDocument/2006/relationships/image" Target="media/image3.png"/><Relationship Id="rId31" Type="http://schemas.openxmlformats.org/officeDocument/2006/relationships/hyperlink" Target="https://www.ohchr.org/Documents/Countries/LY/LibyaMigrationReport.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3.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 standalone="yes"?>
<Relationships xmlns="http://schemas.openxmlformats.org/package/2006/relationships"><Relationship Id="rId3" Type="http://schemas.openxmlformats.org/officeDocument/2006/relationships/hyperlink" Target="https://unsmil.unmissions.org/women-peace-and-security-libyan-context" TargetMode="External"/><Relationship Id="rId2" Type="http://schemas.openxmlformats.org/officeDocument/2006/relationships/hyperlink" Target="https://www.bbc.com/news/world-africa-58009514" TargetMode="External"/><Relationship Id="rId1" Type="http://schemas.openxmlformats.org/officeDocument/2006/relationships/hyperlink" Target="https://extranet.who.int/ssa/Index.aspx" TargetMode="External"/><Relationship Id="rId4" Type="http://schemas.openxmlformats.org/officeDocument/2006/relationships/hyperlink" Target="https://www.state.gov/wp-content/uploads/2021/03/LIBYA-2020-HUMAN-RIGHTS-REPORT.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N-Docs2017\Templates\A\A_E.dot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7EF077F9CD0B34F97AC46763D8FB4BB" ma:contentTypeVersion="1" ma:contentTypeDescription="Create a new document." ma:contentTypeScope="" ma:versionID="3a6fdf85bb2ad3a961473b016d7d519f">
  <xsd:schema xmlns:xsd="http://www.w3.org/2001/XMLSchema" xmlns:xs="http://www.w3.org/2001/XMLSchema" xmlns:p="http://schemas.microsoft.com/office/2006/metadata/properties" xmlns:ns1="http://schemas.microsoft.com/sharepoint/v3" targetNamespace="http://schemas.microsoft.com/office/2006/metadata/properties" ma:root="true" ma:fieldsID="4dcce58c87e9fcebab8021569449a8d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GostTitle.XSL" StyleName="Gost - Tri par titre" Version="2003"/>
</file>

<file path=customXml/itemProps1.xml><?xml version="1.0" encoding="utf-8"?>
<ds:datastoreItem xmlns:ds="http://schemas.openxmlformats.org/officeDocument/2006/customXml" ds:itemID="{2F003E4A-1B5C-4B31-BC46-9229848F9081}">
  <ds:schemaRefs>
    <ds:schemaRef ds:uri="http://schemas.microsoft.com/sharepoint/v4"/>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documentManagement/types"/>
    <ds:schemaRef ds:uri="428416fd-f5ff-4c2c-9217-9a0681051042"/>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79D46073-D979-4ED2-885B-ED5D2EC75549}">
  <ds:schemaRefs>
    <ds:schemaRef ds:uri="http://schemas.microsoft.com/sharepoint/v3/contenttype/forms"/>
  </ds:schemaRefs>
</ds:datastoreItem>
</file>

<file path=customXml/itemProps3.xml><?xml version="1.0" encoding="utf-8"?>
<ds:datastoreItem xmlns:ds="http://schemas.openxmlformats.org/officeDocument/2006/customXml" ds:itemID="{0C05B1A9-F0C7-4175-9E6E-7889EE4FE0D2}"/>
</file>

<file path=customXml/itemProps4.xml><?xml version="1.0" encoding="utf-8"?>
<ds:datastoreItem xmlns:ds="http://schemas.openxmlformats.org/officeDocument/2006/customXml" ds:itemID="{3B295EB5-D100-476E-BEAE-4984F8A548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A_E.dotm</Template>
  <TotalTime>1</TotalTime>
  <Pages>28</Pages>
  <Words>10553</Words>
  <Characters>60154</Characters>
  <Application>Microsoft Office Word</Application>
  <DocSecurity>4</DocSecurity>
  <Lines>501</Lines>
  <Paragraphs>141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A/HRC/48/83</vt:lpstr>
      <vt:lpstr>A/HRC/WG.6/32/XXX/2</vt:lpstr>
    </vt:vector>
  </TitlesOfParts>
  <Company>CSD</Company>
  <LinksUpToDate>false</LinksUpToDate>
  <CharactersWithSpaces>70566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A/HRC/48/83</dc:title>
  <dc:subject/>
  <dc:creator>Feyikemi Oyewole</dc:creator>
  <cp:keywords/>
  <dc:description/>
  <cp:lastModifiedBy>Veronique Lanz</cp:lastModifiedBy>
  <cp:revision>2</cp:revision>
  <cp:lastPrinted>2020-02-26T14:22:00Z</cp:lastPrinted>
  <dcterms:created xsi:type="dcterms:W3CDTF">2021-10-06T13:41:00Z</dcterms:created>
  <dcterms:modified xsi:type="dcterms:W3CDTF">2021-10-06T13:41:00Z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0x010100F7EF077F9CD0B34F97AC46763D8FB4BB</vt:lpwstr>
  </property>
</Properties>
</file>