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57BC0" w:rsidRPr="00DB58B5" w:rsidTr="008A0E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1862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18625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8A0ED3" w:rsidP="008A0ED3">
            <w:pPr>
              <w:jc w:val="right"/>
            </w:pPr>
            <w:r w:rsidRPr="008A0ED3">
              <w:rPr>
                <w:sz w:val="40"/>
              </w:rPr>
              <w:t>A</w:t>
            </w:r>
            <w:r>
              <w:t>/HRC/42/6/Add.1</w:t>
            </w:r>
          </w:p>
        </w:tc>
      </w:tr>
      <w:tr w:rsidR="00057BC0" w:rsidRPr="00DB58B5" w:rsidTr="0018625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186254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D35417" w:rsidP="0018625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Default="008A0ED3" w:rsidP="008A0ED3">
            <w:pPr>
              <w:spacing w:before="240" w:line="240" w:lineRule="exact"/>
            </w:pPr>
            <w:r>
              <w:t>Distr. générale</w:t>
            </w:r>
          </w:p>
          <w:p w:rsidR="008A0ED3" w:rsidRDefault="00F9443E" w:rsidP="008A0ED3">
            <w:pPr>
              <w:spacing w:line="240" w:lineRule="exact"/>
            </w:pPr>
            <w:r>
              <w:t>10</w:t>
            </w:r>
            <w:r w:rsidR="008A0ED3">
              <w:t xml:space="preserve"> septembre 2019</w:t>
            </w:r>
          </w:p>
          <w:p w:rsidR="008A0ED3" w:rsidRDefault="008A0ED3" w:rsidP="008A0ED3">
            <w:pPr>
              <w:spacing w:line="240" w:lineRule="exact"/>
            </w:pPr>
          </w:p>
          <w:p w:rsidR="008A0ED3" w:rsidRPr="00DB58B5" w:rsidRDefault="008A0ED3" w:rsidP="008A0ED3">
            <w:pPr>
              <w:spacing w:line="240" w:lineRule="exact"/>
            </w:pPr>
            <w:r>
              <w:t>Original : français</w:t>
            </w:r>
          </w:p>
        </w:tc>
      </w:tr>
    </w:tbl>
    <w:p w:rsidR="008A0ED3" w:rsidRPr="00F714B1" w:rsidRDefault="008A0ED3" w:rsidP="008A0ED3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b/>
          <w:sz w:val="24"/>
          <w:szCs w:val="24"/>
          <w:lang w:val="fr-FR"/>
        </w:rPr>
      </w:pPr>
      <w:r w:rsidRPr="00F714B1">
        <w:rPr>
          <w:b/>
          <w:sz w:val="24"/>
          <w:szCs w:val="24"/>
          <w:lang w:val="fr-FR"/>
        </w:rPr>
        <w:t>Conseil des droits de l’homme</w:t>
      </w:r>
    </w:p>
    <w:p w:rsidR="008A0ED3" w:rsidRDefault="008A0ED3" w:rsidP="008A0ED3">
      <w:pPr>
        <w:kinsoku w:val="0"/>
        <w:overflowPunct w:val="0"/>
        <w:autoSpaceDE w:val="0"/>
        <w:autoSpaceDN w:val="0"/>
        <w:adjustRightInd w:val="0"/>
        <w:snapToGrid w:val="0"/>
        <w:rPr>
          <w:b/>
          <w:lang w:val="fr-FR"/>
        </w:rPr>
      </w:pPr>
      <w:r>
        <w:rPr>
          <w:b/>
          <w:szCs w:val="24"/>
          <w:lang w:val="fr-FR"/>
        </w:rPr>
        <w:t>Quarante-deuxième</w:t>
      </w:r>
      <w:r w:rsidRPr="00F714B1">
        <w:rPr>
          <w:b/>
          <w:szCs w:val="24"/>
          <w:lang w:val="fr-FR"/>
        </w:rPr>
        <w:t xml:space="preserve"> </w:t>
      </w:r>
      <w:r w:rsidRPr="00F714B1">
        <w:rPr>
          <w:b/>
          <w:lang w:val="fr-FR"/>
        </w:rPr>
        <w:t>session</w:t>
      </w:r>
    </w:p>
    <w:p w:rsidR="008A0ED3" w:rsidRPr="005F1C7A" w:rsidRDefault="008A0ED3" w:rsidP="008A0ED3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>
        <w:rPr>
          <w:lang w:val="fr-FR"/>
        </w:rPr>
        <w:t>9–27 septembre 2019</w:t>
      </w:r>
    </w:p>
    <w:p w:rsidR="008A0ED3" w:rsidRPr="00F714B1" w:rsidRDefault="008A0ED3" w:rsidP="008A0ED3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F714B1">
        <w:rPr>
          <w:lang w:val="fr-FR"/>
        </w:rPr>
        <w:t>Point 6 de l’ordre du jour</w:t>
      </w:r>
    </w:p>
    <w:p w:rsidR="008A0ED3" w:rsidRPr="00F714B1" w:rsidRDefault="008A0ED3" w:rsidP="008A0ED3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F714B1">
        <w:rPr>
          <w:b/>
          <w:lang w:val="fr-FR"/>
        </w:rPr>
        <w:t>Examen périodique universel</w:t>
      </w:r>
    </w:p>
    <w:p w:rsidR="008A0ED3" w:rsidRPr="00F714B1" w:rsidRDefault="008A0ED3" w:rsidP="008A0ED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F714B1">
        <w:rPr>
          <w:b/>
          <w:sz w:val="34"/>
          <w:lang w:val="fr-FR"/>
        </w:rPr>
        <w:tab/>
      </w:r>
      <w:r w:rsidRPr="00F714B1">
        <w:rPr>
          <w:b/>
          <w:sz w:val="34"/>
          <w:lang w:val="fr-FR"/>
        </w:rPr>
        <w:tab/>
      </w:r>
      <w:r w:rsidRPr="00F714B1">
        <w:rPr>
          <w:b/>
          <w:sz w:val="28"/>
          <w:lang w:val="fr-FR"/>
        </w:rPr>
        <w:t xml:space="preserve">Rapport du Groupe de travail </w:t>
      </w:r>
      <w:r w:rsidRPr="00F714B1">
        <w:rPr>
          <w:b/>
          <w:sz w:val="28"/>
          <w:lang w:val="fr-FR"/>
        </w:rPr>
        <w:br/>
        <w:t>sur l’Examen périodique universel</w:t>
      </w:r>
    </w:p>
    <w:p w:rsidR="008A0ED3" w:rsidRPr="00F714B1" w:rsidRDefault="008A0ED3" w:rsidP="008A0ED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  <w:t>Côte d’Ivoire</w:t>
      </w:r>
    </w:p>
    <w:p w:rsidR="008A0ED3" w:rsidRPr="00F714B1" w:rsidRDefault="008A0ED3" w:rsidP="008A0ED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F714B1">
        <w:rPr>
          <w:b/>
          <w:lang w:val="fr-FR"/>
        </w:rPr>
        <w:tab/>
      </w:r>
      <w:r w:rsidRPr="00F714B1">
        <w:rPr>
          <w:b/>
          <w:lang w:val="fr-FR"/>
        </w:rPr>
        <w:tab/>
        <w:t>Additif</w:t>
      </w:r>
      <w:r w:rsidR="00E66E55" w:rsidRPr="00E66E55">
        <w:rPr>
          <w:rStyle w:val="FootnoteReference"/>
          <w:sz w:val="20"/>
          <w:vertAlign w:val="baseline"/>
          <w:lang w:val="fr-FR"/>
        </w:rPr>
        <w:footnoteReference w:customMarkFollows="1" w:id="2"/>
        <w:t>*</w:t>
      </w:r>
    </w:p>
    <w:p w:rsidR="008A0ED3" w:rsidRPr="00D35417" w:rsidRDefault="008A0ED3" w:rsidP="00D35417">
      <w:pPr>
        <w:pStyle w:val="H1G"/>
        <w:rPr>
          <w:lang w:val="fr-FR"/>
        </w:rPr>
      </w:pPr>
      <w:r w:rsidRPr="00D35417">
        <w:rPr>
          <w:lang w:val="fr-FR"/>
        </w:rPr>
        <w:tab/>
      </w:r>
      <w:r w:rsidRPr="00D35417">
        <w:rPr>
          <w:lang w:val="fr-FR"/>
        </w:rPr>
        <w:tab/>
        <w:t>Observations sur les conclusions et/ou recommandations,</w:t>
      </w:r>
      <w:r w:rsidRPr="00D35417">
        <w:rPr>
          <w:lang w:val="fr-FR"/>
        </w:rPr>
        <w:br/>
        <w:t>engagements et réponses de l’État examiné</w:t>
      </w:r>
    </w:p>
    <w:p w:rsidR="008A0ED3" w:rsidRDefault="008A0ED3" w:rsidP="008A0ED3">
      <w:pPr>
        <w:pStyle w:val="HChG"/>
        <w:ind w:firstLine="0"/>
      </w:pPr>
      <w:r w:rsidRPr="00F714B1">
        <w:br w:type="page"/>
      </w:r>
      <w:r>
        <w:lastRenderedPageBreak/>
        <w:t>La position de la Côte d’Ivoire relative aux vingt (20) recommandations reportées à la 42</w:t>
      </w:r>
      <w:r w:rsidRPr="008A0ED3">
        <w:rPr>
          <w:vertAlign w:val="superscript"/>
        </w:rPr>
        <w:t>ème</w:t>
      </w:r>
      <w:r>
        <w:t xml:space="preserve"> session du Conseil des droits de l’homme</w:t>
      </w:r>
    </w:p>
    <w:p w:rsidR="008A0ED3" w:rsidRPr="001D6F8A" w:rsidRDefault="008A0ED3" w:rsidP="008A0ED3">
      <w:pPr>
        <w:pStyle w:val="H1G"/>
        <w:rPr>
          <w:lang w:val="fr-FR"/>
        </w:rPr>
      </w:pPr>
      <w:r w:rsidRPr="001D6F8A">
        <w:rPr>
          <w:lang w:val="fr-FR"/>
        </w:rPr>
        <w:tab/>
      </w:r>
      <w:r w:rsidRPr="001D6F8A">
        <w:rPr>
          <w:lang w:val="fr-FR"/>
        </w:rPr>
        <w:tab/>
        <w:t>Les recommandations acceptées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141.2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Envisager de ratifier la Convention de 2011 sur les travailleuses et travailleurs domestiques (no 189) de l’Organisation internationale du Travail</w:t>
      </w:r>
      <w:r w:rsidR="00C0354B">
        <w:rPr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l'Uruguay</w:t>
      </w:r>
      <w:r w:rsidR="008A0ED3">
        <w:rPr>
          <w:lang w:val="fr-FR"/>
        </w:rPr>
        <w:t>) ;</w:t>
      </w:r>
    </w:p>
    <w:p w:rsidR="008A0ED3" w:rsidRPr="008A0ED3" w:rsidRDefault="009C3F1D" w:rsidP="0097690D">
      <w:pPr>
        <w:pStyle w:val="SingleTxtG"/>
        <w:tabs>
          <w:tab w:val="left" w:pos="1985"/>
        </w:tabs>
        <w:rPr>
          <w:lang w:val="fr-FR"/>
        </w:rPr>
      </w:pPr>
      <w:r w:rsidRPr="00916292">
        <w:rPr>
          <w:b/>
          <w:lang w:val="fr-FR"/>
        </w:rPr>
        <w:t>141.4</w:t>
      </w:r>
      <w:r w:rsidR="008B35FB">
        <w:rPr>
          <w:bCs/>
          <w:lang w:val="fr-FR"/>
        </w:rPr>
        <w:tab/>
      </w:r>
      <w:r w:rsidRPr="00F9443E">
        <w:rPr>
          <w:bCs/>
          <w:lang w:val="fr-FR"/>
        </w:rPr>
        <w:t>Poursuivre les efforts en cours pour ratifier la Convention internationale sur la protection des droits de tous les travailleurs migrants et des membres de leur famille</w:t>
      </w:r>
      <w:r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 Ghana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141.5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 xml:space="preserve">Ratifier les principaux instruments relatifs aux droits de l’homme auxquels elle n’est pas encore partie, notamment la Convention internationale sur la protection des droits de tous les </w:t>
      </w:r>
      <w:r w:rsidR="009C3F1D" w:rsidRPr="00F9443E">
        <w:rPr>
          <w:bCs/>
          <w:lang w:val="fr-FR"/>
        </w:rPr>
        <w:lastRenderedPageBreak/>
        <w:t>travailleurs migrants et des membres de leur famille</w:t>
      </w:r>
      <w:r w:rsidR="008A0ED3" w:rsidRPr="008A0ED3">
        <w:rPr>
          <w:lang w:val="fr-FR"/>
        </w:rPr>
        <w:t xml:space="preserve"> (</w:t>
      </w:r>
      <w:r w:rsidR="008A0ED3" w:rsidRPr="008A0ED3">
        <w:rPr>
          <w:b/>
          <w:lang w:val="fr-FR"/>
        </w:rPr>
        <w:t>le Honduras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141.6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Redoubler d’efforts en vue de la ratification de la Convention internationale sur la protection des droits de tous les travailleurs migrants et des membres de leur famille</w:t>
      </w:r>
      <w:r w:rsidR="008A0ED3" w:rsidRPr="008A0ED3">
        <w:rPr>
          <w:lang w:val="fr-FR"/>
        </w:rPr>
        <w:t xml:space="preserve"> (</w:t>
      </w:r>
      <w:r w:rsidR="008A0ED3" w:rsidRPr="008A0ED3">
        <w:rPr>
          <w:b/>
          <w:lang w:val="fr-FR"/>
        </w:rPr>
        <w:t>l'Indonésie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141.7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Ratifier la Convention internationale sur la protection des droits de tous les travailleurs migrants et des membres de leur famille</w:t>
      </w:r>
      <w:r w:rsidR="009C3F1D"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Madagascar, l'Azerbaïdjan, le Rwanda, le Sénégal, le Paraguay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141.8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Envisager de ratifier la Convention internationale sur la protection des droits de tous les travailleurs migrants et des membres de leur famille</w:t>
      </w:r>
      <w:r w:rsidR="009C3F1D"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Timor-Leste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141.9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Coopérer pleinement avec les enquêtes de la Cour pénale internationale et d’autres mécanismes judiciaires visant à traduire devant la justice tous les auteurs d’infractions commises pendant les conflits passés</w:t>
      </w:r>
      <w:r w:rsidR="009C3F1D"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 Monténégro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141.10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Accélérer le processus de ratification de la Convention internationale sur la protection des droits de tous les travailleurs migrants et des membres de leur famille</w:t>
      </w:r>
      <w:r w:rsidR="009C3F1D"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 Mozambique</w:t>
      </w:r>
      <w:r w:rsidR="008A0ED3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lastRenderedPageBreak/>
        <w:t>141.16</w:t>
      </w:r>
      <w:r w:rsidR="008B35FB">
        <w:rPr>
          <w:b/>
          <w:lang w:val="fr-FR"/>
        </w:rPr>
        <w:tab/>
      </w:r>
      <w:r w:rsidR="009C3F1D" w:rsidRPr="00F9443E">
        <w:rPr>
          <w:bCs/>
          <w:lang w:val="fr-FR"/>
        </w:rPr>
        <w:t>Favoriser l’accès à une éducation continue, gratuite et de qualité sur l’ensemble du territoire national</w:t>
      </w:r>
      <w:r w:rsidR="009C3F1D" w:rsidRPr="009C3F1D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la France</w:t>
      </w:r>
      <w:r>
        <w:rPr>
          <w:lang w:val="fr-FR"/>
        </w:rPr>
        <w:t>).</w:t>
      </w:r>
    </w:p>
    <w:p w:rsidR="0008167F" w:rsidRPr="001D6F8A" w:rsidRDefault="008A0ED3" w:rsidP="008A0ED3">
      <w:pPr>
        <w:pStyle w:val="H1G"/>
        <w:rPr>
          <w:lang w:val="fr-FR"/>
        </w:rPr>
      </w:pPr>
      <w:r w:rsidRPr="001D6F8A">
        <w:rPr>
          <w:lang w:val="fr-FR"/>
        </w:rPr>
        <w:tab/>
      </w:r>
      <w:r w:rsidRPr="001D6F8A">
        <w:rPr>
          <w:lang w:val="fr-FR"/>
        </w:rPr>
        <w:tab/>
        <w:t>Les recommandations notées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</w:t>
      </w:r>
      <w:r w:rsidR="008B35FB">
        <w:rPr>
          <w:b/>
          <w:lang w:val="fr-FR"/>
        </w:rPr>
        <w:tab/>
      </w:r>
      <w:r w:rsidR="00E816A7" w:rsidRPr="00F9443E">
        <w:rPr>
          <w:bCs/>
          <w:lang w:val="fr-FR"/>
        </w:rPr>
        <w:t>Ratifier la Convention de 1989 relative aux peuples indigènes et tribaux (no 169) de l’Organisation internationale du Travail</w:t>
      </w:r>
      <w:r w:rsidR="008A0ED3" w:rsidRPr="008A0ED3">
        <w:rPr>
          <w:lang w:val="fr-FR"/>
        </w:rPr>
        <w:t xml:space="preserve"> (</w:t>
      </w:r>
      <w:r w:rsidR="008A0ED3" w:rsidRPr="008A0ED3">
        <w:rPr>
          <w:b/>
          <w:lang w:val="fr-FR"/>
        </w:rPr>
        <w:t>Danemark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141.3</w:t>
      </w:r>
      <w:r w:rsidR="008B35FB">
        <w:rPr>
          <w:b/>
          <w:lang w:val="fr-FR"/>
        </w:rPr>
        <w:tab/>
      </w:r>
      <w:r w:rsidR="00DC44EC" w:rsidRPr="00F9443E">
        <w:rPr>
          <w:bCs/>
          <w:lang w:val="fr-FR"/>
        </w:rPr>
        <w:t>Envisager d’adresser une invitation permanente aux titulaires de mandats au titre des procédures spéciales</w:t>
      </w:r>
      <w:r w:rsidR="00DC44EC" w:rsidRPr="00DC44EC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la Géorgie, la Lettonie, le Qatar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141.11</w:t>
      </w:r>
      <w:r w:rsidR="008B35FB">
        <w:rPr>
          <w:b/>
          <w:lang w:val="fr-FR"/>
        </w:rPr>
        <w:tab/>
      </w:r>
      <w:r w:rsidR="00DC44EC" w:rsidRPr="00F9443E">
        <w:rPr>
          <w:bCs/>
          <w:lang w:val="fr-FR"/>
        </w:rPr>
        <w:t>Adopter un processus ouvert, fondé sur le mérite, pour la sélection des candidats nationaux aux élections des organes conventionnels</w:t>
      </w:r>
      <w:r w:rsidR="00DC44EC" w:rsidRPr="00DC44EC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 Royaume-Uni de la Grande-Bretagne et de l'Irlande du Nord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141.12</w:t>
      </w:r>
      <w:r w:rsidR="008B35FB">
        <w:rPr>
          <w:b/>
          <w:lang w:val="fr-FR"/>
        </w:rPr>
        <w:tab/>
      </w:r>
      <w:r w:rsidR="00DC44EC" w:rsidRPr="00F9443E">
        <w:rPr>
          <w:bCs/>
          <w:lang w:val="fr-FR"/>
        </w:rPr>
        <w:t xml:space="preserve">Envisager de publier le rapport de la Commission Dialogue, vérité et réconciliation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 Pérou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141.13</w:t>
      </w:r>
      <w:r w:rsidR="008B35FB">
        <w:rPr>
          <w:b/>
          <w:lang w:val="fr-FR"/>
        </w:rPr>
        <w:tab/>
      </w:r>
      <w:r w:rsidR="006F19D4" w:rsidRPr="00F9443E">
        <w:rPr>
          <w:bCs/>
          <w:lang w:val="fr-FR"/>
        </w:rPr>
        <w:t>Faire en sorte que le rapport de la Commission Dialogue, vérité et réconciliation soit mis à la disposition du public et élaborer une politique de réparation claire</w:t>
      </w:r>
      <w:r w:rsidR="006F19D4" w:rsidRPr="006F19D4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l'Australie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141.14</w:t>
      </w:r>
      <w:r w:rsidR="008B35FB">
        <w:rPr>
          <w:b/>
          <w:lang w:val="fr-FR"/>
        </w:rPr>
        <w:tab/>
      </w:r>
      <w:r w:rsidR="006F19D4" w:rsidRPr="00F9443E">
        <w:rPr>
          <w:bCs/>
          <w:lang w:val="fr-FR"/>
        </w:rPr>
        <w:t xml:space="preserve">Veiller à ce que les femmes, les enfants, les personnes handicapées, </w:t>
      </w:r>
      <w:r w:rsidR="006F19D4" w:rsidRPr="00F9443E">
        <w:rPr>
          <w:bCs/>
          <w:lang w:val="fr-FR"/>
        </w:rPr>
        <w:lastRenderedPageBreak/>
        <w:t>les autochtones et les communautés marginalisées puissent participer efficacement à l’élaboration des lois, des politiques et des programmes sur les changements climatiques et la réduction des risques de catastrophe à l’échelon local, national et international</w:t>
      </w:r>
      <w:r w:rsidR="006F19D4" w:rsidRPr="006F19D4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les Fidji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141.15</w:t>
      </w:r>
      <w:r w:rsidR="008B35FB">
        <w:rPr>
          <w:b/>
          <w:lang w:val="fr-FR"/>
        </w:rPr>
        <w:tab/>
      </w:r>
      <w:r w:rsidR="007E46D2" w:rsidRPr="00F9443E">
        <w:rPr>
          <w:bCs/>
          <w:lang w:val="fr-FR"/>
        </w:rPr>
        <w:t>Éliminer les frais liés à la scolarité afin de fournir des services éducatifs gratuits</w:t>
      </w:r>
      <w:r w:rsidR="00741096">
        <w:rPr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l'Arabie Saoudite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141.17</w:t>
      </w:r>
      <w:r w:rsidR="008B35FB">
        <w:rPr>
          <w:b/>
          <w:lang w:val="fr-FR"/>
        </w:rPr>
        <w:tab/>
      </w:r>
      <w:r w:rsidR="007E46D2" w:rsidRPr="00F9443E">
        <w:rPr>
          <w:bCs/>
          <w:lang w:val="fr-FR"/>
        </w:rPr>
        <w:t>Assurer l’égalité d’accès à un enseignement de qualité pour tous et garantir une scolarité publique gratuite de douze années au moins</w:t>
      </w:r>
      <w:r w:rsidR="007E46D2" w:rsidRPr="007E46D2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l'Inde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141.18</w:t>
      </w:r>
      <w:r w:rsidR="008B35FB">
        <w:rPr>
          <w:b/>
          <w:lang w:val="fr-FR"/>
        </w:rPr>
        <w:tab/>
      </w:r>
      <w:r w:rsidR="007E46D2" w:rsidRPr="00F9443E">
        <w:rPr>
          <w:bCs/>
          <w:lang w:val="fr-FR"/>
        </w:rPr>
        <w:t>Continuer d’assurer un enseignement de qualité inclusif et équitable, en s’employant en particulier à garantir une scolarité publique gratuite pendant douze ans, à tous les enfants</w:t>
      </w:r>
      <w:r w:rsidR="007E46D2" w:rsidRPr="007E46D2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l'État de la Palestine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141.19</w:t>
      </w:r>
      <w:r w:rsidR="008B35FB">
        <w:rPr>
          <w:b/>
          <w:lang w:val="fr-FR"/>
        </w:rPr>
        <w:tab/>
      </w:r>
      <w:r w:rsidR="007E46D2" w:rsidRPr="00F9443E">
        <w:rPr>
          <w:bCs/>
          <w:lang w:val="fr-FR"/>
        </w:rPr>
        <w:t>Assurer une scolarité gratuite pendant douze années au moins</w:t>
      </w:r>
      <w:r w:rsidR="007E46D2" w:rsidRPr="007E46D2">
        <w:rPr>
          <w:b/>
          <w:lang w:val="fr-FR"/>
        </w:rPr>
        <w:t xml:space="preserve">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l'Ukraine</w:t>
      </w:r>
      <w:r w:rsidR="00741096">
        <w:rPr>
          <w:lang w:val="fr-FR"/>
        </w:rPr>
        <w:t>) ;</w:t>
      </w:r>
    </w:p>
    <w:p w:rsidR="008A0ED3" w:rsidRPr="008A0ED3" w:rsidRDefault="0097690D" w:rsidP="0097690D">
      <w:pPr>
        <w:pStyle w:val="SingleTxtG"/>
        <w:tabs>
          <w:tab w:val="left" w:pos="1985"/>
        </w:tabs>
        <w:rPr>
          <w:lang w:val="fr-FR"/>
        </w:rPr>
      </w:pPr>
      <w:r>
        <w:rPr>
          <w:b/>
          <w:lang w:val="fr-FR"/>
        </w:rPr>
        <w:t>141.20</w:t>
      </w:r>
      <w:r w:rsidR="008B35FB">
        <w:rPr>
          <w:b/>
          <w:lang w:val="fr-FR"/>
        </w:rPr>
        <w:tab/>
      </w:r>
      <w:r w:rsidR="007E46D2" w:rsidRPr="00F9443E">
        <w:rPr>
          <w:bCs/>
          <w:lang w:val="fr-FR"/>
        </w:rPr>
        <w:t xml:space="preserve">Garantir la gratuité de l’enseignement public pendant douze ans au moins, conformément aux engagements pris pour atteindre l’objectif de développement durable 4 </w:t>
      </w:r>
      <w:r w:rsidR="008A0ED3" w:rsidRPr="008A0ED3">
        <w:rPr>
          <w:lang w:val="fr-FR"/>
        </w:rPr>
        <w:t>(</w:t>
      </w:r>
      <w:r w:rsidR="008A0ED3" w:rsidRPr="008A0ED3">
        <w:rPr>
          <w:b/>
          <w:lang w:val="fr-FR"/>
        </w:rPr>
        <w:t>l'Algérie</w:t>
      </w:r>
      <w:r w:rsidR="008A0ED3" w:rsidRPr="008A0ED3">
        <w:rPr>
          <w:lang w:val="fr-FR"/>
        </w:rPr>
        <w:t>).</w:t>
      </w:r>
    </w:p>
    <w:p w:rsidR="008A0ED3" w:rsidRPr="00741096" w:rsidRDefault="00741096" w:rsidP="0074109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0ED3" w:rsidRPr="00741096" w:rsidSect="008A0ED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D3" w:rsidRDefault="008A0ED3"/>
  </w:endnote>
  <w:endnote w:type="continuationSeparator" w:id="0">
    <w:p w:rsidR="008A0ED3" w:rsidRDefault="008A0ED3"/>
  </w:endnote>
  <w:endnote w:type="continuationNotice" w:id="1">
    <w:p w:rsidR="008A0ED3" w:rsidRDefault="008A0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D3" w:rsidRPr="008A0ED3" w:rsidRDefault="008A0ED3" w:rsidP="008A0ED3">
    <w:pPr>
      <w:pStyle w:val="Footer"/>
      <w:tabs>
        <w:tab w:val="right" w:pos="9638"/>
      </w:tabs>
      <w:rPr>
        <w:sz w:val="18"/>
      </w:rPr>
    </w:pPr>
    <w:r w:rsidRPr="008A0ED3">
      <w:rPr>
        <w:b/>
        <w:sz w:val="18"/>
      </w:rPr>
      <w:fldChar w:fldCharType="begin"/>
    </w:r>
    <w:r w:rsidRPr="008A0ED3">
      <w:rPr>
        <w:b/>
        <w:sz w:val="18"/>
      </w:rPr>
      <w:instrText xml:space="preserve"> PAGE  \* MERGEFORMAT </w:instrText>
    </w:r>
    <w:r w:rsidRPr="008A0ED3">
      <w:rPr>
        <w:b/>
        <w:sz w:val="18"/>
      </w:rPr>
      <w:fldChar w:fldCharType="separate"/>
    </w:r>
    <w:r w:rsidR="006B776C">
      <w:rPr>
        <w:b/>
        <w:noProof/>
        <w:sz w:val="18"/>
      </w:rPr>
      <w:t>2</w:t>
    </w:r>
    <w:r w:rsidRPr="008A0ED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D3" w:rsidRPr="008A0ED3" w:rsidRDefault="008A0ED3" w:rsidP="008A0ED3">
    <w:pPr>
      <w:pStyle w:val="Footer"/>
      <w:tabs>
        <w:tab w:val="right" w:pos="9638"/>
      </w:tabs>
      <w:rPr>
        <w:b/>
        <w:sz w:val="18"/>
      </w:rPr>
    </w:pPr>
    <w:r>
      <w:tab/>
    </w:r>
    <w:r w:rsidRPr="008A0ED3">
      <w:rPr>
        <w:b/>
        <w:sz w:val="18"/>
      </w:rPr>
      <w:fldChar w:fldCharType="begin"/>
    </w:r>
    <w:r w:rsidRPr="008A0ED3">
      <w:rPr>
        <w:b/>
        <w:sz w:val="18"/>
      </w:rPr>
      <w:instrText xml:space="preserve"> PAGE  \* MERGEFORMAT </w:instrText>
    </w:r>
    <w:r w:rsidRPr="008A0ED3">
      <w:rPr>
        <w:b/>
        <w:sz w:val="18"/>
      </w:rPr>
      <w:fldChar w:fldCharType="separate"/>
    </w:r>
    <w:r w:rsidR="006B776C">
      <w:rPr>
        <w:b/>
        <w:noProof/>
        <w:sz w:val="18"/>
      </w:rPr>
      <w:t>3</w:t>
    </w:r>
    <w:r w:rsidRPr="008A0ED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D3" w:rsidRPr="00D27D5E" w:rsidRDefault="008A0ED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0ED3" w:rsidRPr="00D72E7E" w:rsidRDefault="008A0ED3" w:rsidP="00D72E7E">
      <w:pPr>
        <w:tabs>
          <w:tab w:val="right" w:pos="2155"/>
        </w:tabs>
        <w:spacing w:after="80"/>
        <w:ind w:left="680"/>
        <w:rPr>
          <w:u w:val="single"/>
        </w:rPr>
      </w:pPr>
      <w:r w:rsidRPr="00D72E7E">
        <w:rPr>
          <w:u w:val="single"/>
        </w:rPr>
        <w:tab/>
      </w:r>
    </w:p>
  </w:footnote>
  <w:footnote w:type="continuationNotice" w:id="1">
    <w:p w:rsidR="008A0ED3" w:rsidRDefault="008A0ED3"/>
  </w:footnote>
  <w:footnote w:id="2">
    <w:p w:rsidR="00E66E55" w:rsidRPr="006B776C" w:rsidRDefault="00E66E55">
      <w:pPr>
        <w:pStyle w:val="FootnoteText"/>
        <w:rPr>
          <w:lang w:val="fr-FR"/>
        </w:rPr>
      </w:pPr>
      <w:r w:rsidRPr="006B776C">
        <w:rPr>
          <w:rStyle w:val="FootnoteReference"/>
          <w:lang w:val="fr-FR"/>
        </w:rPr>
        <w:tab/>
      </w:r>
      <w:r w:rsidRPr="006B776C">
        <w:rPr>
          <w:rStyle w:val="FootnoteReference"/>
          <w:sz w:val="20"/>
          <w:vertAlign w:val="baseline"/>
          <w:lang w:val="fr-FR"/>
        </w:rPr>
        <w:t>*</w:t>
      </w:r>
      <w:r w:rsidRPr="006B776C">
        <w:rPr>
          <w:rStyle w:val="FootnoteReference"/>
          <w:sz w:val="20"/>
          <w:vertAlign w:val="baseline"/>
          <w:lang w:val="fr-FR"/>
        </w:rPr>
        <w:tab/>
      </w:r>
      <w:r w:rsidRPr="00150F0D">
        <w:rPr>
          <w:lang w:val="fr-FR"/>
        </w:rPr>
        <w:t>Le présent document n</w:t>
      </w:r>
      <w:r>
        <w:rPr>
          <w:lang w:val="fr-FR"/>
        </w:rPr>
        <w:t>’</w:t>
      </w:r>
      <w:r w:rsidRPr="00150F0D">
        <w:rPr>
          <w:lang w:val="fr-FR"/>
        </w:rPr>
        <w:t>a pas été revu par les services d</w:t>
      </w:r>
      <w:r>
        <w:rPr>
          <w:lang w:val="fr-FR"/>
        </w:rPr>
        <w:t>’</w:t>
      </w:r>
      <w:r w:rsidRPr="00150F0D">
        <w:rPr>
          <w:lang w:val="fr-FR"/>
        </w:rPr>
        <w:t>édition avant d</w:t>
      </w:r>
      <w:r>
        <w:rPr>
          <w:lang w:val="fr-FR"/>
        </w:rPr>
        <w:t>’</w:t>
      </w:r>
      <w:r w:rsidRPr="00150F0D">
        <w:rPr>
          <w:lang w:val="fr-FR"/>
        </w:rPr>
        <w:t>être envoyé aux services de traduction de l</w:t>
      </w:r>
      <w:r>
        <w:rPr>
          <w:lang w:val="fr-FR"/>
        </w:rPr>
        <w:t>’</w:t>
      </w:r>
      <w:r w:rsidRPr="00150F0D">
        <w:rPr>
          <w:lang w:val="fr-FR"/>
        </w:rPr>
        <w:t>Organisation des Nations Unies.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D3" w:rsidRPr="008A0ED3" w:rsidRDefault="00D35417">
    <w:pPr>
      <w:pStyle w:val="Header"/>
    </w:pPr>
    <w:fldSimple w:instr=" TITLE  \* MERGEFORMAT ">
      <w:r w:rsidR="008A0ED3">
        <w:t>A/HRC/42/6/Add.1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D3" w:rsidRPr="008A0ED3" w:rsidRDefault="00D35417" w:rsidP="008A0ED3">
    <w:pPr>
      <w:pStyle w:val="Header"/>
      <w:jc w:val="right"/>
    </w:pPr>
    <w:fldSimple w:instr=" TITLE  \* MERGEFORMAT ">
      <w:r w:rsidR="008A0ED3">
        <w:t>A/HRC/42/6/Add.1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E8C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69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4D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4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789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16"/>
  </w:num>
  <w:num w:numId="19">
    <w:abstractNumId w:val="14"/>
  </w:num>
  <w:num w:numId="20">
    <w:abstractNumId w:val="16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D3"/>
    <w:rsid w:val="00016AC5"/>
    <w:rsid w:val="00020C56"/>
    <w:rsid w:val="00025771"/>
    <w:rsid w:val="0003055E"/>
    <w:rsid w:val="00057BC0"/>
    <w:rsid w:val="0008047D"/>
    <w:rsid w:val="0008167F"/>
    <w:rsid w:val="000B450D"/>
    <w:rsid w:val="000E03D2"/>
    <w:rsid w:val="000F41F2"/>
    <w:rsid w:val="0011219D"/>
    <w:rsid w:val="00133B7A"/>
    <w:rsid w:val="001370FA"/>
    <w:rsid w:val="00153B2E"/>
    <w:rsid w:val="00160540"/>
    <w:rsid w:val="00170BBF"/>
    <w:rsid w:val="00172B99"/>
    <w:rsid w:val="00186254"/>
    <w:rsid w:val="00192EEB"/>
    <w:rsid w:val="001A20FB"/>
    <w:rsid w:val="001C6647"/>
    <w:rsid w:val="001D12B0"/>
    <w:rsid w:val="001D6F8A"/>
    <w:rsid w:val="001E3FEB"/>
    <w:rsid w:val="001E4A02"/>
    <w:rsid w:val="002659F1"/>
    <w:rsid w:val="00287E79"/>
    <w:rsid w:val="002928F9"/>
    <w:rsid w:val="002A5D07"/>
    <w:rsid w:val="003016B7"/>
    <w:rsid w:val="003515AA"/>
    <w:rsid w:val="00374106"/>
    <w:rsid w:val="0037787B"/>
    <w:rsid w:val="003800E1"/>
    <w:rsid w:val="003976D5"/>
    <w:rsid w:val="003A64B0"/>
    <w:rsid w:val="003D193B"/>
    <w:rsid w:val="003D5D72"/>
    <w:rsid w:val="003D6C68"/>
    <w:rsid w:val="003E6ACD"/>
    <w:rsid w:val="004159D0"/>
    <w:rsid w:val="00453816"/>
    <w:rsid w:val="00481744"/>
    <w:rsid w:val="00482630"/>
    <w:rsid w:val="004B2F4D"/>
    <w:rsid w:val="004E0ED4"/>
    <w:rsid w:val="00506892"/>
    <w:rsid w:val="005133B2"/>
    <w:rsid w:val="00515E4C"/>
    <w:rsid w:val="00531D67"/>
    <w:rsid w:val="00571F41"/>
    <w:rsid w:val="00594033"/>
    <w:rsid w:val="005E5D1F"/>
    <w:rsid w:val="005F3C2D"/>
    <w:rsid w:val="00612D48"/>
    <w:rsid w:val="00616B45"/>
    <w:rsid w:val="006402CD"/>
    <w:rsid w:val="006439EC"/>
    <w:rsid w:val="0066166E"/>
    <w:rsid w:val="006717FE"/>
    <w:rsid w:val="006739B9"/>
    <w:rsid w:val="00695206"/>
    <w:rsid w:val="006A4BB1"/>
    <w:rsid w:val="006B4590"/>
    <w:rsid w:val="006B776C"/>
    <w:rsid w:val="006C340C"/>
    <w:rsid w:val="006F19D4"/>
    <w:rsid w:val="0070347C"/>
    <w:rsid w:val="00712A31"/>
    <w:rsid w:val="007245EE"/>
    <w:rsid w:val="00741096"/>
    <w:rsid w:val="00757464"/>
    <w:rsid w:val="00757B26"/>
    <w:rsid w:val="007602DF"/>
    <w:rsid w:val="00794671"/>
    <w:rsid w:val="007B4AD1"/>
    <w:rsid w:val="007D30F7"/>
    <w:rsid w:val="007E46D2"/>
    <w:rsid w:val="0081197C"/>
    <w:rsid w:val="00844750"/>
    <w:rsid w:val="00882FC0"/>
    <w:rsid w:val="0088312E"/>
    <w:rsid w:val="008921DD"/>
    <w:rsid w:val="0089595B"/>
    <w:rsid w:val="008A0ED3"/>
    <w:rsid w:val="008B35FB"/>
    <w:rsid w:val="008B4356"/>
    <w:rsid w:val="008E7FAE"/>
    <w:rsid w:val="00911BF7"/>
    <w:rsid w:val="00916292"/>
    <w:rsid w:val="009229C3"/>
    <w:rsid w:val="0096714A"/>
    <w:rsid w:val="0097690D"/>
    <w:rsid w:val="00977EC8"/>
    <w:rsid w:val="00995DB7"/>
    <w:rsid w:val="009C3F1D"/>
    <w:rsid w:val="009D3A8C"/>
    <w:rsid w:val="009E7956"/>
    <w:rsid w:val="009F4601"/>
    <w:rsid w:val="00A16B73"/>
    <w:rsid w:val="00A21435"/>
    <w:rsid w:val="00A2492E"/>
    <w:rsid w:val="00A332A9"/>
    <w:rsid w:val="00A41FCA"/>
    <w:rsid w:val="00A63BBD"/>
    <w:rsid w:val="00A8374C"/>
    <w:rsid w:val="00A954DF"/>
    <w:rsid w:val="00AB5FCA"/>
    <w:rsid w:val="00AC47AD"/>
    <w:rsid w:val="00AC7977"/>
    <w:rsid w:val="00AE352C"/>
    <w:rsid w:val="00AE5C9A"/>
    <w:rsid w:val="00B32AA5"/>
    <w:rsid w:val="00B32E2D"/>
    <w:rsid w:val="00B61990"/>
    <w:rsid w:val="00B9642C"/>
    <w:rsid w:val="00BB410D"/>
    <w:rsid w:val="00BE28D3"/>
    <w:rsid w:val="00BF0556"/>
    <w:rsid w:val="00C0354B"/>
    <w:rsid w:val="00C261F8"/>
    <w:rsid w:val="00C717E0"/>
    <w:rsid w:val="00CD1A71"/>
    <w:rsid w:val="00CD1FBB"/>
    <w:rsid w:val="00CE2A9C"/>
    <w:rsid w:val="00CE5AFE"/>
    <w:rsid w:val="00D016B5"/>
    <w:rsid w:val="00D034F1"/>
    <w:rsid w:val="00D257A8"/>
    <w:rsid w:val="00D27D5E"/>
    <w:rsid w:val="00D35417"/>
    <w:rsid w:val="00D42E42"/>
    <w:rsid w:val="00D72E7E"/>
    <w:rsid w:val="00DC44EC"/>
    <w:rsid w:val="00DE2AF1"/>
    <w:rsid w:val="00DE6D90"/>
    <w:rsid w:val="00DF002F"/>
    <w:rsid w:val="00E0244D"/>
    <w:rsid w:val="00E53A1D"/>
    <w:rsid w:val="00E66E55"/>
    <w:rsid w:val="00E8099F"/>
    <w:rsid w:val="00E816A7"/>
    <w:rsid w:val="00E81E94"/>
    <w:rsid w:val="00E82607"/>
    <w:rsid w:val="00F05B91"/>
    <w:rsid w:val="00F12AC0"/>
    <w:rsid w:val="00F22103"/>
    <w:rsid w:val="00F42631"/>
    <w:rsid w:val="00F72951"/>
    <w:rsid w:val="00F9443E"/>
    <w:rsid w:val="00FA5A79"/>
    <w:rsid w:val="00FB0BFE"/>
    <w:rsid w:val="00FB4C51"/>
    <w:rsid w:val="00FF07B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5:docId w15:val="{7206A287-60A6-4590-8537-2E61164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71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8167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08167F"/>
    <w:pPr>
      <w:spacing w:line="240" w:lineRule="auto"/>
      <w:outlineLvl w:val="1"/>
    </w:pPr>
    <w:rPr>
      <w:lang w:val="en-GB"/>
    </w:rPr>
  </w:style>
  <w:style w:type="paragraph" w:styleId="Heading3">
    <w:name w:val="heading 3"/>
    <w:basedOn w:val="Normal"/>
    <w:next w:val="Normal"/>
    <w:semiHidden/>
    <w:qFormat/>
    <w:rsid w:val="0008167F"/>
    <w:pPr>
      <w:spacing w:line="240" w:lineRule="auto"/>
      <w:outlineLvl w:val="2"/>
    </w:pPr>
    <w:rPr>
      <w:lang w:val="en-GB"/>
    </w:rPr>
  </w:style>
  <w:style w:type="paragraph" w:styleId="Heading4">
    <w:name w:val="heading 4"/>
    <w:basedOn w:val="Normal"/>
    <w:next w:val="Normal"/>
    <w:semiHidden/>
    <w:qFormat/>
    <w:rsid w:val="0008167F"/>
    <w:pPr>
      <w:spacing w:line="240" w:lineRule="auto"/>
      <w:outlineLvl w:val="3"/>
    </w:pPr>
    <w:rPr>
      <w:lang w:val="en-GB"/>
    </w:rPr>
  </w:style>
  <w:style w:type="paragraph" w:styleId="Heading5">
    <w:name w:val="heading 5"/>
    <w:basedOn w:val="Normal"/>
    <w:next w:val="Normal"/>
    <w:semiHidden/>
    <w:qFormat/>
    <w:rsid w:val="0008167F"/>
    <w:pPr>
      <w:spacing w:line="240" w:lineRule="auto"/>
      <w:outlineLvl w:val="4"/>
    </w:pPr>
    <w:rPr>
      <w:lang w:val="en-GB"/>
    </w:rPr>
  </w:style>
  <w:style w:type="paragraph" w:styleId="Heading6">
    <w:name w:val="heading 6"/>
    <w:basedOn w:val="Normal"/>
    <w:next w:val="Normal"/>
    <w:semiHidden/>
    <w:qFormat/>
    <w:rsid w:val="0008167F"/>
    <w:pPr>
      <w:spacing w:line="240" w:lineRule="auto"/>
      <w:outlineLvl w:val="5"/>
    </w:pPr>
    <w:rPr>
      <w:lang w:val="en-GB"/>
    </w:rPr>
  </w:style>
  <w:style w:type="paragraph" w:styleId="Heading7">
    <w:name w:val="heading 7"/>
    <w:basedOn w:val="Normal"/>
    <w:next w:val="Normal"/>
    <w:semiHidden/>
    <w:qFormat/>
    <w:rsid w:val="0008167F"/>
    <w:pPr>
      <w:spacing w:line="240" w:lineRule="auto"/>
      <w:outlineLvl w:val="6"/>
    </w:pPr>
    <w:rPr>
      <w:lang w:val="en-GB"/>
    </w:rPr>
  </w:style>
  <w:style w:type="paragraph" w:styleId="Heading8">
    <w:name w:val="heading 8"/>
    <w:basedOn w:val="Normal"/>
    <w:next w:val="Normal"/>
    <w:semiHidden/>
    <w:qFormat/>
    <w:rsid w:val="0008167F"/>
    <w:pPr>
      <w:spacing w:line="240" w:lineRule="auto"/>
      <w:outlineLvl w:val="7"/>
    </w:pPr>
    <w:rPr>
      <w:lang w:val="en-GB"/>
    </w:rPr>
  </w:style>
  <w:style w:type="paragraph" w:styleId="Heading9">
    <w:name w:val="heading 9"/>
    <w:basedOn w:val="Normal"/>
    <w:next w:val="Normal"/>
    <w:semiHidden/>
    <w:qFormat/>
    <w:rsid w:val="0008167F"/>
    <w:pPr>
      <w:spacing w:line="240" w:lineRule="auto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946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816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9467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946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946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946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946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94671"/>
    <w:pPr>
      <w:numPr>
        <w:numId w:val="22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94671"/>
    <w:pPr>
      <w:numPr>
        <w:numId w:val="2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8167F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79467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rsid w:val="0008167F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08167F"/>
    <w:pPr>
      <w:tabs>
        <w:tab w:val="right" w:pos="1021"/>
      </w:tabs>
      <w:spacing w:line="220" w:lineRule="exact"/>
      <w:ind w:left="1134" w:right="1134" w:hanging="1134"/>
    </w:pPr>
    <w:rPr>
      <w:sz w:val="18"/>
      <w:lang w:val="en-GB"/>
    </w:rPr>
  </w:style>
  <w:style w:type="paragraph" w:styleId="EndnoteText">
    <w:name w:val="endnote text"/>
    <w:aliases w:val="2_G"/>
    <w:basedOn w:val="FootnoteText"/>
    <w:qFormat/>
    <w:rsid w:val="0008167F"/>
  </w:style>
  <w:style w:type="character" w:styleId="PageNumber">
    <w:name w:val="page number"/>
    <w:aliases w:val="7_G"/>
    <w:basedOn w:val="DefaultParagraphFont"/>
    <w:qFormat/>
    <w:rsid w:val="0008167F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qFormat/>
    <w:rsid w:val="0008167F"/>
    <w:pPr>
      <w:spacing w:line="240" w:lineRule="auto"/>
    </w:pPr>
    <w:rPr>
      <w:sz w:val="16"/>
      <w:lang w:val="en-GB"/>
    </w:rPr>
  </w:style>
  <w:style w:type="character" w:styleId="Hyperlink">
    <w:name w:val="Hyperlink"/>
    <w:basedOn w:val="DefaultParagraphFont"/>
    <w:semiHidden/>
    <w:rsid w:val="0008167F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8167F"/>
    <w:rPr>
      <w:color w:val="auto"/>
      <w:u w:val="none"/>
    </w:rPr>
  </w:style>
  <w:style w:type="table" w:styleId="TableGrid">
    <w:name w:val="Table Grid"/>
    <w:basedOn w:val="TableNormal"/>
    <w:semiHidden/>
    <w:rsid w:val="0008167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rsid w:val="0067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17FE"/>
    <w:rPr>
      <w:rFonts w:ascii="Tahoma" w:hAnsi="Tahoma" w:cs="Tahoma"/>
      <w:sz w:val="16"/>
      <w:szCs w:val="16"/>
      <w:lang w:val="fr-CH" w:eastAsia="en-US"/>
    </w:rPr>
  </w:style>
  <w:style w:type="paragraph" w:customStyle="1" w:styleId="ParNoG">
    <w:name w:val="_ParNo_G"/>
    <w:basedOn w:val="SingleTxtG"/>
    <w:qFormat/>
    <w:rsid w:val="007245EE"/>
    <w:pPr>
      <w:numPr>
        <w:numId w:val="24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8A0ED3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3A10D-3678-4671-90D6-97E5AA053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26835-94BD-45C8-9F6E-1B4E77B6AE38}"/>
</file>

<file path=customXml/itemProps3.xml><?xml version="1.0" encoding="utf-8"?>
<ds:datastoreItem xmlns:ds="http://schemas.openxmlformats.org/officeDocument/2006/customXml" ds:itemID="{8AF22096-13FE-48AB-B9FF-78869E9111E7}"/>
</file>

<file path=customXml/itemProps4.xml><?xml version="1.0" encoding="utf-8"?>
<ds:datastoreItem xmlns:ds="http://schemas.openxmlformats.org/officeDocument/2006/customXml" ds:itemID="{CB3400BA-131E-4DEB-AF6F-3701C7A81620}"/>
</file>

<file path=docProps/app.xml><?xml version="1.0" encoding="utf-8"?>
<Properties xmlns="http://schemas.openxmlformats.org/officeDocument/2006/extended-properties" xmlns:vt="http://schemas.openxmlformats.org/officeDocument/2006/docPropsVTypes">
  <Template>A_F.dotm</Template>
  <TotalTime>0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A/HRC/42/6/Add.1</vt:lpstr>
      <vt:lpstr>Nations Unies</vt:lpstr>
    </vt:vector>
  </TitlesOfParts>
  <Company>CSD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the Report of the Working Group on the Universal Periodic Review - Democratic Republic of the Congo in French</dc:title>
  <dc:creator>IHARA Sumiko</dc:creator>
  <cp:lastModifiedBy>IHARA Sumiko</cp:lastModifiedBy>
  <cp:revision>2</cp:revision>
  <cp:lastPrinted>2008-02-01T10:36:00Z</cp:lastPrinted>
  <dcterms:created xsi:type="dcterms:W3CDTF">2019-09-10T13:39:00Z</dcterms:created>
  <dcterms:modified xsi:type="dcterms:W3CDTF">2019-09-10T13:39:00Z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