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41" w:rsidRPr="00757A10" w:rsidRDefault="0064199D" w:rsidP="0064199D">
      <w:pPr>
        <w:pStyle w:val="SingleTxtG"/>
        <w:rPr>
          <w:bCs/>
          <w:sz w:val="24"/>
          <w:szCs w:val="24"/>
        </w:rPr>
      </w:pPr>
      <w:r w:rsidRPr="00757A10">
        <w:rPr>
          <w:b/>
          <w:bCs/>
          <w:sz w:val="24"/>
          <w:szCs w:val="24"/>
        </w:rPr>
        <w:t xml:space="preserve">Name and first </w:t>
      </w:r>
      <w:r w:rsidR="00757A10" w:rsidRPr="00757A10">
        <w:rPr>
          <w:b/>
          <w:bCs/>
          <w:sz w:val="24"/>
          <w:szCs w:val="24"/>
        </w:rPr>
        <w:t>name</w:t>
      </w:r>
      <w:r w:rsidR="00757A10">
        <w:rPr>
          <w:b/>
          <w:bCs/>
          <w:sz w:val="24"/>
          <w:szCs w:val="24"/>
        </w:rPr>
        <w:t xml:space="preserve">  </w:t>
      </w:r>
      <w:proofErr w:type="gramStart"/>
      <w:r w:rsidR="00757A10">
        <w:rPr>
          <w:b/>
          <w:bCs/>
          <w:sz w:val="24"/>
          <w:szCs w:val="24"/>
        </w:rPr>
        <w:t xml:space="preserve">  </w:t>
      </w:r>
      <w:r w:rsidR="00757A10" w:rsidRPr="00757A10">
        <w:rPr>
          <w:b/>
          <w:bCs/>
          <w:sz w:val="24"/>
          <w:szCs w:val="24"/>
        </w:rPr>
        <w:t>:</w:t>
      </w:r>
      <w:proofErr w:type="gramEnd"/>
      <w:r w:rsidRPr="00757A10">
        <w:rPr>
          <w:b/>
          <w:bCs/>
          <w:sz w:val="24"/>
          <w:szCs w:val="24"/>
        </w:rPr>
        <w:t xml:space="preserve"> </w:t>
      </w:r>
      <w:proofErr w:type="spellStart"/>
      <w:r w:rsidRPr="00757A10">
        <w:rPr>
          <w:bCs/>
          <w:sz w:val="24"/>
          <w:szCs w:val="24"/>
        </w:rPr>
        <w:t>Dr.</w:t>
      </w:r>
      <w:proofErr w:type="spellEnd"/>
      <w:r w:rsidRPr="00757A10">
        <w:rPr>
          <w:b/>
          <w:bCs/>
          <w:sz w:val="24"/>
          <w:szCs w:val="24"/>
        </w:rPr>
        <w:t xml:space="preserve"> </w:t>
      </w:r>
      <w:proofErr w:type="spellStart"/>
      <w:r w:rsidR="00B0235D" w:rsidRPr="00757A10">
        <w:rPr>
          <w:bCs/>
          <w:sz w:val="24"/>
          <w:szCs w:val="24"/>
        </w:rPr>
        <w:t>Hacı</w:t>
      </w:r>
      <w:proofErr w:type="spellEnd"/>
      <w:r w:rsidR="00B0235D" w:rsidRPr="00757A10">
        <w:rPr>
          <w:bCs/>
          <w:sz w:val="24"/>
          <w:szCs w:val="24"/>
        </w:rPr>
        <w:t xml:space="preserve"> Ali </w:t>
      </w:r>
      <w:proofErr w:type="spellStart"/>
      <w:r w:rsidR="00B0235D" w:rsidRPr="00757A10">
        <w:rPr>
          <w:bCs/>
          <w:sz w:val="24"/>
          <w:szCs w:val="24"/>
        </w:rPr>
        <w:t>Açıkgül</w:t>
      </w:r>
      <w:proofErr w:type="spellEnd"/>
      <w:r w:rsidR="00B0235D" w:rsidRPr="00757A10">
        <w:rPr>
          <w:bCs/>
          <w:sz w:val="24"/>
          <w:szCs w:val="24"/>
        </w:rPr>
        <w:t xml:space="preserve"> </w:t>
      </w:r>
    </w:p>
    <w:p w:rsidR="00821F41" w:rsidRPr="00757A10" w:rsidRDefault="00821F41" w:rsidP="00821F41">
      <w:pPr>
        <w:pStyle w:val="SingleTxtG"/>
        <w:rPr>
          <w:sz w:val="24"/>
          <w:szCs w:val="24"/>
        </w:rPr>
      </w:pPr>
      <w:r w:rsidRPr="00757A10">
        <w:rPr>
          <w:b/>
          <w:bCs/>
          <w:sz w:val="24"/>
          <w:szCs w:val="24"/>
        </w:rPr>
        <w:t xml:space="preserve">Date and place of </w:t>
      </w:r>
      <w:proofErr w:type="gramStart"/>
      <w:r w:rsidRPr="00757A10">
        <w:rPr>
          <w:b/>
          <w:bCs/>
          <w:sz w:val="24"/>
          <w:szCs w:val="24"/>
        </w:rPr>
        <w:t>birth</w:t>
      </w:r>
      <w:r w:rsidR="00757A10">
        <w:rPr>
          <w:b/>
          <w:bCs/>
          <w:sz w:val="24"/>
          <w:szCs w:val="24"/>
        </w:rPr>
        <w:t xml:space="preserve"> </w:t>
      </w:r>
      <w:r w:rsidRPr="00757A10">
        <w:rPr>
          <w:sz w:val="24"/>
          <w:szCs w:val="24"/>
        </w:rPr>
        <w:t>:</w:t>
      </w:r>
      <w:proofErr w:type="gramEnd"/>
      <w:r w:rsidRPr="00757A10">
        <w:rPr>
          <w:sz w:val="24"/>
          <w:szCs w:val="24"/>
        </w:rPr>
        <w:t xml:space="preserve"> </w:t>
      </w:r>
      <w:r w:rsidR="00B0235D" w:rsidRPr="00757A10">
        <w:rPr>
          <w:sz w:val="24"/>
          <w:szCs w:val="24"/>
        </w:rPr>
        <w:t>01/06</w:t>
      </w:r>
      <w:r w:rsidR="00361C1A" w:rsidRPr="00757A10">
        <w:rPr>
          <w:sz w:val="24"/>
          <w:szCs w:val="24"/>
        </w:rPr>
        <w:t>/19</w:t>
      </w:r>
      <w:r w:rsidR="00B0235D" w:rsidRPr="00757A10">
        <w:rPr>
          <w:sz w:val="24"/>
          <w:szCs w:val="24"/>
        </w:rPr>
        <w:t xml:space="preserve">74 </w:t>
      </w:r>
      <w:r w:rsidR="00361C1A" w:rsidRPr="00757A10">
        <w:rPr>
          <w:sz w:val="24"/>
          <w:szCs w:val="24"/>
        </w:rPr>
        <w:t>-</w:t>
      </w:r>
      <w:r w:rsidR="00B0235D" w:rsidRPr="00757A10">
        <w:rPr>
          <w:sz w:val="24"/>
          <w:szCs w:val="24"/>
        </w:rPr>
        <w:t xml:space="preserve"> </w:t>
      </w:r>
      <w:proofErr w:type="spellStart"/>
      <w:r w:rsidR="00B0235D" w:rsidRPr="00757A10">
        <w:rPr>
          <w:sz w:val="24"/>
          <w:szCs w:val="24"/>
        </w:rPr>
        <w:t>Sungurlu</w:t>
      </w:r>
      <w:proofErr w:type="spellEnd"/>
    </w:p>
    <w:p w:rsidR="00B0235D" w:rsidRPr="00757A10" w:rsidRDefault="00821F41" w:rsidP="00821F41">
      <w:pPr>
        <w:pStyle w:val="SingleTxtG"/>
        <w:rPr>
          <w:sz w:val="24"/>
          <w:szCs w:val="24"/>
        </w:rPr>
      </w:pPr>
      <w:r w:rsidRPr="00757A10">
        <w:rPr>
          <w:b/>
          <w:bCs/>
          <w:sz w:val="24"/>
          <w:szCs w:val="24"/>
        </w:rPr>
        <w:t>Working languages</w:t>
      </w:r>
      <w:r w:rsidR="00757A10">
        <w:rPr>
          <w:b/>
          <w:bCs/>
          <w:sz w:val="24"/>
          <w:szCs w:val="24"/>
        </w:rPr>
        <w:t xml:space="preserve">     </w:t>
      </w:r>
      <w:proofErr w:type="gramStart"/>
      <w:r w:rsidR="00757A10">
        <w:rPr>
          <w:b/>
          <w:bCs/>
          <w:sz w:val="24"/>
          <w:szCs w:val="24"/>
        </w:rPr>
        <w:t xml:space="preserve">  </w:t>
      </w:r>
      <w:r w:rsidR="00B0235D" w:rsidRPr="00757A10">
        <w:rPr>
          <w:sz w:val="24"/>
          <w:szCs w:val="24"/>
        </w:rPr>
        <w:t>:</w:t>
      </w:r>
      <w:proofErr w:type="gramEnd"/>
      <w:r w:rsidR="00B0235D" w:rsidRPr="00757A10">
        <w:rPr>
          <w:sz w:val="24"/>
          <w:szCs w:val="24"/>
        </w:rPr>
        <w:t xml:space="preserve"> Turkish, English </w:t>
      </w:r>
    </w:p>
    <w:p w:rsidR="00821F41" w:rsidRPr="00757A10" w:rsidRDefault="00821F41" w:rsidP="00821F41">
      <w:pPr>
        <w:pStyle w:val="SingleTxtG"/>
        <w:rPr>
          <w:sz w:val="24"/>
          <w:szCs w:val="24"/>
        </w:rPr>
      </w:pPr>
      <w:r w:rsidRPr="00757A10">
        <w:rPr>
          <w:b/>
          <w:bCs/>
          <w:sz w:val="24"/>
          <w:szCs w:val="24"/>
        </w:rPr>
        <w:t>Current position/function</w:t>
      </w:r>
    </w:p>
    <w:p w:rsidR="00821F41" w:rsidRPr="00757A10" w:rsidRDefault="00B0235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Judge, Head of Department, Ministry of Justice, Department of Human Rights</w:t>
      </w:r>
      <w:r w:rsidR="00821F41" w:rsidRPr="00757A10">
        <w:rPr>
          <w:sz w:val="24"/>
          <w:szCs w:val="24"/>
        </w:rPr>
        <w:t xml:space="preserve"> </w:t>
      </w:r>
      <w:r w:rsidR="00361C1A" w:rsidRPr="00757A10">
        <w:rPr>
          <w:sz w:val="24"/>
          <w:szCs w:val="24"/>
        </w:rPr>
        <w:t>(201</w:t>
      </w:r>
      <w:r w:rsidRPr="00757A10">
        <w:rPr>
          <w:sz w:val="24"/>
          <w:szCs w:val="24"/>
        </w:rPr>
        <w:t>5</w:t>
      </w:r>
      <w:r w:rsidR="0064199D" w:rsidRPr="00757A10">
        <w:rPr>
          <w:sz w:val="24"/>
          <w:szCs w:val="24"/>
        </w:rPr>
        <w:t xml:space="preserve"> - ongoing</w:t>
      </w:r>
      <w:r w:rsidR="00821F41" w:rsidRPr="00757A10">
        <w:rPr>
          <w:sz w:val="24"/>
          <w:szCs w:val="24"/>
        </w:rPr>
        <w:t>)</w:t>
      </w:r>
    </w:p>
    <w:p w:rsidR="0064199D" w:rsidRPr="00757A10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Chairperson of the Commission, OIC Independent Permanent Human Rights Commission, (2022)</w:t>
      </w:r>
    </w:p>
    <w:p w:rsidR="00821F41" w:rsidRPr="00757A10" w:rsidRDefault="00821F41" w:rsidP="00821F41">
      <w:pPr>
        <w:pStyle w:val="SingleTxtG"/>
        <w:rPr>
          <w:sz w:val="24"/>
          <w:szCs w:val="24"/>
        </w:rPr>
      </w:pPr>
      <w:r w:rsidRPr="00757A10">
        <w:rPr>
          <w:b/>
          <w:bCs/>
          <w:sz w:val="24"/>
          <w:szCs w:val="24"/>
        </w:rPr>
        <w:t>Main professional activities</w:t>
      </w:r>
    </w:p>
    <w:p w:rsidR="00361C1A" w:rsidRPr="00757A10" w:rsidRDefault="00B0235D" w:rsidP="00361C1A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Attorney at Law</w:t>
      </w:r>
      <w:r w:rsidR="0087309E" w:rsidRPr="00757A10">
        <w:rPr>
          <w:sz w:val="24"/>
          <w:szCs w:val="24"/>
        </w:rPr>
        <w:t>,</w:t>
      </w:r>
      <w:r w:rsidR="00361C1A" w:rsidRPr="00757A10">
        <w:rPr>
          <w:sz w:val="24"/>
          <w:szCs w:val="24"/>
        </w:rPr>
        <w:t xml:space="preserve"> </w:t>
      </w:r>
      <w:r w:rsidRPr="00757A10">
        <w:rPr>
          <w:sz w:val="24"/>
          <w:szCs w:val="24"/>
        </w:rPr>
        <w:t xml:space="preserve">Ankara </w:t>
      </w:r>
      <w:r w:rsidR="00361C1A" w:rsidRPr="00757A10">
        <w:rPr>
          <w:sz w:val="24"/>
          <w:szCs w:val="24"/>
        </w:rPr>
        <w:t>(199</w:t>
      </w:r>
      <w:r w:rsidRPr="00757A10">
        <w:rPr>
          <w:sz w:val="24"/>
          <w:szCs w:val="24"/>
        </w:rPr>
        <w:t>8</w:t>
      </w:r>
      <w:r w:rsidR="00361C1A" w:rsidRPr="00757A10">
        <w:rPr>
          <w:sz w:val="24"/>
          <w:szCs w:val="24"/>
        </w:rPr>
        <w:t>-1999)</w:t>
      </w:r>
    </w:p>
    <w:p w:rsidR="00361C1A" w:rsidRPr="00757A10" w:rsidRDefault="00B0235D" w:rsidP="00361C1A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 xml:space="preserve">Candidate Judge and Prosecutor, Ankara Courthouse </w:t>
      </w:r>
      <w:r w:rsidR="00361C1A" w:rsidRPr="00757A10">
        <w:rPr>
          <w:sz w:val="24"/>
          <w:szCs w:val="24"/>
        </w:rPr>
        <w:t>(1999-20</w:t>
      </w:r>
      <w:r w:rsidRPr="00757A10">
        <w:rPr>
          <w:sz w:val="24"/>
          <w:szCs w:val="24"/>
        </w:rPr>
        <w:t>02</w:t>
      </w:r>
      <w:r w:rsidR="00361C1A" w:rsidRPr="00757A10">
        <w:rPr>
          <w:sz w:val="24"/>
          <w:szCs w:val="24"/>
        </w:rPr>
        <w:t>)</w:t>
      </w:r>
    </w:p>
    <w:p w:rsidR="00361C1A" w:rsidRPr="00757A10" w:rsidRDefault="00B0235D" w:rsidP="00361C1A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Public Prosecutor</w:t>
      </w:r>
      <w:r w:rsidR="00361C1A" w:rsidRPr="00757A10">
        <w:rPr>
          <w:sz w:val="24"/>
          <w:szCs w:val="24"/>
        </w:rPr>
        <w:t>,</w:t>
      </w:r>
      <w:r w:rsidRPr="00757A10">
        <w:rPr>
          <w:sz w:val="24"/>
          <w:szCs w:val="24"/>
        </w:rPr>
        <w:t xml:space="preserve"> </w:t>
      </w:r>
      <w:proofErr w:type="spellStart"/>
      <w:r w:rsidRPr="00757A10">
        <w:rPr>
          <w:sz w:val="24"/>
          <w:szCs w:val="24"/>
        </w:rPr>
        <w:t>Gürsu</w:t>
      </w:r>
      <w:proofErr w:type="spellEnd"/>
      <w:r w:rsidRPr="00757A10">
        <w:rPr>
          <w:sz w:val="24"/>
          <w:szCs w:val="24"/>
        </w:rPr>
        <w:t xml:space="preserve"> Public Prosecutor Office</w:t>
      </w:r>
      <w:r w:rsidR="00361C1A" w:rsidRPr="00757A10">
        <w:rPr>
          <w:sz w:val="24"/>
          <w:szCs w:val="24"/>
        </w:rPr>
        <w:t>,</w:t>
      </w:r>
      <w:r w:rsidRPr="00757A10">
        <w:rPr>
          <w:sz w:val="24"/>
          <w:szCs w:val="24"/>
        </w:rPr>
        <w:t xml:space="preserve"> Bursa</w:t>
      </w:r>
      <w:r w:rsidR="00361C1A" w:rsidRPr="00757A10">
        <w:rPr>
          <w:sz w:val="24"/>
          <w:szCs w:val="24"/>
        </w:rPr>
        <w:t xml:space="preserve"> (200</w:t>
      </w:r>
      <w:r w:rsidRPr="00757A10">
        <w:rPr>
          <w:sz w:val="24"/>
          <w:szCs w:val="24"/>
        </w:rPr>
        <w:t>2</w:t>
      </w:r>
      <w:r w:rsidR="00361C1A" w:rsidRPr="00757A10">
        <w:rPr>
          <w:sz w:val="24"/>
          <w:szCs w:val="24"/>
        </w:rPr>
        <w:t>-200</w:t>
      </w:r>
      <w:r w:rsidRPr="00757A10">
        <w:rPr>
          <w:sz w:val="24"/>
          <w:szCs w:val="24"/>
        </w:rPr>
        <w:t>4</w:t>
      </w:r>
      <w:r w:rsidR="00361C1A" w:rsidRPr="00757A10">
        <w:rPr>
          <w:sz w:val="24"/>
          <w:szCs w:val="24"/>
        </w:rPr>
        <w:t>)</w:t>
      </w:r>
    </w:p>
    <w:p w:rsidR="00B0235D" w:rsidRPr="00757A10" w:rsidRDefault="00B0235D" w:rsidP="00B0235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Publi</w:t>
      </w:r>
      <w:bookmarkStart w:id="0" w:name="_GoBack"/>
      <w:bookmarkEnd w:id="0"/>
      <w:r w:rsidRPr="00757A10">
        <w:rPr>
          <w:sz w:val="24"/>
          <w:szCs w:val="24"/>
        </w:rPr>
        <w:t xml:space="preserve">c Prosecutor, </w:t>
      </w:r>
      <w:proofErr w:type="spellStart"/>
      <w:r w:rsidRPr="00757A10">
        <w:rPr>
          <w:sz w:val="24"/>
          <w:szCs w:val="24"/>
        </w:rPr>
        <w:t>Kiğı</w:t>
      </w:r>
      <w:proofErr w:type="spellEnd"/>
      <w:r w:rsidRPr="00757A10">
        <w:rPr>
          <w:sz w:val="24"/>
          <w:szCs w:val="24"/>
        </w:rPr>
        <w:t xml:space="preserve"> Public Prosecutor Office, </w:t>
      </w:r>
      <w:proofErr w:type="spellStart"/>
      <w:r w:rsidRPr="00757A10">
        <w:rPr>
          <w:sz w:val="24"/>
          <w:szCs w:val="24"/>
        </w:rPr>
        <w:t>Bingöl</w:t>
      </w:r>
      <w:proofErr w:type="spellEnd"/>
      <w:r w:rsidRPr="00757A10">
        <w:rPr>
          <w:sz w:val="24"/>
          <w:szCs w:val="24"/>
        </w:rPr>
        <w:t xml:space="preserve"> (2004-2006)</w:t>
      </w:r>
    </w:p>
    <w:p w:rsidR="00B0235D" w:rsidRPr="00757A10" w:rsidRDefault="00B0235D" w:rsidP="00B0235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 xml:space="preserve">Public Prosecutor, Kaman Public Prosecutor Office, </w:t>
      </w:r>
      <w:proofErr w:type="spellStart"/>
      <w:r w:rsidRPr="00757A10">
        <w:rPr>
          <w:sz w:val="24"/>
          <w:szCs w:val="24"/>
        </w:rPr>
        <w:t>Kırşehir</w:t>
      </w:r>
      <w:proofErr w:type="spellEnd"/>
      <w:r w:rsidRPr="00757A10">
        <w:rPr>
          <w:sz w:val="24"/>
          <w:szCs w:val="24"/>
        </w:rPr>
        <w:t xml:space="preserve"> (2006-2006)</w:t>
      </w:r>
    </w:p>
    <w:p w:rsidR="00361C1A" w:rsidRPr="00757A10" w:rsidRDefault="00B0235D" w:rsidP="00361C1A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 xml:space="preserve">Rapporteur Judge, Ministry of Justice </w:t>
      </w:r>
      <w:r w:rsidR="00361C1A" w:rsidRPr="00757A10">
        <w:rPr>
          <w:sz w:val="24"/>
          <w:szCs w:val="24"/>
        </w:rPr>
        <w:t>(200</w:t>
      </w:r>
      <w:r w:rsidRPr="00757A10">
        <w:rPr>
          <w:sz w:val="24"/>
          <w:szCs w:val="24"/>
        </w:rPr>
        <w:t>6</w:t>
      </w:r>
      <w:r w:rsidR="00361C1A" w:rsidRPr="00757A10">
        <w:rPr>
          <w:sz w:val="24"/>
          <w:szCs w:val="24"/>
        </w:rPr>
        <w:t>-201</w:t>
      </w:r>
      <w:r w:rsidRPr="00757A10">
        <w:rPr>
          <w:sz w:val="24"/>
          <w:szCs w:val="24"/>
        </w:rPr>
        <w:t>2</w:t>
      </w:r>
      <w:r w:rsidR="00361C1A" w:rsidRPr="00757A10">
        <w:rPr>
          <w:sz w:val="24"/>
          <w:szCs w:val="24"/>
        </w:rPr>
        <w:t>)</w:t>
      </w:r>
    </w:p>
    <w:p w:rsidR="00EB3B68" w:rsidRPr="00757A10" w:rsidRDefault="00B0235D" w:rsidP="00D5562A">
      <w:pPr>
        <w:pStyle w:val="Bullet1G"/>
        <w:rPr>
          <w:sz w:val="24"/>
          <w:szCs w:val="24"/>
        </w:rPr>
      </w:pPr>
      <w:r w:rsidRPr="00757A10">
        <w:rPr>
          <w:color w:val="000000"/>
          <w:sz w:val="24"/>
          <w:szCs w:val="24"/>
        </w:rPr>
        <w:t>Deputy Head of Department, Ministry of Just</w:t>
      </w:r>
      <w:r w:rsidR="00EB3B68" w:rsidRPr="00757A10">
        <w:rPr>
          <w:color w:val="000000"/>
          <w:sz w:val="24"/>
          <w:szCs w:val="24"/>
        </w:rPr>
        <w:t>ice, Department of Human Rights (2012 - 2015)</w:t>
      </w:r>
    </w:p>
    <w:p w:rsidR="00EB3B68" w:rsidRPr="00757A10" w:rsidRDefault="00EB3B68" w:rsidP="00EB3B68">
      <w:pPr>
        <w:pStyle w:val="Bullet1G"/>
        <w:rPr>
          <w:sz w:val="24"/>
          <w:szCs w:val="24"/>
        </w:rPr>
      </w:pPr>
      <w:r w:rsidRPr="00757A10">
        <w:rPr>
          <w:color w:val="000000"/>
          <w:sz w:val="24"/>
          <w:szCs w:val="24"/>
        </w:rPr>
        <w:t>Head of Department, Ministry of Justice, Department of Human Rights (2015 - ongoing)</w:t>
      </w:r>
    </w:p>
    <w:p w:rsidR="00821F41" w:rsidRPr="00757A10" w:rsidRDefault="00821F41" w:rsidP="00821F41">
      <w:pPr>
        <w:pStyle w:val="SingleTxtG"/>
        <w:rPr>
          <w:sz w:val="24"/>
          <w:szCs w:val="24"/>
        </w:rPr>
      </w:pPr>
      <w:r w:rsidRPr="00757A10">
        <w:rPr>
          <w:b/>
          <w:bCs/>
          <w:sz w:val="24"/>
          <w:szCs w:val="24"/>
        </w:rPr>
        <w:t>Educational background</w:t>
      </w:r>
    </w:p>
    <w:p w:rsidR="00361C1A" w:rsidRPr="00757A10" w:rsidRDefault="00960D17" w:rsidP="00960D17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 xml:space="preserve">Bachelor, </w:t>
      </w:r>
      <w:r w:rsidR="00361C1A" w:rsidRPr="00757A10">
        <w:rPr>
          <w:sz w:val="24"/>
          <w:szCs w:val="24"/>
        </w:rPr>
        <w:t>Ankara</w:t>
      </w:r>
      <w:r w:rsidR="00EB3B68" w:rsidRPr="00757A10">
        <w:rPr>
          <w:sz w:val="24"/>
          <w:szCs w:val="24"/>
        </w:rPr>
        <w:t xml:space="preserve"> University, Faculty of Law (1993</w:t>
      </w:r>
      <w:r w:rsidR="00361C1A" w:rsidRPr="00757A10">
        <w:rPr>
          <w:sz w:val="24"/>
          <w:szCs w:val="24"/>
        </w:rPr>
        <w:t>-199</w:t>
      </w:r>
      <w:r w:rsidR="00EB3B68" w:rsidRPr="00757A10">
        <w:rPr>
          <w:sz w:val="24"/>
          <w:szCs w:val="24"/>
        </w:rPr>
        <w:t>7</w:t>
      </w:r>
      <w:r w:rsidR="00361C1A" w:rsidRPr="00757A10">
        <w:rPr>
          <w:sz w:val="24"/>
          <w:szCs w:val="24"/>
        </w:rPr>
        <w:t>)</w:t>
      </w:r>
    </w:p>
    <w:p w:rsidR="00361C1A" w:rsidRPr="00757A10" w:rsidRDefault="00960D17" w:rsidP="00960D17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Master</w:t>
      </w:r>
      <w:r w:rsidR="00E72003">
        <w:rPr>
          <w:sz w:val="24"/>
          <w:szCs w:val="24"/>
        </w:rPr>
        <w:t>/LLM</w:t>
      </w:r>
      <w:r w:rsidRPr="00757A10">
        <w:rPr>
          <w:sz w:val="24"/>
          <w:szCs w:val="24"/>
        </w:rPr>
        <w:t xml:space="preserve">, </w:t>
      </w:r>
      <w:r w:rsidR="00361C1A" w:rsidRPr="00757A10">
        <w:rPr>
          <w:sz w:val="24"/>
          <w:szCs w:val="24"/>
        </w:rPr>
        <w:t>Ankara University, Graduate School of Social Sciences (</w:t>
      </w:r>
      <w:r w:rsidR="00EB3B68" w:rsidRPr="00757A10">
        <w:rPr>
          <w:sz w:val="24"/>
          <w:szCs w:val="24"/>
        </w:rPr>
        <w:t>2007</w:t>
      </w:r>
      <w:r w:rsidR="00361C1A" w:rsidRPr="00757A10">
        <w:rPr>
          <w:sz w:val="24"/>
          <w:szCs w:val="24"/>
        </w:rPr>
        <w:t>)</w:t>
      </w:r>
    </w:p>
    <w:p w:rsidR="00960D17" w:rsidRPr="00757A10" w:rsidRDefault="00960D17" w:rsidP="00361C1A">
      <w:pPr>
        <w:pStyle w:val="Bullet1G"/>
        <w:rPr>
          <w:sz w:val="24"/>
          <w:szCs w:val="24"/>
          <w:lang w:val="tr-TR"/>
        </w:rPr>
      </w:pPr>
      <w:r w:rsidRPr="00757A10">
        <w:rPr>
          <w:sz w:val="24"/>
          <w:szCs w:val="24"/>
        </w:rPr>
        <w:t>Doctorate</w:t>
      </w:r>
      <w:r w:rsidR="00E72003">
        <w:rPr>
          <w:sz w:val="24"/>
          <w:szCs w:val="24"/>
        </w:rPr>
        <w:t>/PhD</w:t>
      </w:r>
      <w:r w:rsidRPr="00757A10">
        <w:rPr>
          <w:sz w:val="24"/>
          <w:szCs w:val="24"/>
        </w:rPr>
        <w:t xml:space="preserve">, </w:t>
      </w:r>
      <w:proofErr w:type="spellStart"/>
      <w:r w:rsidR="00EB3B68" w:rsidRPr="00757A10">
        <w:rPr>
          <w:sz w:val="24"/>
          <w:szCs w:val="24"/>
        </w:rPr>
        <w:t>Selçuk</w:t>
      </w:r>
      <w:proofErr w:type="spellEnd"/>
      <w:r w:rsidR="00361C1A" w:rsidRPr="00757A10">
        <w:rPr>
          <w:sz w:val="24"/>
          <w:szCs w:val="24"/>
        </w:rPr>
        <w:t xml:space="preserve"> University, </w:t>
      </w:r>
      <w:proofErr w:type="spellStart"/>
      <w:r w:rsidR="00361C1A" w:rsidRPr="00757A10">
        <w:rPr>
          <w:sz w:val="24"/>
          <w:szCs w:val="24"/>
          <w:lang w:val="tr-TR"/>
        </w:rPr>
        <w:t>Grad</w:t>
      </w:r>
      <w:r w:rsidR="00EB3B68" w:rsidRPr="00757A10">
        <w:rPr>
          <w:sz w:val="24"/>
          <w:szCs w:val="24"/>
          <w:lang w:val="tr-TR"/>
        </w:rPr>
        <w:t>uate</w:t>
      </w:r>
      <w:proofErr w:type="spellEnd"/>
      <w:r w:rsidR="00EB3B68" w:rsidRPr="00757A10">
        <w:rPr>
          <w:sz w:val="24"/>
          <w:szCs w:val="24"/>
          <w:lang w:val="tr-TR"/>
        </w:rPr>
        <w:t xml:space="preserve"> School of </w:t>
      </w:r>
      <w:proofErr w:type="spellStart"/>
      <w:r w:rsidR="00EB3B68" w:rsidRPr="00757A10">
        <w:rPr>
          <w:sz w:val="24"/>
          <w:szCs w:val="24"/>
          <w:lang w:val="tr-TR"/>
        </w:rPr>
        <w:t>Social</w:t>
      </w:r>
      <w:proofErr w:type="spellEnd"/>
      <w:r w:rsidR="00EB3B68" w:rsidRPr="00757A10">
        <w:rPr>
          <w:sz w:val="24"/>
          <w:szCs w:val="24"/>
          <w:lang w:val="tr-TR"/>
        </w:rPr>
        <w:t xml:space="preserve"> </w:t>
      </w:r>
      <w:proofErr w:type="spellStart"/>
      <w:r w:rsidR="00EB3B68" w:rsidRPr="00757A10">
        <w:rPr>
          <w:sz w:val="24"/>
          <w:szCs w:val="24"/>
          <w:lang w:val="tr-TR"/>
        </w:rPr>
        <w:t>Sciences</w:t>
      </w:r>
      <w:proofErr w:type="spellEnd"/>
      <w:r w:rsidR="00EB3B68" w:rsidRPr="00757A10">
        <w:rPr>
          <w:sz w:val="24"/>
          <w:szCs w:val="24"/>
          <w:lang w:val="tr-TR"/>
        </w:rPr>
        <w:t xml:space="preserve"> (2015)</w:t>
      </w:r>
    </w:p>
    <w:p w:rsidR="00BC2319" w:rsidRPr="00757A10" w:rsidRDefault="00EB3B68" w:rsidP="00EB3B68">
      <w:pPr>
        <w:pStyle w:val="Bullet1G"/>
        <w:rPr>
          <w:b/>
          <w:bCs/>
          <w:sz w:val="24"/>
          <w:szCs w:val="24"/>
        </w:rPr>
      </w:pPr>
      <w:proofErr w:type="spellStart"/>
      <w:r w:rsidRPr="00757A10">
        <w:rPr>
          <w:sz w:val="24"/>
          <w:szCs w:val="24"/>
          <w:lang w:val="tr-TR"/>
        </w:rPr>
        <w:t>Visiting</w:t>
      </w:r>
      <w:proofErr w:type="spellEnd"/>
      <w:r w:rsidRPr="00757A10">
        <w:rPr>
          <w:sz w:val="24"/>
          <w:szCs w:val="24"/>
          <w:lang w:val="tr-TR"/>
        </w:rPr>
        <w:t xml:space="preserve"> </w:t>
      </w:r>
      <w:proofErr w:type="spellStart"/>
      <w:r w:rsidRPr="00757A10">
        <w:rPr>
          <w:sz w:val="24"/>
          <w:szCs w:val="24"/>
          <w:lang w:val="tr-TR"/>
        </w:rPr>
        <w:t>Scholar</w:t>
      </w:r>
      <w:proofErr w:type="spellEnd"/>
      <w:r w:rsidRPr="00757A10">
        <w:rPr>
          <w:sz w:val="24"/>
          <w:szCs w:val="24"/>
          <w:lang w:val="tr-TR"/>
        </w:rPr>
        <w:t xml:space="preserve">, </w:t>
      </w:r>
      <w:proofErr w:type="spellStart"/>
      <w:r w:rsidRPr="00757A10">
        <w:rPr>
          <w:sz w:val="24"/>
          <w:szCs w:val="24"/>
          <w:lang w:val="tr-TR"/>
        </w:rPr>
        <w:t>University</w:t>
      </w:r>
      <w:proofErr w:type="spellEnd"/>
      <w:r w:rsidRPr="00757A10">
        <w:rPr>
          <w:sz w:val="24"/>
          <w:szCs w:val="24"/>
          <w:lang w:val="tr-TR"/>
        </w:rPr>
        <w:t xml:space="preserve"> of Houston </w:t>
      </w:r>
      <w:proofErr w:type="spellStart"/>
      <w:r w:rsidRPr="00757A10">
        <w:rPr>
          <w:sz w:val="24"/>
          <w:szCs w:val="24"/>
          <w:lang w:val="tr-TR"/>
        </w:rPr>
        <w:t>Law</w:t>
      </w:r>
      <w:proofErr w:type="spellEnd"/>
      <w:r w:rsidRPr="00757A10">
        <w:rPr>
          <w:sz w:val="24"/>
          <w:szCs w:val="24"/>
          <w:lang w:val="tr-TR"/>
        </w:rPr>
        <w:t xml:space="preserve"> Center, Houston, TX, USA (2013-2014) </w:t>
      </w:r>
    </w:p>
    <w:p w:rsidR="0064199D" w:rsidRPr="00757A10" w:rsidRDefault="0064199D" w:rsidP="0064199D">
      <w:pPr>
        <w:pStyle w:val="SingleTxtG"/>
        <w:rPr>
          <w:b/>
          <w:bCs/>
          <w:sz w:val="24"/>
          <w:szCs w:val="24"/>
        </w:rPr>
      </w:pPr>
      <w:r w:rsidRPr="00757A10">
        <w:rPr>
          <w:b/>
          <w:bCs/>
          <w:sz w:val="24"/>
          <w:szCs w:val="24"/>
        </w:rPr>
        <w:t>Other main activities in the field relevant to the mandate of the treaty body concerned</w:t>
      </w:r>
    </w:p>
    <w:p w:rsidR="0064199D" w:rsidRPr="00757A10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Government co-agent before the EC</w:t>
      </w:r>
      <w:r w:rsidR="001F245C">
        <w:rPr>
          <w:sz w:val="24"/>
          <w:szCs w:val="24"/>
        </w:rPr>
        <w:t>t</w:t>
      </w:r>
      <w:r w:rsidRPr="00757A10">
        <w:rPr>
          <w:sz w:val="24"/>
          <w:szCs w:val="24"/>
        </w:rPr>
        <w:t xml:space="preserve">HR, (2015 – ongoing) </w:t>
      </w:r>
    </w:p>
    <w:p w:rsidR="0064199D" w:rsidRPr="00757A10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Member of the Steering Committee of Human Rights, Council of Europe, (2015 – ongoing)</w:t>
      </w:r>
    </w:p>
    <w:p w:rsidR="0064199D" w:rsidRPr="00757A10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Member of the Commission, OIC Independent Permanent Human Rights Commission, (2019 – ongoing)</w:t>
      </w:r>
    </w:p>
    <w:p w:rsidR="0064199D" w:rsidRPr="00757A10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Vice Chairperson of the Commission, OIC Independent Permanent Human Rights Commission, (2021 – 2023)</w:t>
      </w:r>
    </w:p>
    <w:p w:rsidR="0064199D" w:rsidRDefault="0064199D" w:rsidP="0064199D">
      <w:pPr>
        <w:pStyle w:val="Bullet1G"/>
        <w:rPr>
          <w:sz w:val="24"/>
          <w:szCs w:val="24"/>
        </w:rPr>
      </w:pPr>
      <w:r w:rsidRPr="00757A10">
        <w:rPr>
          <w:sz w:val="24"/>
          <w:szCs w:val="24"/>
        </w:rPr>
        <w:t>Chairperson of the Commission, OIC Independent Permanent Human Rights Commission, (2022)</w:t>
      </w:r>
    </w:p>
    <w:p w:rsidR="00E72003" w:rsidRPr="00757A10" w:rsidRDefault="00E72003" w:rsidP="00E72003">
      <w:pPr>
        <w:pStyle w:val="Bullet1G"/>
        <w:rPr>
          <w:sz w:val="24"/>
          <w:szCs w:val="24"/>
        </w:rPr>
      </w:pPr>
      <w:r w:rsidRPr="00757A10">
        <w:rPr>
          <w:color w:val="000000"/>
          <w:sz w:val="24"/>
          <w:szCs w:val="24"/>
        </w:rPr>
        <w:lastRenderedPageBreak/>
        <w:t>Lecturer, Law of the European Convention on Human Rights, Turkish Justice Academy, (2015-2019)</w:t>
      </w:r>
    </w:p>
    <w:p w:rsidR="00E72003" w:rsidRPr="00E72003" w:rsidRDefault="00E72003" w:rsidP="00E72003">
      <w:pPr>
        <w:pStyle w:val="Bullet1G"/>
        <w:rPr>
          <w:sz w:val="24"/>
          <w:szCs w:val="24"/>
        </w:rPr>
      </w:pPr>
      <w:r w:rsidRPr="00757A10">
        <w:rPr>
          <w:color w:val="000000"/>
          <w:sz w:val="24"/>
          <w:szCs w:val="24"/>
        </w:rPr>
        <w:t>Lecturer, Law of the European Convention on Human Rights, Ankara University, Faculty of Law, (2021-2022)</w:t>
      </w:r>
    </w:p>
    <w:p w:rsidR="0007231D" w:rsidRPr="00757A10" w:rsidRDefault="0007231D" w:rsidP="0007231D">
      <w:pPr>
        <w:pStyle w:val="SingleTxtG"/>
        <w:rPr>
          <w:b/>
          <w:bCs/>
          <w:sz w:val="24"/>
          <w:szCs w:val="24"/>
        </w:rPr>
      </w:pPr>
      <w:r w:rsidRPr="00757A10">
        <w:rPr>
          <w:b/>
          <w:bCs/>
          <w:sz w:val="24"/>
          <w:szCs w:val="24"/>
        </w:rPr>
        <w:t>Publications and other works</w:t>
      </w:r>
    </w:p>
    <w:p w:rsidR="00982439" w:rsidRPr="00757A10" w:rsidRDefault="00982439" w:rsidP="00982439">
      <w:pPr>
        <w:autoSpaceDE w:val="0"/>
        <w:autoSpaceDN w:val="0"/>
        <w:adjustRightInd w:val="0"/>
        <w:ind w:left="1134" w:firstLine="282"/>
        <w:rPr>
          <w:i/>
          <w:color w:val="000000"/>
          <w:sz w:val="24"/>
          <w:szCs w:val="24"/>
        </w:rPr>
      </w:pPr>
      <w:r w:rsidRPr="00757A10">
        <w:rPr>
          <w:i/>
          <w:color w:val="000000"/>
          <w:sz w:val="24"/>
          <w:szCs w:val="24"/>
        </w:rPr>
        <w:t>-Books/ Authorship of Chapters in Edited Book</w:t>
      </w:r>
    </w:p>
    <w:p w:rsidR="00982439" w:rsidRPr="00757A10" w:rsidRDefault="00982439" w:rsidP="0098243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2656B" w:rsidRPr="00757A10" w:rsidRDefault="00A2656B" w:rsidP="00A2656B">
      <w:pPr>
        <w:pStyle w:val="Bullet1G"/>
        <w:rPr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 E. </w:t>
      </w:r>
      <w:proofErr w:type="spellStart"/>
      <w:r w:rsidRPr="00757A10">
        <w:rPr>
          <w:sz w:val="24"/>
          <w:szCs w:val="24"/>
          <w:lang w:val="en-US"/>
        </w:rPr>
        <w:t>ve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 H. A., </w:t>
      </w:r>
      <w:proofErr w:type="spellStart"/>
      <w:r w:rsidRPr="00757A10">
        <w:rPr>
          <w:sz w:val="24"/>
          <w:szCs w:val="24"/>
          <w:lang w:val="en-US"/>
        </w:rPr>
        <w:t>Teori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ve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Uygulamada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Kredi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Kartı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Sözleşmeleri</w:t>
      </w:r>
      <w:proofErr w:type="spellEnd"/>
      <w:r w:rsidRPr="00757A10">
        <w:rPr>
          <w:sz w:val="24"/>
          <w:szCs w:val="24"/>
          <w:lang w:val="en-US"/>
        </w:rPr>
        <w:t xml:space="preserve"> (Contracts of Credit Cards in Theory and Practice) Ankara 2007</w:t>
      </w:r>
      <w:r w:rsidR="0064199D" w:rsidRPr="00757A10">
        <w:rPr>
          <w:sz w:val="24"/>
          <w:szCs w:val="24"/>
          <w:lang w:val="en-US"/>
        </w:rPr>
        <w:t>.</w:t>
      </w:r>
    </w:p>
    <w:p w:rsidR="00982439" w:rsidRPr="00757A10" w:rsidRDefault="00982439" w:rsidP="004123C0">
      <w:pPr>
        <w:autoSpaceDE w:val="0"/>
        <w:autoSpaceDN w:val="0"/>
        <w:adjustRightInd w:val="0"/>
        <w:ind w:left="1134" w:firstLine="282"/>
        <w:rPr>
          <w:i/>
          <w:color w:val="000000"/>
          <w:sz w:val="24"/>
          <w:szCs w:val="24"/>
        </w:rPr>
      </w:pPr>
      <w:r w:rsidRPr="00757A10">
        <w:rPr>
          <w:i/>
          <w:color w:val="000000"/>
          <w:sz w:val="24"/>
          <w:szCs w:val="24"/>
        </w:rPr>
        <w:t>- Articles</w:t>
      </w:r>
    </w:p>
    <w:p w:rsidR="00982439" w:rsidRPr="00757A10" w:rsidRDefault="00982439" w:rsidP="0098243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fr-FR"/>
        </w:rPr>
      </w:pPr>
    </w:p>
    <w:p w:rsidR="00A2656B" w:rsidRPr="00757A10" w:rsidRDefault="00A2656B" w:rsidP="00A2656B">
      <w:pPr>
        <w:pStyle w:val="Bullet1G"/>
        <w:rPr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</w:t>
      </w:r>
      <w:proofErr w:type="spellStart"/>
      <w:r w:rsidRPr="00757A10">
        <w:rPr>
          <w:sz w:val="24"/>
          <w:szCs w:val="24"/>
          <w:lang w:val="en-US"/>
        </w:rPr>
        <w:t>Kredi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Kartı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Sözleşmelerinde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Haksız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Şartlar</w:t>
      </w:r>
      <w:proofErr w:type="spellEnd"/>
      <w:r w:rsidRPr="00757A10">
        <w:rPr>
          <w:sz w:val="24"/>
          <w:szCs w:val="24"/>
          <w:lang w:val="en-US"/>
        </w:rPr>
        <w:t xml:space="preserve">, (Unfair provisions in consumer contracts) </w:t>
      </w:r>
      <w:proofErr w:type="spellStart"/>
      <w:r w:rsidRPr="00757A10">
        <w:rPr>
          <w:sz w:val="24"/>
          <w:szCs w:val="24"/>
          <w:lang w:val="en-US"/>
        </w:rPr>
        <w:t>Adalet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Dergisi</w:t>
      </w:r>
      <w:proofErr w:type="spellEnd"/>
      <w:r w:rsidRPr="00757A10">
        <w:rPr>
          <w:sz w:val="24"/>
          <w:szCs w:val="24"/>
          <w:lang w:val="en-US"/>
        </w:rPr>
        <w:t>, Volume 34, page 2-22, May 2009.</w:t>
      </w:r>
    </w:p>
    <w:p w:rsidR="00A2656B" w:rsidRPr="00757A10" w:rsidRDefault="00A2656B" w:rsidP="00B126BA">
      <w:pPr>
        <w:pStyle w:val="Bullet1G"/>
        <w:rPr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</w:t>
      </w:r>
      <w:proofErr w:type="spellStart"/>
      <w:r w:rsidRPr="00757A10">
        <w:rPr>
          <w:sz w:val="24"/>
          <w:szCs w:val="24"/>
          <w:lang w:val="en-US"/>
        </w:rPr>
        <w:t>Amerikan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Mahkeme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Sistemi</w:t>
      </w:r>
      <w:proofErr w:type="spellEnd"/>
      <w:r w:rsidRPr="00757A10">
        <w:rPr>
          <w:sz w:val="24"/>
          <w:szCs w:val="24"/>
          <w:lang w:val="en-US"/>
        </w:rPr>
        <w:t xml:space="preserve">, (American Court System) 2011, </w:t>
      </w:r>
      <w:proofErr w:type="spellStart"/>
      <w:r w:rsidRPr="00757A10">
        <w:rPr>
          <w:sz w:val="24"/>
          <w:szCs w:val="24"/>
          <w:lang w:val="en-US"/>
        </w:rPr>
        <w:t>Adalet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Dergisi</w:t>
      </w:r>
      <w:proofErr w:type="spellEnd"/>
      <w:r w:rsidRPr="00757A10">
        <w:rPr>
          <w:sz w:val="24"/>
          <w:szCs w:val="24"/>
          <w:lang w:val="en-US"/>
        </w:rPr>
        <w:t>, Volume 43, page 56-84, May 2012</w:t>
      </w:r>
      <w:r w:rsidR="00540B72" w:rsidRPr="00757A10">
        <w:rPr>
          <w:sz w:val="24"/>
          <w:szCs w:val="24"/>
          <w:lang w:val="en-US"/>
        </w:rPr>
        <w:t>.</w:t>
      </w:r>
      <w:r w:rsidRPr="00757A10">
        <w:rPr>
          <w:sz w:val="24"/>
          <w:szCs w:val="24"/>
          <w:lang w:val="en-US"/>
        </w:rPr>
        <w:t xml:space="preserve"> </w:t>
      </w:r>
    </w:p>
    <w:p w:rsidR="00A2656B" w:rsidRPr="00757A10" w:rsidRDefault="00A2656B" w:rsidP="00A2656B">
      <w:pPr>
        <w:pStyle w:val="Bullet1G"/>
        <w:rPr>
          <w:rFonts w:ascii="Century Gothic" w:hAnsi="Century Gothic" w:cs="Century Gothic"/>
          <w:kern w:val="28"/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</w:rPr>
        <w:t xml:space="preserve">, H. A., Amerika </w:t>
      </w:r>
      <w:proofErr w:type="spellStart"/>
      <w:r w:rsidRPr="00757A10">
        <w:rPr>
          <w:sz w:val="24"/>
          <w:szCs w:val="24"/>
        </w:rPr>
        <w:t>Birleşik</w:t>
      </w:r>
      <w:proofErr w:type="spellEnd"/>
      <w:r w:rsidRPr="00757A10">
        <w:rPr>
          <w:sz w:val="24"/>
          <w:szCs w:val="24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Devle</w:t>
      </w:r>
      <w:r w:rsidR="004123C0" w:rsidRPr="00757A10">
        <w:rPr>
          <w:sz w:val="24"/>
          <w:szCs w:val="24"/>
          <w:lang w:val="en-US"/>
        </w:rPr>
        <w:t>tlerinde</w:t>
      </w:r>
      <w:proofErr w:type="spellEnd"/>
      <w:r w:rsidR="004123C0" w:rsidRPr="00757A10">
        <w:rPr>
          <w:sz w:val="24"/>
          <w:szCs w:val="24"/>
          <w:lang w:val="en-US"/>
        </w:rPr>
        <w:t xml:space="preserve"> </w:t>
      </w:r>
      <w:proofErr w:type="spellStart"/>
      <w:r w:rsidR="004123C0" w:rsidRPr="00757A10">
        <w:rPr>
          <w:sz w:val="24"/>
          <w:szCs w:val="24"/>
          <w:lang w:val="en-US"/>
        </w:rPr>
        <w:t>İfade</w:t>
      </w:r>
      <w:proofErr w:type="spellEnd"/>
      <w:r w:rsidR="004123C0" w:rsidRPr="00757A10">
        <w:rPr>
          <w:sz w:val="24"/>
          <w:szCs w:val="24"/>
          <w:lang w:val="en-US"/>
        </w:rPr>
        <w:t xml:space="preserve"> </w:t>
      </w:r>
      <w:proofErr w:type="spellStart"/>
      <w:r w:rsidR="004123C0" w:rsidRPr="00757A10">
        <w:rPr>
          <w:sz w:val="24"/>
          <w:szCs w:val="24"/>
          <w:lang w:val="en-US"/>
        </w:rPr>
        <w:t>Özgürlüğü</w:t>
      </w:r>
      <w:proofErr w:type="spellEnd"/>
      <w:r w:rsidR="004123C0" w:rsidRPr="00757A10">
        <w:rPr>
          <w:sz w:val="24"/>
          <w:szCs w:val="24"/>
          <w:lang w:val="en-US"/>
        </w:rPr>
        <w:t xml:space="preserve">, </w:t>
      </w:r>
      <w:proofErr w:type="spellStart"/>
      <w:r w:rsidR="004123C0" w:rsidRPr="00757A10">
        <w:rPr>
          <w:sz w:val="24"/>
          <w:szCs w:val="24"/>
          <w:lang w:val="en-US"/>
        </w:rPr>
        <w:t>Hakare</w:t>
      </w:r>
      <w:r w:rsidRPr="00757A10">
        <w:rPr>
          <w:sz w:val="24"/>
          <w:szCs w:val="24"/>
          <w:lang w:val="en-US"/>
        </w:rPr>
        <w:t>t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ve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Yasaklama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Kararları</w:t>
      </w:r>
      <w:proofErr w:type="spellEnd"/>
      <w:r w:rsidRPr="00757A10">
        <w:rPr>
          <w:sz w:val="24"/>
          <w:szCs w:val="24"/>
          <w:lang w:val="en-US"/>
        </w:rPr>
        <w:t xml:space="preserve"> (Freedom of Speech, Defamation and Injunctions (In USA)),</w:t>
      </w:r>
      <w:r w:rsidR="004123C0" w:rsidRPr="00757A10">
        <w:rPr>
          <w:sz w:val="24"/>
          <w:szCs w:val="24"/>
          <w:lang w:val="en-US"/>
        </w:rPr>
        <w:t xml:space="preserve"> </w:t>
      </w:r>
      <w:proofErr w:type="spellStart"/>
      <w:r w:rsidR="004123C0" w:rsidRPr="00757A10">
        <w:rPr>
          <w:sz w:val="24"/>
          <w:szCs w:val="24"/>
          <w:lang w:val="en-US"/>
        </w:rPr>
        <w:t>Küresel</w:t>
      </w:r>
      <w:proofErr w:type="spellEnd"/>
      <w:r w:rsidR="004123C0" w:rsidRPr="00757A10">
        <w:rPr>
          <w:sz w:val="24"/>
          <w:szCs w:val="24"/>
          <w:lang w:val="en-US"/>
        </w:rPr>
        <w:t xml:space="preserve"> </w:t>
      </w:r>
      <w:proofErr w:type="spellStart"/>
      <w:r w:rsidR="004123C0" w:rsidRPr="00757A10">
        <w:rPr>
          <w:sz w:val="24"/>
          <w:szCs w:val="24"/>
          <w:lang w:val="en-US"/>
        </w:rPr>
        <w:t>Bakış</w:t>
      </w:r>
      <w:proofErr w:type="spellEnd"/>
      <w:r w:rsidR="004123C0" w:rsidRPr="00757A10">
        <w:rPr>
          <w:sz w:val="24"/>
          <w:szCs w:val="24"/>
          <w:lang w:val="en-US"/>
        </w:rPr>
        <w:t xml:space="preserve"> </w:t>
      </w:r>
      <w:proofErr w:type="spellStart"/>
      <w:r w:rsidR="004123C0" w:rsidRPr="00757A10">
        <w:rPr>
          <w:sz w:val="24"/>
          <w:szCs w:val="24"/>
          <w:lang w:val="en-US"/>
        </w:rPr>
        <w:t>Dergisi</w:t>
      </w:r>
      <w:proofErr w:type="spellEnd"/>
      <w:r w:rsidR="004123C0" w:rsidRPr="00757A10">
        <w:rPr>
          <w:sz w:val="24"/>
          <w:szCs w:val="24"/>
          <w:lang w:val="en-US"/>
        </w:rPr>
        <w:t xml:space="preserve">, Volume </w:t>
      </w:r>
      <w:r w:rsidRPr="00757A10">
        <w:rPr>
          <w:sz w:val="24"/>
          <w:szCs w:val="24"/>
          <w:lang w:val="en-US"/>
        </w:rPr>
        <w:t>15, page 85 – 172, October 2014. (Translation).</w:t>
      </w:r>
    </w:p>
    <w:p w:rsidR="00540B72" w:rsidRPr="00757A10" w:rsidRDefault="00540B72" w:rsidP="00540B72">
      <w:pPr>
        <w:pStyle w:val="Bullet1G"/>
        <w:rPr>
          <w:rFonts w:ascii="Century Gothic" w:hAnsi="Century Gothic" w:cs="Century Gothic"/>
          <w:kern w:val="28"/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</w:t>
      </w:r>
      <w:proofErr w:type="spellStart"/>
      <w:r w:rsidRPr="00757A10">
        <w:rPr>
          <w:sz w:val="24"/>
          <w:szCs w:val="24"/>
          <w:lang w:val="en-US"/>
        </w:rPr>
        <w:t>Bireysel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Başvuru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Kararlarının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İcrasına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İlişkin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Düzenlemeler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ve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Kurumsal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Yapılanma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İhtiyacı</w:t>
      </w:r>
      <w:proofErr w:type="spellEnd"/>
      <w:r w:rsidRPr="00757A10">
        <w:rPr>
          <w:sz w:val="24"/>
          <w:szCs w:val="24"/>
          <w:lang w:val="en-US"/>
        </w:rPr>
        <w:t xml:space="preserve"> (Execution of the Decision delivered in scope of the Individual Applications and the Need of Institutional Reconstruction), </w:t>
      </w:r>
      <w:proofErr w:type="spellStart"/>
      <w:r w:rsidRPr="00757A10">
        <w:rPr>
          <w:sz w:val="24"/>
          <w:szCs w:val="24"/>
          <w:lang w:val="en-US"/>
        </w:rPr>
        <w:t>Anayasa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Yargısı</w:t>
      </w:r>
      <w:proofErr w:type="spellEnd"/>
      <w:r w:rsidRPr="00757A10">
        <w:rPr>
          <w:sz w:val="24"/>
          <w:szCs w:val="24"/>
          <w:lang w:val="en-US"/>
        </w:rPr>
        <w:t xml:space="preserve">, </w:t>
      </w:r>
      <w:proofErr w:type="spellStart"/>
      <w:r w:rsidRPr="00757A10">
        <w:rPr>
          <w:sz w:val="24"/>
          <w:szCs w:val="24"/>
          <w:lang w:val="en-US"/>
        </w:rPr>
        <w:t>Anayasa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Mahkemesi'nin</w:t>
      </w:r>
      <w:proofErr w:type="spellEnd"/>
      <w:r w:rsidRPr="00757A10">
        <w:rPr>
          <w:sz w:val="24"/>
          <w:szCs w:val="24"/>
          <w:lang w:val="en-US"/>
        </w:rPr>
        <w:t xml:space="preserve"> 54. </w:t>
      </w:r>
      <w:proofErr w:type="spellStart"/>
      <w:r w:rsidRPr="00757A10">
        <w:rPr>
          <w:sz w:val="24"/>
          <w:szCs w:val="24"/>
          <w:lang w:val="en-US"/>
        </w:rPr>
        <w:t>Kuruluş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Yıldönümü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Nedeniyle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Düzenlenen</w:t>
      </w:r>
      <w:proofErr w:type="spellEnd"/>
      <w:r w:rsidRPr="00757A10">
        <w:rPr>
          <w:sz w:val="24"/>
          <w:szCs w:val="24"/>
          <w:lang w:val="en-US"/>
        </w:rPr>
        <w:t xml:space="preserve"> “</w:t>
      </w:r>
      <w:proofErr w:type="spellStart"/>
      <w:r w:rsidRPr="00757A10">
        <w:rPr>
          <w:sz w:val="24"/>
          <w:szCs w:val="24"/>
          <w:lang w:val="en-US"/>
        </w:rPr>
        <w:t>Bireysel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Başvuru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Kararlarının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Etkileri</w:t>
      </w:r>
      <w:proofErr w:type="spellEnd"/>
      <w:r w:rsidRPr="00757A10">
        <w:rPr>
          <w:sz w:val="24"/>
          <w:szCs w:val="24"/>
          <w:lang w:val="en-US"/>
        </w:rPr>
        <w:t xml:space="preserve">” </w:t>
      </w:r>
      <w:proofErr w:type="spellStart"/>
      <w:r w:rsidRPr="00757A10">
        <w:rPr>
          <w:sz w:val="24"/>
          <w:szCs w:val="24"/>
          <w:lang w:val="en-US"/>
        </w:rPr>
        <w:t>Konulu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Sempozyumda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Sunulan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Bildiriler</w:t>
      </w:r>
      <w:proofErr w:type="spellEnd"/>
      <w:r w:rsidRPr="00757A10">
        <w:rPr>
          <w:sz w:val="24"/>
          <w:szCs w:val="24"/>
          <w:lang w:val="en-US"/>
        </w:rPr>
        <w:t>, Volume 33,</w:t>
      </w:r>
      <w:r w:rsidR="004123C0" w:rsidRPr="00757A10">
        <w:rPr>
          <w:sz w:val="24"/>
          <w:szCs w:val="24"/>
          <w:lang w:val="en-US"/>
        </w:rPr>
        <w:t xml:space="preserve"> p</w:t>
      </w:r>
      <w:r w:rsidRPr="00757A10">
        <w:rPr>
          <w:sz w:val="24"/>
          <w:szCs w:val="24"/>
          <w:lang w:val="en-US"/>
        </w:rPr>
        <w:t>age 127 – 132, April 2016.</w:t>
      </w:r>
    </w:p>
    <w:p w:rsidR="00540B72" w:rsidRPr="00757A10" w:rsidRDefault="00540B72" w:rsidP="00540B72">
      <w:pPr>
        <w:pStyle w:val="Bullet1G"/>
        <w:rPr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</w:t>
      </w:r>
      <w:proofErr w:type="spellStart"/>
      <w:r w:rsidRPr="00757A10">
        <w:rPr>
          <w:sz w:val="24"/>
          <w:szCs w:val="24"/>
          <w:lang w:val="en-US"/>
        </w:rPr>
        <w:t>Anayasa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Mahkemesi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Kararlarının</w:t>
      </w:r>
      <w:proofErr w:type="spellEnd"/>
      <w:r w:rsidRPr="00757A10">
        <w:rPr>
          <w:sz w:val="24"/>
          <w:szCs w:val="24"/>
          <w:lang w:val="en-US"/>
        </w:rPr>
        <w:t xml:space="preserve"> AİHM </w:t>
      </w:r>
      <w:proofErr w:type="spellStart"/>
      <w:r w:rsidRPr="00757A10">
        <w:rPr>
          <w:sz w:val="24"/>
          <w:szCs w:val="24"/>
          <w:lang w:val="en-US"/>
        </w:rPr>
        <w:t>Kararlarına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Etkisi</w:t>
      </w:r>
      <w:proofErr w:type="spellEnd"/>
      <w:r w:rsidRPr="00757A10">
        <w:rPr>
          <w:sz w:val="24"/>
          <w:szCs w:val="24"/>
          <w:lang w:val="en-US"/>
        </w:rPr>
        <w:t xml:space="preserve"> (The Impact of the Decisions of the Constitutional Court to the Judgement of the ECHR), </w:t>
      </w:r>
      <w:proofErr w:type="spellStart"/>
      <w:r w:rsidRPr="00757A10">
        <w:rPr>
          <w:sz w:val="24"/>
          <w:szCs w:val="24"/>
          <w:lang w:val="en-US"/>
        </w:rPr>
        <w:t>Anayasa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Yargısı</w:t>
      </w:r>
      <w:proofErr w:type="spellEnd"/>
      <w:r w:rsidRPr="00757A10">
        <w:rPr>
          <w:sz w:val="24"/>
          <w:szCs w:val="24"/>
          <w:lang w:val="en-US"/>
        </w:rPr>
        <w:t xml:space="preserve">, </w:t>
      </w:r>
      <w:proofErr w:type="spellStart"/>
      <w:r w:rsidRPr="00757A10">
        <w:rPr>
          <w:sz w:val="24"/>
          <w:szCs w:val="24"/>
          <w:lang w:val="en-US"/>
        </w:rPr>
        <w:t>Anayasa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Mahkemesi'nin</w:t>
      </w:r>
      <w:proofErr w:type="spellEnd"/>
      <w:r w:rsidRPr="00757A10">
        <w:rPr>
          <w:sz w:val="24"/>
          <w:szCs w:val="24"/>
          <w:lang w:val="en-US"/>
        </w:rPr>
        <w:t xml:space="preserve"> 56. </w:t>
      </w:r>
      <w:proofErr w:type="spellStart"/>
      <w:r w:rsidRPr="00757A10">
        <w:rPr>
          <w:sz w:val="24"/>
          <w:szCs w:val="24"/>
          <w:lang w:val="en-US"/>
        </w:rPr>
        <w:t>Kuruluş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Yıldönümü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Nedeniyle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Düzenlenen</w:t>
      </w:r>
      <w:proofErr w:type="spellEnd"/>
      <w:r w:rsidRPr="00757A10">
        <w:rPr>
          <w:sz w:val="24"/>
          <w:szCs w:val="24"/>
          <w:lang w:val="en-US"/>
        </w:rPr>
        <w:t xml:space="preserve"> “</w:t>
      </w:r>
      <w:proofErr w:type="spellStart"/>
      <w:r w:rsidRPr="00757A10">
        <w:rPr>
          <w:sz w:val="24"/>
          <w:szCs w:val="24"/>
          <w:lang w:val="en-US"/>
        </w:rPr>
        <w:t>Bireysel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Başvurunun</w:t>
      </w:r>
      <w:proofErr w:type="spellEnd"/>
      <w:r w:rsidRPr="00757A10">
        <w:rPr>
          <w:sz w:val="24"/>
          <w:szCs w:val="24"/>
          <w:lang w:val="en-US"/>
        </w:rPr>
        <w:t xml:space="preserve"> 5. </w:t>
      </w:r>
      <w:proofErr w:type="spellStart"/>
      <w:r w:rsidRPr="00757A10">
        <w:rPr>
          <w:sz w:val="24"/>
          <w:szCs w:val="24"/>
          <w:lang w:val="en-US"/>
        </w:rPr>
        <w:t>Yılının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Değerlendirilmesi</w:t>
      </w:r>
      <w:proofErr w:type="spellEnd"/>
      <w:r w:rsidRPr="00757A10">
        <w:rPr>
          <w:sz w:val="24"/>
          <w:szCs w:val="24"/>
          <w:lang w:val="en-US"/>
        </w:rPr>
        <w:t xml:space="preserve">” </w:t>
      </w:r>
      <w:proofErr w:type="spellStart"/>
      <w:r w:rsidRPr="00757A10">
        <w:rPr>
          <w:sz w:val="24"/>
          <w:szCs w:val="24"/>
          <w:lang w:val="en-US"/>
        </w:rPr>
        <w:t>Konulu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Sempozyumda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Sunulan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Bildiriler</w:t>
      </w:r>
      <w:proofErr w:type="spellEnd"/>
      <w:r w:rsidR="004123C0" w:rsidRPr="00757A10">
        <w:rPr>
          <w:sz w:val="24"/>
          <w:szCs w:val="24"/>
          <w:lang w:val="en-US"/>
        </w:rPr>
        <w:t>, Volume 35, page 119-124, April 2018.</w:t>
      </w:r>
    </w:p>
    <w:p w:rsidR="008D47C0" w:rsidRPr="00757A10" w:rsidRDefault="008D47C0" w:rsidP="008D47C0">
      <w:pPr>
        <w:pStyle w:val="Bullet1G"/>
        <w:rPr>
          <w:i/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The Role of Judiciary in the Protection and Promotion of Human Rights, </w:t>
      </w:r>
      <w:proofErr w:type="gramStart"/>
      <w:r w:rsidRPr="00757A10">
        <w:rPr>
          <w:sz w:val="24"/>
          <w:szCs w:val="24"/>
          <w:lang w:val="en-US"/>
        </w:rPr>
        <w:t>This</w:t>
      </w:r>
      <w:proofErr w:type="gramEnd"/>
      <w:r w:rsidRPr="00757A10">
        <w:rPr>
          <w:sz w:val="24"/>
          <w:szCs w:val="24"/>
          <w:lang w:val="en-US"/>
        </w:rPr>
        <w:t xml:space="preserve"> study was prepared within the mandate of the OIC - IPHRC, and </w:t>
      </w:r>
      <w:proofErr w:type="spellStart"/>
      <w:r w:rsidRPr="00757A10">
        <w:rPr>
          <w:sz w:val="24"/>
          <w:szCs w:val="24"/>
          <w:lang w:val="en-US"/>
        </w:rPr>
        <w:t>officialy</w:t>
      </w:r>
      <w:proofErr w:type="spellEnd"/>
      <w:r w:rsidRPr="00757A10">
        <w:rPr>
          <w:sz w:val="24"/>
          <w:szCs w:val="24"/>
          <w:lang w:val="en-US"/>
        </w:rPr>
        <w:t xml:space="preserve"> adopted by the Commission at its 17th regular S</w:t>
      </w:r>
      <w:r w:rsidR="00757A10">
        <w:rPr>
          <w:sz w:val="24"/>
          <w:szCs w:val="24"/>
          <w:lang w:val="en-US"/>
        </w:rPr>
        <w:t xml:space="preserve">ession held in 28-31 March 2021, </w:t>
      </w:r>
      <w:r w:rsidR="00757A10" w:rsidRPr="00757A10">
        <w:rPr>
          <w:i/>
          <w:sz w:val="24"/>
          <w:szCs w:val="24"/>
          <w:lang w:val="en-US"/>
        </w:rPr>
        <w:t xml:space="preserve">(to be published in </w:t>
      </w:r>
      <w:r w:rsidR="00757A10" w:rsidRPr="00757A10">
        <w:rPr>
          <w:i/>
        </w:rPr>
        <w:t>OIC - IPHRC Journal, issue 2)</w:t>
      </w:r>
      <w:r w:rsidR="00757A10">
        <w:rPr>
          <w:i/>
        </w:rPr>
        <w:t>.</w:t>
      </w:r>
    </w:p>
    <w:p w:rsidR="008D47C0" w:rsidRPr="00757A10" w:rsidRDefault="008D47C0" w:rsidP="008D47C0">
      <w:pPr>
        <w:pStyle w:val="Bullet1G"/>
        <w:rPr>
          <w:sz w:val="24"/>
          <w:szCs w:val="24"/>
          <w:lang w:val="en-US"/>
        </w:rPr>
      </w:pPr>
      <w:proofErr w:type="spellStart"/>
      <w:r w:rsidRPr="00757A10">
        <w:rPr>
          <w:sz w:val="24"/>
          <w:szCs w:val="24"/>
          <w:lang w:val="en-US"/>
        </w:rPr>
        <w:t>Açıkgül</w:t>
      </w:r>
      <w:proofErr w:type="spellEnd"/>
      <w:r w:rsidRPr="00757A10">
        <w:rPr>
          <w:sz w:val="24"/>
          <w:szCs w:val="24"/>
          <w:lang w:val="en-US"/>
        </w:rPr>
        <w:t xml:space="preserve">, H. A., </w:t>
      </w:r>
      <w:proofErr w:type="spellStart"/>
      <w:r w:rsidRPr="00757A10">
        <w:rPr>
          <w:sz w:val="24"/>
          <w:szCs w:val="24"/>
          <w:lang w:val="en-US"/>
        </w:rPr>
        <w:t>Avrupa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İnsan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Haklari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Sözleşmesine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Ek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Protokoller</w:t>
      </w:r>
      <w:proofErr w:type="spellEnd"/>
      <w:r w:rsidRPr="00757A10">
        <w:rPr>
          <w:sz w:val="24"/>
          <w:szCs w:val="24"/>
          <w:lang w:val="en-US"/>
        </w:rPr>
        <w:t xml:space="preserve"> İle </w:t>
      </w:r>
      <w:proofErr w:type="spellStart"/>
      <w:r w:rsidRPr="00757A10">
        <w:rPr>
          <w:sz w:val="24"/>
          <w:szCs w:val="24"/>
          <w:lang w:val="en-US"/>
        </w:rPr>
        <w:t>Getirilen</w:t>
      </w:r>
      <w:proofErr w:type="spellEnd"/>
      <w:r w:rsidRPr="00757A10">
        <w:rPr>
          <w:sz w:val="24"/>
          <w:szCs w:val="24"/>
          <w:lang w:val="en-US"/>
        </w:rPr>
        <w:t xml:space="preserve"> </w:t>
      </w:r>
      <w:proofErr w:type="spellStart"/>
      <w:r w:rsidRPr="00757A10">
        <w:rPr>
          <w:sz w:val="24"/>
          <w:szCs w:val="24"/>
          <w:lang w:val="en-US"/>
        </w:rPr>
        <w:t>Yenilikler</w:t>
      </w:r>
      <w:proofErr w:type="spellEnd"/>
      <w:r w:rsidRPr="00757A10">
        <w:rPr>
          <w:sz w:val="24"/>
          <w:szCs w:val="24"/>
          <w:lang w:val="en-US"/>
        </w:rPr>
        <w:t xml:space="preserve"> (Novelties Brought by Additional Protocols to the European Convention on Human Rights) TAAD, Volume 48, Page 109-150, October 2021.</w:t>
      </w:r>
    </w:p>
    <w:p w:rsidR="002B248C" w:rsidRPr="00E72003" w:rsidRDefault="004804FE" w:rsidP="00E72003">
      <w:pPr>
        <w:pStyle w:val="Bullet1G"/>
        <w:rPr>
          <w:sz w:val="24"/>
          <w:szCs w:val="24"/>
        </w:rPr>
      </w:pPr>
      <w:proofErr w:type="spellStart"/>
      <w:r w:rsidRPr="00E72003">
        <w:rPr>
          <w:sz w:val="24"/>
          <w:szCs w:val="24"/>
          <w:lang w:val="en-US"/>
        </w:rPr>
        <w:t>Açıkgül</w:t>
      </w:r>
      <w:proofErr w:type="spellEnd"/>
      <w:r w:rsidRPr="00E72003">
        <w:rPr>
          <w:sz w:val="24"/>
          <w:szCs w:val="24"/>
          <w:lang w:val="en-US"/>
        </w:rPr>
        <w:t xml:space="preserve">, H. A., Rights of Migrants from Islamic and Human Rights Perspective, </w:t>
      </w:r>
      <w:proofErr w:type="spellStart"/>
      <w:r w:rsidRPr="00E72003">
        <w:rPr>
          <w:sz w:val="24"/>
          <w:szCs w:val="24"/>
          <w:lang w:val="en-US"/>
        </w:rPr>
        <w:t>Adalet</w:t>
      </w:r>
      <w:proofErr w:type="spellEnd"/>
      <w:r w:rsidRPr="00E72003">
        <w:rPr>
          <w:sz w:val="24"/>
          <w:szCs w:val="24"/>
          <w:lang w:val="en-US"/>
        </w:rPr>
        <w:t xml:space="preserve"> </w:t>
      </w:r>
      <w:proofErr w:type="spellStart"/>
      <w:r w:rsidRPr="00E72003">
        <w:rPr>
          <w:sz w:val="24"/>
          <w:szCs w:val="24"/>
          <w:lang w:val="en-US"/>
        </w:rPr>
        <w:t>Dergisi</w:t>
      </w:r>
      <w:proofErr w:type="spellEnd"/>
      <w:r w:rsidRPr="00E72003">
        <w:rPr>
          <w:sz w:val="24"/>
          <w:szCs w:val="24"/>
          <w:lang w:val="en-US"/>
        </w:rPr>
        <w:t xml:space="preserve">, Volume 67, page 105-150, 2021/2.  </w:t>
      </w:r>
    </w:p>
    <w:sectPr w:rsidR="002B248C" w:rsidRPr="00E72003" w:rsidSect="00641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26" w:rsidRDefault="00D62826">
      <w:pPr>
        <w:spacing w:line="240" w:lineRule="auto"/>
      </w:pPr>
      <w:r>
        <w:separator/>
      </w:r>
    </w:p>
  </w:endnote>
  <w:endnote w:type="continuationSeparator" w:id="0">
    <w:p w:rsidR="00D62826" w:rsidRDefault="00D62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CE" w:rsidRPr="00D83996" w:rsidRDefault="00252C5A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="00982439"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982439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 w:rsidR="0098243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CE" w:rsidRPr="00D83996" w:rsidRDefault="00252C5A" w:rsidP="0064199D">
    <w:pPr>
      <w:pStyle w:val="Footer"/>
      <w:tabs>
        <w:tab w:val="right" w:pos="9598"/>
      </w:tabs>
      <w:jc w:val="center"/>
      <w:rPr>
        <w:b/>
        <w:sz w:val="18"/>
      </w:rPr>
    </w:pPr>
    <w:r w:rsidRPr="00D83996">
      <w:rPr>
        <w:b/>
        <w:sz w:val="18"/>
      </w:rPr>
      <w:fldChar w:fldCharType="begin"/>
    </w:r>
    <w:r w:rsidR="00982439"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1F245C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 w:rsidR="0064199D">
      <w:rPr>
        <w:b/>
        <w:sz w:val="18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</w:rPr>
      <w:id w:val="1602603377"/>
      <w:docPartObj>
        <w:docPartGallery w:val="Page Numbers (Bottom of Page)"/>
        <w:docPartUnique/>
      </w:docPartObj>
    </w:sdtPr>
    <w:sdtEndPr/>
    <w:sdtContent>
      <w:p w:rsidR="0064199D" w:rsidRPr="00363570" w:rsidRDefault="0064199D" w:rsidP="0064199D">
        <w:pPr>
          <w:pStyle w:val="Footer"/>
          <w:jc w:val="center"/>
          <w:rPr>
            <w:b/>
            <w:sz w:val="20"/>
          </w:rPr>
        </w:pPr>
        <w:r w:rsidRPr="00363570">
          <w:rPr>
            <w:b/>
            <w:sz w:val="20"/>
          </w:rPr>
          <w:fldChar w:fldCharType="begin"/>
        </w:r>
        <w:r w:rsidRPr="00363570">
          <w:rPr>
            <w:b/>
            <w:sz w:val="20"/>
          </w:rPr>
          <w:instrText>PAGE   \* MERGEFORMAT</w:instrText>
        </w:r>
        <w:r w:rsidRPr="00363570">
          <w:rPr>
            <w:b/>
            <w:sz w:val="20"/>
          </w:rPr>
          <w:fldChar w:fldCharType="separate"/>
        </w:r>
        <w:r w:rsidR="00C3296B" w:rsidRPr="00363570">
          <w:rPr>
            <w:b/>
            <w:noProof/>
            <w:sz w:val="20"/>
            <w:lang w:val="tr-TR"/>
          </w:rPr>
          <w:t>1</w:t>
        </w:r>
        <w:r w:rsidRPr="00363570">
          <w:rPr>
            <w:b/>
            <w:sz w:val="20"/>
          </w:rPr>
          <w:fldChar w:fldCharType="end"/>
        </w:r>
        <w:r w:rsidRPr="00363570">
          <w:rPr>
            <w:b/>
            <w:sz w:val="20"/>
          </w:rPr>
          <w:t>/2</w:t>
        </w:r>
      </w:p>
    </w:sdtContent>
  </w:sdt>
  <w:p w:rsidR="0064199D" w:rsidRDefault="0064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26" w:rsidRDefault="00D62826">
      <w:pPr>
        <w:spacing w:line="240" w:lineRule="auto"/>
      </w:pPr>
      <w:r>
        <w:separator/>
      </w:r>
    </w:p>
  </w:footnote>
  <w:footnote w:type="continuationSeparator" w:id="0">
    <w:p w:rsidR="00D62826" w:rsidRDefault="00D62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CE" w:rsidRPr="00D83996" w:rsidRDefault="00982439" w:rsidP="00951CE3">
    <w:pPr>
      <w:pStyle w:val="Header"/>
      <w:jc w:val="right"/>
    </w:pPr>
    <w:r>
      <w:t>CCPR/SP/87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9D" w:rsidRPr="00757A10" w:rsidRDefault="0064199D" w:rsidP="0064199D">
    <w:pPr>
      <w:pStyle w:val="Header"/>
      <w:jc w:val="center"/>
      <w:rPr>
        <w:sz w:val="24"/>
        <w:szCs w:val="24"/>
      </w:rPr>
    </w:pPr>
    <w:r w:rsidRPr="00757A10">
      <w:rPr>
        <w:sz w:val="24"/>
        <w:szCs w:val="24"/>
      </w:rPr>
      <w:t>Biographical Data Form of Candidates to Human Rights Treaty Bodies</w:t>
    </w:r>
  </w:p>
  <w:p w:rsidR="00756BCE" w:rsidRPr="0064199D" w:rsidRDefault="00D62826" w:rsidP="00641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6F" w:rsidRPr="00757A10" w:rsidRDefault="0064199D" w:rsidP="0064199D">
    <w:pPr>
      <w:pStyle w:val="Header"/>
      <w:jc w:val="center"/>
      <w:rPr>
        <w:sz w:val="24"/>
        <w:szCs w:val="24"/>
      </w:rPr>
    </w:pPr>
    <w:r w:rsidRPr="00757A10">
      <w:rPr>
        <w:sz w:val="24"/>
        <w:szCs w:val="24"/>
      </w:rPr>
      <w:t>Biographical Data Form of Candidates to Human Rights Treaty Bodies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F2FA77"/>
    <w:multiLevelType w:val="hybridMultilevel"/>
    <w:tmpl w:val="877FE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F77"/>
    <w:multiLevelType w:val="hybridMultilevel"/>
    <w:tmpl w:val="1BBEC87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AF0976"/>
    <w:multiLevelType w:val="hybridMultilevel"/>
    <w:tmpl w:val="5FAE17BE"/>
    <w:lvl w:ilvl="0" w:tplc="1B944E84">
      <w:start w:val="1"/>
      <w:numFmt w:val="upperRoman"/>
      <w:lvlText w:val="%1."/>
      <w:lvlJc w:val="left"/>
      <w:pPr>
        <w:ind w:left="116" w:hanging="214"/>
        <w:jc w:val="right"/>
      </w:pPr>
      <w:rPr>
        <w:rFonts w:hint="default"/>
        <w:b/>
        <w:bCs/>
        <w:i/>
        <w:w w:val="100"/>
      </w:rPr>
    </w:lvl>
    <w:lvl w:ilvl="1" w:tplc="96968A2A">
      <w:start w:val="1"/>
      <w:numFmt w:val="lowerLetter"/>
      <w:lvlText w:val="%2."/>
      <w:lvlJc w:val="left"/>
      <w:pPr>
        <w:ind w:left="116" w:hanging="241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2" w:tplc="14A697A4">
      <w:numFmt w:val="bullet"/>
      <w:lvlText w:val="•"/>
      <w:lvlJc w:val="left"/>
      <w:pPr>
        <w:ind w:left="1956" w:hanging="241"/>
      </w:pPr>
      <w:rPr>
        <w:rFonts w:hint="default"/>
      </w:rPr>
    </w:lvl>
    <w:lvl w:ilvl="3" w:tplc="E422A590">
      <w:numFmt w:val="bullet"/>
      <w:lvlText w:val="•"/>
      <w:lvlJc w:val="left"/>
      <w:pPr>
        <w:ind w:left="2874" w:hanging="241"/>
      </w:pPr>
      <w:rPr>
        <w:rFonts w:hint="default"/>
      </w:rPr>
    </w:lvl>
    <w:lvl w:ilvl="4" w:tplc="121056B0">
      <w:numFmt w:val="bullet"/>
      <w:lvlText w:val="•"/>
      <w:lvlJc w:val="left"/>
      <w:pPr>
        <w:ind w:left="3792" w:hanging="241"/>
      </w:pPr>
      <w:rPr>
        <w:rFonts w:hint="default"/>
      </w:rPr>
    </w:lvl>
    <w:lvl w:ilvl="5" w:tplc="20E09716">
      <w:numFmt w:val="bullet"/>
      <w:lvlText w:val="•"/>
      <w:lvlJc w:val="left"/>
      <w:pPr>
        <w:ind w:left="4710" w:hanging="241"/>
      </w:pPr>
      <w:rPr>
        <w:rFonts w:hint="default"/>
      </w:rPr>
    </w:lvl>
    <w:lvl w:ilvl="6" w:tplc="8D42AE48">
      <w:numFmt w:val="bullet"/>
      <w:lvlText w:val="•"/>
      <w:lvlJc w:val="left"/>
      <w:pPr>
        <w:ind w:left="5628" w:hanging="241"/>
      </w:pPr>
      <w:rPr>
        <w:rFonts w:hint="default"/>
      </w:rPr>
    </w:lvl>
    <w:lvl w:ilvl="7" w:tplc="73A2710C">
      <w:numFmt w:val="bullet"/>
      <w:lvlText w:val="•"/>
      <w:lvlJc w:val="left"/>
      <w:pPr>
        <w:ind w:left="6546" w:hanging="241"/>
      </w:pPr>
      <w:rPr>
        <w:rFonts w:hint="default"/>
      </w:rPr>
    </w:lvl>
    <w:lvl w:ilvl="8" w:tplc="56BE3530">
      <w:numFmt w:val="bullet"/>
      <w:lvlText w:val="•"/>
      <w:lvlJc w:val="left"/>
      <w:pPr>
        <w:ind w:left="7464" w:hanging="241"/>
      </w:pPr>
      <w:rPr>
        <w:rFonts w:hint="default"/>
      </w:rPr>
    </w:lvl>
  </w:abstractNum>
  <w:abstractNum w:abstractNumId="4" w15:restartNumberingAfterBreak="0">
    <w:nsid w:val="56DD1805"/>
    <w:multiLevelType w:val="hybridMultilevel"/>
    <w:tmpl w:val="BFBE58B2"/>
    <w:lvl w:ilvl="0" w:tplc="F1BEA79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314B5"/>
    <w:multiLevelType w:val="hybridMultilevel"/>
    <w:tmpl w:val="5E1CC690"/>
    <w:lvl w:ilvl="0" w:tplc="A54618D0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41"/>
    <w:rsid w:val="00026EFC"/>
    <w:rsid w:val="0007231D"/>
    <w:rsid w:val="0009745E"/>
    <w:rsid w:val="0012348E"/>
    <w:rsid w:val="001554A2"/>
    <w:rsid w:val="001F245C"/>
    <w:rsid w:val="00252C5A"/>
    <w:rsid w:val="00262FDE"/>
    <w:rsid w:val="002B248C"/>
    <w:rsid w:val="00361C1A"/>
    <w:rsid w:val="00363570"/>
    <w:rsid w:val="00385C6B"/>
    <w:rsid w:val="003E3E6E"/>
    <w:rsid w:val="003F1533"/>
    <w:rsid w:val="004123C0"/>
    <w:rsid w:val="004804FE"/>
    <w:rsid w:val="004928CE"/>
    <w:rsid w:val="005163F5"/>
    <w:rsid w:val="00540B72"/>
    <w:rsid w:val="005B6668"/>
    <w:rsid w:val="005F4E6C"/>
    <w:rsid w:val="0064199D"/>
    <w:rsid w:val="006E5D53"/>
    <w:rsid w:val="00751C7A"/>
    <w:rsid w:val="00757A10"/>
    <w:rsid w:val="007C3D82"/>
    <w:rsid w:val="00821F41"/>
    <w:rsid w:val="0087309E"/>
    <w:rsid w:val="008926E1"/>
    <w:rsid w:val="008D47C0"/>
    <w:rsid w:val="00960D17"/>
    <w:rsid w:val="00982439"/>
    <w:rsid w:val="009B7A94"/>
    <w:rsid w:val="009F2422"/>
    <w:rsid w:val="00A214F4"/>
    <w:rsid w:val="00A2656B"/>
    <w:rsid w:val="00B0235D"/>
    <w:rsid w:val="00B0351F"/>
    <w:rsid w:val="00BC2319"/>
    <w:rsid w:val="00C3296B"/>
    <w:rsid w:val="00C40281"/>
    <w:rsid w:val="00D11A70"/>
    <w:rsid w:val="00D46C56"/>
    <w:rsid w:val="00D62826"/>
    <w:rsid w:val="00DD14D7"/>
    <w:rsid w:val="00E10994"/>
    <w:rsid w:val="00E274F2"/>
    <w:rsid w:val="00E72003"/>
    <w:rsid w:val="00EB3B68"/>
    <w:rsid w:val="00ED6785"/>
    <w:rsid w:val="00F51AC6"/>
    <w:rsid w:val="00FE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A9D92D-6FA5-426F-AFA5-7CFF11F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F4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821F41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21F41"/>
    <w:rPr>
      <w:rFonts w:ascii="Times New Roman" w:eastAsia="SimSun" w:hAnsi="Times New Roman" w:cs="Times New Roman"/>
      <w:b/>
      <w:sz w:val="18"/>
      <w:szCs w:val="20"/>
      <w:lang w:val="en-GB" w:eastAsia="zh-CN"/>
    </w:rPr>
  </w:style>
  <w:style w:type="paragraph" w:styleId="Footer">
    <w:name w:val="footer"/>
    <w:aliases w:val="3_G"/>
    <w:basedOn w:val="Normal"/>
    <w:link w:val="FooterChar"/>
    <w:uiPriority w:val="99"/>
    <w:rsid w:val="00821F41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21F41"/>
    <w:rPr>
      <w:rFonts w:ascii="Times New Roman" w:eastAsia="SimSun" w:hAnsi="Times New Roman" w:cs="Times New Roman"/>
      <w:sz w:val="16"/>
      <w:szCs w:val="20"/>
      <w:lang w:val="en-GB" w:eastAsia="zh-CN"/>
    </w:rPr>
  </w:style>
  <w:style w:type="paragraph" w:customStyle="1" w:styleId="H1G">
    <w:name w:val="_ H_1_G"/>
    <w:basedOn w:val="Normal"/>
    <w:next w:val="Normal"/>
    <w:rsid w:val="00821F4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821F41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Bullet1G">
    <w:name w:val="_Bullet 1_G"/>
    <w:basedOn w:val="Normal"/>
    <w:rsid w:val="00821F41"/>
    <w:pPr>
      <w:numPr>
        <w:numId w:val="1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rsid w:val="00821F4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0D17"/>
    <w:pPr>
      <w:widowControl w:val="0"/>
      <w:suppressAutoHyphens w:val="0"/>
      <w:spacing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60D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0D17"/>
    <w:pPr>
      <w:widowControl w:val="0"/>
      <w:suppressAutoHyphens w:val="0"/>
      <w:spacing w:line="240" w:lineRule="auto"/>
      <w:ind w:left="1556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AB171208</dc:creator>
  <cp:lastModifiedBy>Öncü Güneş</cp:lastModifiedBy>
  <cp:revision>8</cp:revision>
  <dcterms:created xsi:type="dcterms:W3CDTF">2022-04-05T06:38:00Z</dcterms:created>
  <dcterms:modified xsi:type="dcterms:W3CDTF">2022-04-05T14:58:00Z</dcterms:modified>
</cp:coreProperties>
</file>