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8F1C" w14:textId="6EAAAFFA" w:rsidR="00EB3076" w:rsidRDefault="008F1809" w:rsidP="00EB3076">
      <w:pPr>
        <w:jc w:val="center"/>
        <w:rPr>
          <w:color w:val="0070C0"/>
          <w:lang w:val="en-US"/>
        </w:rPr>
      </w:pPr>
      <w:r>
        <w:rPr>
          <w:color w:val="0070C0"/>
          <w:lang w:val="en-US"/>
        </w:rPr>
        <w:t>Forcibly displaced LGBT persons face exacerb</w:t>
      </w:r>
      <w:bookmarkStart w:id="0" w:name="_GoBack"/>
      <w:bookmarkEnd w:id="0"/>
      <w:r>
        <w:rPr>
          <w:color w:val="0070C0"/>
          <w:lang w:val="en-US"/>
        </w:rPr>
        <w:t xml:space="preserve">ated challenges in search of safe haven </w:t>
      </w:r>
    </w:p>
    <w:p w14:paraId="2F5E5A41" w14:textId="7DF30401" w:rsidR="00736616" w:rsidRDefault="00736616">
      <w:pPr>
        <w:jc w:val="both"/>
        <w:rPr>
          <w:color w:val="000000"/>
          <w:sz w:val="20"/>
          <w:szCs w:val="20"/>
          <w:lang w:val="en-US"/>
        </w:rPr>
      </w:pPr>
    </w:p>
    <w:p w14:paraId="7EA025E2" w14:textId="2A5998BF" w:rsidR="00EB3076" w:rsidRPr="00EB3076" w:rsidRDefault="00EB3076" w:rsidP="00EB3076">
      <w:pPr>
        <w:jc w:val="center"/>
        <w:rPr>
          <w:color w:val="000000"/>
          <w:sz w:val="20"/>
          <w:szCs w:val="20"/>
          <w:lang w:val="en-US"/>
        </w:rPr>
      </w:pPr>
      <w:r w:rsidRPr="00EB3076">
        <w:rPr>
          <w:color w:val="000000"/>
          <w:sz w:val="20"/>
          <w:szCs w:val="20"/>
          <w:lang w:val="en-US"/>
        </w:rPr>
        <w:t>Statement by human rights experts on the International Day against</w:t>
      </w:r>
      <w:r>
        <w:rPr>
          <w:color w:val="000000"/>
          <w:sz w:val="20"/>
          <w:szCs w:val="20"/>
          <w:lang w:val="en-US"/>
        </w:rPr>
        <w:t xml:space="preserve"> </w:t>
      </w:r>
      <w:r w:rsidRPr="00EB3076">
        <w:rPr>
          <w:color w:val="000000"/>
          <w:sz w:val="20"/>
          <w:szCs w:val="20"/>
          <w:lang w:val="en-US"/>
        </w:rPr>
        <w:t>Homophobia,</w:t>
      </w:r>
      <w:r w:rsidR="00482C11">
        <w:rPr>
          <w:color w:val="000000"/>
          <w:sz w:val="20"/>
          <w:szCs w:val="20"/>
          <w:lang w:val="en-US"/>
        </w:rPr>
        <w:t xml:space="preserve"> </w:t>
      </w:r>
      <w:r>
        <w:rPr>
          <w:color w:val="000000"/>
          <w:sz w:val="20"/>
          <w:szCs w:val="20"/>
          <w:lang w:val="en-US"/>
        </w:rPr>
        <w:t>Transphobia</w:t>
      </w:r>
      <w:r w:rsidR="00482C11">
        <w:rPr>
          <w:color w:val="000000"/>
          <w:sz w:val="20"/>
          <w:szCs w:val="20"/>
          <w:lang w:val="en-US"/>
        </w:rPr>
        <w:t xml:space="preserve"> and Biphobia</w:t>
      </w:r>
    </w:p>
    <w:p w14:paraId="6EED87AE" w14:textId="777D7C30" w:rsidR="00EB3076" w:rsidRDefault="00EB3076" w:rsidP="00EB3076">
      <w:pPr>
        <w:jc w:val="center"/>
        <w:rPr>
          <w:color w:val="000000"/>
          <w:sz w:val="20"/>
          <w:szCs w:val="20"/>
          <w:lang w:val="en-US"/>
        </w:rPr>
      </w:pPr>
      <w:r w:rsidRPr="00EB3076">
        <w:rPr>
          <w:color w:val="000000"/>
          <w:sz w:val="20"/>
          <w:szCs w:val="20"/>
          <w:lang w:val="en-US"/>
        </w:rPr>
        <w:t>(to be held on 17 May 202</w:t>
      </w:r>
      <w:r>
        <w:rPr>
          <w:color w:val="000000"/>
          <w:sz w:val="20"/>
          <w:szCs w:val="20"/>
          <w:lang w:val="en-US"/>
        </w:rPr>
        <w:t>2</w:t>
      </w:r>
      <w:r w:rsidRPr="00EB3076">
        <w:rPr>
          <w:color w:val="000000"/>
          <w:sz w:val="20"/>
          <w:szCs w:val="20"/>
          <w:lang w:val="en-US"/>
        </w:rPr>
        <w:t>)</w:t>
      </w:r>
    </w:p>
    <w:p w14:paraId="023FDF1A" w14:textId="77777777" w:rsidR="00EB3076" w:rsidRDefault="00EB3076">
      <w:pPr>
        <w:jc w:val="both"/>
        <w:rPr>
          <w:color w:val="000000"/>
          <w:sz w:val="20"/>
          <w:szCs w:val="20"/>
          <w:lang w:val="en-US"/>
        </w:rPr>
      </w:pPr>
    </w:p>
    <w:p w14:paraId="3D4DE9EF" w14:textId="1EAF5DDB" w:rsidR="00592564" w:rsidRDefault="00592564" w:rsidP="00592564">
      <w:pPr>
        <w:jc w:val="both"/>
        <w:rPr>
          <w:rFonts w:eastAsia="Times New Roman" w:cs="Calibri"/>
          <w:sz w:val="20"/>
          <w:szCs w:val="20"/>
          <w:lang w:val="en-US"/>
        </w:rPr>
      </w:pPr>
      <w:r>
        <w:rPr>
          <w:rFonts w:eastAsia="Times New Roman" w:cs="Calibri"/>
          <w:sz w:val="20"/>
          <w:szCs w:val="20"/>
          <w:lang w:val="en-US"/>
        </w:rPr>
        <w:t>Geneva</w:t>
      </w:r>
      <w:r w:rsidR="009273AF">
        <w:rPr>
          <w:rFonts w:eastAsia="Times New Roman" w:cs="Calibri"/>
          <w:sz w:val="20"/>
          <w:szCs w:val="20"/>
          <w:lang w:val="en-US"/>
        </w:rPr>
        <w:t xml:space="preserve"> /</w:t>
      </w:r>
      <w:r>
        <w:rPr>
          <w:rFonts w:eastAsia="Times New Roman" w:cs="Calibri"/>
          <w:sz w:val="20"/>
          <w:szCs w:val="20"/>
          <w:lang w:val="en-US"/>
        </w:rPr>
        <w:t xml:space="preserve"> Washington D</w:t>
      </w:r>
      <w:r w:rsidR="00482C11">
        <w:rPr>
          <w:rFonts w:eastAsia="Times New Roman" w:cs="Calibri"/>
          <w:sz w:val="20"/>
          <w:szCs w:val="20"/>
          <w:lang w:val="en-US"/>
        </w:rPr>
        <w:t>.</w:t>
      </w:r>
      <w:r>
        <w:rPr>
          <w:rFonts w:eastAsia="Times New Roman" w:cs="Calibri"/>
          <w:sz w:val="20"/>
          <w:szCs w:val="20"/>
          <w:lang w:val="en-US"/>
        </w:rPr>
        <w:t>C</w:t>
      </w:r>
      <w:r w:rsidR="00482C11">
        <w:rPr>
          <w:rFonts w:eastAsia="Times New Roman" w:cs="Calibri"/>
          <w:sz w:val="20"/>
          <w:szCs w:val="20"/>
          <w:lang w:val="en-US"/>
        </w:rPr>
        <w:t>.</w:t>
      </w:r>
      <w:r>
        <w:rPr>
          <w:rFonts w:eastAsia="Times New Roman" w:cs="Calibri"/>
          <w:sz w:val="20"/>
          <w:szCs w:val="20"/>
          <w:lang w:val="en-US"/>
        </w:rPr>
        <w:t>, 16 May 2022</w:t>
      </w:r>
    </w:p>
    <w:p w14:paraId="340475A3" w14:textId="77777777" w:rsidR="00592564" w:rsidRDefault="00592564">
      <w:pPr>
        <w:jc w:val="both"/>
        <w:rPr>
          <w:color w:val="000000"/>
          <w:sz w:val="20"/>
          <w:szCs w:val="20"/>
          <w:lang w:val="en-US"/>
        </w:rPr>
      </w:pPr>
    </w:p>
    <w:p w14:paraId="0B8C1734" w14:textId="24C60869" w:rsidR="002C59F0" w:rsidRDefault="002C59F0" w:rsidP="002C59F0">
      <w:pPr>
        <w:jc w:val="both"/>
        <w:rPr>
          <w:color w:val="000000"/>
          <w:sz w:val="20"/>
          <w:szCs w:val="20"/>
          <w:lang w:val="en-US"/>
        </w:rPr>
      </w:pPr>
      <w:r>
        <w:rPr>
          <w:color w:val="000000"/>
          <w:sz w:val="20"/>
          <w:szCs w:val="20"/>
          <w:lang w:val="en-US"/>
        </w:rPr>
        <w:t xml:space="preserve">On the eve of the International Day Against Homophobia, </w:t>
      </w:r>
      <w:r w:rsidR="00461896">
        <w:rPr>
          <w:color w:val="000000"/>
          <w:sz w:val="20"/>
          <w:szCs w:val="20"/>
          <w:lang w:val="en-US"/>
        </w:rPr>
        <w:t>Transphobia</w:t>
      </w:r>
      <w:r w:rsidR="00482C11">
        <w:rPr>
          <w:color w:val="000000"/>
          <w:sz w:val="20"/>
          <w:szCs w:val="20"/>
          <w:lang w:val="en-US"/>
        </w:rPr>
        <w:t xml:space="preserve"> and Biphobia</w:t>
      </w:r>
      <w:r>
        <w:rPr>
          <w:color w:val="000000"/>
          <w:sz w:val="20"/>
          <w:szCs w:val="20"/>
          <w:lang w:val="en-US"/>
        </w:rPr>
        <w:t xml:space="preserve"> (IDAHOBIT), which will be held on 17 May 2022, a group of United Nations and international human rights experts* urges States to ensure that lesbian, gay, bisexual</w:t>
      </w:r>
      <w:r w:rsidR="0090477C">
        <w:rPr>
          <w:color w:val="000000"/>
          <w:sz w:val="20"/>
          <w:szCs w:val="20"/>
          <w:lang w:val="en-US"/>
        </w:rPr>
        <w:t>,</w:t>
      </w:r>
      <w:r>
        <w:rPr>
          <w:color w:val="000000"/>
          <w:sz w:val="20"/>
          <w:szCs w:val="20"/>
          <w:lang w:val="en-US"/>
        </w:rPr>
        <w:t xml:space="preserve"> trans and gender diverse</w:t>
      </w:r>
      <w:r w:rsidR="00B912A4">
        <w:rPr>
          <w:color w:val="000000"/>
          <w:sz w:val="20"/>
          <w:szCs w:val="20"/>
          <w:lang w:val="en-US"/>
        </w:rPr>
        <w:t xml:space="preserve"> (LGBT</w:t>
      </w:r>
      <w:r>
        <w:rPr>
          <w:color w:val="000000"/>
          <w:sz w:val="20"/>
          <w:szCs w:val="20"/>
          <w:lang w:val="en-US"/>
        </w:rPr>
        <w:t>) persons</w:t>
      </w:r>
      <w:r w:rsidRPr="007523E1">
        <w:rPr>
          <w:color w:val="000000"/>
          <w:sz w:val="20"/>
          <w:szCs w:val="20"/>
          <w:lang w:val="en-US"/>
        </w:rPr>
        <w:t xml:space="preserve"> </w:t>
      </w:r>
      <w:r w:rsidRPr="00100F42">
        <w:rPr>
          <w:color w:val="000000"/>
          <w:sz w:val="20"/>
          <w:szCs w:val="20"/>
          <w:lang w:val="en-US"/>
        </w:rPr>
        <w:t>fleeing persecution</w:t>
      </w:r>
      <w:r>
        <w:rPr>
          <w:color w:val="000000"/>
          <w:sz w:val="20"/>
          <w:szCs w:val="20"/>
          <w:lang w:val="en-US"/>
        </w:rPr>
        <w:t xml:space="preserve"> are protected against violence and treated with dignity. We call on States to tackle the </w:t>
      </w:r>
      <w:bookmarkStart w:id="1" w:name="_Hlk103341135"/>
      <w:r>
        <w:rPr>
          <w:color w:val="000000"/>
          <w:sz w:val="20"/>
          <w:szCs w:val="20"/>
          <w:lang w:val="en-US"/>
        </w:rPr>
        <w:t>root causes of forced displacement around the planet</w:t>
      </w:r>
      <w:bookmarkEnd w:id="1"/>
      <w:r>
        <w:rPr>
          <w:color w:val="000000"/>
          <w:sz w:val="20"/>
          <w:szCs w:val="20"/>
          <w:lang w:val="en-US"/>
        </w:rPr>
        <w:t>.</w:t>
      </w:r>
    </w:p>
    <w:p w14:paraId="1862D852" w14:textId="77777777" w:rsidR="002C59F0" w:rsidRDefault="002C59F0" w:rsidP="002C59F0">
      <w:pPr>
        <w:jc w:val="both"/>
        <w:rPr>
          <w:color w:val="000000"/>
          <w:sz w:val="20"/>
          <w:szCs w:val="20"/>
          <w:lang w:val="en-US"/>
        </w:rPr>
      </w:pPr>
    </w:p>
    <w:p w14:paraId="23117EA2" w14:textId="77777777" w:rsidR="002C59F0" w:rsidRDefault="002C59F0" w:rsidP="002C59F0">
      <w:pPr>
        <w:jc w:val="both"/>
        <w:rPr>
          <w:color w:val="000000"/>
          <w:sz w:val="20"/>
          <w:szCs w:val="20"/>
          <w:lang w:val="en-US"/>
        </w:rPr>
      </w:pPr>
      <w:r>
        <w:rPr>
          <w:color w:val="000000"/>
          <w:sz w:val="20"/>
          <w:szCs w:val="20"/>
          <w:lang w:val="en-US"/>
        </w:rPr>
        <w:t>Persecution from State and non-State actors, as well as socio-economic exclusion fueled by stigma, discrimination, armed conflict, natural disasters, and climate change force many persons of diverse sexual orientation and gender identity (SOGI) to flee their homes in search of a safe environment where they can live authentically and fully exercise their rights. Among the 84 million people who are currently forcibly displaced worldwide, LGBT persons are among the most vulnerable and marginalized.</w:t>
      </w:r>
    </w:p>
    <w:p w14:paraId="7133D335" w14:textId="77777777" w:rsidR="002C59F0" w:rsidRDefault="002C59F0" w:rsidP="002C59F0">
      <w:pPr>
        <w:jc w:val="both"/>
        <w:rPr>
          <w:color w:val="000000"/>
          <w:sz w:val="20"/>
          <w:szCs w:val="20"/>
          <w:lang w:val="en-US"/>
        </w:rPr>
      </w:pPr>
    </w:p>
    <w:p w14:paraId="6C3A8798" w14:textId="77777777" w:rsidR="002C59F0" w:rsidRDefault="002C59F0" w:rsidP="002C59F0">
      <w:pPr>
        <w:jc w:val="both"/>
        <w:rPr>
          <w:color w:val="000000"/>
          <w:sz w:val="20"/>
          <w:szCs w:val="20"/>
          <w:lang w:val="en-US"/>
        </w:rPr>
      </w:pPr>
      <w:r>
        <w:rPr>
          <w:color w:val="000000"/>
          <w:sz w:val="20"/>
          <w:szCs w:val="20"/>
          <w:lang w:val="en-US"/>
        </w:rPr>
        <w:lastRenderedPageBreak/>
        <w:t xml:space="preserve">Although there is not yet accurate data on the number of LGBT forcibly displaced persons globally, </w:t>
      </w:r>
      <w:r>
        <w:rPr>
          <w:color w:val="000000"/>
          <w:sz w:val="20"/>
          <w:szCs w:val="20"/>
        </w:rPr>
        <w:t>m</w:t>
      </w:r>
      <w:r>
        <w:rPr>
          <w:color w:val="000000"/>
          <w:sz w:val="20"/>
          <w:szCs w:val="20"/>
          <w:lang w:val="en-US"/>
        </w:rPr>
        <w:t xml:space="preserve">any reside in countries that do not provide strong human rights protections, or that actively discriminate at the structural and institutional level on the basis of SOGI. The number of LGBT people in forced displacement is likely to increase in coming years, due to factors such as adverse climate impacts and intensifying socioeconomic fragility. </w:t>
      </w:r>
    </w:p>
    <w:p w14:paraId="1C70CF6D" w14:textId="77777777" w:rsidR="002C59F0" w:rsidRDefault="002C59F0" w:rsidP="002C59F0">
      <w:pPr>
        <w:jc w:val="both"/>
        <w:rPr>
          <w:color w:val="000000"/>
          <w:sz w:val="20"/>
          <w:szCs w:val="20"/>
          <w:lang w:val="en-US"/>
        </w:rPr>
      </w:pPr>
    </w:p>
    <w:p w14:paraId="2ED25028" w14:textId="77777777" w:rsidR="002C59F0" w:rsidRDefault="002C59F0" w:rsidP="002C59F0">
      <w:pPr>
        <w:jc w:val="both"/>
        <w:rPr>
          <w:color w:val="000000"/>
          <w:sz w:val="20"/>
          <w:szCs w:val="20"/>
          <w:lang w:val="en-US"/>
        </w:rPr>
      </w:pPr>
      <w:r>
        <w:rPr>
          <w:color w:val="000000"/>
          <w:sz w:val="20"/>
          <w:szCs w:val="20"/>
          <w:lang w:val="en-US"/>
        </w:rPr>
        <w:t xml:space="preserve">The structural vulnerabilities that LGBT persons face are intensified by their situation as migrants, asylum seekers, refugees or internally displaced persons. They may be fleeing persecution linked specifically to their SOGI or other additional factors, such as their ethnicity, nationality, political opinions, faith or these combined. These intersectional forms of social stigma and institutionalized exclusion, leave LGBT persons without adequate access to protection and justice from the patterns of violence that compelled them to seek safety in the first place and that are often reproduced in displacement settings. </w:t>
      </w:r>
    </w:p>
    <w:p w14:paraId="5559D3EA" w14:textId="77777777" w:rsidR="002C59F0" w:rsidRDefault="002C59F0" w:rsidP="002C59F0">
      <w:pPr>
        <w:jc w:val="both"/>
        <w:rPr>
          <w:color w:val="000000"/>
          <w:sz w:val="20"/>
          <w:szCs w:val="20"/>
          <w:lang w:val="en-US"/>
        </w:rPr>
      </w:pPr>
    </w:p>
    <w:p w14:paraId="7223997D" w14:textId="3CDB86BD" w:rsidR="002C59F0" w:rsidRDefault="002C59F0" w:rsidP="002C59F0">
      <w:pPr>
        <w:jc w:val="both"/>
        <w:rPr>
          <w:color w:val="000000"/>
          <w:sz w:val="20"/>
          <w:szCs w:val="20"/>
          <w:lang w:val="en-US"/>
        </w:rPr>
      </w:pPr>
      <w:r>
        <w:rPr>
          <w:color w:val="000000"/>
          <w:sz w:val="20"/>
          <w:szCs w:val="20"/>
          <w:lang w:val="en-US"/>
        </w:rPr>
        <w:t xml:space="preserve">Over 2/3 of the world’s forcibly displaced people have not crossed a national border in their search for safety. LGBT persons who are internally displaced in countries that criminalize consensual same-sex relations and/or diverse gender identities are rarely systematically acknowledged and addressed by institutions that support internally displaced persons, most typically in fragile or conflict-affected areas. </w:t>
      </w:r>
      <w:r w:rsidR="00952870">
        <w:rPr>
          <w:color w:val="000000"/>
          <w:sz w:val="20"/>
          <w:szCs w:val="20"/>
          <w:lang w:val="en-US"/>
        </w:rPr>
        <w:t>They</w:t>
      </w:r>
      <w:r>
        <w:rPr>
          <w:color w:val="000000"/>
          <w:sz w:val="20"/>
          <w:szCs w:val="20"/>
          <w:lang w:val="en-US"/>
        </w:rPr>
        <w:t xml:space="preserve"> may not have recourse to assistance and support services - including access to adequate health care services, offered by organizations whose mandates focus primarily on supporting asylum seekers arriving from other countries.</w:t>
      </w:r>
    </w:p>
    <w:p w14:paraId="5AC43650" w14:textId="77777777" w:rsidR="002C59F0" w:rsidRDefault="002C59F0" w:rsidP="002C59F0">
      <w:pPr>
        <w:jc w:val="both"/>
        <w:rPr>
          <w:color w:val="000000"/>
          <w:sz w:val="20"/>
          <w:szCs w:val="20"/>
          <w:lang w:val="en-US"/>
        </w:rPr>
      </w:pPr>
    </w:p>
    <w:p w14:paraId="3464761A" w14:textId="77777777" w:rsidR="002C59F0" w:rsidRDefault="002C59F0" w:rsidP="002C59F0">
      <w:pPr>
        <w:jc w:val="both"/>
        <w:rPr>
          <w:color w:val="000000"/>
          <w:sz w:val="20"/>
          <w:szCs w:val="20"/>
          <w:highlight w:val="yellow"/>
          <w:lang w:val="en-US"/>
        </w:rPr>
      </w:pPr>
      <w:r>
        <w:rPr>
          <w:color w:val="000000"/>
          <w:sz w:val="20"/>
          <w:szCs w:val="20"/>
          <w:lang w:val="en-US"/>
        </w:rPr>
        <w:lastRenderedPageBreak/>
        <w:t xml:space="preserve">Many LGBT persons in forced displacement who do cross an international border arrive in countries where they encounter similar or higher risks of violence, as well as xenophobia, racism, misogyny, ageism, socioeconomic marginalization, and isolation from traditional support networks. </w:t>
      </w:r>
      <w:bookmarkStart w:id="2" w:name="_Hlk102633756"/>
      <w:r>
        <w:rPr>
          <w:color w:val="000000"/>
          <w:sz w:val="20"/>
          <w:szCs w:val="20"/>
          <w:lang w:val="en-US"/>
        </w:rPr>
        <w:t>At all stages of their journey, they may be at particular risk of violence, abuse and exploitation from numerous actors, including though not limited to immigration and security authorities, traffickers, and smugglers, as well as from fellow displaced people and not infrequently from actors who are responsible for their security and wellbeing upon arrival in asylum locations.</w:t>
      </w:r>
      <w:bookmarkEnd w:id="2"/>
      <w:r>
        <w:rPr>
          <w:color w:val="000000"/>
          <w:sz w:val="20"/>
          <w:szCs w:val="20"/>
          <w:lang w:val="en-US"/>
        </w:rPr>
        <w:t xml:space="preserve"> After relocating, in jurisdictions where family composition is defined solely according to heteronormative standards, LGBT persons on the move are often unable to exercise their right to family reunification. </w:t>
      </w:r>
    </w:p>
    <w:p w14:paraId="0D139186" w14:textId="77777777" w:rsidR="002C59F0" w:rsidRDefault="002C59F0" w:rsidP="002C59F0">
      <w:pPr>
        <w:jc w:val="both"/>
        <w:rPr>
          <w:color w:val="000000"/>
          <w:sz w:val="20"/>
          <w:szCs w:val="20"/>
          <w:lang w:val="en-US"/>
        </w:rPr>
      </w:pPr>
    </w:p>
    <w:p w14:paraId="42C27F7F" w14:textId="1B8BDD03" w:rsidR="002C59F0" w:rsidRDefault="002C59F0" w:rsidP="002C59F0">
      <w:pPr>
        <w:jc w:val="both"/>
        <w:rPr>
          <w:color w:val="000000"/>
          <w:sz w:val="20"/>
          <w:szCs w:val="20"/>
          <w:lang w:val="en-US"/>
        </w:rPr>
      </w:pPr>
      <w:r>
        <w:rPr>
          <w:color w:val="000000"/>
          <w:sz w:val="20"/>
          <w:szCs w:val="20"/>
          <w:lang w:val="en-US"/>
        </w:rPr>
        <w:t xml:space="preserve">Abuse of LGBT displaced </w:t>
      </w:r>
      <w:r w:rsidRPr="003F50CF">
        <w:rPr>
          <w:color w:val="000000"/>
          <w:sz w:val="20"/>
          <w:lang w:val="en-US"/>
        </w:rPr>
        <w:t>persons</w:t>
      </w:r>
      <w:r>
        <w:rPr>
          <w:color w:val="000000"/>
          <w:sz w:val="20"/>
          <w:szCs w:val="20"/>
          <w:lang w:val="en-US"/>
        </w:rPr>
        <w:t xml:space="preserve"> can take the form of gender-based violence, as well as of exclusion from essential services, such as safe and appropriate accommodation and housing, safe access to the distribution of food and essential non-food items, including hygiene products, medical care</w:t>
      </w:r>
      <w:r w:rsidR="00040027">
        <w:rPr>
          <w:color w:val="000000"/>
          <w:sz w:val="20"/>
          <w:szCs w:val="20"/>
          <w:lang w:val="en-US"/>
        </w:rPr>
        <w:t xml:space="preserve">, </w:t>
      </w:r>
      <w:r>
        <w:rPr>
          <w:color w:val="000000"/>
          <w:sz w:val="20"/>
          <w:szCs w:val="20"/>
          <w:lang w:val="en-US"/>
        </w:rPr>
        <w:t>mental health care</w:t>
      </w:r>
      <w:r w:rsidR="00040027">
        <w:rPr>
          <w:color w:val="000000"/>
          <w:sz w:val="20"/>
          <w:szCs w:val="20"/>
          <w:lang w:val="en-US"/>
        </w:rPr>
        <w:t>,</w:t>
      </w:r>
      <w:r>
        <w:rPr>
          <w:color w:val="000000"/>
          <w:sz w:val="20"/>
          <w:szCs w:val="20"/>
          <w:lang w:val="en-US"/>
        </w:rPr>
        <w:t xml:space="preserve"> and psychosocial services (including but not limited to sexual and reproductive health services and, where applicable</w:t>
      </w:r>
      <w:r w:rsidR="00040027">
        <w:rPr>
          <w:color w:val="000000"/>
          <w:sz w:val="20"/>
          <w:szCs w:val="20"/>
          <w:lang w:val="en-US"/>
        </w:rPr>
        <w:t xml:space="preserve">, </w:t>
      </w:r>
      <w:r>
        <w:rPr>
          <w:color w:val="000000"/>
          <w:sz w:val="20"/>
          <w:szCs w:val="20"/>
          <w:lang w:val="en-US"/>
        </w:rPr>
        <w:t>rehabilitation services for survivors of torture), financial services</w:t>
      </w:r>
      <w:r w:rsidR="00040027">
        <w:rPr>
          <w:color w:val="000000"/>
          <w:sz w:val="20"/>
          <w:szCs w:val="20"/>
          <w:lang w:val="en-US"/>
        </w:rPr>
        <w:t>,</w:t>
      </w:r>
      <w:r>
        <w:rPr>
          <w:color w:val="000000"/>
          <w:sz w:val="20"/>
          <w:szCs w:val="20"/>
          <w:lang w:val="en-US"/>
        </w:rPr>
        <w:t xml:space="preserve"> and livelihoods support. Structural exclusion from the formal economy, including access to the labor market, increases their exposure to risk, sexual and/or labor exploitation and pressure to participate in high-risk livelihoods</w:t>
      </w:r>
      <w:bookmarkStart w:id="3" w:name="_Hlk102633875"/>
      <w:r>
        <w:rPr>
          <w:color w:val="000000"/>
          <w:sz w:val="20"/>
          <w:szCs w:val="20"/>
          <w:lang w:val="en-US"/>
        </w:rPr>
        <w:t>. They frequently face continued discrimination and abuse from other displaced persons and may be excluded from decision-making structures that are established to serve forcibly displaced communities at large.</w:t>
      </w:r>
      <w:bookmarkEnd w:id="3"/>
      <w:r>
        <w:rPr>
          <w:color w:val="000000"/>
          <w:sz w:val="20"/>
          <w:szCs w:val="20"/>
          <w:lang w:val="en-US"/>
        </w:rPr>
        <w:t xml:space="preserve"> And, while these conditions existed prior to the onset of the COVID-19 pandemic, they are documented to have worsened since then.</w:t>
      </w:r>
    </w:p>
    <w:p w14:paraId="3AA1FF5B" w14:textId="77777777" w:rsidR="002C59F0" w:rsidRDefault="002C59F0" w:rsidP="002C59F0">
      <w:pPr>
        <w:jc w:val="both"/>
        <w:rPr>
          <w:color w:val="000000"/>
          <w:sz w:val="20"/>
          <w:szCs w:val="20"/>
          <w:lang w:val="en-US"/>
        </w:rPr>
      </w:pPr>
    </w:p>
    <w:p w14:paraId="73CE2630" w14:textId="77777777" w:rsidR="002C59F0" w:rsidRDefault="002C59F0" w:rsidP="002C59F0">
      <w:pPr>
        <w:jc w:val="both"/>
        <w:rPr>
          <w:color w:val="000000"/>
          <w:sz w:val="20"/>
          <w:szCs w:val="20"/>
          <w:lang w:val="en-US"/>
        </w:rPr>
      </w:pPr>
      <w:r>
        <w:rPr>
          <w:color w:val="000000"/>
          <w:sz w:val="20"/>
          <w:szCs w:val="20"/>
          <w:lang w:val="en-US"/>
        </w:rPr>
        <w:lastRenderedPageBreak/>
        <w:t>Stigmatization creates highly unsafe conditions for many LGBT persons to disclose their SOGI status to authorities upon their arrival in a country where they seek protection, particularly if they are not informed that they can apply for protected status based on these grounds. Even though persecution on the basis of one’s real or perceived SOGI is considered a potential ground for claiming asylum according to the 1951 Refugee Convention and 1967 Protocol</w:t>
      </w:r>
      <w:r>
        <w:rPr>
          <w:rStyle w:val="FootnoteReference"/>
          <w:color w:val="000000"/>
          <w:sz w:val="20"/>
          <w:szCs w:val="20"/>
          <w:lang w:val="en-US"/>
        </w:rPr>
        <w:footnoteReference w:id="2"/>
      </w:r>
      <w:r>
        <w:rPr>
          <w:color w:val="000000"/>
          <w:sz w:val="20"/>
          <w:szCs w:val="20"/>
          <w:lang w:val="en-US"/>
        </w:rPr>
        <w:t xml:space="preserve">, stigmatization creates highly unsafe conditions for many LGBT persons to disclose their SOGI to authorities immediately upon their arrival in an asylum location or afterwards. Some applicants are not even informed that they can apply for protected status based on these grounds. Moreover, criteria to undertake credibility assessments of such claims are not always clearly established - and because of that, decisions are often heavily influenced by stereotypes. Unfortunately, late disclosure of their SOGI status as a persecution driver also frequently adversely affects the outcomes of LGBT persons’ asylum claims. </w:t>
      </w:r>
    </w:p>
    <w:p w14:paraId="469C015D" w14:textId="77777777" w:rsidR="002C59F0" w:rsidRDefault="002C59F0" w:rsidP="002C59F0">
      <w:pPr>
        <w:jc w:val="both"/>
        <w:rPr>
          <w:color w:val="000000"/>
          <w:sz w:val="20"/>
          <w:szCs w:val="20"/>
          <w:lang w:val="en-US"/>
        </w:rPr>
      </w:pPr>
    </w:p>
    <w:p w14:paraId="69ED256C" w14:textId="4D951522" w:rsidR="002C59F0" w:rsidRDefault="002C59F0" w:rsidP="002C59F0">
      <w:pPr>
        <w:jc w:val="both"/>
        <w:rPr>
          <w:color w:val="000000"/>
          <w:sz w:val="20"/>
          <w:szCs w:val="20"/>
          <w:lang w:val="en-US"/>
        </w:rPr>
      </w:pPr>
      <w:r>
        <w:rPr>
          <w:color w:val="000000"/>
          <w:sz w:val="20"/>
          <w:szCs w:val="20"/>
          <w:lang w:val="en-US"/>
        </w:rPr>
        <w:t xml:space="preserve">Trans and gender-diverse refugees, asylum seekers, migrants, internally displaced and stateless people are among those facing the highest risk of physical and emotional mistreatment, beatings, rape, torture, and murder, because their visible gender expression is often perceived as a direct challenge to prevailing social norms in countries or areas of origin, transit, </w:t>
      </w:r>
      <w:r>
        <w:rPr>
          <w:color w:val="000000"/>
          <w:sz w:val="20"/>
          <w:szCs w:val="20"/>
          <w:lang w:val="en-US"/>
        </w:rPr>
        <w:lastRenderedPageBreak/>
        <w:t xml:space="preserve">and destination. Thus, while seeking protection in what is hoped to be a safer environment, a response they frequently encounter is an effort to render them less visible and/or to punish them based on their SOGI. In jurisdictions where legal gender recognition of trans persons is not a reality or not accessible to people whose migration status is irregular, misgendering based on one’s sex assigned at birth is common and can create acutely harmful challenges throughout their entire protection seeking experience. </w:t>
      </w:r>
    </w:p>
    <w:p w14:paraId="49C19BDE" w14:textId="77777777" w:rsidR="002C59F0" w:rsidRDefault="002C59F0" w:rsidP="002C59F0">
      <w:pPr>
        <w:jc w:val="both"/>
        <w:rPr>
          <w:color w:val="000000"/>
          <w:sz w:val="20"/>
          <w:szCs w:val="20"/>
          <w:lang w:val="en-US"/>
        </w:rPr>
      </w:pPr>
    </w:p>
    <w:p w14:paraId="23856240" w14:textId="77777777" w:rsidR="002C59F0" w:rsidRDefault="002C59F0" w:rsidP="002C59F0">
      <w:pPr>
        <w:jc w:val="both"/>
        <w:rPr>
          <w:color w:val="000000"/>
          <w:sz w:val="20"/>
          <w:szCs w:val="20"/>
          <w:lang w:val="en-US"/>
        </w:rPr>
      </w:pPr>
      <w:r>
        <w:rPr>
          <w:color w:val="000000"/>
          <w:sz w:val="20"/>
          <w:szCs w:val="20"/>
          <w:lang w:val="en-US"/>
        </w:rPr>
        <w:t xml:space="preserve">With the number of forcibly displaced persons continuing to rise, States, businesses, and humanitarian and civil society organizations must </w:t>
      </w:r>
      <w:r>
        <w:rPr>
          <w:rFonts w:eastAsia="Times New Roman" w:cs="Calibri"/>
          <w:sz w:val="20"/>
          <w:szCs w:val="20"/>
          <w:lang w:val="en-US"/>
        </w:rPr>
        <w:t xml:space="preserve">invest in developing human rights-based policies and programs that take into full account the intersectional dimensions of forced displacement and sexual orientation and gender identity, fostering </w:t>
      </w:r>
      <w:r>
        <w:rPr>
          <w:color w:val="000000"/>
          <w:sz w:val="20"/>
          <w:szCs w:val="20"/>
          <w:lang w:val="en-US"/>
        </w:rPr>
        <w:t xml:space="preserve">stronger collaboration and coordination among </w:t>
      </w:r>
      <w:r>
        <w:rPr>
          <w:i/>
          <w:iCs/>
          <w:color w:val="000000"/>
          <w:sz w:val="20"/>
          <w:szCs w:val="20"/>
          <w:lang w:val="en-US"/>
        </w:rPr>
        <w:t xml:space="preserve">all </w:t>
      </w:r>
      <w:r>
        <w:rPr>
          <w:color w:val="000000"/>
          <w:sz w:val="20"/>
          <w:szCs w:val="20"/>
          <w:lang w:val="en-US"/>
        </w:rPr>
        <w:t xml:space="preserve">actors responsible for the protection of </w:t>
      </w:r>
      <w:r w:rsidRPr="00583099">
        <w:rPr>
          <w:color w:val="000000"/>
          <w:sz w:val="20"/>
          <w:szCs w:val="20"/>
          <w:lang w:val="en-US"/>
        </w:rPr>
        <w:t xml:space="preserve">displaced </w:t>
      </w:r>
      <w:r>
        <w:rPr>
          <w:color w:val="000000"/>
          <w:sz w:val="20"/>
          <w:szCs w:val="20"/>
          <w:lang w:val="en-US"/>
        </w:rPr>
        <w:t xml:space="preserve">LGBT </w:t>
      </w:r>
      <w:r>
        <w:rPr>
          <w:color w:val="000000"/>
          <w:sz w:val="20"/>
          <w:lang w:val="en-US"/>
        </w:rPr>
        <w:t>individuals</w:t>
      </w:r>
      <w:r>
        <w:rPr>
          <w:color w:val="000000"/>
          <w:sz w:val="20"/>
          <w:szCs w:val="20"/>
          <w:lang w:val="en-US"/>
        </w:rPr>
        <w:t>.</w:t>
      </w:r>
    </w:p>
    <w:p w14:paraId="4F16F97B" w14:textId="77777777" w:rsidR="002C59F0" w:rsidRDefault="002C59F0" w:rsidP="002C59F0">
      <w:pPr>
        <w:jc w:val="both"/>
        <w:rPr>
          <w:color w:val="000000"/>
          <w:sz w:val="20"/>
          <w:szCs w:val="20"/>
          <w:lang w:val="en-US"/>
        </w:rPr>
      </w:pPr>
    </w:p>
    <w:p w14:paraId="3F6DC16B" w14:textId="77777777" w:rsidR="002C59F0" w:rsidRDefault="002C59F0" w:rsidP="002C59F0">
      <w:pPr>
        <w:jc w:val="both"/>
        <w:rPr>
          <w:rFonts w:eastAsia="Times New Roman" w:cs="Calibri"/>
          <w:sz w:val="20"/>
          <w:szCs w:val="20"/>
          <w:lang w:val="en-US"/>
        </w:rPr>
      </w:pPr>
      <w:bookmarkStart w:id="4" w:name="_Hlk103341462"/>
      <w:r>
        <w:rPr>
          <w:color w:val="000000"/>
          <w:sz w:val="20"/>
          <w:szCs w:val="20"/>
          <w:lang w:val="en-US"/>
        </w:rPr>
        <w:t xml:space="preserve">Some of the immediate issues that need to be addressed are: establishing programs that take into consideration the specific needs of displaced LGBT persons across all stages of their journey; improving reception conditions including for groups with special needs, like older persons and persons with disabilities, and ensuring safe accommodation and adequate access to health care services; </w:t>
      </w:r>
      <w:r>
        <w:rPr>
          <w:rFonts w:eastAsia="Times New Roman" w:cs="Calibri"/>
          <w:sz w:val="20"/>
          <w:szCs w:val="20"/>
          <w:lang w:val="en-US"/>
        </w:rPr>
        <w:t>ensuring adequate access to protection, asylum and refugee status determination;</w:t>
      </w:r>
      <w:r>
        <w:rPr>
          <w:color w:val="000000"/>
          <w:sz w:val="20"/>
          <w:szCs w:val="20"/>
          <w:lang w:val="en-US"/>
        </w:rPr>
        <w:t xml:space="preserve"> facilitating durable solutions of their choice, including options for resettlement; and building a thorough evidence-based ethical data collection, management and reporting</w:t>
      </w:r>
      <w:r>
        <w:rPr>
          <w:rFonts w:eastAsia="Times New Roman" w:cs="Calibri"/>
          <w:sz w:val="20"/>
          <w:szCs w:val="20"/>
          <w:lang w:val="en-US"/>
        </w:rPr>
        <w:t xml:space="preserve">. </w:t>
      </w:r>
      <w:bookmarkStart w:id="5" w:name="_Hlk103341578"/>
      <w:bookmarkEnd w:id="4"/>
      <w:r>
        <w:rPr>
          <w:rFonts w:eastAsia="Times New Roman" w:cs="Calibri"/>
          <w:sz w:val="20"/>
          <w:szCs w:val="20"/>
          <w:lang w:val="en-US"/>
        </w:rPr>
        <w:t>Furthermore, all efforts must be made to involve them in the design, implementation and monitoring of programs and policies that target them and that ultimately seek their protection, ensuring their enjoyment of their fundamental rights, and assistance.</w:t>
      </w:r>
    </w:p>
    <w:bookmarkEnd w:id="5"/>
    <w:p w14:paraId="70A208A0" w14:textId="77777777" w:rsidR="002C59F0" w:rsidRDefault="002C59F0" w:rsidP="002C59F0">
      <w:pPr>
        <w:jc w:val="both"/>
        <w:rPr>
          <w:color w:val="000000"/>
          <w:sz w:val="20"/>
          <w:szCs w:val="20"/>
          <w:lang w:val="en-US"/>
        </w:rPr>
      </w:pPr>
    </w:p>
    <w:p w14:paraId="1331CB67" w14:textId="77777777" w:rsidR="002C59F0" w:rsidRDefault="002C59F0" w:rsidP="002C59F0">
      <w:pPr>
        <w:jc w:val="both"/>
        <w:rPr>
          <w:color w:val="000000"/>
          <w:sz w:val="20"/>
          <w:szCs w:val="20"/>
          <w:lang w:val="en-US"/>
        </w:rPr>
      </w:pPr>
      <w:bookmarkStart w:id="6" w:name="_Hlk103341318"/>
      <w:r>
        <w:rPr>
          <w:color w:val="000000"/>
          <w:sz w:val="20"/>
          <w:szCs w:val="20"/>
          <w:lang w:val="en-US"/>
        </w:rPr>
        <w:t xml:space="preserve">Ultimately, the fundamental step to address the rising number of forcibly displaced LGBT persons around the world is to tackle the root causes of forced displacement and ensure LGBT persons can live free from violence and discrimination in their communities, implementing laws and public policies that can transform the vicious </w:t>
      </w:r>
      <w:bookmarkStart w:id="7" w:name="_Hlk103341610"/>
      <w:r>
        <w:rPr>
          <w:color w:val="000000"/>
          <w:sz w:val="20"/>
          <w:szCs w:val="20"/>
          <w:lang w:val="en-US"/>
        </w:rPr>
        <w:t xml:space="preserve">spiral of abuse which forces them to seek protection elsewhere in the first place. </w:t>
      </w:r>
      <w:bookmarkEnd w:id="7"/>
    </w:p>
    <w:bookmarkEnd w:id="6"/>
    <w:p w14:paraId="6B38A773" w14:textId="777CC75B" w:rsidR="00592564" w:rsidRDefault="00592564">
      <w:pPr>
        <w:jc w:val="both"/>
        <w:rPr>
          <w:color w:val="000000"/>
          <w:sz w:val="20"/>
          <w:szCs w:val="20"/>
          <w:lang w:val="en-US"/>
        </w:rPr>
      </w:pPr>
    </w:p>
    <w:p w14:paraId="08F8F382" w14:textId="2092FC6F" w:rsidR="00592564" w:rsidRDefault="00592564">
      <w:pPr>
        <w:jc w:val="both"/>
        <w:rPr>
          <w:color w:val="000000"/>
          <w:sz w:val="20"/>
          <w:szCs w:val="20"/>
          <w:lang w:val="en-US"/>
        </w:rPr>
      </w:pPr>
      <w:r>
        <w:rPr>
          <w:color w:val="000000"/>
          <w:sz w:val="20"/>
          <w:szCs w:val="20"/>
          <w:lang w:val="en-US"/>
        </w:rPr>
        <w:t>ENDS</w:t>
      </w:r>
    </w:p>
    <w:p w14:paraId="4B83493C" w14:textId="77777777" w:rsidR="00736616" w:rsidRDefault="00736616">
      <w:pPr>
        <w:jc w:val="both"/>
        <w:rPr>
          <w:rFonts w:eastAsia="Times New Roman" w:cs="Calibri"/>
          <w:sz w:val="20"/>
          <w:szCs w:val="20"/>
          <w:lang w:val="en-US"/>
        </w:rPr>
      </w:pPr>
    </w:p>
    <w:p w14:paraId="753F98D4" w14:textId="4911C8BB" w:rsidR="00736616" w:rsidRDefault="00592564">
      <w:pPr>
        <w:jc w:val="both"/>
        <w:rPr>
          <w:rFonts w:eastAsia="Times New Roman" w:cs="Calibri"/>
          <w:sz w:val="20"/>
          <w:szCs w:val="20"/>
          <w:lang w:val="en-US"/>
        </w:rPr>
      </w:pPr>
      <w:r>
        <w:rPr>
          <w:rFonts w:eastAsia="Times New Roman" w:cs="Calibri"/>
          <w:sz w:val="20"/>
          <w:szCs w:val="20"/>
          <w:lang w:val="en-US"/>
        </w:rPr>
        <w:t>(</w:t>
      </w:r>
      <w:r w:rsidR="008F1809">
        <w:rPr>
          <w:rFonts w:eastAsia="Times New Roman" w:cs="Calibri"/>
          <w:sz w:val="20"/>
          <w:szCs w:val="20"/>
          <w:lang w:val="en-US"/>
        </w:rPr>
        <w:t>*</w:t>
      </w:r>
      <w:r>
        <w:rPr>
          <w:rFonts w:eastAsia="Times New Roman" w:cs="Calibri"/>
          <w:sz w:val="20"/>
          <w:szCs w:val="20"/>
          <w:lang w:val="en-US"/>
        </w:rPr>
        <w:t>) The experts:</w:t>
      </w:r>
    </w:p>
    <w:p w14:paraId="1474C1D0" w14:textId="5E3C0E65" w:rsidR="00592564" w:rsidRDefault="00592564" w:rsidP="00B0588E">
      <w:pPr>
        <w:jc w:val="both"/>
        <w:rPr>
          <w:rFonts w:eastAsia="Times New Roman" w:cs="Calibri"/>
          <w:sz w:val="20"/>
          <w:szCs w:val="20"/>
          <w:lang w:val="en-US"/>
        </w:rPr>
      </w:pPr>
    </w:p>
    <w:p w14:paraId="01686BBE" w14:textId="77777777" w:rsidR="00482C11" w:rsidRPr="00482C11" w:rsidRDefault="00482C11" w:rsidP="00482C11">
      <w:pPr>
        <w:jc w:val="both"/>
        <w:rPr>
          <w:rFonts w:asciiTheme="minorHAnsi" w:hAnsiTheme="minorHAnsi" w:cs="Arial"/>
          <w:i/>
          <w:iCs/>
          <w:sz w:val="20"/>
          <w:szCs w:val="20"/>
        </w:rPr>
      </w:pPr>
      <w:r w:rsidRPr="00482C11">
        <w:rPr>
          <w:rFonts w:asciiTheme="minorHAnsi" w:eastAsia="Times New Roman" w:hAnsiTheme="minorHAnsi" w:cs="Arial"/>
          <w:i/>
          <w:iCs/>
          <w:sz w:val="20"/>
          <w:szCs w:val="20"/>
          <w:lang w:val="en-US"/>
        </w:rPr>
        <w:t xml:space="preserve">Victor Madrigal-Borloz, </w:t>
      </w:r>
      <w:hyperlink r:id="rId8" w:history="1">
        <w:r w:rsidRPr="00482C11">
          <w:rPr>
            <w:rStyle w:val="Hyperlink"/>
            <w:rFonts w:asciiTheme="minorHAnsi" w:eastAsia="Times New Roman" w:hAnsiTheme="minorHAnsi" w:cs="Arial"/>
            <w:b/>
            <w:bCs/>
            <w:i/>
            <w:iCs/>
            <w:sz w:val="20"/>
            <w:szCs w:val="20"/>
            <w:lang w:val="en-US"/>
          </w:rPr>
          <w:t>Independent Expert on protection against violence and discrimination based on sexual orientation and gender identity</w:t>
        </w:r>
      </w:hyperlink>
      <w:r w:rsidRPr="00482C11">
        <w:rPr>
          <w:rFonts w:asciiTheme="minorHAnsi" w:eastAsia="Times New Roman" w:hAnsiTheme="minorHAnsi" w:cs="Arial"/>
          <w:i/>
          <w:iCs/>
          <w:sz w:val="20"/>
          <w:szCs w:val="20"/>
          <w:lang w:val="en-US"/>
        </w:rPr>
        <w:t xml:space="preserve">; </w:t>
      </w:r>
      <w:r w:rsidRPr="00482C11">
        <w:rPr>
          <w:rFonts w:asciiTheme="minorHAnsi" w:hAnsiTheme="minorHAnsi" w:cs="Arial"/>
          <w:i/>
          <w:iCs/>
          <w:sz w:val="20"/>
          <w:szCs w:val="20"/>
        </w:rPr>
        <w:t xml:space="preserve">Felipe González Morales, </w:t>
      </w:r>
      <w:hyperlink r:id="rId9" w:history="1">
        <w:r w:rsidRPr="00482C11">
          <w:rPr>
            <w:rStyle w:val="Hyperlink"/>
            <w:rFonts w:asciiTheme="minorHAnsi" w:hAnsiTheme="minorHAnsi" w:cs="Arial"/>
            <w:b/>
            <w:bCs/>
            <w:i/>
            <w:iCs/>
            <w:sz w:val="20"/>
            <w:szCs w:val="20"/>
          </w:rPr>
          <w:t>Special Rapporteur on the human rights of migrants</w:t>
        </w:r>
        <w:r w:rsidRPr="00482C11">
          <w:rPr>
            <w:rStyle w:val="Hyperlink"/>
            <w:rFonts w:asciiTheme="minorHAnsi" w:hAnsiTheme="minorHAnsi" w:cs="Arial"/>
            <w:i/>
            <w:iCs/>
            <w:sz w:val="20"/>
            <w:szCs w:val="20"/>
          </w:rPr>
          <w:t>;</w:t>
        </w:r>
      </w:hyperlink>
      <w:r w:rsidRPr="00482C11">
        <w:rPr>
          <w:rFonts w:asciiTheme="minorHAnsi" w:hAnsiTheme="minorHAnsi" w:cs="Arial"/>
          <w:i/>
          <w:iCs/>
          <w:sz w:val="20"/>
          <w:szCs w:val="20"/>
        </w:rPr>
        <w:t xml:space="preserve"> </w:t>
      </w:r>
      <w:r w:rsidRPr="00482C11">
        <w:rPr>
          <w:rFonts w:asciiTheme="minorHAnsi" w:eastAsia="Times New Roman" w:hAnsiTheme="minorHAnsi" w:cs="Arial"/>
          <w:i/>
          <w:iCs/>
          <w:sz w:val="20"/>
          <w:szCs w:val="20"/>
          <w:lang w:val="en-US"/>
        </w:rPr>
        <w:t xml:space="preserve">Cecilia Jimenez-Damary, </w:t>
      </w:r>
      <w:hyperlink r:id="rId10" w:history="1">
        <w:r w:rsidRPr="00482C11">
          <w:rPr>
            <w:rStyle w:val="Hyperlink"/>
            <w:rFonts w:asciiTheme="minorHAnsi" w:eastAsia="Times New Roman" w:hAnsiTheme="minorHAnsi" w:cs="Arial"/>
            <w:b/>
            <w:bCs/>
            <w:i/>
            <w:iCs/>
            <w:sz w:val="20"/>
            <w:szCs w:val="20"/>
            <w:lang w:val="en-US"/>
          </w:rPr>
          <w:t>Special Rapporteur on the human rights of internally displaced persons</w:t>
        </w:r>
      </w:hyperlink>
      <w:r w:rsidRPr="00482C11">
        <w:rPr>
          <w:rFonts w:asciiTheme="minorHAnsi" w:eastAsia="Times New Roman" w:hAnsiTheme="minorHAnsi" w:cs="Arial"/>
          <w:i/>
          <w:iCs/>
          <w:sz w:val="20"/>
          <w:szCs w:val="20"/>
          <w:lang w:val="en-US"/>
        </w:rPr>
        <w:t xml:space="preserve">; Balakrishnan Rajagopal, </w:t>
      </w:r>
      <w:hyperlink r:id="rId11" w:history="1">
        <w:r w:rsidRPr="00482C11">
          <w:rPr>
            <w:rStyle w:val="Hyperlink"/>
            <w:rFonts w:asciiTheme="minorHAnsi" w:eastAsia="Times New Roman" w:hAnsiTheme="minorHAnsi" w:cs="Arial"/>
            <w:b/>
            <w:bCs/>
            <w:i/>
            <w:iCs/>
            <w:sz w:val="20"/>
            <w:szCs w:val="20"/>
            <w:lang w:val="en-US"/>
          </w:rPr>
          <w:t>Special Rapporteur on the right to adequate housing</w:t>
        </w:r>
      </w:hyperlink>
      <w:r w:rsidRPr="00482C11">
        <w:rPr>
          <w:rFonts w:asciiTheme="minorHAnsi" w:eastAsia="Times New Roman" w:hAnsiTheme="minorHAnsi" w:cs="Arial"/>
          <w:i/>
          <w:iCs/>
          <w:sz w:val="20"/>
          <w:szCs w:val="20"/>
          <w:lang w:val="en-US"/>
        </w:rPr>
        <w:t xml:space="preserve">; Clément N. Voule, </w:t>
      </w:r>
      <w:hyperlink r:id="rId12" w:history="1">
        <w:r w:rsidRPr="00482C11">
          <w:rPr>
            <w:rStyle w:val="Hyperlink"/>
            <w:rFonts w:asciiTheme="minorHAnsi" w:eastAsia="Times New Roman" w:hAnsiTheme="minorHAnsi" w:cs="Arial"/>
            <w:b/>
            <w:bCs/>
            <w:i/>
            <w:iCs/>
            <w:sz w:val="20"/>
            <w:szCs w:val="20"/>
            <w:lang w:val="en-US"/>
          </w:rPr>
          <w:t>Special Rapporteur on the right to peaceful assembly and association</w:t>
        </w:r>
      </w:hyperlink>
      <w:r w:rsidRPr="00482C11">
        <w:rPr>
          <w:rFonts w:asciiTheme="minorHAnsi" w:eastAsia="Times New Roman" w:hAnsiTheme="minorHAnsi" w:cs="Arial"/>
          <w:i/>
          <w:iCs/>
          <w:sz w:val="20"/>
          <w:szCs w:val="20"/>
          <w:lang w:val="en-US"/>
        </w:rPr>
        <w:t xml:space="preserve">; Morris Tidball-Binz, </w:t>
      </w:r>
      <w:hyperlink r:id="rId13" w:history="1">
        <w:r w:rsidRPr="00482C11">
          <w:rPr>
            <w:rStyle w:val="Hyperlink"/>
            <w:rFonts w:asciiTheme="minorHAnsi" w:eastAsia="Times New Roman" w:hAnsiTheme="minorHAnsi" w:cs="Arial"/>
            <w:b/>
            <w:bCs/>
            <w:i/>
            <w:iCs/>
            <w:sz w:val="20"/>
            <w:szCs w:val="20"/>
            <w:lang w:val="en-US"/>
          </w:rPr>
          <w:t>Special Rapporteur on extrajudicial, summary or arbitrary executions</w:t>
        </w:r>
      </w:hyperlink>
      <w:r w:rsidRPr="00482C11">
        <w:rPr>
          <w:rFonts w:asciiTheme="minorHAnsi" w:eastAsia="Times New Roman" w:hAnsiTheme="minorHAnsi" w:cs="Arial"/>
          <w:i/>
          <w:iCs/>
          <w:sz w:val="20"/>
          <w:szCs w:val="20"/>
          <w:lang w:val="en-US"/>
        </w:rPr>
        <w:t xml:space="preserve">; Olivier De Schutter, </w:t>
      </w:r>
      <w:hyperlink r:id="rId14" w:history="1">
        <w:r w:rsidRPr="00482C11">
          <w:rPr>
            <w:rStyle w:val="Hyperlink"/>
            <w:rFonts w:asciiTheme="minorHAnsi" w:eastAsia="Times New Roman" w:hAnsiTheme="minorHAnsi" w:cs="Arial"/>
            <w:b/>
            <w:bCs/>
            <w:i/>
            <w:iCs/>
            <w:sz w:val="20"/>
            <w:szCs w:val="20"/>
            <w:lang w:val="en-US"/>
          </w:rPr>
          <w:t>Special Rapporteur on extreme poverty</w:t>
        </w:r>
      </w:hyperlink>
      <w:r w:rsidRPr="00482C11">
        <w:rPr>
          <w:rFonts w:asciiTheme="minorHAnsi" w:eastAsia="Times New Roman" w:hAnsiTheme="minorHAnsi" w:cs="Arial"/>
          <w:i/>
          <w:iCs/>
          <w:sz w:val="20"/>
          <w:szCs w:val="20"/>
          <w:lang w:val="en-US"/>
        </w:rPr>
        <w:t xml:space="preserve">; Javaid Rehman, </w:t>
      </w:r>
      <w:hyperlink r:id="rId15" w:history="1">
        <w:r w:rsidRPr="00482C11">
          <w:rPr>
            <w:rStyle w:val="Hyperlink"/>
            <w:rFonts w:asciiTheme="minorHAnsi" w:eastAsia="Times New Roman" w:hAnsiTheme="minorHAnsi" w:cs="Arial"/>
            <w:b/>
            <w:bCs/>
            <w:i/>
            <w:iCs/>
            <w:sz w:val="20"/>
            <w:szCs w:val="20"/>
            <w:lang w:val="en-US"/>
          </w:rPr>
          <w:t>Special Rapporteur on the situation of human rights in the Islamic Republic of Iran</w:t>
        </w:r>
        <w:r w:rsidRPr="00482C11">
          <w:rPr>
            <w:rStyle w:val="Hyperlink"/>
            <w:rFonts w:asciiTheme="minorHAnsi" w:eastAsia="Times New Roman" w:hAnsiTheme="minorHAnsi" w:cs="Arial"/>
            <w:i/>
            <w:iCs/>
            <w:sz w:val="20"/>
            <w:szCs w:val="20"/>
            <w:lang w:val="en-US"/>
          </w:rPr>
          <w:t>;</w:t>
        </w:r>
      </w:hyperlink>
      <w:r w:rsidRPr="00482C11">
        <w:rPr>
          <w:rFonts w:asciiTheme="minorHAnsi" w:hAnsiTheme="minorHAnsi" w:cs="Arial"/>
          <w:i/>
          <w:iCs/>
          <w:sz w:val="20"/>
          <w:szCs w:val="20"/>
          <w:lang w:val="en-US"/>
        </w:rPr>
        <w:t xml:space="preserve"> </w:t>
      </w:r>
      <w:r w:rsidRPr="00482C11">
        <w:rPr>
          <w:rFonts w:asciiTheme="minorHAnsi" w:eastAsia="Times New Roman" w:hAnsiTheme="minorHAnsi" w:cs="Arial"/>
          <w:i/>
          <w:iCs/>
          <w:sz w:val="20"/>
          <w:szCs w:val="20"/>
          <w:lang w:val="en-US"/>
        </w:rPr>
        <w:t xml:space="preserve">Claudia Mahler, </w:t>
      </w:r>
      <w:hyperlink r:id="rId16" w:history="1">
        <w:r w:rsidRPr="00482C11">
          <w:rPr>
            <w:rStyle w:val="Hyperlink"/>
            <w:rFonts w:asciiTheme="minorHAnsi" w:eastAsia="Times New Roman" w:hAnsiTheme="minorHAnsi" w:cs="Arial"/>
            <w:b/>
            <w:bCs/>
            <w:i/>
            <w:iCs/>
            <w:sz w:val="20"/>
            <w:szCs w:val="20"/>
            <w:lang w:val="en-US"/>
          </w:rPr>
          <w:t>Independent Expert on the enjoyment of all human rights by older persons</w:t>
        </w:r>
      </w:hyperlink>
      <w:r w:rsidRPr="00482C11">
        <w:rPr>
          <w:rFonts w:asciiTheme="minorHAnsi" w:eastAsia="Times New Roman" w:hAnsiTheme="minorHAnsi" w:cs="Arial"/>
          <w:i/>
          <w:iCs/>
          <w:sz w:val="20"/>
          <w:szCs w:val="20"/>
          <w:lang w:val="en-US"/>
        </w:rPr>
        <w:t xml:space="preserve">; </w:t>
      </w:r>
      <w:r w:rsidRPr="00482C11">
        <w:rPr>
          <w:rFonts w:asciiTheme="minorHAnsi" w:hAnsiTheme="minorHAnsi" w:cs="Arial"/>
          <w:i/>
          <w:iCs/>
          <w:sz w:val="20"/>
          <w:szCs w:val="20"/>
        </w:rPr>
        <w:t xml:space="preserve">David R. Boyd, </w:t>
      </w:r>
      <w:hyperlink r:id="rId17" w:history="1">
        <w:r w:rsidRPr="00482C11">
          <w:rPr>
            <w:rStyle w:val="Hyperlink"/>
            <w:rFonts w:asciiTheme="minorHAnsi" w:hAnsiTheme="minorHAnsi" w:cs="Arial"/>
            <w:b/>
            <w:bCs/>
            <w:i/>
            <w:iCs/>
            <w:sz w:val="20"/>
            <w:szCs w:val="20"/>
          </w:rPr>
          <w:t>Special Rapporteur on human rights and the environment</w:t>
        </w:r>
      </w:hyperlink>
      <w:r w:rsidRPr="00482C11">
        <w:rPr>
          <w:rFonts w:asciiTheme="minorHAnsi" w:hAnsiTheme="minorHAnsi" w:cs="Arial"/>
          <w:i/>
          <w:iCs/>
          <w:sz w:val="20"/>
          <w:szCs w:val="20"/>
        </w:rPr>
        <w:t xml:space="preserve">; Tomoya Obokata, </w:t>
      </w:r>
      <w:hyperlink r:id="rId18" w:history="1">
        <w:r w:rsidRPr="00482C11">
          <w:rPr>
            <w:rStyle w:val="Hyperlink"/>
            <w:rFonts w:asciiTheme="minorHAnsi" w:hAnsiTheme="minorHAnsi" w:cs="Arial"/>
            <w:b/>
            <w:bCs/>
            <w:i/>
            <w:iCs/>
            <w:sz w:val="20"/>
            <w:szCs w:val="20"/>
          </w:rPr>
          <w:t>Special Rapporteur on contemporary forms of slavery, including its causes and consequences</w:t>
        </w:r>
      </w:hyperlink>
      <w:r w:rsidRPr="00482C11">
        <w:rPr>
          <w:rFonts w:asciiTheme="minorHAnsi" w:hAnsiTheme="minorHAnsi" w:cs="Arial"/>
          <w:i/>
          <w:iCs/>
          <w:sz w:val="20"/>
          <w:szCs w:val="20"/>
        </w:rPr>
        <w:t xml:space="preserve">; Michael Fakhri, </w:t>
      </w:r>
      <w:hyperlink r:id="rId19" w:history="1">
        <w:r w:rsidRPr="00482C11">
          <w:rPr>
            <w:rStyle w:val="Hyperlink"/>
            <w:rFonts w:asciiTheme="minorHAnsi" w:hAnsiTheme="minorHAnsi" w:cs="Arial"/>
            <w:b/>
            <w:bCs/>
            <w:i/>
            <w:iCs/>
            <w:sz w:val="20"/>
            <w:szCs w:val="20"/>
          </w:rPr>
          <w:t xml:space="preserve">Special Rapporteur on </w:t>
        </w:r>
        <w:r w:rsidRPr="00482C11">
          <w:rPr>
            <w:rStyle w:val="Hyperlink"/>
            <w:rFonts w:asciiTheme="minorHAnsi" w:hAnsiTheme="minorHAnsi" w:cs="Arial"/>
            <w:b/>
            <w:bCs/>
            <w:i/>
            <w:iCs/>
            <w:sz w:val="20"/>
            <w:szCs w:val="20"/>
          </w:rPr>
          <w:lastRenderedPageBreak/>
          <w:t>the right to food</w:t>
        </w:r>
      </w:hyperlink>
      <w:r w:rsidRPr="00482C11">
        <w:rPr>
          <w:rFonts w:asciiTheme="minorHAnsi" w:hAnsiTheme="minorHAnsi" w:cs="Arial"/>
          <w:i/>
          <w:iCs/>
          <w:sz w:val="20"/>
          <w:szCs w:val="20"/>
        </w:rPr>
        <w:t xml:space="preserve">; Fionnuala Ní Aoláin, </w:t>
      </w:r>
      <w:hyperlink r:id="rId20" w:history="1">
        <w:r w:rsidRPr="00482C11">
          <w:rPr>
            <w:rStyle w:val="Hyperlink"/>
            <w:rFonts w:asciiTheme="minorHAnsi" w:hAnsiTheme="minorHAnsi" w:cs="Arial"/>
            <w:b/>
            <w:bCs/>
            <w:i/>
            <w:iCs/>
            <w:sz w:val="20"/>
            <w:szCs w:val="20"/>
          </w:rPr>
          <w:t>Special Rapporteur on the promotion and protection of human rights and fundamental freedoms while countering terrorism</w:t>
        </w:r>
      </w:hyperlink>
      <w:r w:rsidRPr="00482C11">
        <w:rPr>
          <w:rFonts w:asciiTheme="minorHAnsi" w:hAnsiTheme="minorHAnsi" w:cs="Arial"/>
          <w:i/>
          <w:iCs/>
          <w:sz w:val="20"/>
          <w:szCs w:val="20"/>
        </w:rPr>
        <w:t xml:space="preserve">; E. Tendayi Achiume, </w:t>
      </w:r>
      <w:hyperlink r:id="rId21" w:history="1">
        <w:r w:rsidRPr="00482C11">
          <w:rPr>
            <w:rStyle w:val="Hyperlink"/>
            <w:rFonts w:asciiTheme="minorHAnsi" w:hAnsiTheme="minorHAnsi" w:cs="Arial"/>
            <w:b/>
            <w:bCs/>
            <w:i/>
            <w:iCs/>
            <w:sz w:val="20"/>
            <w:szCs w:val="20"/>
          </w:rPr>
          <w:t>Special Rapporteur on contemporary forms of racism</w:t>
        </w:r>
        <w:r w:rsidRPr="00482C11">
          <w:rPr>
            <w:rStyle w:val="Hyperlink"/>
            <w:rFonts w:asciiTheme="minorHAnsi" w:hAnsiTheme="minorHAnsi" w:cs="Arial"/>
            <w:i/>
            <w:iCs/>
            <w:sz w:val="20"/>
            <w:szCs w:val="20"/>
          </w:rPr>
          <w:t>;</w:t>
        </w:r>
      </w:hyperlink>
      <w:r w:rsidRPr="00482C11">
        <w:rPr>
          <w:rFonts w:asciiTheme="minorHAnsi" w:hAnsiTheme="minorHAnsi" w:cs="Arial"/>
          <w:i/>
          <w:iCs/>
          <w:sz w:val="20"/>
          <w:szCs w:val="20"/>
        </w:rPr>
        <w:t xml:space="preserve"> Sorcha MacLeod (Chair-Rapporteur),  Jelena Aparac, Ravindran Daniel, Chris Kwaja, </w:t>
      </w:r>
      <w:hyperlink r:id="rId22" w:history="1">
        <w:r w:rsidRPr="00482C11">
          <w:rPr>
            <w:rStyle w:val="Hyperlink"/>
            <w:rFonts w:asciiTheme="minorHAnsi" w:hAnsiTheme="minorHAnsi" w:cs="Arial"/>
            <w:b/>
            <w:bCs/>
            <w:i/>
            <w:iCs/>
            <w:sz w:val="20"/>
            <w:szCs w:val="20"/>
          </w:rPr>
          <w:t>Working Group on the use of mercenaries</w:t>
        </w:r>
        <w:r w:rsidRPr="00482C11">
          <w:rPr>
            <w:rStyle w:val="Hyperlink"/>
            <w:rFonts w:asciiTheme="minorHAnsi" w:hAnsiTheme="minorHAnsi" w:cs="Arial"/>
            <w:i/>
            <w:iCs/>
            <w:sz w:val="20"/>
            <w:szCs w:val="20"/>
          </w:rPr>
          <w:t xml:space="preserve"> </w:t>
        </w:r>
        <w:r w:rsidRPr="00482C11">
          <w:rPr>
            <w:rStyle w:val="Hyperlink"/>
            <w:rFonts w:asciiTheme="minorHAnsi" w:hAnsiTheme="minorHAnsi" w:cs="Arial"/>
            <w:b/>
            <w:bCs/>
            <w:i/>
            <w:iCs/>
            <w:sz w:val="20"/>
            <w:szCs w:val="20"/>
          </w:rPr>
          <w:t>as a means of violating human rights and impeding the exercise of the right of peoples to self-determination</w:t>
        </w:r>
      </w:hyperlink>
      <w:r w:rsidRPr="00482C11">
        <w:rPr>
          <w:rFonts w:asciiTheme="minorHAnsi" w:hAnsiTheme="minorHAnsi" w:cs="Arial"/>
          <w:i/>
          <w:iCs/>
          <w:sz w:val="20"/>
          <w:szCs w:val="20"/>
        </w:rPr>
        <w:t xml:space="preserve">; Pedro Arrojo Agudo, </w:t>
      </w:r>
      <w:hyperlink r:id="rId23" w:history="1">
        <w:r w:rsidRPr="00482C11">
          <w:rPr>
            <w:rStyle w:val="Hyperlink"/>
            <w:rFonts w:asciiTheme="minorHAnsi" w:hAnsiTheme="minorHAnsi" w:cs="Arial"/>
            <w:b/>
            <w:bCs/>
            <w:i/>
            <w:iCs/>
            <w:sz w:val="20"/>
            <w:szCs w:val="20"/>
          </w:rPr>
          <w:t>Special Rapporteur on the human rights to safe drinking water and sanitation</w:t>
        </w:r>
      </w:hyperlink>
      <w:r w:rsidRPr="00482C11">
        <w:rPr>
          <w:rFonts w:asciiTheme="minorHAnsi" w:hAnsiTheme="minorHAnsi" w:cs="Arial"/>
          <w:i/>
          <w:iCs/>
          <w:sz w:val="20"/>
          <w:szCs w:val="20"/>
        </w:rPr>
        <w:t xml:space="preserve">; Ian Fry, </w:t>
      </w:r>
      <w:hyperlink r:id="rId24" w:history="1">
        <w:r w:rsidRPr="00482C11">
          <w:rPr>
            <w:rStyle w:val="Hyperlink"/>
            <w:rFonts w:asciiTheme="minorHAnsi" w:hAnsiTheme="minorHAnsi" w:cs="Arial"/>
            <w:b/>
            <w:bCs/>
            <w:i/>
            <w:iCs/>
            <w:sz w:val="20"/>
            <w:szCs w:val="20"/>
          </w:rPr>
          <w:t>Special Rapporteur on the promotion and protection of human rights in the context of climate change</w:t>
        </w:r>
      </w:hyperlink>
      <w:r w:rsidRPr="00482C11">
        <w:rPr>
          <w:rFonts w:asciiTheme="minorHAnsi" w:hAnsiTheme="minorHAnsi" w:cs="Arial"/>
          <w:i/>
          <w:iCs/>
          <w:sz w:val="20"/>
          <w:szCs w:val="20"/>
        </w:rPr>
        <w:t xml:space="preserve">; Elżbieta Karska (Chair-Rapporteur), Fernanda Hopenhaym (Vice Chairperson), Anita Ramasastry, Pichamon Yeophantong, </w:t>
      </w:r>
      <w:hyperlink r:id="rId25" w:history="1">
        <w:r w:rsidRPr="00482C11">
          <w:rPr>
            <w:rStyle w:val="Hyperlink"/>
            <w:rFonts w:asciiTheme="minorHAnsi" w:hAnsiTheme="minorHAnsi" w:cs="Arial"/>
            <w:b/>
            <w:bCs/>
            <w:i/>
            <w:iCs/>
            <w:sz w:val="20"/>
            <w:szCs w:val="20"/>
          </w:rPr>
          <w:t>Working Group on Business and Human Rights</w:t>
        </w:r>
      </w:hyperlink>
      <w:r w:rsidRPr="00482C11">
        <w:rPr>
          <w:rFonts w:asciiTheme="minorHAnsi" w:hAnsiTheme="minorHAnsi" w:cs="Arial"/>
          <w:i/>
          <w:iCs/>
          <w:sz w:val="20"/>
          <w:szCs w:val="20"/>
        </w:rPr>
        <w:t xml:space="preserve">; Miriam Estrada-Castillo (Chair-Rapporteur), Mumba Malila (Vice-chairperson), Elina Steinerte, Priya Gopalan, Matthew Gillett, </w:t>
      </w:r>
      <w:hyperlink r:id="rId26" w:history="1">
        <w:r w:rsidRPr="00482C11">
          <w:rPr>
            <w:rStyle w:val="Hyperlink"/>
            <w:rFonts w:asciiTheme="minorHAnsi" w:hAnsiTheme="minorHAnsi" w:cs="Arial"/>
            <w:b/>
            <w:bCs/>
            <w:i/>
            <w:iCs/>
            <w:sz w:val="20"/>
            <w:szCs w:val="20"/>
          </w:rPr>
          <w:t>Working Group on arbitrary detention</w:t>
        </w:r>
      </w:hyperlink>
      <w:r w:rsidRPr="00482C11">
        <w:rPr>
          <w:rFonts w:asciiTheme="minorHAnsi" w:hAnsiTheme="minorHAnsi" w:cs="Arial"/>
          <w:i/>
          <w:iCs/>
          <w:sz w:val="20"/>
          <w:szCs w:val="20"/>
        </w:rPr>
        <w:t xml:space="preserve">; Alexandra Xanthaki, </w:t>
      </w:r>
      <w:hyperlink r:id="rId27" w:history="1">
        <w:r w:rsidRPr="00482C11">
          <w:rPr>
            <w:rStyle w:val="Hyperlink"/>
            <w:rFonts w:asciiTheme="minorHAnsi" w:hAnsiTheme="minorHAnsi" w:cs="Arial"/>
            <w:b/>
            <w:bCs/>
            <w:i/>
            <w:iCs/>
            <w:sz w:val="20"/>
            <w:szCs w:val="20"/>
          </w:rPr>
          <w:t>Special Rapporteur in the field of cultural rights</w:t>
        </w:r>
        <w:r w:rsidRPr="00482C11">
          <w:rPr>
            <w:rStyle w:val="Hyperlink"/>
            <w:rFonts w:asciiTheme="minorHAnsi" w:hAnsiTheme="minorHAnsi" w:cs="Arial"/>
            <w:i/>
            <w:iCs/>
            <w:sz w:val="20"/>
            <w:szCs w:val="20"/>
          </w:rPr>
          <w:t>;</w:t>
        </w:r>
      </w:hyperlink>
      <w:r w:rsidRPr="00482C11">
        <w:rPr>
          <w:rFonts w:asciiTheme="minorHAnsi" w:hAnsiTheme="minorHAnsi" w:cs="Arial"/>
          <w:i/>
          <w:iCs/>
          <w:sz w:val="20"/>
          <w:szCs w:val="20"/>
        </w:rPr>
        <w:t xml:space="preserve"> Siobhán Mullally, </w:t>
      </w:r>
      <w:hyperlink r:id="rId28" w:history="1">
        <w:r w:rsidRPr="00482C11">
          <w:rPr>
            <w:rStyle w:val="Hyperlink"/>
            <w:rFonts w:asciiTheme="minorHAnsi" w:hAnsiTheme="minorHAnsi" w:cs="Arial"/>
            <w:b/>
            <w:bCs/>
            <w:i/>
            <w:iCs/>
            <w:sz w:val="20"/>
            <w:szCs w:val="20"/>
          </w:rPr>
          <w:t>Special Rapporteur on trafficking in persons, especially women and children</w:t>
        </w:r>
      </w:hyperlink>
      <w:r w:rsidRPr="00482C11">
        <w:rPr>
          <w:rFonts w:asciiTheme="minorHAnsi" w:hAnsiTheme="minorHAnsi" w:cs="Arial"/>
          <w:i/>
          <w:iCs/>
          <w:sz w:val="20"/>
          <w:szCs w:val="20"/>
        </w:rPr>
        <w:t xml:space="preserve">; Francesca Albanese, </w:t>
      </w:r>
      <w:hyperlink r:id="rId29" w:history="1">
        <w:r w:rsidRPr="00482C11">
          <w:rPr>
            <w:rStyle w:val="Hyperlink"/>
            <w:rFonts w:asciiTheme="minorHAnsi" w:hAnsiTheme="minorHAnsi" w:cs="Arial"/>
            <w:b/>
            <w:bCs/>
            <w:i/>
            <w:iCs/>
            <w:sz w:val="20"/>
            <w:szCs w:val="20"/>
          </w:rPr>
          <w:t>Special Rapporteur on the situation of human rights in the Palestinian territory occupied since 1967</w:t>
        </w:r>
      </w:hyperlink>
      <w:r w:rsidRPr="00482C11">
        <w:rPr>
          <w:rFonts w:asciiTheme="minorHAnsi" w:hAnsiTheme="minorHAnsi" w:cs="Arial"/>
          <w:i/>
          <w:iCs/>
          <w:sz w:val="20"/>
          <w:szCs w:val="20"/>
        </w:rPr>
        <w:t xml:space="preserve">; Fernand de Varennes, </w:t>
      </w:r>
      <w:hyperlink r:id="rId30" w:history="1">
        <w:r w:rsidRPr="00482C11">
          <w:rPr>
            <w:rStyle w:val="Hyperlink"/>
            <w:rFonts w:asciiTheme="minorHAnsi" w:hAnsiTheme="minorHAnsi" w:cs="Arial"/>
            <w:b/>
            <w:bCs/>
            <w:i/>
            <w:iCs/>
            <w:sz w:val="20"/>
            <w:szCs w:val="20"/>
          </w:rPr>
          <w:t>Special Rapporteur on Minority Issues</w:t>
        </w:r>
      </w:hyperlink>
      <w:r w:rsidRPr="00482C11">
        <w:rPr>
          <w:rFonts w:asciiTheme="minorHAnsi" w:hAnsiTheme="minorHAnsi" w:cs="Arial"/>
          <w:i/>
          <w:iCs/>
          <w:sz w:val="20"/>
          <w:szCs w:val="20"/>
        </w:rPr>
        <w:t xml:space="preserve">; Melissa Upreti (Chair), Dorothy Estrada Tanck (Vice-Chair), Elizabeth Broderick, Ivana Radačić, Meskerem Geset Techane, </w:t>
      </w:r>
      <w:hyperlink r:id="rId31" w:history="1">
        <w:r w:rsidRPr="00482C11">
          <w:rPr>
            <w:rStyle w:val="Hyperlink"/>
            <w:rFonts w:asciiTheme="minorHAnsi" w:hAnsiTheme="minorHAnsi" w:cs="Arial"/>
            <w:b/>
            <w:bCs/>
            <w:i/>
            <w:iCs/>
            <w:sz w:val="20"/>
            <w:szCs w:val="20"/>
          </w:rPr>
          <w:t>Working Group on discrimination against women and girls</w:t>
        </w:r>
      </w:hyperlink>
      <w:r w:rsidRPr="00482C11">
        <w:rPr>
          <w:rFonts w:asciiTheme="minorHAnsi" w:hAnsiTheme="minorHAnsi" w:cs="Arial"/>
          <w:i/>
          <w:iCs/>
          <w:sz w:val="20"/>
          <w:szCs w:val="20"/>
        </w:rPr>
        <w:t xml:space="preserve">; Reem Alsalem, </w:t>
      </w:r>
      <w:hyperlink r:id="rId32" w:history="1">
        <w:r w:rsidRPr="00482C11">
          <w:rPr>
            <w:rStyle w:val="Hyperlink"/>
            <w:rFonts w:asciiTheme="minorHAnsi" w:hAnsiTheme="minorHAnsi" w:cs="Arial"/>
            <w:b/>
            <w:bCs/>
            <w:i/>
            <w:iCs/>
            <w:sz w:val="20"/>
            <w:szCs w:val="20"/>
          </w:rPr>
          <w:t>Special Rapporteur on violence against women</w:t>
        </w:r>
      </w:hyperlink>
      <w:r w:rsidRPr="00482C11">
        <w:rPr>
          <w:rFonts w:asciiTheme="minorHAnsi" w:hAnsiTheme="minorHAnsi" w:cs="Arial"/>
          <w:i/>
          <w:iCs/>
          <w:sz w:val="20"/>
          <w:szCs w:val="20"/>
        </w:rPr>
        <w:t xml:space="preserve">; Tlaleng Mofokeng, </w:t>
      </w:r>
      <w:hyperlink r:id="rId33" w:history="1">
        <w:r w:rsidRPr="00482C11">
          <w:rPr>
            <w:rStyle w:val="Hyperlink"/>
            <w:rFonts w:asciiTheme="minorHAnsi" w:hAnsiTheme="minorHAnsi" w:cs="Arial"/>
            <w:b/>
            <w:bCs/>
            <w:i/>
            <w:iCs/>
            <w:sz w:val="20"/>
            <w:szCs w:val="20"/>
          </w:rPr>
          <w:t>Special Rapporteur on the right of everyone to the enjoyment of the highest attainable standard of physical and mental health</w:t>
        </w:r>
      </w:hyperlink>
      <w:r w:rsidRPr="00482C11">
        <w:rPr>
          <w:rFonts w:asciiTheme="minorHAnsi" w:hAnsiTheme="minorHAnsi" w:cs="Arial"/>
          <w:i/>
          <w:iCs/>
          <w:sz w:val="20"/>
          <w:szCs w:val="20"/>
        </w:rPr>
        <w:t xml:space="preserve">; Gerard Quinn, </w:t>
      </w:r>
      <w:hyperlink r:id="rId34" w:history="1">
        <w:r w:rsidRPr="00482C11">
          <w:rPr>
            <w:rStyle w:val="Hyperlink"/>
            <w:rFonts w:asciiTheme="minorHAnsi" w:hAnsiTheme="minorHAnsi" w:cs="Arial"/>
            <w:b/>
            <w:bCs/>
            <w:i/>
            <w:iCs/>
            <w:sz w:val="20"/>
            <w:szCs w:val="20"/>
          </w:rPr>
          <w:t>Special Rapporteur on the rights of persons with disabilities</w:t>
        </w:r>
      </w:hyperlink>
      <w:r w:rsidRPr="00482C11">
        <w:rPr>
          <w:rFonts w:asciiTheme="minorHAnsi" w:hAnsiTheme="minorHAnsi" w:cs="Arial"/>
          <w:i/>
          <w:iCs/>
          <w:sz w:val="20"/>
          <w:szCs w:val="20"/>
        </w:rPr>
        <w:t xml:space="preserve">; Livingstone Sewanyana, </w:t>
      </w:r>
      <w:hyperlink r:id="rId35" w:history="1">
        <w:r w:rsidRPr="00482C11">
          <w:rPr>
            <w:rStyle w:val="Hyperlink"/>
            <w:rFonts w:asciiTheme="minorHAnsi" w:hAnsiTheme="minorHAnsi" w:cs="Arial"/>
            <w:b/>
            <w:bCs/>
            <w:i/>
            <w:iCs/>
            <w:sz w:val="20"/>
            <w:szCs w:val="20"/>
          </w:rPr>
          <w:t>Independent Expert on the promotion of a democratic and equitable international order</w:t>
        </w:r>
      </w:hyperlink>
      <w:r w:rsidRPr="00482C11">
        <w:rPr>
          <w:rFonts w:asciiTheme="minorHAnsi" w:hAnsiTheme="minorHAnsi" w:cs="Arial"/>
          <w:i/>
          <w:iCs/>
          <w:sz w:val="20"/>
          <w:szCs w:val="20"/>
        </w:rPr>
        <w:t xml:space="preserve">; Vitit Muntarbhorn, </w:t>
      </w:r>
      <w:hyperlink r:id="rId36" w:history="1">
        <w:r w:rsidRPr="00482C11">
          <w:rPr>
            <w:rStyle w:val="Hyperlink"/>
            <w:rFonts w:asciiTheme="minorHAnsi" w:hAnsiTheme="minorHAnsi" w:cs="Arial"/>
            <w:b/>
            <w:bCs/>
            <w:i/>
            <w:iCs/>
            <w:sz w:val="20"/>
            <w:szCs w:val="20"/>
          </w:rPr>
          <w:t>Special Rapporteur on the situation of human rights in Cambodia</w:t>
        </w:r>
      </w:hyperlink>
      <w:r w:rsidRPr="00482C11">
        <w:rPr>
          <w:rFonts w:asciiTheme="minorHAnsi" w:hAnsiTheme="minorHAnsi" w:cs="Arial"/>
          <w:i/>
          <w:iCs/>
          <w:sz w:val="20"/>
          <w:szCs w:val="20"/>
        </w:rPr>
        <w:t>.</w:t>
      </w:r>
    </w:p>
    <w:p w14:paraId="261BAF50" w14:textId="77777777" w:rsidR="00482C11" w:rsidRDefault="00482C11" w:rsidP="00482C11">
      <w:pPr>
        <w:jc w:val="both"/>
        <w:rPr>
          <w:rFonts w:asciiTheme="minorHAnsi" w:hAnsiTheme="minorHAnsi"/>
          <w:b/>
          <w:bCs/>
          <w:sz w:val="20"/>
          <w:szCs w:val="20"/>
        </w:rPr>
      </w:pPr>
    </w:p>
    <w:p w14:paraId="1DFA13F8" w14:textId="0DEBB216" w:rsidR="00482C11" w:rsidRPr="00482C11" w:rsidRDefault="00934596" w:rsidP="00482C11">
      <w:pPr>
        <w:jc w:val="both"/>
        <w:rPr>
          <w:rFonts w:asciiTheme="minorHAnsi" w:eastAsia="Times New Roman" w:hAnsiTheme="minorHAnsi" w:cs="Arial"/>
          <w:i/>
          <w:iCs/>
          <w:sz w:val="20"/>
          <w:szCs w:val="20"/>
          <w:lang w:val="en-US"/>
        </w:rPr>
      </w:pPr>
      <w:hyperlink r:id="rId37" w:history="1">
        <w:r w:rsidR="00482C11" w:rsidRPr="00482C11">
          <w:rPr>
            <w:rStyle w:val="Hyperlink"/>
            <w:rFonts w:asciiTheme="minorHAnsi" w:eastAsia="Times New Roman" w:hAnsiTheme="minorHAnsi" w:cs="Arial"/>
            <w:b/>
            <w:bCs/>
            <w:i/>
            <w:iCs/>
            <w:sz w:val="20"/>
            <w:szCs w:val="20"/>
            <w:lang w:val="en-US"/>
          </w:rPr>
          <w:t>Inter-American Commission on Human Rights</w:t>
        </w:r>
      </w:hyperlink>
      <w:r w:rsidR="00482C11" w:rsidRPr="00482C11">
        <w:rPr>
          <w:rFonts w:asciiTheme="minorHAnsi" w:eastAsia="Times New Roman" w:hAnsiTheme="minorHAnsi" w:cs="Arial"/>
          <w:b/>
          <w:bCs/>
          <w:i/>
          <w:iCs/>
          <w:sz w:val="20"/>
          <w:szCs w:val="20"/>
          <w:lang w:val="en-US"/>
        </w:rPr>
        <w:t xml:space="preserve"> (IACHR</w:t>
      </w:r>
      <w:r w:rsidR="00482C11" w:rsidRPr="00482C11">
        <w:rPr>
          <w:rFonts w:asciiTheme="minorHAnsi" w:eastAsia="Times New Roman" w:hAnsiTheme="minorHAnsi" w:cs="Arial"/>
          <w:i/>
          <w:iCs/>
          <w:sz w:val="20"/>
          <w:szCs w:val="20"/>
          <w:lang w:val="en-US"/>
        </w:rPr>
        <w:t>)</w:t>
      </w:r>
    </w:p>
    <w:p w14:paraId="3FDC65D4" w14:textId="4E1B1E5B" w:rsidR="00AF3D6D" w:rsidRPr="00482C11" w:rsidRDefault="00AF3D6D" w:rsidP="00482C11">
      <w:pPr>
        <w:jc w:val="both"/>
        <w:rPr>
          <w:rFonts w:asciiTheme="minorHAnsi" w:eastAsia="Times New Roman" w:hAnsiTheme="minorHAnsi" w:cs="Calibri"/>
          <w:sz w:val="20"/>
          <w:szCs w:val="20"/>
          <w:lang w:val="en-US"/>
        </w:rPr>
      </w:pPr>
    </w:p>
    <w:sectPr w:rsidR="00AF3D6D" w:rsidRPr="00482C11">
      <w:headerReference w:type="default" r:id="rId38"/>
      <w:footerReference w:type="default" r:id="rId39"/>
      <w:endnotePr>
        <w:numFmt w:val="decimal"/>
      </w:endnotePr>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C48FD" w14:textId="77777777" w:rsidR="002014EA" w:rsidRDefault="002014EA">
      <w:r>
        <w:separator/>
      </w:r>
    </w:p>
  </w:endnote>
  <w:endnote w:type="continuationSeparator" w:id="0">
    <w:p w14:paraId="6ADFF122" w14:textId="77777777" w:rsidR="002014EA" w:rsidRDefault="002014EA">
      <w:r>
        <w:continuationSeparator/>
      </w:r>
    </w:p>
  </w:endnote>
  <w:endnote w:type="continuationNotice" w:id="1">
    <w:p w14:paraId="2CA19A5F" w14:textId="77777777" w:rsidR="002014EA" w:rsidRDefault="00201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846B" w14:textId="7BCBE752" w:rsidR="00736616" w:rsidRDefault="008F1809" w:rsidP="00031E96">
    <w:pPr>
      <w:pStyle w:val="Footer"/>
      <w:tabs>
        <w:tab w:val="clear" w:pos="4513"/>
        <w:tab w:val="clear" w:pos="9026"/>
        <w:tab w:val="right" w:pos="4449"/>
      </w:tabs>
      <w:rPr>
        <w:sz w:val="22"/>
        <w:szCs w:val="22"/>
      </w:rPr>
    </w:pPr>
    <w:r>
      <w:rPr>
        <w:noProof/>
        <w:lang w:eastAsia="en-GB"/>
      </w:rPr>
      <mc:AlternateContent>
        <mc:Choice Requires="wps">
          <w:drawing>
            <wp:anchor distT="0" distB="0" distL="0" distR="0" simplePos="0" relativeHeight="251658241" behindDoc="0" locked="0" layoutInCell="0" hidden="0" allowOverlap="1" wp14:anchorId="24F7B540" wp14:editId="4DF126ED">
              <wp:simplePos x="0" y="0"/>
              <wp:positionH relativeFrom="margin">
                <wp:align>center</wp:align>
              </wp:positionH>
              <wp:positionV relativeFrom="paragraph">
                <wp:posOffset>635</wp:posOffset>
              </wp:positionV>
              <wp:extent cx="114300" cy="154940"/>
              <wp:effectExtent l="0" t="0" r="0" b="0"/>
              <wp:wrapSquare wrapText="bothSides"/>
              <wp:docPr id="1" name="Textbox 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SMDATA_12_a4twY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JDiAAAgAAAAAAAAAAIAAAABAAAAAAAAAAAAAAACAAAAAQAAALQAAAD0AAAAAAAAAOQWAAD4PQAAKAAAAAgAAAADAAAAAwAAAA=="/>
                        </a:ext>
                      </a:extLst>
                    </wps:cNvSpPr>
                    <wps:spPr>
                      <a:xfrm>
                        <a:off x="0" y="0"/>
                        <a:ext cx="114300" cy="154940"/>
                      </a:xfrm>
                      <a:prstGeom prst="rect">
                        <a:avLst/>
                      </a:prstGeom>
                      <a:noFill/>
                      <a:ln w="12700">
                        <a:noFill/>
                      </a:ln>
                    </wps:spPr>
                    <wps:txbx>
                      <w:txbxContent>
                        <w:p w14:paraId="68281A7E" w14:textId="125DD6EB" w:rsidR="00736616" w:rsidRDefault="008F1809">
                          <w:pPr>
                            <w:pStyle w:val="Footer"/>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34596">
                            <w:rPr>
                              <w:rStyle w:val="PageNumber"/>
                              <w:noProof/>
                              <w:sz w:val="20"/>
                              <w:szCs w:val="20"/>
                            </w:rPr>
                            <w:t>1</w:t>
                          </w:r>
                          <w:r>
                            <w:rPr>
                              <w:rStyle w:val="PageNumber"/>
                              <w:sz w:val="20"/>
                              <w:szCs w:val="20"/>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rect w14:anchorId="24F7B540" id="Textbox 2" o:spid="_x0000_s1026" style="position:absolute;margin-left:0;margin-top:.05pt;width:9pt;height:12.2pt;z-index:251658241;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" o:allowincell="f" filled="f" stroked="f" strokeweight="1pt">
              <v:textbox style="mso-fit-shape-to-text:t" inset="0,0,0,0">
                <w:txbxContent>
                  <w:p w14:paraId="68281A7E" w14:textId="125DD6EB" w:rsidR="00736616" w:rsidRDefault="008F1809">
                    <w:pPr>
                      <w:pStyle w:val="Footer"/>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34596">
                      <w:rPr>
                        <w:rStyle w:val="PageNumber"/>
                        <w:noProof/>
                        <w:sz w:val="20"/>
                        <w:szCs w:val="20"/>
                      </w:rPr>
                      <w:t>1</w:t>
                    </w:r>
                    <w:r>
                      <w:rPr>
                        <w:rStyle w:val="PageNumber"/>
                        <w:sz w:val="20"/>
                        <w:szCs w:val="2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F8F96" w14:textId="77777777" w:rsidR="002014EA" w:rsidRDefault="002014EA">
      <w:r>
        <w:separator/>
      </w:r>
    </w:p>
  </w:footnote>
  <w:footnote w:type="continuationSeparator" w:id="0">
    <w:p w14:paraId="06DE1403" w14:textId="77777777" w:rsidR="002014EA" w:rsidRDefault="002014EA">
      <w:r>
        <w:continuationSeparator/>
      </w:r>
    </w:p>
  </w:footnote>
  <w:footnote w:type="continuationNotice" w:id="1">
    <w:p w14:paraId="250E6C9D" w14:textId="77777777" w:rsidR="002014EA" w:rsidRDefault="002014EA"/>
  </w:footnote>
  <w:footnote w:id="2">
    <w:p w14:paraId="6A3FEAA3" w14:textId="77777777" w:rsidR="002C59F0" w:rsidRDefault="002C59F0" w:rsidP="002C59F0">
      <w:pPr>
        <w:pStyle w:val="NormalWeb"/>
        <w:rPr>
          <w:sz w:val="16"/>
          <w:szCs w:val="16"/>
        </w:rPr>
      </w:pPr>
      <w:r>
        <w:rPr>
          <w:rStyle w:val="FootnoteReference"/>
          <w:rFonts w:ascii="Calibri" w:hAnsi="Calibri"/>
          <w:sz w:val="16"/>
          <w:szCs w:val="16"/>
        </w:rPr>
        <w:footnoteRef/>
      </w:r>
      <w:r>
        <w:rPr>
          <w:rFonts w:ascii="Calibri" w:hAnsi="Calibri"/>
          <w:sz w:val="16"/>
          <w:szCs w:val="16"/>
        </w:rPr>
        <w:t xml:space="preserve"> </w:t>
      </w:r>
      <w:r>
        <w:rPr>
          <w:rFonts w:ascii="Calibri" w:hAnsi="Calibri" w:cs="Calibri"/>
          <w:sz w:val="16"/>
          <w:szCs w:val="16"/>
        </w:rPr>
        <w:t xml:space="preserve">UNHCR, </w:t>
      </w:r>
      <w:r>
        <w:rPr>
          <w:rFonts w:ascii="Calibri" w:hAnsi="Calibri" w:cs="Calibri"/>
          <w:i/>
          <w:iCs/>
          <w:sz w:val="16"/>
          <w:szCs w:val="16"/>
        </w:rPr>
        <w:t>Guidelines on International Protection No. 9: Claims to Refugee Status based on Sexual Orientation and/or Gender Identity within the context of Article 1A(2) of the 1951 Convention and/or its 1967 Protocol relating to the Status of Refugees</w:t>
      </w:r>
      <w:r>
        <w:rPr>
          <w:rFonts w:ascii="Calibri" w:hAnsi="Calibri" w:cs="Calibri"/>
          <w:sz w:val="16"/>
          <w:szCs w:val="16"/>
        </w:rPr>
        <w:t xml:space="preserve">, 23 October 2012, HCR/GIP/12/01. </w:t>
      </w:r>
      <w:r>
        <w:rPr>
          <w:rFonts w:ascii="Calibri" w:hAnsi="Calibri" w:cs="Calibri"/>
          <w:color w:val="0260BF"/>
          <w:sz w:val="16"/>
          <w:szCs w:val="16"/>
        </w:rPr>
        <w:t>https://www.refworld.org/docid/50348afc2.html</w:t>
      </w:r>
    </w:p>
    <w:p w14:paraId="31195FFC" w14:textId="77777777" w:rsidR="002C59F0" w:rsidRDefault="002C59F0" w:rsidP="002C59F0">
      <w:pPr>
        <w:pStyle w:val="FootnoteText"/>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EFCE" w14:textId="49610E63" w:rsidR="00736616" w:rsidRDefault="00CD2C30">
    <w:pPr>
      <w:jc w:val="center"/>
      <w:rPr>
        <w:color w:val="000000"/>
        <w:sz w:val="20"/>
        <w:szCs w:val="20"/>
        <w:lang w:val="en-US"/>
      </w:rPr>
    </w:pPr>
    <w:r>
      <w:rPr>
        <w:noProof/>
        <w:color w:val="000000"/>
        <w:sz w:val="20"/>
        <w:szCs w:val="20"/>
        <w:lang w:eastAsia="en-GB"/>
      </w:rPr>
      <w:drawing>
        <wp:inline distT="0" distB="0" distL="0" distR="0" wp14:anchorId="2B71C355" wp14:editId="549A14F3">
          <wp:extent cx="2393950" cy="103905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5187" cy="1048277"/>
                  </a:xfrm>
                  <a:prstGeom prst="rect">
                    <a:avLst/>
                  </a:prstGeom>
                </pic:spPr>
              </pic:pic>
            </a:graphicData>
          </a:graphic>
        </wp:inline>
      </w:drawing>
    </w:r>
  </w:p>
  <w:p w14:paraId="0417A06F" w14:textId="77777777" w:rsidR="00736616" w:rsidRDefault="0073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63E"/>
    <w:multiLevelType w:val="hybridMultilevel"/>
    <w:tmpl w:val="DE786112"/>
    <w:lvl w:ilvl="0" w:tplc="725478AC">
      <w:numFmt w:val="none"/>
      <w:lvlText w:val=""/>
      <w:lvlJc w:val="left"/>
      <w:pPr>
        <w:tabs>
          <w:tab w:val="num" w:pos="360"/>
        </w:tabs>
        <w:ind w:left="360" w:hanging="360"/>
      </w:pPr>
    </w:lvl>
    <w:lvl w:ilvl="1" w:tplc="CEA41D9A">
      <w:numFmt w:val="none"/>
      <w:lvlText w:val=""/>
      <w:lvlJc w:val="left"/>
      <w:pPr>
        <w:tabs>
          <w:tab w:val="num" w:pos="360"/>
        </w:tabs>
        <w:ind w:left="360" w:hanging="360"/>
      </w:pPr>
    </w:lvl>
    <w:lvl w:ilvl="2" w:tplc="059A2ED8">
      <w:numFmt w:val="none"/>
      <w:lvlText w:val=""/>
      <w:lvlJc w:val="left"/>
      <w:pPr>
        <w:tabs>
          <w:tab w:val="num" w:pos="360"/>
        </w:tabs>
        <w:ind w:left="360" w:hanging="360"/>
      </w:pPr>
    </w:lvl>
    <w:lvl w:ilvl="3" w:tplc="843EAF90">
      <w:numFmt w:val="none"/>
      <w:lvlText w:val=""/>
      <w:lvlJc w:val="left"/>
      <w:pPr>
        <w:tabs>
          <w:tab w:val="num" w:pos="360"/>
        </w:tabs>
        <w:ind w:left="360" w:hanging="360"/>
      </w:pPr>
    </w:lvl>
    <w:lvl w:ilvl="4" w:tplc="C3669BF6">
      <w:numFmt w:val="none"/>
      <w:lvlText w:val=""/>
      <w:lvlJc w:val="left"/>
      <w:pPr>
        <w:tabs>
          <w:tab w:val="num" w:pos="360"/>
        </w:tabs>
        <w:ind w:left="360" w:hanging="360"/>
      </w:pPr>
    </w:lvl>
    <w:lvl w:ilvl="5" w:tplc="B1129B66">
      <w:numFmt w:val="none"/>
      <w:lvlText w:val=""/>
      <w:lvlJc w:val="left"/>
      <w:pPr>
        <w:tabs>
          <w:tab w:val="num" w:pos="360"/>
        </w:tabs>
        <w:ind w:left="360" w:hanging="360"/>
      </w:pPr>
    </w:lvl>
    <w:lvl w:ilvl="6" w:tplc="17CA1908">
      <w:numFmt w:val="none"/>
      <w:lvlText w:val=""/>
      <w:lvlJc w:val="left"/>
      <w:pPr>
        <w:tabs>
          <w:tab w:val="num" w:pos="360"/>
        </w:tabs>
        <w:ind w:left="360" w:hanging="360"/>
      </w:pPr>
    </w:lvl>
    <w:lvl w:ilvl="7" w:tplc="9008004C">
      <w:numFmt w:val="none"/>
      <w:lvlText w:val=""/>
      <w:lvlJc w:val="left"/>
      <w:pPr>
        <w:tabs>
          <w:tab w:val="num" w:pos="360"/>
        </w:tabs>
        <w:ind w:left="360" w:hanging="360"/>
      </w:pPr>
    </w:lvl>
    <w:lvl w:ilvl="8" w:tplc="C10EE0D4">
      <w:numFmt w:val="none"/>
      <w:lvlText w:val=""/>
      <w:lvlJc w:val="left"/>
      <w:pPr>
        <w:tabs>
          <w:tab w:val="num" w:pos="360"/>
        </w:tabs>
        <w:ind w:left="360" w:hanging="360"/>
      </w:pPr>
    </w:lvl>
  </w:abstractNum>
  <w:abstractNum w:abstractNumId="1" w15:restartNumberingAfterBreak="0">
    <w:nsid w:val="1CBE59D3"/>
    <w:multiLevelType w:val="hybridMultilevel"/>
    <w:tmpl w:val="58CE347C"/>
    <w:lvl w:ilvl="0" w:tplc="DD9E9276">
      <w:numFmt w:val="none"/>
      <w:lvlText w:val=""/>
      <w:lvlJc w:val="left"/>
      <w:pPr>
        <w:tabs>
          <w:tab w:val="num" w:pos="360"/>
        </w:tabs>
        <w:ind w:left="360" w:hanging="360"/>
      </w:pPr>
    </w:lvl>
    <w:lvl w:ilvl="1" w:tplc="600C10D6">
      <w:numFmt w:val="none"/>
      <w:lvlText w:val=""/>
      <w:lvlJc w:val="left"/>
      <w:pPr>
        <w:tabs>
          <w:tab w:val="num" w:pos="360"/>
        </w:tabs>
        <w:ind w:left="360" w:hanging="360"/>
      </w:pPr>
    </w:lvl>
    <w:lvl w:ilvl="2" w:tplc="3F3A0AE6">
      <w:numFmt w:val="none"/>
      <w:lvlText w:val=""/>
      <w:lvlJc w:val="left"/>
      <w:pPr>
        <w:tabs>
          <w:tab w:val="num" w:pos="360"/>
        </w:tabs>
        <w:ind w:left="360" w:hanging="360"/>
      </w:pPr>
    </w:lvl>
    <w:lvl w:ilvl="3" w:tplc="5C4412B4">
      <w:numFmt w:val="none"/>
      <w:lvlText w:val=""/>
      <w:lvlJc w:val="left"/>
      <w:pPr>
        <w:tabs>
          <w:tab w:val="num" w:pos="360"/>
        </w:tabs>
        <w:ind w:left="360" w:hanging="360"/>
      </w:pPr>
    </w:lvl>
    <w:lvl w:ilvl="4" w:tplc="FFFCFB7E">
      <w:numFmt w:val="none"/>
      <w:lvlText w:val=""/>
      <w:lvlJc w:val="left"/>
      <w:pPr>
        <w:tabs>
          <w:tab w:val="num" w:pos="360"/>
        </w:tabs>
        <w:ind w:left="360" w:hanging="360"/>
      </w:pPr>
    </w:lvl>
    <w:lvl w:ilvl="5" w:tplc="993ACCE2">
      <w:numFmt w:val="none"/>
      <w:lvlText w:val=""/>
      <w:lvlJc w:val="left"/>
      <w:pPr>
        <w:tabs>
          <w:tab w:val="num" w:pos="360"/>
        </w:tabs>
        <w:ind w:left="360" w:hanging="360"/>
      </w:pPr>
    </w:lvl>
    <w:lvl w:ilvl="6" w:tplc="831E97F2">
      <w:numFmt w:val="none"/>
      <w:lvlText w:val=""/>
      <w:lvlJc w:val="left"/>
      <w:pPr>
        <w:tabs>
          <w:tab w:val="num" w:pos="360"/>
        </w:tabs>
        <w:ind w:left="360" w:hanging="360"/>
      </w:pPr>
    </w:lvl>
    <w:lvl w:ilvl="7" w:tplc="A4E2DB44">
      <w:numFmt w:val="none"/>
      <w:lvlText w:val=""/>
      <w:lvlJc w:val="left"/>
      <w:pPr>
        <w:tabs>
          <w:tab w:val="num" w:pos="360"/>
        </w:tabs>
        <w:ind w:left="360" w:hanging="360"/>
      </w:pPr>
    </w:lvl>
    <w:lvl w:ilvl="8" w:tplc="680878F4">
      <w:numFmt w:val="none"/>
      <w:lvlText w:val=""/>
      <w:lvlJc w:val="left"/>
      <w:pPr>
        <w:tabs>
          <w:tab w:val="num" w:pos="360"/>
        </w:tabs>
        <w:ind w:left="360" w:hanging="360"/>
      </w:pPr>
    </w:lvl>
  </w:abstractNum>
  <w:abstractNum w:abstractNumId="2" w15:restartNumberingAfterBreak="0">
    <w:nsid w:val="240D4476"/>
    <w:multiLevelType w:val="hybridMultilevel"/>
    <w:tmpl w:val="60A656CE"/>
    <w:lvl w:ilvl="0" w:tplc="7F1A901A">
      <w:numFmt w:val="none"/>
      <w:lvlText w:val=""/>
      <w:lvlJc w:val="left"/>
      <w:pPr>
        <w:tabs>
          <w:tab w:val="num" w:pos="360"/>
        </w:tabs>
        <w:ind w:left="360" w:hanging="360"/>
      </w:pPr>
    </w:lvl>
    <w:lvl w:ilvl="1" w:tplc="ACE2C80A">
      <w:numFmt w:val="none"/>
      <w:lvlText w:val=""/>
      <w:lvlJc w:val="left"/>
      <w:pPr>
        <w:tabs>
          <w:tab w:val="num" w:pos="360"/>
        </w:tabs>
        <w:ind w:left="360" w:hanging="360"/>
      </w:pPr>
    </w:lvl>
    <w:lvl w:ilvl="2" w:tplc="E2AC5E38">
      <w:numFmt w:val="none"/>
      <w:lvlText w:val=""/>
      <w:lvlJc w:val="left"/>
      <w:pPr>
        <w:tabs>
          <w:tab w:val="num" w:pos="360"/>
        </w:tabs>
        <w:ind w:left="360" w:hanging="360"/>
      </w:pPr>
    </w:lvl>
    <w:lvl w:ilvl="3" w:tplc="14126C60">
      <w:numFmt w:val="none"/>
      <w:lvlText w:val=""/>
      <w:lvlJc w:val="left"/>
      <w:pPr>
        <w:tabs>
          <w:tab w:val="num" w:pos="360"/>
        </w:tabs>
        <w:ind w:left="360" w:hanging="360"/>
      </w:pPr>
    </w:lvl>
    <w:lvl w:ilvl="4" w:tplc="3E7A268A">
      <w:numFmt w:val="none"/>
      <w:lvlText w:val=""/>
      <w:lvlJc w:val="left"/>
      <w:pPr>
        <w:tabs>
          <w:tab w:val="num" w:pos="360"/>
        </w:tabs>
        <w:ind w:left="360" w:hanging="360"/>
      </w:pPr>
    </w:lvl>
    <w:lvl w:ilvl="5" w:tplc="FF4C8FC4">
      <w:numFmt w:val="none"/>
      <w:lvlText w:val=""/>
      <w:lvlJc w:val="left"/>
      <w:pPr>
        <w:tabs>
          <w:tab w:val="num" w:pos="360"/>
        </w:tabs>
        <w:ind w:left="360" w:hanging="360"/>
      </w:pPr>
    </w:lvl>
    <w:lvl w:ilvl="6" w:tplc="EA3CBA82">
      <w:numFmt w:val="none"/>
      <w:lvlText w:val=""/>
      <w:lvlJc w:val="left"/>
      <w:pPr>
        <w:tabs>
          <w:tab w:val="num" w:pos="360"/>
        </w:tabs>
        <w:ind w:left="360" w:hanging="360"/>
      </w:pPr>
    </w:lvl>
    <w:lvl w:ilvl="7" w:tplc="7F0A405A">
      <w:numFmt w:val="none"/>
      <w:lvlText w:val=""/>
      <w:lvlJc w:val="left"/>
      <w:pPr>
        <w:tabs>
          <w:tab w:val="num" w:pos="360"/>
        </w:tabs>
        <w:ind w:left="360" w:hanging="360"/>
      </w:pPr>
    </w:lvl>
    <w:lvl w:ilvl="8" w:tplc="192289C6">
      <w:numFmt w:val="none"/>
      <w:lvlText w:val=""/>
      <w:lvlJc w:val="left"/>
      <w:pPr>
        <w:tabs>
          <w:tab w:val="num" w:pos="360"/>
        </w:tabs>
        <w:ind w:left="360" w:hanging="360"/>
      </w:pPr>
    </w:lvl>
  </w:abstractNum>
  <w:abstractNum w:abstractNumId="3" w15:restartNumberingAfterBreak="0">
    <w:nsid w:val="2B72794F"/>
    <w:multiLevelType w:val="hybridMultilevel"/>
    <w:tmpl w:val="5B2CFEC2"/>
    <w:lvl w:ilvl="0" w:tplc="0DAA794A">
      <w:numFmt w:val="none"/>
      <w:lvlText w:val=""/>
      <w:lvlJc w:val="left"/>
      <w:pPr>
        <w:tabs>
          <w:tab w:val="num" w:pos="360"/>
        </w:tabs>
        <w:ind w:left="360" w:hanging="360"/>
      </w:pPr>
    </w:lvl>
    <w:lvl w:ilvl="1" w:tplc="703E6E4E">
      <w:numFmt w:val="none"/>
      <w:lvlText w:val=""/>
      <w:lvlJc w:val="left"/>
      <w:pPr>
        <w:tabs>
          <w:tab w:val="num" w:pos="360"/>
        </w:tabs>
        <w:ind w:left="360" w:hanging="360"/>
      </w:pPr>
    </w:lvl>
    <w:lvl w:ilvl="2" w:tplc="3AF4FF60">
      <w:numFmt w:val="none"/>
      <w:lvlText w:val=""/>
      <w:lvlJc w:val="left"/>
      <w:pPr>
        <w:tabs>
          <w:tab w:val="num" w:pos="360"/>
        </w:tabs>
        <w:ind w:left="360" w:hanging="360"/>
      </w:pPr>
    </w:lvl>
    <w:lvl w:ilvl="3" w:tplc="8ACA00AE">
      <w:numFmt w:val="none"/>
      <w:lvlText w:val=""/>
      <w:lvlJc w:val="left"/>
      <w:pPr>
        <w:tabs>
          <w:tab w:val="num" w:pos="360"/>
        </w:tabs>
        <w:ind w:left="360" w:hanging="360"/>
      </w:pPr>
    </w:lvl>
    <w:lvl w:ilvl="4" w:tplc="7C6C97BC">
      <w:numFmt w:val="none"/>
      <w:lvlText w:val=""/>
      <w:lvlJc w:val="left"/>
      <w:pPr>
        <w:tabs>
          <w:tab w:val="num" w:pos="360"/>
        </w:tabs>
        <w:ind w:left="360" w:hanging="360"/>
      </w:pPr>
    </w:lvl>
    <w:lvl w:ilvl="5" w:tplc="836ADBDE">
      <w:numFmt w:val="none"/>
      <w:lvlText w:val=""/>
      <w:lvlJc w:val="left"/>
      <w:pPr>
        <w:tabs>
          <w:tab w:val="num" w:pos="360"/>
        </w:tabs>
        <w:ind w:left="360" w:hanging="360"/>
      </w:pPr>
    </w:lvl>
    <w:lvl w:ilvl="6" w:tplc="86328C72">
      <w:numFmt w:val="none"/>
      <w:lvlText w:val=""/>
      <w:lvlJc w:val="left"/>
      <w:pPr>
        <w:tabs>
          <w:tab w:val="num" w:pos="360"/>
        </w:tabs>
        <w:ind w:left="360" w:hanging="360"/>
      </w:pPr>
    </w:lvl>
    <w:lvl w:ilvl="7" w:tplc="93B07278">
      <w:numFmt w:val="none"/>
      <w:lvlText w:val=""/>
      <w:lvlJc w:val="left"/>
      <w:pPr>
        <w:tabs>
          <w:tab w:val="num" w:pos="360"/>
        </w:tabs>
        <w:ind w:left="360" w:hanging="360"/>
      </w:pPr>
    </w:lvl>
    <w:lvl w:ilvl="8" w:tplc="BF5E058A">
      <w:numFmt w:val="none"/>
      <w:lvlText w:val=""/>
      <w:lvlJc w:val="left"/>
      <w:pPr>
        <w:tabs>
          <w:tab w:val="num" w:pos="360"/>
        </w:tabs>
        <w:ind w:left="360" w:hanging="360"/>
      </w:pPr>
    </w:lvl>
  </w:abstractNum>
  <w:abstractNum w:abstractNumId="4" w15:restartNumberingAfterBreak="0">
    <w:nsid w:val="309A4A52"/>
    <w:multiLevelType w:val="hybridMultilevel"/>
    <w:tmpl w:val="D69231E4"/>
    <w:lvl w:ilvl="0" w:tplc="704A51AC">
      <w:numFmt w:val="none"/>
      <w:lvlText w:val=""/>
      <w:lvlJc w:val="left"/>
      <w:pPr>
        <w:tabs>
          <w:tab w:val="num" w:pos="360"/>
        </w:tabs>
        <w:ind w:left="360" w:hanging="360"/>
      </w:pPr>
    </w:lvl>
    <w:lvl w:ilvl="1" w:tplc="97E234CA">
      <w:numFmt w:val="none"/>
      <w:lvlText w:val=""/>
      <w:lvlJc w:val="left"/>
      <w:pPr>
        <w:tabs>
          <w:tab w:val="num" w:pos="360"/>
        </w:tabs>
        <w:ind w:left="360" w:hanging="360"/>
      </w:pPr>
    </w:lvl>
    <w:lvl w:ilvl="2" w:tplc="AFF85216">
      <w:numFmt w:val="none"/>
      <w:lvlText w:val=""/>
      <w:lvlJc w:val="left"/>
      <w:pPr>
        <w:tabs>
          <w:tab w:val="num" w:pos="360"/>
        </w:tabs>
        <w:ind w:left="360" w:hanging="360"/>
      </w:pPr>
    </w:lvl>
    <w:lvl w:ilvl="3" w:tplc="ADDC5B5E">
      <w:numFmt w:val="none"/>
      <w:lvlText w:val=""/>
      <w:lvlJc w:val="left"/>
      <w:pPr>
        <w:tabs>
          <w:tab w:val="num" w:pos="360"/>
        </w:tabs>
        <w:ind w:left="360" w:hanging="360"/>
      </w:pPr>
    </w:lvl>
    <w:lvl w:ilvl="4" w:tplc="76E0CD70">
      <w:numFmt w:val="none"/>
      <w:lvlText w:val=""/>
      <w:lvlJc w:val="left"/>
      <w:pPr>
        <w:tabs>
          <w:tab w:val="num" w:pos="360"/>
        </w:tabs>
        <w:ind w:left="360" w:hanging="360"/>
      </w:pPr>
    </w:lvl>
    <w:lvl w:ilvl="5" w:tplc="CBBED83C">
      <w:numFmt w:val="none"/>
      <w:lvlText w:val=""/>
      <w:lvlJc w:val="left"/>
      <w:pPr>
        <w:tabs>
          <w:tab w:val="num" w:pos="360"/>
        </w:tabs>
        <w:ind w:left="360" w:hanging="360"/>
      </w:pPr>
    </w:lvl>
    <w:lvl w:ilvl="6" w:tplc="F34080DA">
      <w:numFmt w:val="none"/>
      <w:lvlText w:val=""/>
      <w:lvlJc w:val="left"/>
      <w:pPr>
        <w:tabs>
          <w:tab w:val="num" w:pos="360"/>
        </w:tabs>
        <w:ind w:left="360" w:hanging="360"/>
      </w:pPr>
    </w:lvl>
    <w:lvl w:ilvl="7" w:tplc="93B4FE88">
      <w:numFmt w:val="none"/>
      <w:lvlText w:val=""/>
      <w:lvlJc w:val="left"/>
      <w:pPr>
        <w:tabs>
          <w:tab w:val="num" w:pos="360"/>
        </w:tabs>
        <w:ind w:left="360" w:hanging="360"/>
      </w:pPr>
    </w:lvl>
    <w:lvl w:ilvl="8" w:tplc="35C67CFC">
      <w:numFmt w:val="none"/>
      <w:lvlText w:val=""/>
      <w:lvlJc w:val="left"/>
      <w:pPr>
        <w:tabs>
          <w:tab w:val="num" w:pos="360"/>
        </w:tabs>
        <w:ind w:left="360" w:hanging="360"/>
      </w:pPr>
    </w:lvl>
  </w:abstractNum>
  <w:abstractNum w:abstractNumId="5" w15:restartNumberingAfterBreak="0">
    <w:nsid w:val="41313151"/>
    <w:multiLevelType w:val="hybridMultilevel"/>
    <w:tmpl w:val="BBDA2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027639"/>
    <w:multiLevelType w:val="hybridMultilevel"/>
    <w:tmpl w:val="73564476"/>
    <w:lvl w:ilvl="0" w:tplc="AE020646">
      <w:numFmt w:val="none"/>
      <w:lvlText w:val=""/>
      <w:lvlJc w:val="left"/>
      <w:pPr>
        <w:tabs>
          <w:tab w:val="num" w:pos="360"/>
        </w:tabs>
        <w:ind w:left="360" w:hanging="360"/>
      </w:pPr>
    </w:lvl>
    <w:lvl w:ilvl="1" w:tplc="25D49526">
      <w:numFmt w:val="none"/>
      <w:lvlText w:val=""/>
      <w:lvlJc w:val="left"/>
      <w:pPr>
        <w:tabs>
          <w:tab w:val="num" w:pos="360"/>
        </w:tabs>
        <w:ind w:left="360" w:hanging="360"/>
      </w:pPr>
    </w:lvl>
    <w:lvl w:ilvl="2" w:tplc="4F00450A">
      <w:numFmt w:val="none"/>
      <w:lvlText w:val=""/>
      <w:lvlJc w:val="left"/>
      <w:pPr>
        <w:tabs>
          <w:tab w:val="num" w:pos="360"/>
        </w:tabs>
        <w:ind w:left="360" w:hanging="360"/>
      </w:pPr>
    </w:lvl>
    <w:lvl w:ilvl="3" w:tplc="20141F68">
      <w:numFmt w:val="none"/>
      <w:lvlText w:val=""/>
      <w:lvlJc w:val="left"/>
      <w:pPr>
        <w:tabs>
          <w:tab w:val="num" w:pos="360"/>
        </w:tabs>
        <w:ind w:left="360" w:hanging="360"/>
      </w:pPr>
    </w:lvl>
    <w:lvl w:ilvl="4" w:tplc="328A689C">
      <w:numFmt w:val="none"/>
      <w:lvlText w:val=""/>
      <w:lvlJc w:val="left"/>
      <w:pPr>
        <w:tabs>
          <w:tab w:val="num" w:pos="360"/>
        </w:tabs>
        <w:ind w:left="360" w:hanging="360"/>
      </w:pPr>
    </w:lvl>
    <w:lvl w:ilvl="5" w:tplc="A2D42CCE">
      <w:numFmt w:val="none"/>
      <w:lvlText w:val=""/>
      <w:lvlJc w:val="left"/>
      <w:pPr>
        <w:tabs>
          <w:tab w:val="num" w:pos="360"/>
        </w:tabs>
        <w:ind w:left="360" w:hanging="360"/>
      </w:pPr>
    </w:lvl>
    <w:lvl w:ilvl="6" w:tplc="5D469EFC">
      <w:numFmt w:val="none"/>
      <w:lvlText w:val=""/>
      <w:lvlJc w:val="left"/>
      <w:pPr>
        <w:tabs>
          <w:tab w:val="num" w:pos="360"/>
        </w:tabs>
        <w:ind w:left="360" w:hanging="360"/>
      </w:pPr>
    </w:lvl>
    <w:lvl w:ilvl="7" w:tplc="CA1653A4">
      <w:numFmt w:val="none"/>
      <w:lvlText w:val=""/>
      <w:lvlJc w:val="left"/>
      <w:pPr>
        <w:tabs>
          <w:tab w:val="num" w:pos="360"/>
        </w:tabs>
        <w:ind w:left="360" w:hanging="360"/>
      </w:pPr>
    </w:lvl>
    <w:lvl w:ilvl="8" w:tplc="48648110">
      <w:numFmt w:val="none"/>
      <w:lvlText w:val=""/>
      <w:lvlJc w:val="left"/>
      <w:pPr>
        <w:tabs>
          <w:tab w:val="num" w:pos="360"/>
        </w:tabs>
        <w:ind w:left="360" w:hanging="360"/>
      </w:pPr>
    </w:lvl>
  </w:abstractNum>
  <w:abstractNum w:abstractNumId="7" w15:restartNumberingAfterBreak="0">
    <w:nsid w:val="510D1C32"/>
    <w:multiLevelType w:val="hybridMultilevel"/>
    <w:tmpl w:val="A2C4CB50"/>
    <w:lvl w:ilvl="0" w:tplc="60D6540E">
      <w:numFmt w:val="none"/>
      <w:lvlText w:val=""/>
      <w:lvlJc w:val="left"/>
      <w:pPr>
        <w:tabs>
          <w:tab w:val="num" w:pos="360"/>
        </w:tabs>
        <w:ind w:left="360" w:hanging="360"/>
      </w:pPr>
    </w:lvl>
    <w:lvl w:ilvl="1" w:tplc="366E6128">
      <w:numFmt w:val="none"/>
      <w:lvlText w:val=""/>
      <w:lvlJc w:val="left"/>
      <w:pPr>
        <w:tabs>
          <w:tab w:val="num" w:pos="360"/>
        </w:tabs>
        <w:ind w:left="360" w:hanging="360"/>
      </w:pPr>
    </w:lvl>
    <w:lvl w:ilvl="2" w:tplc="ADD65CBE">
      <w:numFmt w:val="none"/>
      <w:lvlText w:val=""/>
      <w:lvlJc w:val="left"/>
      <w:pPr>
        <w:tabs>
          <w:tab w:val="num" w:pos="360"/>
        </w:tabs>
        <w:ind w:left="360" w:hanging="360"/>
      </w:pPr>
    </w:lvl>
    <w:lvl w:ilvl="3" w:tplc="378C53A6">
      <w:numFmt w:val="none"/>
      <w:lvlText w:val=""/>
      <w:lvlJc w:val="left"/>
      <w:pPr>
        <w:tabs>
          <w:tab w:val="num" w:pos="360"/>
        </w:tabs>
        <w:ind w:left="360" w:hanging="360"/>
      </w:pPr>
    </w:lvl>
    <w:lvl w:ilvl="4" w:tplc="844AB124">
      <w:numFmt w:val="none"/>
      <w:lvlText w:val=""/>
      <w:lvlJc w:val="left"/>
      <w:pPr>
        <w:tabs>
          <w:tab w:val="num" w:pos="360"/>
        </w:tabs>
        <w:ind w:left="360" w:hanging="360"/>
      </w:pPr>
    </w:lvl>
    <w:lvl w:ilvl="5" w:tplc="48CABA8E">
      <w:numFmt w:val="none"/>
      <w:lvlText w:val=""/>
      <w:lvlJc w:val="left"/>
      <w:pPr>
        <w:tabs>
          <w:tab w:val="num" w:pos="360"/>
        </w:tabs>
        <w:ind w:left="360" w:hanging="360"/>
      </w:pPr>
    </w:lvl>
    <w:lvl w:ilvl="6" w:tplc="743EC9F4">
      <w:numFmt w:val="none"/>
      <w:lvlText w:val=""/>
      <w:lvlJc w:val="left"/>
      <w:pPr>
        <w:tabs>
          <w:tab w:val="num" w:pos="360"/>
        </w:tabs>
        <w:ind w:left="360" w:hanging="360"/>
      </w:pPr>
    </w:lvl>
    <w:lvl w:ilvl="7" w:tplc="21146346">
      <w:numFmt w:val="none"/>
      <w:lvlText w:val=""/>
      <w:lvlJc w:val="left"/>
      <w:pPr>
        <w:tabs>
          <w:tab w:val="num" w:pos="360"/>
        </w:tabs>
        <w:ind w:left="360" w:hanging="360"/>
      </w:pPr>
    </w:lvl>
    <w:lvl w:ilvl="8" w:tplc="EB080F72">
      <w:numFmt w:val="none"/>
      <w:lvlText w:val=""/>
      <w:lvlJc w:val="left"/>
      <w:pPr>
        <w:tabs>
          <w:tab w:val="num" w:pos="360"/>
        </w:tabs>
        <w:ind w:left="360" w:hanging="360"/>
      </w:pPr>
    </w:lvl>
  </w:abstractNum>
  <w:abstractNum w:abstractNumId="8" w15:restartNumberingAfterBreak="0">
    <w:nsid w:val="61251CD4"/>
    <w:multiLevelType w:val="hybridMultilevel"/>
    <w:tmpl w:val="6B923F24"/>
    <w:lvl w:ilvl="0" w:tplc="BEAA2F9A">
      <w:numFmt w:val="none"/>
      <w:lvlText w:val=""/>
      <w:lvlJc w:val="left"/>
      <w:pPr>
        <w:tabs>
          <w:tab w:val="num" w:pos="360"/>
        </w:tabs>
        <w:ind w:left="360" w:hanging="360"/>
      </w:pPr>
    </w:lvl>
    <w:lvl w:ilvl="1" w:tplc="97424148">
      <w:numFmt w:val="none"/>
      <w:lvlText w:val=""/>
      <w:lvlJc w:val="left"/>
      <w:pPr>
        <w:tabs>
          <w:tab w:val="num" w:pos="360"/>
        </w:tabs>
        <w:ind w:left="360" w:hanging="360"/>
      </w:pPr>
    </w:lvl>
    <w:lvl w:ilvl="2" w:tplc="C430E88A">
      <w:numFmt w:val="none"/>
      <w:lvlText w:val=""/>
      <w:lvlJc w:val="left"/>
      <w:pPr>
        <w:tabs>
          <w:tab w:val="num" w:pos="360"/>
        </w:tabs>
        <w:ind w:left="360" w:hanging="360"/>
      </w:pPr>
    </w:lvl>
    <w:lvl w:ilvl="3" w:tplc="78A4A396">
      <w:numFmt w:val="none"/>
      <w:lvlText w:val=""/>
      <w:lvlJc w:val="left"/>
      <w:pPr>
        <w:tabs>
          <w:tab w:val="num" w:pos="360"/>
        </w:tabs>
        <w:ind w:left="360" w:hanging="360"/>
      </w:pPr>
    </w:lvl>
    <w:lvl w:ilvl="4" w:tplc="52B67C6E">
      <w:numFmt w:val="none"/>
      <w:lvlText w:val=""/>
      <w:lvlJc w:val="left"/>
      <w:pPr>
        <w:tabs>
          <w:tab w:val="num" w:pos="360"/>
        </w:tabs>
        <w:ind w:left="360" w:hanging="360"/>
      </w:pPr>
    </w:lvl>
    <w:lvl w:ilvl="5" w:tplc="02D858DA">
      <w:numFmt w:val="none"/>
      <w:lvlText w:val=""/>
      <w:lvlJc w:val="left"/>
      <w:pPr>
        <w:tabs>
          <w:tab w:val="num" w:pos="360"/>
        </w:tabs>
        <w:ind w:left="360" w:hanging="360"/>
      </w:pPr>
    </w:lvl>
    <w:lvl w:ilvl="6" w:tplc="2D34988C">
      <w:numFmt w:val="none"/>
      <w:lvlText w:val=""/>
      <w:lvlJc w:val="left"/>
      <w:pPr>
        <w:tabs>
          <w:tab w:val="num" w:pos="360"/>
        </w:tabs>
        <w:ind w:left="360" w:hanging="360"/>
      </w:pPr>
    </w:lvl>
    <w:lvl w:ilvl="7" w:tplc="C3EE0AC2">
      <w:numFmt w:val="none"/>
      <w:lvlText w:val=""/>
      <w:lvlJc w:val="left"/>
      <w:pPr>
        <w:tabs>
          <w:tab w:val="num" w:pos="360"/>
        </w:tabs>
        <w:ind w:left="360" w:hanging="360"/>
      </w:pPr>
    </w:lvl>
    <w:lvl w:ilvl="8" w:tplc="F9166D06">
      <w:numFmt w:val="none"/>
      <w:lvlText w:val=""/>
      <w:lvlJc w:val="left"/>
      <w:pPr>
        <w:tabs>
          <w:tab w:val="num" w:pos="360"/>
        </w:tabs>
        <w:ind w:left="360" w:hanging="360"/>
      </w:pPr>
    </w:lvl>
  </w:abstractNum>
  <w:abstractNum w:abstractNumId="9" w15:restartNumberingAfterBreak="0">
    <w:nsid w:val="61802F56"/>
    <w:multiLevelType w:val="hybridMultilevel"/>
    <w:tmpl w:val="69C29572"/>
    <w:lvl w:ilvl="0" w:tplc="9E466F04">
      <w:numFmt w:val="none"/>
      <w:lvlText w:val=""/>
      <w:lvlJc w:val="left"/>
      <w:pPr>
        <w:tabs>
          <w:tab w:val="num" w:pos="360"/>
        </w:tabs>
        <w:ind w:left="360" w:hanging="360"/>
      </w:pPr>
    </w:lvl>
    <w:lvl w:ilvl="1" w:tplc="8840641A">
      <w:numFmt w:val="none"/>
      <w:lvlText w:val=""/>
      <w:lvlJc w:val="left"/>
      <w:pPr>
        <w:tabs>
          <w:tab w:val="num" w:pos="360"/>
        </w:tabs>
        <w:ind w:left="360" w:hanging="360"/>
      </w:pPr>
    </w:lvl>
    <w:lvl w:ilvl="2" w:tplc="9836E314">
      <w:numFmt w:val="none"/>
      <w:lvlText w:val=""/>
      <w:lvlJc w:val="left"/>
      <w:pPr>
        <w:tabs>
          <w:tab w:val="num" w:pos="360"/>
        </w:tabs>
        <w:ind w:left="360" w:hanging="360"/>
      </w:pPr>
    </w:lvl>
    <w:lvl w:ilvl="3" w:tplc="2F52C498">
      <w:numFmt w:val="none"/>
      <w:lvlText w:val=""/>
      <w:lvlJc w:val="left"/>
      <w:pPr>
        <w:tabs>
          <w:tab w:val="num" w:pos="360"/>
        </w:tabs>
        <w:ind w:left="360" w:hanging="360"/>
      </w:pPr>
    </w:lvl>
    <w:lvl w:ilvl="4" w:tplc="8696B7C6">
      <w:numFmt w:val="none"/>
      <w:lvlText w:val=""/>
      <w:lvlJc w:val="left"/>
      <w:pPr>
        <w:tabs>
          <w:tab w:val="num" w:pos="360"/>
        </w:tabs>
        <w:ind w:left="360" w:hanging="360"/>
      </w:pPr>
    </w:lvl>
    <w:lvl w:ilvl="5" w:tplc="A75A93D6">
      <w:numFmt w:val="none"/>
      <w:lvlText w:val=""/>
      <w:lvlJc w:val="left"/>
      <w:pPr>
        <w:tabs>
          <w:tab w:val="num" w:pos="360"/>
        </w:tabs>
        <w:ind w:left="360" w:hanging="360"/>
      </w:pPr>
    </w:lvl>
    <w:lvl w:ilvl="6" w:tplc="DF1263F4">
      <w:numFmt w:val="none"/>
      <w:lvlText w:val=""/>
      <w:lvlJc w:val="left"/>
      <w:pPr>
        <w:tabs>
          <w:tab w:val="num" w:pos="360"/>
        </w:tabs>
        <w:ind w:left="360" w:hanging="360"/>
      </w:pPr>
    </w:lvl>
    <w:lvl w:ilvl="7" w:tplc="F460B45C">
      <w:numFmt w:val="none"/>
      <w:lvlText w:val=""/>
      <w:lvlJc w:val="left"/>
      <w:pPr>
        <w:tabs>
          <w:tab w:val="num" w:pos="360"/>
        </w:tabs>
        <w:ind w:left="360" w:hanging="360"/>
      </w:pPr>
    </w:lvl>
    <w:lvl w:ilvl="8" w:tplc="B37412C4">
      <w:numFmt w:val="none"/>
      <w:lvlText w:val=""/>
      <w:lvlJc w:val="left"/>
      <w:pPr>
        <w:tabs>
          <w:tab w:val="num" w:pos="360"/>
        </w:tabs>
        <w:ind w:left="360" w:hanging="360"/>
      </w:pPr>
    </w:lvl>
  </w:abstractNum>
  <w:abstractNum w:abstractNumId="10" w15:restartNumberingAfterBreak="0">
    <w:nsid w:val="657C1231"/>
    <w:multiLevelType w:val="hybridMultilevel"/>
    <w:tmpl w:val="5086B8CC"/>
    <w:lvl w:ilvl="0" w:tplc="14324510">
      <w:numFmt w:val="none"/>
      <w:lvlText w:val=""/>
      <w:lvlJc w:val="left"/>
      <w:pPr>
        <w:tabs>
          <w:tab w:val="num" w:pos="360"/>
        </w:tabs>
        <w:ind w:left="360" w:hanging="360"/>
      </w:pPr>
    </w:lvl>
    <w:lvl w:ilvl="1" w:tplc="D3F04D30">
      <w:numFmt w:val="none"/>
      <w:lvlText w:val=""/>
      <w:lvlJc w:val="left"/>
      <w:pPr>
        <w:tabs>
          <w:tab w:val="num" w:pos="360"/>
        </w:tabs>
        <w:ind w:left="360" w:hanging="360"/>
      </w:pPr>
    </w:lvl>
    <w:lvl w:ilvl="2" w:tplc="B0D2F6F0">
      <w:numFmt w:val="none"/>
      <w:lvlText w:val=""/>
      <w:lvlJc w:val="left"/>
      <w:pPr>
        <w:tabs>
          <w:tab w:val="num" w:pos="360"/>
        </w:tabs>
        <w:ind w:left="360" w:hanging="360"/>
      </w:pPr>
    </w:lvl>
    <w:lvl w:ilvl="3" w:tplc="01AA2B16">
      <w:numFmt w:val="none"/>
      <w:lvlText w:val=""/>
      <w:lvlJc w:val="left"/>
      <w:pPr>
        <w:tabs>
          <w:tab w:val="num" w:pos="360"/>
        </w:tabs>
        <w:ind w:left="360" w:hanging="360"/>
      </w:pPr>
    </w:lvl>
    <w:lvl w:ilvl="4" w:tplc="531E3148">
      <w:numFmt w:val="none"/>
      <w:lvlText w:val=""/>
      <w:lvlJc w:val="left"/>
      <w:pPr>
        <w:tabs>
          <w:tab w:val="num" w:pos="360"/>
        </w:tabs>
        <w:ind w:left="360" w:hanging="360"/>
      </w:pPr>
    </w:lvl>
    <w:lvl w:ilvl="5" w:tplc="E584AEC2">
      <w:numFmt w:val="none"/>
      <w:lvlText w:val=""/>
      <w:lvlJc w:val="left"/>
      <w:pPr>
        <w:tabs>
          <w:tab w:val="num" w:pos="360"/>
        </w:tabs>
        <w:ind w:left="360" w:hanging="360"/>
      </w:pPr>
    </w:lvl>
    <w:lvl w:ilvl="6" w:tplc="EEBC6134">
      <w:numFmt w:val="none"/>
      <w:lvlText w:val=""/>
      <w:lvlJc w:val="left"/>
      <w:pPr>
        <w:tabs>
          <w:tab w:val="num" w:pos="360"/>
        </w:tabs>
        <w:ind w:left="360" w:hanging="360"/>
      </w:pPr>
    </w:lvl>
    <w:lvl w:ilvl="7" w:tplc="6F988772">
      <w:numFmt w:val="none"/>
      <w:lvlText w:val=""/>
      <w:lvlJc w:val="left"/>
      <w:pPr>
        <w:tabs>
          <w:tab w:val="num" w:pos="360"/>
        </w:tabs>
        <w:ind w:left="360" w:hanging="360"/>
      </w:pPr>
    </w:lvl>
    <w:lvl w:ilvl="8" w:tplc="A56A4A0C">
      <w:numFmt w:val="none"/>
      <w:lvlText w:val=""/>
      <w:lvlJc w:val="left"/>
      <w:pPr>
        <w:tabs>
          <w:tab w:val="num" w:pos="360"/>
        </w:tabs>
        <w:ind w:left="360" w:hanging="360"/>
      </w:pPr>
    </w:lvl>
  </w:abstractNum>
  <w:num w:numId="1">
    <w:abstractNumId w:val="3"/>
  </w:num>
  <w:num w:numId="2">
    <w:abstractNumId w:val="4"/>
  </w:num>
  <w:num w:numId="3">
    <w:abstractNumId w:val="10"/>
  </w:num>
  <w:num w:numId="4">
    <w:abstractNumId w:val="7"/>
  </w:num>
  <w:num w:numId="5">
    <w:abstractNumId w:val="1"/>
  </w:num>
  <w:num w:numId="6">
    <w:abstractNumId w:val="6"/>
  </w:num>
  <w:num w:numId="7">
    <w:abstractNumId w:val="8"/>
  </w:num>
  <w:num w:numId="8">
    <w:abstractNumId w:val="2"/>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3"/>
  <w:drawingGridVerticalSpacing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16"/>
    <w:rsid w:val="000155F5"/>
    <w:rsid w:val="00031E96"/>
    <w:rsid w:val="00040027"/>
    <w:rsid w:val="00047C47"/>
    <w:rsid w:val="00060CD6"/>
    <w:rsid w:val="000E176F"/>
    <w:rsid w:val="00100F42"/>
    <w:rsid w:val="00134EDD"/>
    <w:rsid w:val="00136D52"/>
    <w:rsid w:val="00155017"/>
    <w:rsid w:val="00175D86"/>
    <w:rsid w:val="00176D66"/>
    <w:rsid w:val="00180645"/>
    <w:rsid w:val="00182A35"/>
    <w:rsid w:val="001935A6"/>
    <w:rsid w:val="001D6F1F"/>
    <w:rsid w:val="001D7109"/>
    <w:rsid w:val="001F4374"/>
    <w:rsid w:val="001F5338"/>
    <w:rsid w:val="001F761A"/>
    <w:rsid w:val="002014EA"/>
    <w:rsid w:val="00205B8C"/>
    <w:rsid w:val="00227BFF"/>
    <w:rsid w:val="00295A50"/>
    <w:rsid w:val="002B5295"/>
    <w:rsid w:val="002B5E14"/>
    <w:rsid w:val="002C59F0"/>
    <w:rsid w:val="002D6C3A"/>
    <w:rsid w:val="002F4CE1"/>
    <w:rsid w:val="00301D16"/>
    <w:rsid w:val="0033386F"/>
    <w:rsid w:val="0033580E"/>
    <w:rsid w:val="003362AB"/>
    <w:rsid w:val="00355690"/>
    <w:rsid w:val="003A16DE"/>
    <w:rsid w:val="003A5BB7"/>
    <w:rsid w:val="003D00DA"/>
    <w:rsid w:val="003D4B52"/>
    <w:rsid w:val="003D7055"/>
    <w:rsid w:val="003F50CF"/>
    <w:rsid w:val="00411C05"/>
    <w:rsid w:val="00411C27"/>
    <w:rsid w:val="004379D8"/>
    <w:rsid w:val="00461896"/>
    <w:rsid w:val="00482C11"/>
    <w:rsid w:val="004A0BA7"/>
    <w:rsid w:val="004A2250"/>
    <w:rsid w:val="004F2D6E"/>
    <w:rsid w:val="004F7822"/>
    <w:rsid w:val="00500B0F"/>
    <w:rsid w:val="005263B0"/>
    <w:rsid w:val="00550BAF"/>
    <w:rsid w:val="0056060A"/>
    <w:rsid w:val="00571964"/>
    <w:rsid w:val="00583099"/>
    <w:rsid w:val="00587317"/>
    <w:rsid w:val="00592564"/>
    <w:rsid w:val="005D0C2A"/>
    <w:rsid w:val="005D2B0B"/>
    <w:rsid w:val="005D2D21"/>
    <w:rsid w:val="005F7167"/>
    <w:rsid w:val="00602E39"/>
    <w:rsid w:val="0060688A"/>
    <w:rsid w:val="00611F4E"/>
    <w:rsid w:val="0067174D"/>
    <w:rsid w:val="006829A6"/>
    <w:rsid w:val="006A0E64"/>
    <w:rsid w:val="006A13AA"/>
    <w:rsid w:val="006B7244"/>
    <w:rsid w:val="006D2E64"/>
    <w:rsid w:val="006F5E1E"/>
    <w:rsid w:val="00724DA8"/>
    <w:rsid w:val="00724EFF"/>
    <w:rsid w:val="007312CC"/>
    <w:rsid w:val="00736616"/>
    <w:rsid w:val="0075205B"/>
    <w:rsid w:val="007523E1"/>
    <w:rsid w:val="00757270"/>
    <w:rsid w:val="00782A9E"/>
    <w:rsid w:val="00791963"/>
    <w:rsid w:val="007C4539"/>
    <w:rsid w:val="007E3C50"/>
    <w:rsid w:val="007F72A3"/>
    <w:rsid w:val="008111F8"/>
    <w:rsid w:val="0082062E"/>
    <w:rsid w:val="00853BC9"/>
    <w:rsid w:val="0087051B"/>
    <w:rsid w:val="00873675"/>
    <w:rsid w:val="00882474"/>
    <w:rsid w:val="00897E10"/>
    <w:rsid w:val="008C0ADC"/>
    <w:rsid w:val="008E0271"/>
    <w:rsid w:val="008F1809"/>
    <w:rsid w:val="008F3D54"/>
    <w:rsid w:val="0090477C"/>
    <w:rsid w:val="00911C45"/>
    <w:rsid w:val="009273AF"/>
    <w:rsid w:val="00933DF3"/>
    <w:rsid w:val="00934596"/>
    <w:rsid w:val="009467B3"/>
    <w:rsid w:val="00952870"/>
    <w:rsid w:val="00955F0F"/>
    <w:rsid w:val="00956F37"/>
    <w:rsid w:val="00971850"/>
    <w:rsid w:val="00972C0D"/>
    <w:rsid w:val="00992A47"/>
    <w:rsid w:val="00995AF4"/>
    <w:rsid w:val="00997DEB"/>
    <w:rsid w:val="009A28E3"/>
    <w:rsid w:val="009B63FC"/>
    <w:rsid w:val="009E6066"/>
    <w:rsid w:val="00A060CB"/>
    <w:rsid w:val="00A26E16"/>
    <w:rsid w:val="00A430E0"/>
    <w:rsid w:val="00A5552A"/>
    <w:rsid w:val="00A77421"/>
    <w:rsid w:val="00A8074C"/>
    <w:rsid w:val="00A8555D"/>
    <w:rsid w:val="00A947A8"/>
    <w:rsid w:val="00AC48DF"/>
    <w:rsid w:val="00AC7859"/>
    <w:rsid w:val="00AF3D6D"/>
    <w:rsid w:val="00B0588E"/>
    <w:rsid w:val="00B33646"/>
    <w:rsid w:val="00B4269B"/>
    <w:rsid w:val="00B43261"/>
    <w:rsid w:val="00B80CEB"/>
    <w:rsid w:val="00B912A4"/>
    <w:rsid w:val="00BD58DB"/>
    <w:rsid w:val="00BF1744"/>
    <w:rsid w:val="00BF4345"/>
    <w:rsid w:val="00C07F84"/>
    <w:rsid w:val="00C27EDF"/>
    <w:rsid w:val="00C641A0"/>
    <w:rsid w:val="00CC36AA"/>
    <w:rsid w:val="00CD187F"/>
    <w:rsid w:val="00CD2C30"/>
    <w:rsid w:val="00CE5470"/>
    <w:rsid w:val="00CE7E41"/>
    <w:rsid w:val="00D1047F"/>
    <w:rsid w:val="00D214F2"/>
    <w:rsid w:val="00D7234A"/>
    <w:rsid w:val="00D74386"/>
    <w:rsid w:val="00D90956"/>
    <w:rsid w:val="00DA0765"/>
    <w:rsid w:val="00DB3093"/>
    <w:rsid w:val="00DD1F70"/>
    <w:rsid w:val="00DE026C"/>
    <w:rsid w:val="00DF1DD0"/>
    <w:rsid w:val="00E475A2"/>
    <w:rsid w:val="00E641C7"/>
    <w:rsid w:val="00EA54B1"/>
    <w:rsid w:val="00EB3076"/>
    <w:rsid w:val="00F138AE"/>
    <w:rsid w:val="00F66D18"/>
    <w:rsid w:val="00F73F18"/>
    <w:rsid w:val="00F773E6"/>
    <w:rsid w:val="00F93BF5"/>
    <w:rsid w:val="00FD14F5"/>
    <w:rsid w:val="00FE33F0"/>
    <w:rsid w:val="00FE420E"/>
    <w:rsid w:val="00FE5451"/>
    <w:rsid w:val="00FE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EBED16"/>
  <w15:docId w15:val="{3DAC39B8-9E42-44C3-BE12-9F7AA40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qFormat/>
    <w:pPr>
      <w:keepNext/>
      <w:keepLines/>
      <w:spacing w:before="40"/>
      <w:outlineLvl w:val="1"/>
    </w:pPr>
    <w:rPr>
      <w:rFonts w:ascii="Calibri Light" w:eastAsia="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NormalWeb">
    <w:name w:val="Normal (Web)"/>
    <w:basedOn w:val="Normal"/>
    <w:qFormat/>
    <w:pPr>
      <w:spacing w:before="100" w:beforeAutospacing="1" w:after="100" w:afterAutospacing="1"/>
    </w:pPr>
    <w:rPr>
      <w:rFonts w:ascii="Times New Roman" w:eastAsia="Times New Roman" w:hAnsi="Times New Roman"/>
      <w:lang w:val="en-US"/>
    </w:rPr>
  </w:style>
  <w:style w:type="paragraph" w:styleId="EndnoteText">
    <w:name w:val="endnote text"/>
    <w:basedOn w:val="Normal"/>
    <w:qFormat/>
    <w:rPr>
      <w:sz w:val="20"/>
      <w:szCs w:val="20"/>
    </w:rPr>
  </w:style>
  <w:style w:type="paragraph" w:styleId="FootnoteText">
    <w:name w:val="footnote text"/>
    <w:basedOn w:val="Normal"/>
    <w:qFormat/>
    <w:rPr>
      <w:sz w:val="20"/>
      <w:szCs w:val="20"/>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paragraph" w:customStyle="1" w:styleId="CommentText2">
    <w:name w:val="Comment Text2"/>
    <w:basedOn w:val="Normal"/>
    <w:qFormat/>
    <w:rPr>
      <w:sz w:val="20"/>
      <w:szCs w:val="20"/>
    </w:rPr>
  </w:style>
  <w:style w:type="paragraph" w:customStyle="1" w:styleId="CommentSubject2">
    <w:name w:val="Comment Subject2"/>
    <w:basedOn w:val="CommentText2"/>
    <w:next w:val="CommentText2"/>
    <w:qFormat/>
    <w:rPr>
      <w:b/>
      <w:bCs/>
    </w:rPr>
  </w:style>
  <w:style w:type="paragraph" w:customStyle="1" w:styleId="Revision1">
    <w:name w:val="Revision1"/>
    <w:qFormat/>
    <w:rPr>
      <w:lang w:val="en-GB"/>
    </w:rPr>
  </w:style>
  <w:style w:type="paragraph" w:styleId="CommentText">
    <w:name w:val="annotation text"/>
    <w:basedOn w:val="Normal"/>
    <w:link w:val="CommentTextChar"/>
    <w:qFormat/>
    <w:rsid w:val="00995AF4"/>
    <w:rPr>
      <w:sz w:val="20"/>
      <w:szCs w:val="20"/>
    </w:rPr>
  </w:style>
  <w:style w:type="paragraph" w:styleId="CommentSubject">
    <w:name w:val="annotation subject"/>
    <w:basedOn w:val="CommentText"/>
    <w:next w:val="CommentText"/>
    <w:link w:val="CommentSubjectChar"/>
    <w:qFormat/>
    <w:rPr>
      <w:b/>
      <w:bCs/>
    </w:rPr>
  </w:style>
  <w:style w:type="character" w:customStyle="1" w:styleId="FooterChar">
    <w:name w:val="Footer Char"/>
    <w:basedOn w:val="DefaultParagraphFont"/>
    <w:rPr>
      <w:lang w:val="en-GB"/>
    </w:rPr>
  </w:style>
  <w:style w:type="character" w:styleId="PageNumber">
    <w:name w:val="page number"/>
    <w:basedOn w:val="DefaultParagraphFont"/>
  </w:style>
  <w:style w:type="character" w:customStyle="1" w:styleId="HeaderChar">
    <w:name w:val="Header Char"/>
    <w:basedOn w:val="DefaultParagraphFont"/>
    <w:rPr>
      <w:lang w:val="en-GB"/>
    </w:rPr>
  </w:style>
  <w:style w:type="character" w:customStyle="1" w:styleId="EndnoteTextChar">
    <w:name w:val="Endnote Text Char"/>
    <w:basedOn w:val="DefaultParagraphFont"/>
    <w:rPr>
      <w:sz w:val="20"/>
      <w:szCs w:val="20"/>
      <w:lang w:val="en-GB"/>
    </w:rPr>
  </w:style>
  <w:style w:type="character" w:styleId="EndnoteReference">
    <w:name w:val="endnote reference"/>
    <w:basedOn w:val="DefaultParagraphFont"/>
    <w:rPr>
      <w:vertAlign w:val="superscript"/>
    </w:rPr>
  </w:style>
  <w:style w:type="character" w:customStyle="1" w:styleId="FootnoteTextChar">
    <w:name w:val="Footnote Text Char"/>
    <w:basedOn w:val="DefaultParagraphFont"/>
    <w:rPr>
      <w:sz w:val="20"/>
      <w:szCs w:val="20"/>
      <w:lang w:val="en-GB"/>
    </w:rPr>
  </w:style>
  <w:style w:type="character" w:styleId="FootnoteReference">
    <w:name w:val="footnote reference"/>
    <w:basedOn w:val="DefaultParagraphFont"/>
    <w:rPr>
      <w:vertAlign w:val="superscript"/>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Calibri Light" w:eastAsia="Calibri Light" w:hAnsi="Calibri Light"/>
      <w:color w:val="2F5496"/>
      <w:sz w:val="26"/>
      <w:szCs w:val="26"/>
      <w:lang w:val="en-GB"/>
    </w:rPr>
  </w:style>
  <w:style w:type="character" w:customStyle="1" w:styleId="CommentReference1">
    <w:name w:val="Comment Reference1"/>
    <w:basedOn w:val="DefaultParagraphFont"/>
    <w:rPr>
      <w:sz w:val="16"/>
      <w:szCs w:val="16"/>
    </w:rPr>
  </w:style>
  <w:style w:type="character" w:customStyle="1" w:styleId="CommentReference2">
    <w:name w:val="Comment Reference2"/>
    <w:basedOn w:val="DefaultParagraphFont"/>
    <w:rPr>
      <w:sz w:val="16"/>
      <w:szCs w:val="16"/>
    </w:rPr>
  </w:style>
  <w:style w:type="character" w:customStyle="1" w:styleId="tm61">
    <w:name w:val="tm61"/>
    <w:basedOn w:val="DefaultParagraphFont"/>
    <w:rPr>
      <w:rFonts w:ascii="Calibri" w:eastAsia="Calibri" w:hAnsi="Calibri" w:cs="Calibri"/>
    </w:rPr>
  </w:style>
  <w:style w:type="paragraph" w:customStyle="1" w:styleId="Kommentartext1">
    <w:name w:val="Kommentartext1"/>
    <w:basedOn w:val="Normal"/>
    <w:qFormat/>
    <w:rsid w:val="005D0C2A"/>
    <w:rPr>
      <w:sz w:val="20"/>
      <w:szCs w:val="20"/>
    </w:rPr>
  </w:style>
  <w:style w:type="paragraph" w:customStyle="1" w:styleId="Kommentarthema1">
    <w:name w:val="Kommentarthema1"/>
    <w:basedOn w:val="Kommentartext1"/>
    <w:next w:val="Kommentartext1"/>
    <w:qFormat/>
    <w:rsid w:val="005D0C2A"/>
    <w:rPr>
      <w:b/>
      <w:bCs/>
    </w:rPr>
  </w:style>
  <w:style w:type="paragraph" w:customStyle="1" w:styleId="berarbeitung1">
    <w:name w:val="Überarbeitung1"/>
    <w:qFormat/>
    <w:rsid w:val="005D0C2A"/>
    <w:rPr>
      <w:lang w:val="en-GB"/>
    </w:rPr>
  </w:style>
  <w:style w:type="character" w:customStyle="1" w:styleId="Kommentarzeichen1">
    <w:name w:val="Kommentarzeichen1"/>
    <w:basedOn w:val="DefaultParagraphFont"/>
    <w:rsid w:val="005D0C2A"/>
    <w:rPr>
      <w:sz w:val="16"/>
      <w:szCs w:val="16"/>
    </w:rPr>
  </w:style>
  <w:style w:type="character" w:styleId="CommentReference">
    <w:name w:val="annotation reference"/>
    <w:basedOn w:val="DefaultParagraphFont"/>
    <w:uiPriority w:val="99"/>
    <w:rsid w:val="005D0C2A"/>
    <w:rPr>
      <w:sz w:val="16"/>
      <w:szCs w:val="16"/>
    </w:rPr>
  </w:style>
  <w:style w:type="character" w:customStyle="1" w:styleId="CommentTextChar">
    <w:name w:val="Comment Text Char"/>
    <w:basedOn w:val="DefaultParagraphFont"/>
    <w:link w:val="CommentText"/>
    <w:uiPriority w:val="99"/>
    <w:rsid w:val="005D0C2A"/>
    <w:rPr>
      <w:sz w:val="20"/>
      <w:szCs w:val="20"/>
      <w:lang w:val="en-GB"/>
    </w:rPr>
  </w:style>
  <w:style w:type="character" w:customStyle="1" w:styleId="CommentSubjectChar">
    <w:name w:val="Comment Subject Char"/>
    <w:basedOn w:val="CommentTextChar"/>
    <w:link w:val="CommentSubject"/>
    <w:rsid w:val="005D0C2A"/>
    <w:rPr>
      <w:b/>
      <w:bCs/>
      <w:sz w:val="20"/>
      <w:szCs w:val="20"/>
      <w:lang w:val="en-GB"/>
    </w:rPr>
  </w:style>
  <w:style w:type="paragraph" w:styleId="Revision">
    <w:name w:val="Revision"/>
    <w:hidden/>
    <w:uiPriority w:val="99"/>
    <w:semiHidden/>
    <w:rsid w:val="005D0C2A"/>
    <w:rPr>
      <w:lang w:val="en-GB"/>
    </w:rPr>
  </w:style>
  <w:style w:type="paragraph" w:customStyle="1" w:styleId="Textocomentario1">
    <w:name w:val="Texto comentario1"/>
    <w:basedOn w:val="Normal"/>
    <w:qFormat/>
    <w:rsid w:val="003F50CF"/>
    <w:rPr>
      <w:sz w:val="20"/>
      <w:szCs w:val="20"/>
    </w:rPr>
  </w:style>
  <w:style w:type="paragraph" w:customStyle="1" w:styleId="Asuntodelcomentario1">
    <w:name w:val="Asunto del comentario1"/>
    <w:basedOn w:val="Textocomentario1"/>
    <w:next w:val="Textocomentario1"/>
    <w:qFormat/>
    <w:rsid w:val="003F50CF"/>
    <w:rPr>
      <w:b/>
      <w:bCs/>
    </w:rPr>
  </w:style>
  <w:style w:type="paragraph" w:customStyle="1" w:styleId="Revisin1">
    <w:name w:val="Revisión1"/>
    <w:qFormat/>
    <w:rsid w:val="003F50CF"/>
    <w:rPr>
      <w:lang w:val="en-GB"/>
    </w:rPr>
  </w:style>
  <w:style w:type="character" w:customStyle="1" w:styleId="Refdecomentario1">
    <w:name w:val="Ref. de comentario1"/>
    <w:basedOn w:val="DefaultParagraphFont"/>
    <w:rsid w:val="003F50CF"/>
    <w:rPr>
      <w:sz w:val="16"/>
      <w:szCs w:val="16"/>
    </w:rPr>
  </w:style>
  <w:style w:type="paragraph" w:styleId="BalloonText">
    <w:name w:val="Balloon Text"/>
    <w:basedOn w:val="Normal"/>
    <w:link w:val="BalloonTextChar"/>
    <w:uiPriority w:val="99"/>
    <w:rsid w:val="00897E10"/>
    <w:rPr>
      <w:rFonts w:ascii="Segoe UI" w:hAnsi="Segoe UI" w:cs="Segoe UI"/>
      <w:sz w:val="18"/>
      <w:szCs w:val="18"/>
    </w:rPr>
  </w:style>
  <w:style w:type="character" w:customStyle="1" w:styleId="BalloonTextChar">
    <w:name w:val="Balloon Text Char"/>
    <w:basedOn w:val="DefaultParagraphFont"/>
    <w:link w:val="BalloonText"/>
    <w:uiPriority w:val="99"/>
    <w:rsid w:val="003F50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special-procedures/ie-sexual-orientation-and-gender-identity" TargetMode="External"/><Relationship Id="rId13" Type="http://schemas.openxmlformats.org/officeDocument/2006/relationships/hyperlink" Target="https://www.ohchr.org/en/special-procedures/sr-executions" TargetMode="External"/><Relationship Id="rId18" Type="http://schemas.openxmlformats.org/officeDocument/2006/relationships/hyperlink" Target="https://www.ohchr.org/en/special-procedures/sr-slavery" TargetMode="External"/><Relationship Id="rId26" Type="http://schemas.openxmlformats.org/officeDocument/2006/relationships/hyperlink" Target="https://www.ohchr.org/en/special-procedures/wg-arbitrary-detentio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hchr.org/en/special-procedures/sr-racism" TargetMode="External"/><Relationship Id="rId34" Type="http://schemas.openxmlformats.org/officeDocument/2006/relationships/hyperlink" Target="https://www.ohchr.org/en/special-procedures/sr-disability" TargetMode="External"/><Relationship Id="rId7" Type="http://schemas.openxmlformats.org/officeDocument/2006/relationships/endnotes" Target="endnotes.xml"/><Relationship Id="rId12" Type="http://schemas.openxmlformats.org/officeDocument/2006/relationships/hyperlink" Target="https://www.ohchr.org/en/special-procedures/sr-freedom-of-assembly-and-association" TargetMode="External"/><Relationship Id="rId17" Type="http://schemas.openxmlformats.org/officeDocument/2006/relationships/hyperlink" Target="https://www.ohchr.org/en/special-procedures/sr-environment" TargetMode="External"/><Relationship Id="rId25" Type="http://schemas.openxmlformats.org/officeDocument/2006/relationships/hyperlink" Target="https://www.ohchr.org/en/special-procedures/wg-business" TargetMode="External"/><Relationship Id="rId33" Type="http://schemas.openxmlformats.org/officeDocument/2006/relationships/hyperlink" Target="https://www.ohchr.org/en/special-procedures/sr-healt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hchr.org/en/special-procedures/ie-older-persons" TargetMode="External"/><Relationship Id="rId20" Type="http://schemas.openxmlformats.org/officeDocument/2006/relationships/hyperlink" Target="https://www.ohchr.org/en/special-procedures/sr-terrorism" TargetMode="External"/><Relationship Id="rId29" Type="http://schemas.openxmlformats.org/officeDocument/2006/relationships/hyperlink" Target="https://www.ohchr.org/en/press-releases/2022/03/special-rapporteur-situation-human-rights-occupied-palestinian-territori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special-procedures/sr-housing" TargetMode="External"/><Relationship Id="rId24" Type="http://schemas.openxmlformats.org/officeDocument/2006/relationships/hyperlink" Target="https://www.ohchr.org/en/specialprocedures/sr-climate-change" TargetMode="External"/><Relationship Id="rId32" Type="http://schemas.openxmlformats.org/officeDocument/2006/relationships/hyperlink" Target="https://www.ohchr.org/en/special-procedures/sr-violence-against-women" TargetMode="External"/><Relationship Id="rId37" Type="http://schemas.openxmlformats.org/officeDocument/2006/relationships/hyperlink" Target="https://www.oas.org/en/iach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hchr.org/en/special-procedures/sr-iran" TargetMode="External"/><Relationship Id="rId23" Type="http://schemas.openxmlformats.org/officeDocument/2006/relationships/hyperlink" Target="https://www.ohchr.org/en/special-procedures/sr-water-and-sanitation" TargetMode="External"/><Relationship Id="rId28" Type="http://schemas.openxmlformats.org/officeDocument/2006/relationships/hyperlink" Target="https://www.ohchr.org/en/special-procedures/sr-trafficking-in-persons" TargetMode="External"/><Relationship Id="rId36" Type="http://schemas.openxmlformats.org/officeDocument/2006/relationships/hyperlink" Target="https://www.ohchr.org/en/special-procedures/sr-cambodia" TargetMode="External"/><Relationship Id="rId10" Type="http://schemas.openxmlformats.org/officeDocument/2006/relationships/hyperlink" Target="https://www.ohchr.org/en/special-procedures/sr-internally-displaced-persons" TargetMode="External"/><Relationship Id="rId19" Type="http://schemas.openxmlformats.org/officeDocument/2006/relationships/hyperlink" Target="https://www.ohchr.org/en/special-procedures/sr-food" TargetMode="External"/><Relationship Id="rId31" Type="http://schemas.openxmlformats.org/officeDocument/2006/relationships/hyperlink" Target="https://www.ohchr.org/en/special-procedures/wg-women-and-girls" TargetMode="External"/><Relationship Id="rId4" Type="http://schemas.openxmlformats.org/officeDocument/2006/relationships/settings" Target="settings.xml"/><Relationship Id="rId9" Type="http://schemas.openxmlformats.org/officeDocument/2006/relationships/hyperlink" Target="https://www.ohchr.org/en/special-procedures/sr-migrants/felipe-gonzalez-morales" TargetMode="External"/><Relationship Id="rId14" Type="http://schemas.openxmlformats.org/officeDocument/2006/relationships/hyperlink" Target="https://www.ohchr.org/en/special-procedures/sr-poverty" TargetMode="External"/><Relationship Id="rId22" Type="http://schemas.openxmlformats.org/officeDocument/2006/relationships/hyperlink" Target="https://www.ohchr.org/en/special-procedures/wg-mercenaries" TargetMode="External"/><Relationship Id="rId27" Type="http://schemas.openxmlformats.org/officeDocument/2006/relationships/hyperlink" Target="https://www.ohchr.org/en/special-procedures/sr-cultural-rights" TargetMode="External"/><Relationship Id="rId30" Type="http://schemas.openxmlformats.org/officeDocument/2006/relationships/hyperlink" Target="https://www.ohchr.org/en/special-procedures/sr-minority-issues" TargetMode="External"/><Relationship Id="rId35" Type="http://schemas.openxmlformats.org/officeDocument/2006/relationships/hyperlink" Target="https://en.wikipedia.org/wiki/United_Nations_Independent_Expert_on_the_Promotion_of_a_Democratic_and_Equitable_International_Or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CB75-D87D-4237-9948-3648B5C7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2117</Words>
  <Characters>12069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 Chen</dc:creator>
  <cp:keywords/>
  <dc:description/>
  <cp:lastModifiedBy>DUPONT Karine</cp:lastModifiedBy>
  <cp:revision>2</cp:revision>
  <dcterms:created xsi:type="dcterms:W3CDTF">2022-05-16T15:58:00Z</dcterms:created>
  <dcterms:modified xsi:type="dcterms:W3CDTF">2022-05-16T15:58:00Z</dcterms:modified>
</cp:coreProperties>
</file>