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7649" w14:textId="7A09498B" w:rsidR="006436F9" w:rsidRPr="00692045" w:rsidRDefault="00FC1891" w:rsidP="00EB24F6">
      <w:pPr>
        <w:jc w:val="center"/>
        <w:rPr>
          <w:rFonts w:cstheme="minorHAnsi"/>
          <w:b/>
          <w:bCs/>
          <w:i/>
          <w:iCs/>
          <w:u w:val="single"/>
          <w:lang w:val="en-US"/>
        </w:rPr>
      </w:pPr>
      <w:r>
        <w:rPr>
          <w:rFonts w:cstheme="minorHAnsi"/>
          <w:b/>
          <w:bCs/>
          <w:i/>
          <w:iCs/>
          <w:u w:val="single"/>
        </w:rPr>
        <w:t xml:space="preserve"> </w:t>
      </w:r>
      <w:r w:rsidRPr="00FC1891">
        <w:rPr>
          <w:rFonts w:cstheme="minorHAnsi"/>
          <w:b/>
          <w:bCs/>
          <w:i/>
          <w:iCs/>
          <w:u w:val="single"/>
        </w:rPr>
        <w:t>OHCHR</w:t>
      </w:r>
      <w:r w:rsidR="00D117BD">
        <w:rPr>
          <w:rFonts w:cstheme="minorHAnsi"/>
          <w:b/>
          <w:bCs/>
          <w:i/>
          <w:iCs/>
          <w:u w:val="single"/>
        </w:rPr>
        <w:t>’</w:t>
      </w:r>
      <w:r>
        <w:rPr>
          <w:rFonts w:cstheme="minorHAnsi"/>
          <w:b/>
          <w:bCs/>
          <w:i/>
          <w:iCs/>
          <w:u w:val="single"/>
        </w:rPr>
        <w:t xml:space="preserve">s Analytical </w:t>
      </w:r>
      <w:r w:rsidR="009F38B3">
        <w:rPr>
          <w:rFonts w:cstheme="minorHAnsi"/>
          <w:b/>
          <w:bCs/>
          <w:i/>
          <w:iCs/>
          <w:u w:val="single"/>
        </w:rPr>
        <w:t>S</w:t>
      </w:r>
      <w:r w:rsidR="00662BE1">
        <w:rPr>
          <w:rFonts w:cstheme="minorHAnsi"/>
          <w:b/>
          <w:bCs/>
          <w:i/>
          <w:iCs/>
          <w:u w:val="single"/>
        </w:rPr>
        <w:t xml:space="preserve">ummary </w:t>
      </w:r>
      <w:r w:rsidR="009F38B3">
        <w:rPr>
          <w:rFonts w:cstheme="minorHAnsi"/>
          <w:b/>
          <w:bCs/>
          <w:i/>
          <w:iCs/>
          <w:u w:val="single"/>
        </w:rPr>
        <w:t>of trends emerging from</w:t>
      </w:r>
      <w:r w:rsidR="00662BE1">
        <w:rPr>
          <w:rFonts w:cstheme="minorHAnsi"/>
          <w:b/>
          <w:bCs/>
          <w:i/>
          <w:iCs/>
          <w:u w:val="single"/>
        </w:rPr>
        <w:t xml:space="preserve"> the</w:t>
      </w:r>
      <w:r w:rsidR="006436F9" w:rsidRPr="002C3552">
        <w:rPr>
          <w:rFonts w:cstheme="minorHAnsi"/>
          <w:b/>
          <w:bCs/>
          <w:i/>
          <w:iCs/>
          <w:u w:val="single"/>
        </w:rPr>
        <w:t xml:space="preserve"> informal conversation</w:t>
      </w:r>
      <w:r w:rsidR="00641B78">
        <w:rPr>
          <w:rFonts w:cstheme="minorHAnsi"/>
          <w:b/>
          <w:bCs/>
          <w:i/>
          <w:iCs/>
          <w:u w:val="single"/>
        </w:rPr>
        <w:t>s</w:t>
      </w:r>
      <w:r w:rsidR="006436F9" w:rsidRPr="002C3552">
        <w:rPr>
          <w:rFonts w:cstheme="minorHAnsi"/>
          <w:b/>
          <w:bCs/>
          <w:i/>
          <w:iCs/>
          <w:u w:val="single"/>
        </w:rPr>
        <w:t xml:space="preserve"> with </w:t>
      </w:r>
      <w:r w:rsidR="00D117BD">
        <w:rPr>
          <w:rFonts w:cstheme="minorHAnsi"/>
          <w:b/>
          <w:bCs/>
          <w:i/>
          <w:iCs/>
          <w:u w:val="single"/>
        </w:rPr>
        <w:t>Chairs and experts of the human rights t</w:t>
      </w:r>
      <w:r w:rsidR="006436F9" w:rsidRPr="002C3552">
        <w:rPr>
          <w:rFonts w:cstheme="minorHAnsi"/>
          <w:b/>
          <w:bCs/>
          <w:i/>
          <w:iCs/>
          <w:u w:val="single"/>
        </w:rPr>
        <w:t xml:space="preserve">reaty body </w:t>
      </w:r>
      <w:r w:rsidR="00D117BD">
        <w:rPr>
          <w:rFonts w:cstheme="minorHAnsi"/>
          <w:b/>
          <w:bCs/>
          <w:i/>
          <w:iCs/>
          <w:u w:val="single"/>
        </w:rPr>
        <w:t>system</w:t>
      </w:r>
      <w:r w:rsidR="00176E17">
        <w:rPr>
          <w:rFonts w:cstheme="minorHAnsi"/>
          <w:b/>
          <w:bCs/>
          <w:i/>
          <w:iCs/>
          <w:u w:val="single"/>
        </w:rPr>
        <w:t>,</w:t>
      </w:r>
      <w:r w:rsidR="006436F9" w:rsidRPr="002C3552">
        <w:rPr>
          <w:rFonts w:cstheme="minorHAnsi"/>
          <w:b/>
          <w:bCs/>
          <w:i/>
          <w:iCs/>
          <w:u w:val="single"/>
        </w:rPr>
        <w:t xml:space="preserve"> </w:t>
      </w:r>
      <w:r w:rsidR="004A3685">
        <w:rPr>
          <w:rFonts w:cstheme="minorHAnsi"/>
          <w:b/>
          <w:bCs/>
          <w:i/>
          <w:iCs/>
          <w:u w:val="single"/>
        </w:rPr>
        <w:t xml:space="preserve">held on </w:t>
      </w:r>
      <w:r w:rsidR="006436F9" w:rsidRPr="002C3552">
        <w:rPr>
          <w:rFonts w:cstheme="minorHAnsi"/>
          <w:b/>
          <w:bCs/>
          <w:i/>
          <w:iCs/>
          <w:u w:val="single"/>
        </w:rPr>
        <w:t>23 and 24 March</w:t>
      </w:r>
      <w:r w:rsidR="003A573E">
        <w:rPr>
          <w:rFonts w:cstheme="minorHAnsi"/>
          <w:b/>
          <w:bCs/>
          <w:i/>
          <w:iCs/>
          <w:u w:val="single"/>
        </w:rPr>
        <w:t xml:space="preserve"> and 11 April 2022</w:t>
      </w:r>
      <w:r w:rsidR="009A66F8">
        <w:rPr>
          <w:rFonts w:cstheme="minorHAnsi"/>
          <w:b/>
          <w:bCs/>
          <w:i/>
          <w:iCs/>
          <w:u w:val="single"/>
        </w:rPr>
        <w:t xml:space="preserve"> </w:t>
      </w:r>
      <w:r w:rsidR="007D0BB3">
        <w:rPr>
          <w:rStyle w:val="FootnoteReference"/>
          <w:rFonts w:cstheme="minorHAnsi"/>
          <w:b/>
          <w:bCs/>
          <w:i/>
          <w:iCs/>
          <w:u w:val="single"/>
        </w:rPr>
        <w:footnoteReference w:id="1"/>
      </w:r>
    </w:p>
    <w:p w14:paraId="04CAA36B" w14:textId="64792669" w:rsidR="00264898" w:rsidRPr="006926AB" w:rsidRDefault="00264898" w:rsidP="003A573E">
      <w:pPr>
        <w:rPr>
          <w:rFonts w:cstheme="minorHAnsi"/>
          <w:b/>
          <w:bCs/>
          <w:i/>
          <w:iCs/>
          <w:u w:val="single"/>
        </w:rPr>
      </w:pPr>
      <w:r w:rsidRPr="006926AB">
        <w:rPr>
          <w:rFonts w:eastAsia="Times New Roman"/>
          <w:b/>
          <w:lang w:val="en-US"/>
        </w:rPr>
        <w:t>Update by the H</w:t>
      </w:r>
      <w:r w:rsidR="00C46696">
        <w:rPr>
          <w:rFonts w:eastAsia="Times New Roman"/>
          <w:b/>
          <w:lang w:val="en-US"/>
        </w:rPr>
        <w:t xml:space="preserve">igh </w:t>
      </w:r>
      <w:r w:rsidRPr="006926AB">
        <w:rPr>
          <w:rFonts w:eastAsia="Times New Roman"/>
          <w:b/>
          <w:lang w:val="en-US"/>
        </w:rPr>
        <w:t>C</w:t>
      </w:r>
      <w:r w:rsidR="00C46696">
        <w:rPr>
          <w:rFonts w:eastAsia="Times New Roman"/>
          <w:b/>
          <w:lang w:val="en-US"/>
        </w:rPr>
        <w:t>ommissioner</w:t>
      </w:r>
      <w:r w:rsidRPr="006926AB">
        <w:rPr>
          <w:rFonts w:eastAsia="Times New Roman"/>
          <w:b/>
          <w:lang w:val="en-US"/>
        </w:rPr>
        <w:t xml:space="preserve"> </w:t>
      </w:r>
      <w:r w:rsidR="00D117BD">
        <w:rPr>
          <w:rFonts w:eastAsia="Times New Roman"/>
          <w:b/>
          <w:lang w:val="en-US"/>
        </w:rPr>
        <w:t>for Human Rights</w:t>
      </w:r>
    </w:p>
    <w:p w14:paraId="6CEBEBA0" w14:textId="3AB58C43" w:rsidR="00B80F87" w:rsidRPr="00692045" w:rsidRDefault="002B1770" w:rsidP="00692045">
      <w:pPr>
        <w:spacing w:line="240" w:lineRule="auto"/>
        <w:rPr>
          <w:rFonts w:cstheme="minorHAnsi"/>
        </w:rPr>
      </w:pPr>
      <w:r>
        <w:rPr>
          <w:rFonts w:cstheme="minorHAnsi"/>
        </w:rPr>
        <w:t xml:space="preserve">On 23 March 2022, </w:t>
      </w:r>
      <w:r w:rsidR="00855F3E">
        <w:rPr>
          <w:rFonts w:cstheme="minorHAnsi"/>
        </w:rPr>
        <w:t>OHCHR</w:t>
      </w:r>
      <w:r w:rsidR="00D117BD">
        <w:rPr>
          <w:rFonts w:cstheme="minorHAnsi"/>
        </w:rPr>
        <w:t xml:space="preserve"> </w:t>
      </w:r>
      <w:r w:rsidR="009F38B3">
        <w:rPr>
          <w:rFonts w:cstheme="minorHAnsi"/>
        </w:rPr>
        <w:t>convened these informal conversations</w:t>
      </w:r>
      <w:r w:rsidR="00B626E6">
        <w:rPr>
          <w:rFonts w:cstheme="minorHAnsi"/>
        </w:rPr>
        <w:t xml:space="preserve"> with Chairs of treaty bodies and up to two experts per Committee</w:t>
      </w:r>
      <w:r w:rsidR="009F38B3">
        <w:rPr>
          <w:rFonts w:cstheme="minorHAnsi"/>
        </w:rPr>
        <w:t xml:space="preserve">, </w:t>
      </w:r>
      <w:r w:rsidR="00B80F87" w:rsidRPr="00692045">
        <w:rPr>
          <w:rFonts w:cstheme="minorHAnsi"/>
        </w:rPr>
        <w:t>express</w:t>
      </w:r>
      <w:r w:rsidR="009F38B3">
        <w:rPr>
          <w:rFonts w:cstheme="minorHAnsi"/>
        </w:rPr>
        <w:t>ing</w:t>
      </w:r>
      <w:r w:rsidR="00B80F87" w:rsidRPr="00692045">
        <w:rPr>
          <w:rFonts w:cstheme="minorHAnsi"/>
        </w:rPr>
        <w:t xml:space="preserve"> her </w:t>
      </w:r>
      <w:r w:rsidR="007609E6">
        <w:rPr>
          <w:rFonts w:cstheme="minorHAnsi"/>
        </w:rPr>
        <w:t>keenness to</w:t>
      </w:r>
      <w:r w:rsidR="00B80F87" w:rsidRPr="00692045">
        <w:rPr>
          <w:rFonts w:cstheme="minorHAnsi"/>
        </w:rPr>
        <w:t xml:space="preserve"> </w:t>
      </w:r>
      <w:r w:rsidR="009F38B3">
        <w:rPr>
          <w:rFonts w:cstheme="minorHAnsi"/>
        </w:rPr>
        <w:t>discuss with</w:t>
      </w:r>
      <w:r w:rsidR="00B80F87" w:rsidRPr="00692045">
        <w:rPr>
          <w:rFonts w:cstheme="minorHAnsi"/>
        </w:rPr>
        <w:t xml:space="preserve"> the Chairs and experts </w:t>
      </w:r>
      <w:r w:rsidR="009F38B3">
        <w:rPr>
          <w:rFonts w:cstheme="minorHAnsi"/>
        </w:rPr>
        <w:t xml:space="preserve">the future of the treaty body system </w:t>
      </w:r>
      <w:proofErr w:type="gramStart"/>
      <w:r w:rsidR="009F38B3">
        <w:rPr>
          <w:rFonts w:cstheme="minorHAnsi"/>
        </w:rPr>
        <w:t>in light of</w:t>
      </w:r>
      <w:proofErr w:type="gramEnd"/>
      <w:r w:rsidR="009F38B3">
        <w:rPr>
          <w:rFonts w:cstheme="minorHAnsi"/>
        </w:rPr>
        <w:t xml:space="preserve"> the existential challenges it is facing, as well as the whole human rights architecture.</w:t>
      </w:r>
      <w:r w:rsidR="00D117BD">
        <w:rPr>
          <w:rFonts w:cstheme="minorHAnsi"/>
        </w:rPr>
        <w:t xml:space="preserve"> </w:t>
      </w:r>
      <w:r w:rsidR="00B80F87" w:rsidRPr="00692045">
        <w:rPr>
          <w:rFonts w:cstheme="minorHAnsi"/>
        </w:rPr>
        <w:t xml:space="preserve">She noted that the UN human rights mechanisms, including the treaty body system, </w:t>
      </w:r>
      <w:r w:rsidR="005138AF">
        <w:rPr>
          <w:rFonts w:cstheme="minorHAnsi"/>
        </w:rPr>
        <w:t xml:space="preserve">had </w:t>
      </w:r>
      <w:r w:rsidR="00B80F87" w:rsidRPr="00692045">
        <w:rPr>
          <w:rFonts w:cstheme="minorHAnsi"/>
        </w:rPr>
        <w:t xml:space="preserve">had a very difficult two years, but </w:t>
      </w:r>
      <w:r w:rsidR="00C46696" w:rsidRPr="00692045">
        <w:rPr>
          <w:rFonts w:cstheme="minorHAnsi"/>
        </w:rPr>
        <w:t>had</w:t>
      </w:r>
      <w:r w:rsidR="00B80F87" w:rsidRPr="00692045">
        <w:rPr>
          <w:rFonts w:cstheme="minorHAnsi"/>
        </w:rPr>
        <w:t xml:space="preserve"> managed to ensure business continuity, despite the many challenges the COVID-19 pandemic presented. She explained that OHCHR had ad</w:t>
      </w:r>
      <w:r w:rsidR="00D117BD">
        <w:rPr>
          <w:rFonts w:cstheme="minorHAnsi"/>
        </w:rPr>
        <w:t>o</w:t>
      </w:r>
      <w:r w:rsidR="00B80F87" w:rsidRPr="00692045">
        <w:rPr>
          <w:rFonts w:cstheme="minorHAnsi"/>
        </w:rPr>
        <w:t xml:space="preserve">pted measures </w:t>
      </w:r>
      <w:proofErr w:type="gramStart"/>
      <w:r w:rsidR="00B80F87" w:rsidRPr="00692045">
        <w:rPr>
          <w:rFonts w:cstheme="minorHAnsi"/>
        </w:rPr>
        <w:t>in order to</w:t>
      </w:r>
      <w:proofErr w:type="gramEnd"/>
      <w:r>
        <w:rPr>
          <w:rFonts w:cstheme="minorHAnsi"/>
        </w:rPr>
        <w:t xml:space="preserve"> also</w:t>
      </w:r>
      <w:r w:rsidR="00B80F87" w:rsidRPr="00692045">
        <w:rPr>
          <w:rFonts w:cstheme="minorHAnsi"/>
        </w:rPr>
        <w:t xml:space="preserve"> ensure, through the various phases of the pandemic, the health and well-being of staff, members </w:t>
      </w:r>
      <w:r w:rsidR="00D117BD">
        <w:rPr>
          <w:rFonts w:cstheme="minorHAnsi"/>
        </w:rPr>
        <w:t xml:space="preserve">of treaty bodies </w:t>
      </w:r>
      <w:r w:rsidR="00B80F87" w:rsidRPr="00692045">
        <w:rPr>
          <w:rFonts w:cstheme="minorHAnsi"/>
        </w:rPr>
        <w:t xml:space="preserve">and delegates.  While OHCHR </w:t>
      </w:r>
      <w:r>
        <w:rPr>
          <w:rFonts w:cstheme="minorHAnsi"/>
        </w:rPr>
        <w:t>was</w:t>
      </w:r>
      <w:r w:rsidRPr="00692045">
        <w:rPr>
          <w:rFonts w:cstheme="minorHAnsi"/>
        </w:rPr>
        <w:t xml:space="preserve"> </w:t>
      </w:r>
      <w:r w:rsidR="00B80F87" w:rsidRPr="00692045">
        <w:rPr>
          <w:rFonts w:cstheme="minorHAnsi"/>
        </w:rPr>
        <w:t>still learning</w:t>
      </w:r>
      <w:r w:rsidR="005138AF">
        <w:rPr>
          <w:rFonts w:cstheme="minorHAnsi"/>
        </w:rPr>
        <w:t xml:space="preserve"> further </w:t>
      </w:r>
      <w:r w:rsidR="00B80F87" w:rsidRPr="00692045">
        <w:rPr>
          <w:rFonts w:cstheme="minorHAnsi"/>
        </w:rPr>
        <w:t xml:space="preserve">lessons from the past months, </w:t>
      </w:r>
      <w:r w:rsidR="005138AF">
        <w:rPr>
          <w:rFonts w:cstheme="minorHAnsi"/>
        </w:rPr>
        <w:t xml:space="preserve">it </w:t>
      </w:r>
      <w:r w:rsidR="00B80F87" w:rsidRPr="00692045">
        <w:rPr>
          <w:rFonts w:cstheme="minorHAnsi"/>
        </w:rPr>
        <w:t xml:space="preserve">had </w:t>
      </w:r>
      <w:r w:rsidR="005138AF">
        <w:rPr>
          <w:rFonts w:cstheme="minorHAnsi"/>
        </w:rPr>
        <w:t xml:space="preserve">worked to improve tools available to treaty bodies, including by </w:t>
      </w:r>
      <w:r w:rsidR="00B80F87" w:rsidRPr="00692045">
        <w:rPr>
          <w:rFonts w:cstheme="minorHAnsi"/>
        </w:rPr>
        <w:t>invest</w:t>
      </w:r>
      <w:r w:rsidR="00D117BD">
        <w:rPr>
          <w:rFonts w:cstheme="minorHAnsi"/>
        </w:rPr>
        <w:t>ing</w:t>
      </w:r>
      <w:r w:rsidR="00B80F87" w:rsidRPr="00692045">
        <w:rPr>
          <w:rFonts w:cstheme="minorHAnsi"/>
        </w:rPr>
        <w:t xml:space="preserve"> in modern conferencing </w:t>
      </w:r>
      <w:r w:rsidR="00D117BD">
        <w:rPr>
          <w:rFonts w:cstheme="minorHAnsi"/>
        </w:rPr>
        <w:t xml:space="preserve">and </w:t>
      </w:r>
      <w:r w:rsidR="00B80F87" w:rsidRPr="00692045">
        <w:rPr>
          <w:rFonts w:cstheme="minorHAnsi"/>
        </w:rPr>
        <w:t xml:space="preserve">technically upgrading the conference rooms in Palais Wilson to support on-line platforms with simultaneous interpretation. </w:t>
      </w:r>
    </w:p>
    <w:p w14:paraId="6FB69599" w14:textId="4565F3AD" w:rsidR="00496D07" w:rsidRDefault="009F38B3" w:rsidP="00692045">
      <w:pPr>
        <w:spacing w:line="240" w:lineRule="auto"/>
        <w:rPr>
          <w:rFonts w:cstheme="minorHAnsi"/>
          <w:b/>
        </w:rPr>
      </w:pPr>
      <w:r>
        <w:rPr>
          <w:rFonts w:cstheme="minorHAnsi"/>
        </w:rPr>
        <w:t xml:space="preserve">The High Commissioner </w:t>
      </w:r>
      <w:r w:rsidR="00B80F87" w:rsidRPr="00692045">
        <w:rPr>
          <w:rFonts w:cstheme="minorHAnsi"/>
        </w:rPr>
        <w:t>recalled that when she met the Chairs in November 2021, she had called on the Chairs to further discuss in the respective Committees the proposal</w:t>
      </w:r>
      <w:r w:rsidR="00855F3E">
        <w:rPr>
          <w:rFonts w:cstheme="minorHAnsi"/>
        </w:rPr>
        <w:t xml:space="preserve"> put forward </w:t>
      </w:r>
      <w:proofErr w:type="gramStart"/>
      <w:r w:rsidR="00855F3E">
        <w:rPr>
          <w:rFonts w:cstheme="minorHAnsi"/>
        </w:rPr>
        <w:t xml:space="preserve">by </w:t>
      </w:r>
      <w:r w:rsidR="00B80F87" w:rsidRPr="00692045">
        <w:rPr>
          <w:rFonts w:cstheme="minorHAnsi"/>
        </w:rPr>
        <w:t xml:space="preserve"> the</w:t>
      </w:r>
      <w:proofErr w:type="gramEnd"/>
      <w:r w:rsidR="00B80F87" w:rsidRPr="00692045">
        <w:rPr>
          <w:rFonts w:cstheme="minorHAnsi"/>
        </w:rPr>
        <w:t xml:space="preserve"> Committee on the Rights of Persons with Di</w:t>
      </w:r>
      <w:r w:rsidR="00C46696" w:rsidRPr="00692045">
        <w:rPr>
          <w:rFonts w:cstheme="minorHAnsi"/>
        </w:rPr>
        <w:t xml:space="preserve">sabilities, and to </w:t>
      </w:r>
      <w:r w:rsidR="00855F3E">
        <w:rPr>
          <w:rFonts w:cstheme="minorHAnsi"/>
        </w:rPr>
        <w:t xml:space="preserve">share </w:t>
      </w:r>
      <w:r w:rsidR="00C46696" w:rsidRPr="00692045">
        <w:rPr>
          <w:rFonts w:cstheme="minorHAnsi"/>
        </w:rPr>
        <w:t xml:space="preserve">their </w:t>
      </w:r>
      <w:r w:rsidR="00855F3E">
        <w:rPr>
          <w:rFonts w:cstheme="minorHAnsi"/>
        </w:rPr>
        <w:t>feedback/</w:t>
      </w:r>
      <w:r w:rsidR="00855F3E" w:rsidRPr="00692045">
        <w:rPr>
          <w:rFonts w:cstheme="minorHAnsi"/>
        </w:rPr>
        <w:t xml:space="preserve"> </w:t>
      </w:r>
      <w:r w:rsidR="00B80F87" w:rsidRPr="00692045">
        <w:rPr>
          <w:rFonts w:cstheme="minorHAnsi"/>
        </w:rPr>
        <w:t xml:space="preserve">proposals on the follow-up to the treaty body review. She noted </w:t>
      </w:r>
      <w:r w:rsidR="002B1770">
        <w:rPr>
          <w:rFonts w:cstheme="minorHAnsi"/>
        </w:rPr>
        <w:t>with</w:t>
      </w:r>
      <w:r w:rsidR="002B1770" w:rsidRPr="00692045">
        <w:rPr>
          <w:rFonts w:cstheme="minorHAnsi"/>
        </w:rPr>
        <w:t xml:space="preserve"> </w:t>
      </w:r>
      <w:r w:rsidR="007609E6">
        <w:rPr>
          <w:rFonts w:cstheme="minorHAnsi"/>
        </w:rPr>
        <w:t>appreciation</w:t>
      </w:r>
      <w:r w:rsidR="00B80F87" w:rsidRPr="00692045">
        <w:rPr>
          <w:rFonts w:cstheme="minorHAnsi"/>
        </w:rPr>
        <w:t xml:space="preserve"> that all Committees </w:t>
      </w:r>
      <w:r w:rsidR="00C46696" w:rsidRPr="00692045">
        <w:rPr>
          <w:rFonts w:cstheme="minorHAnsi"/>
        </w:rPr>
        <w:t>had</w:t>
      </w:r>
      <w:r w:rsidR="00B80F87" w:rsidRPr="00692045">
        <w:rPr>
          <w:rFonts w:cstheme="minorHAnsi"/>
        </w:rPr>
        <w:t xml:space="preserve"> advanced concrete substantive proposals</w:t>
      </w:r>
      <w:r w:rsidR="002B1770">
        <w:rPr>
          <w:rFonts w:cstheme="minorHAnsi"/>
        </w:rPr>
        <w:t>, which</w:t>
      </w:r>
      <w:r w:rsidR="00B80F87" w:rsidRPr="00692045">
        <w:rPr>
          <w:rFonts w:cstheme="minorHAnsi"/>
        </w:rPr>
        <w:t xml:space="preserve"> have several commonalitie</w:t>
      </w:r>
      <w:r w:rsidR="00496D07">
        <w:rPr>
          <w:rFonts w:cstheme="minorHAnsi"/>
        </w:rPr>
        <w:t>s. She</w:t>
      </w:r>
      <w:r w:rsidR="00B80F87" w:rsidRPr="00692045">
        <w:rPr>
          <w:rFonts w:cstheme="minorHAnsi"/>
        </w:rPr>
        <w:t xml:space="preserve"> expressed her full support and encouragement for bringing about much needed changes to enhance the way the treaty body system works </w:t>
      </w:r>
      <w:r w:rsidR="00496D07">
        <w:rPr>
          <w:rFonts w:cstheme="minorHAnsi"/>
        </w:rPr>
        <w:t xml:space="preserve">and is fit for purpose </w:t>
      </w:r>
      <w:r w:rsidR="00B80F87" w:rsidRPr="00692045">
        <w:rPr>
          <w:rFonts w:cstheme="minorHAnsi"/>
        </w:rPr>
        <w:t>in today</w:t>
      </w:r>
      <w:r w:rsidR="00C46696" w:rsidRPr="00692045">
        <w:rPr>
          <w:rFonts w:cstheme="minorHAnsi"/>
        </w:rPr>
        <w:t>’s</w:t>
      </w:r>
      <w:r w:rsidR="00B80F87" w:rsidRPr="00692045">
        <w:rPr>
          <w:rFonts w:cstheme="minorHAnsi"/>
        </w:rPr>
        <w:t xml:space="preserve"> challenging context</w:t>
      </w:r>
      <w:r w:rsidR="007A7D42">
        <w:rPr>
          <w:rFonts w:cstheme="minorHAnsi"/>
        </w:rPr>
        <w:t xml:space="preserve">, meeting the needs and expectations of </w:t>
      </w:r>
      <w:r w:rsidR="00942170">
        <w:rPr>
          <w:rFonts w:cstheme="minorHAnsi"/>
        </w:rPr>
        <w:t>S</w:t>
      </w:r>
      <w:r w:rsidR="007A7D42">
        <w:rPr>
          <w:rFonts w:cstheme="minorHAnsi"/>
        </w:rPr>
        <w:t>tates and other stakeholders.</w:t>
      </w:r>
      <w:r w:rsidR="009A66F8">
        <w:rPr>
          <w:rFonts w:cstheme="minorHAnsi"/>
        </w:rPr>
        <w:t xml:space="preserve"> </w:t>
      </w:r>
      <w:r w:rsidR="00B80F87" w:rsidRPr="00692045">
        <w:rPr>
          <w:rFonts w:cstheme="minorHAnsi"/>
        </w:rPr>
        <w:t xml:space="preserve">She expressed her hope that with the support of the Office, the Committees would progressively consolidate a unified proposal, </w:t>
      </w:r>
      <w:proofErr w:type="gramStart"/>
      <w:r w:rsidR="00B80F87" w:rsidRPr="00692045">
        <w:rPr>
          <w:rFonts w:cstheme="minorHAnsi"/>
        </w:rPr>
        <w:t>taking into account</w:t>
      </w:r>
      <w:proofErr w:type="gramEnd"/>
      <w:r w:rsidR="00B80F87" w:rsidRPr="00692045">
        <w:rPr>
          <w:rFonts w:cstheme="minorHAnsi"/>
        </w:rPr>
        <w:t xml:space="preserve"> the three </w:t>
      </w:r>
      <w:r w:rsidR="00496D07">
        <w:rPr>
          <w:rFonts w:cstheme="minorHAnsi"/>
        </w:rPr>
        <w:t xml:space="preserve">key </w:t>
      </w:r>
      <w:r w:rsidR="00B80F87" w:rsidRPr="00692045">
        <w:rPr>
          <w:rFonts w:cstheme="minorHAnsi"/>
        </w:rPr>
        <w:t>issues identified by the</w:t>
      </w:r>
      <w:r w:rsidR="002B1770">
        <w:rPr>
          <w:rFonts w:cstheme="minorHAnsi"/>
        </w:rPr>
        <w:t xml:space="preserve"> </w:t>
      </w:r>
      <w:r w:rsidR="00B80F87" w:rsidRPr="00692045">
        <w:rPr>
          <w:rFonts w:cstheme="minorHAnsi"/>
        </w:rPr>
        <w:t xml:space="preserve">co-facilitators </w:t>
      </w:r>
      <w:r w:rsidR="00496D07">
        <w:rPr>
          <w:rFonts w:cstheme="minorHAnsi"/>
        </w:rPr>
        <w:t>of</w:t>
      </w:r>
      <w:r w:rsidR="00B80F87" w:rsidRPr="00692045">
        <w:rPr>
          <w:rFonts w:cstheme="minorHAnsi"/>
        </w:rPr>
        <w:t xml:space="preserve"> the treaty body review: namely, the predictable review cycle, the alignment of working methods and the digital shift to better support treaty body work</w:t>
      </w:r>
      <w:r w:rsidR="009A66F8">
        <w:rPr>
          <w:rFonts w:cstheme="minorHAnsi"/>
        </w:rPr>
        <w:t xml:space="preserve">. </w:t>
      </w:r>
      <w:r w:rsidR="00942170">
        <w:rPr>
          <w:rStyle w:val="FootnoteReference"/>
          <w:rFonts w:cstheme="minorHAnsi"/>
        </w:rPr>
        <w:footnoteReference w:id="2"/>
      </w:r>
    </w:p>
    <w:p w14:paraId="7BD1B816" w14:textId="40E9E1EE" w:rsidR="00264898" w:rsidRPr="00EB24F6" w:rsidRDefault="00496D07" w:rsidP="00692045">
      <w:pPr>
        <w:spacing w:line="240" w:lineRule="auto"/>
        <w:rPr>
          <w:rFonts w:cstheme="minorHAnsi"/>
          <w:b/>
        </w:rPr>
      </w:pPr>
      <w:r w:rsidRPr="00EB24F6">
        <w:rPr>
          <w:rFonts w:cstheme="minorHAnsi"/>
          <w:bCs/>
        </w:rPr>
        <w:t>The High Commissioner</w:t>
      </w:r>
      <w:r w:rsidR="00B80F87" w:rsidRPr="00692045">
        <w:rPr>
          <w:rFonts w:cstheme="minorHAnsi"/>
        </w:rPr>
        <w:t xml:space="preserve"> highlighted that the next Secretary-General’s report</w:t>
      </w:r>
      <w:r w:rsidR="002B1770">
        <w:rPr>
          <w:rFonts w:cstheme="minorHAnsi"/>
        </w:rPr>
        <w:t>, to the 77</w:t>
      </w:r>
      <w:r w:rsidR="002B1770" w:rsidRPr="00E124A1">
        <w:rPr>
          <w:rFonts w:cstheme="minorHAnsi"/>
          <w:vertAlign w:val="superscript"/>
        </w:rPr>
        <w:t>th</w:t>
      </w:r>
      <w:r w:rsidR="002B1770">
        <w:rPr>
          <w:rFonts w:cstheme="minorHAnsi"/>
        </w:rPr>
        <w:t xml:space="preserve"> session of the General Assembly,</w:t>
      </w:r>
      <w:r w:rsidR="00B80F87" w:rsidRPr="00692045">
        <w:rPr>
          <w:rFonts w:cstheme="minorHAnsi"/>
        </w:rPr>
        <w:t xml:space="preserve"> provides </w:t>
      </w:r>
      <w:r>
        <w:rPr>
          <w:rFonts w:cstheme="minorHAnsi"/>
        </w:rPr>
        <w:t>a critical</w:t>
      </w:r>
      <w:r w:rsidR="00B80F87" w:rsidRPr="00692045">
        <w:rPr>
          <w:rFonts w:cstheme="minorHAnsi"/>
        </w:rPr>
        <w:t xml:space="preserve"> opportunity to present a unified proposal, including</w:t>
      </w:r>
      <w:r w:rsidR="007609E6">
        <w:rPr>
          <w:rFonts w:cstheme="minorHAnsi"/>
        </w:rPr>
        <w:t xml:space="preserve"> needed adjustments</w:t>
      </w:r>
      <w:r w:rsidR="00B80F87" w:rsidRPr="00692045">
        <w:rPr>
          <w:rFonts w:cstheme="minorHAnsi"/>
        </w:rPr>
        <w:t xml:space="preserve"> to the funding formula contained in General Assembly resolution 68/268 </w:t>
      </w:r>
      <w:proofErr w:type="gramStart"/>
      <w:r w:rsidR="00B80F87" w:rsidRPr="00692045">
        <w:rPr>
          <w:rFonts w:cstheme="minorHAnsi"/>
        </w:rPr>
        <w:t>in order to</w:t>
      </w:r>
      <w:proofErr w:type="gramEnd"/>
      <w:r w:rsidR="00B80F87" w:rsidRPr="00692045">
        <w:rPr>
          <w:rFonts w:cstheme="minorHAnsi"/>
        </w:rPr>
        <w:t xml:space="preserve"> </w:t>
      </w:r>
      <w:r w:rsidR="007609E6">
        <w:rPr>
          <w:rFonts w:cstheme="minorHAnsi"/>
        </w:rPr>
        <w:t xml:space="preserve">reflect the realities and </w:t>
      </w:r>
      <w:r w:rsidR="00B80F87" w:rsidRPr="00692045">
        <w:rPr>
          <w:rFonts w:cstheme="minorHAnsi"/>
        </w:rPr>
        <w:t>the actual needs of the treaty bod</w:t>
      </w:r>
      <w:r w:rsidR="00D117BD">
        <w:rPr>
          <w:rFonts w:cstheme="minorHAnsi"/>
        </w:rPr>
        <w:t>y system</w:t>
      </w:r>
      <w:r w:rsidR="00B80F87" w:rsidRPr="00692045">
        <w:rPr>
          <w:rFonts w:cstheme="minorHAnsi"/>
        </w:rPr>
        <w:t xml:space="preserve"> and of </w:t>
      </w:r>
      <w:r w:rsidR="009F38B3">
        <w:rPr>
          <w:rFonts w:cstheme="minorHAnsi"/>
        </w:rPr>
        <w:t>OHCHR in supporting their work</w:t>
      </w:r>
      <w:r w:rsidR="00B80F87" w:rsidRPr="00692045">
        <w:rPr>
          <w:rFonts w:cstheme="minorHAnsi"/>
        </w:rPr>
        <w:t xml:space="preserve">.  The High Commissioner recalled that the financial resources </w:t>
      </w:r>
      <w:r w:rsidR="002B1770">
        <w:rPr>
          <w:rFonts w:cstheme="minorHAnsi"/>
        </w:rPr>
        <w:t xml:space="preserve">to the treaty body system </w:t>
      </w:r>
      <w:r w:rsidR="00B80F87" w:rsidRPr="00692045">
        <w:rPr>
          <w:rFonts w:cstheme="minorHAnsi"/>
        </w:rPr>
        <w:t>ha</w:t>
      </w:r>
      <w:r w:rsidR="00D117BD">
        <w:rPr>
          <w:rFonts w:cstheme="minorHAnsi"/>
        </w:rPr>
        <w:t>ve</w:t>
      </w:r>
      <w:r w:rsidR="00B80F87" w:rsidRPr="00692045">
        <w:rPr>
          <w:rFonts w:cstheme="minorHAnsi"/>
        </w:rPr>
        <w:t xml:space="preserve"> not kept pace with the increased workload, especially </w:t>
      </w:r>
      <w:proofErr w:type="gramStart"/>
      <w:r w:rsidR="00B80F87" w:rsidRPr="00692045">
        <w:rPr>
          <w:rFonts w:cstheme="minorHAnsi"/>
        </w:rPr>
        <w:t>in the area of</w:t>
      </w:r>
      <w:proofErr w:type="gramEnd"/>
      <w:r w:rsidR="00B80F87" w:rsidRPr="00692045">
        <w:rPr>
          <w:rFonts w:cstheme="minorHAnsi"/>
        </w:rPr>
        <w:t xml:space="preserve"> individual communications and urgent actions and</w:t>
      </w:r>
      <w:r w:rsidR="002147E4">
        <w:rPr>
          <w:rFonts w:cstheme="minorHAnsi"/>
        </w:rPr>
        <w:t xml:space="preserve"> that</w:t>
      </w:r>
      <w:r w:rsidR="007A7D42">
        <w:rPr>
          <w:rFonts w:cstheme="minorHAnsi"/>
        </w:rPr>
        <w:t xml:space="preserve"> </w:t>
      </w:r>
      <w:r w:rsidR="007A7D42" w:rsidRPr="00692045">
        <w:rPr>
          <w:rFonts w:cstheme="minorHAnsi"/>
        </w:rPr>
        <w:t>OHCHR</w:t>
      </w:r>
      <w:r w:rsidR="00B80F87" w:rsidRPr="00692045">
        <w:rPr>
          <w:rFonts w:cstheme="minorHAnsi"/>
        </w:rPr>
        <w:t xml:space="preserve"> staff </w:t>
      </w:r>
      <w:r w:rsidR="002B1770">
        <w:rPr>
          <w:rFonts w:cstheme="minorHAnsi"/>
        </w:rPr>
        <w:t xml:space="preserve">was </w:t>
      </w:r>
      <w:r w:rsidR="00B80F87" w:rsidRPr="00692045">
        <w:rPr>
          <w:rFonts w:cstheme="minorHAnsi"/>
        </w:rPr>
        <w:t>struggling to me</w:t>
      </w:r>
      <w:r w:rsidR="00C46696" w:rsidRPr="00692045">
        <w:rPr>
          <w:rFonts w:cstheme="minorHAnsi"/>
        </w:rPr>
        <w:t xml:space="preserve">et competing and urgent demands, </w:t>
      </w:r>
      <w:r w:rsidR="002B1770">
        <w:rPr>
          <w:rFonts w:cstheme="minorHAnsi"/>
        </w:rPr>
        <w:t>as</w:t>
      </w:r>
      <w:r w:rsidR="006436F9" w:rsidRPr="00692045">
        <w:rPr>
          <w:rFonts w:cstheme="minorHAnsi"/>
        </w:rPr>
        <w:t xml:space="preserve"> </w:t>
      </w:r>
      <w:r w:rsidR="00B80F87" w:rsidRPr="00692045">
        <w:rPr>
          <w:rFonts w:cstheme="minorHAnsi"/>
        </w:rPr>
        <w:t xml:space="preserve">confirmed by </w:t>
      </w:r>
      <w:r w:rsidR="00BF4329">
        <w:rPr>
          <w:rFonts w:cstheme="minorHAnsi"/>
        </w:rPr>
        <w:t xml:space="preserve">the </w:t>
      </w:r>
      <w:r w:rsidR="00B80F87" w:rsidRPr="00692045">
        <w:rPr>
          <w:rFonts w:cstheme="minorHAnsi"/>
        </w:rPr>
        <w:t>OIOS</w:t>
      </w:r>
      <w:r w:rsidR="00D117BD">
        <w:rPr>
          <w:rFonts w:cstheme="minorHAnsi"/>
        </w:rPr>
        <w:t xml:space="preserve"> audit</w:t>
      </w:r>
      <w:r w:rsidR="007A7D42">
        <w:rPr>
          <w:rFonts w:cstheme="minorHAnsi"/>
        </w:rPr>
        <w:t xml:space="preserve"> conducted in 202</w:t>
      </w:r>
      <w:r w:rsidR="00BF4329">
        <w:rPr>
          <w:rFonts w:cstheme="minorHAnsi"/>
        </w:rPr>
        <w:t>1</w:t>
      </w:r>
      <w:r w:rsidR="009A66F8">
        <w:rPr>
          <w:rFonts w:cstheme="minorHAnsi"/>
        </w:rPr>
        <w:t xml:space="preserve">. </w:t>
      </w:r>
      <w:r w:rsidR="009A66F8">
        <w:rPr>
          <w:rStyle w:val="FootnoteReference"/>
          <w:rFonts w:cstheme="minorHAnsi"/>
        </w:rPr>
        <w:footnoteReference w:id="3"/>
      </w:r>
      <w:r w:rsidR="00B80F87" w:rsidRPr="00692045">
        <w:rPr>
          <w:rFonts w:cstheme="minorHAnsi"/>
        </w:rPr>
        <w:t xml:space="preserve"> She emphasized that </w:t>
      </w:r>
      <w:r w:rsidR="002147E4">
        <w:rPr>
          <w:rFonts w:cstheme="minorHAnsi"/>
        </w:rPr>
        <w:t xml:space="preserve">treaty body </w:t>
      </w:r>
      <w:r w:rsidR="002147E4">
        <w:rPr>
          <w:rFonts w:cstheme="minorHAnsi"/>
        </w:rPr>
        <w:lastRenderedPageBreak/>
        <w:t xml:space="preserve">chairs and experts </w:t>
      </w:r>
      <w:r w:rsidR="002B1770">
        <w:rPr>
          <w:rFonts w:cstheme="minorHAnsi"/>
        </w:rPr>
        <w:t>had</w:t>
      </w:r>
      <w:r w:rsidR="00B36F46">
        <w:rPr>
          <w:rFonts w:cstheme="minorHAnsi"/>
        </w:rPr>
        <w:t xml:space="preserve"> </w:t>
      </w:r>
      <w:r w:rsidR="00B80F87" w:rsidRPr="00692045">
        <w:rPr>
          <w:rFonts w:cstheme="minorHAnsi"/>
        </w:rPr>
        <w:t xml:space="preserve">an opportunity </w:t>
      </w:r>
      <w:r w:rsidR="002147E4">
        <w:rPr>
          <w:rFonts w:cstheme="minorHAnsi"/>
        </w:rPr>
        <w:t>that should not be missed</w:t>
      </w:r>
      <w:r w:rsidR="00B80F87" w:rsidRPr="00692045">
        <w:rPr>
          <w:rFonts w:cstheme="minorHAnsi"/>
        </w:rPr>
        <w:t xml:space="preserve"> </w:t>
      </w:r>
      <w:r w:rsidR="00392553">
        <w:rPr>
          <w:rFonts w:cstheme="minorHAnsi"/>
        </w:rPr>
        <w:t xml:space="preserve">to reach </w:t>
      </w:r>
      <w:r w:rsidR="00B80F87" w:rsidRPr="00692045">
        <w:rPr>
          <w:rFonts w:cstheme="minorHAnsi"/>
        </w:rPr>
        <w:t xml:space="preserve">a common understanding </w:t>
      </w:r>
      <w:r w:rsidR="00C37D4C">
        <w:rPr>
          <w:rFonts w:cstheme="minorHAnsi"/>
        </w:rPr>
        <w:t xml:space="preserve">to enable OHCHR to </w:t>
      </w:r>
      <w:r w:rsidR="00392553">
        <w:rPr>
          <w:rFonts w:cstheme="minorHAnsi"/>
        </w:rPr>
        <w:t>subm</w:t>
      </w:r>
      <w:r w:rsidR="00C37D4C">
        <w:rPr>
          <w:rFonts w:cstheme="minorHAnsi"/>
        </w:rPr>
        <w:t>it a costed model that makes an objective</w:t>
      </w:r>
      <w:r w:rsidR="00392553">
        <w:rPr>
          <w:rFonts w:cstheme="minorHAnsi"/>
        </w:rPr>
        <w:t xml:space="preserve"> case for</w:t>
      </w:r>
      <w:r w:rsidR="00B80F87" w:rsidRPr="00692045">
        <w:rPr>
          <w:rFonts w:cstheme="minorHAnsi"/>
        </w:rPr>
        <w:t xml:space="preserve"> the necessary </w:t>
      </w:r>
      <w:r w:rsidR="00C37D4C" w:rsidRPr="00692045">
        <w:rPr>
          <w:rFonts w:cstheme="minorHAnsi"/>
        </w:rPr>
        <w:t>resources</w:t>
      </w:r>
      <w:r w:rsidR="00B80F87" w:rsidRPr="00692045">
        <w:rPr>
          <w:rFonts w:cstheme="minorHAnsi"/>
        </w:rPr>
        <w:t xml:space="preserve">. </w:t>
      </w:r>
      <w:r w:rsidR="00C37D4C">
        <w:rPr>
          <w:rFonts w:cstheme="minorHAnsi"/>
        </w:rPr>
        <w:t>The High Commissioner</w:t>
      </w:r>
      <w:r w:rsidR="00B80F87" w:rsidRPr="00692045">
        <w:rPr>
          <w:rFonts w:cstheme="minorHAnsi"/>
        </w:rPr>
        <w:t xml:space="preserve"> explained that </w:t>
      </w:r>
      <w:r w:rsidR="002B1770">
        <w:rPr>
          <w:rFonts w:cstheme="minorHAnsi"/>
        </w:rPr>
        <w:t>OHCHR</w:t>
      </w:r>
      <w:r w:rsidR="00B80F87" w:rsidRPr="00692045">
        <w:rPr>
          <w:rFonts w:cstheme="minorHAnsi"/>
        </w:rPr>
        <w:t xml:space="preserve"> </w:t>
      </w:r>
      <w:r w:rsidR="002B1770" w:rsidRPr="00692045">
        <w:rPr>
          <w:rFonts w:cstheme="minorHAnsi"/>
        </w:rPr>
        <w:t>remain</w:t>
      </w:r>
      <w:r w:rsidR="002B1770">
        <w:rPr>
          <w:rFonts w:cstheme="minorHAnsi"/>
        </w:rPr>
        <w:t>ed</w:t>
      </w:r>
      <w:r w:rsidR="002B1770" w:rsidRPr="00692045">
        <w:rPr>
          <w:rFonts w:cstheme="minorHAnsi"/>
        </w:rPr>
        <w:t xml:space="preserve"> </w:t>
      </w:r>
      <w:r w:rsidR="00B80F87" w:rsidRPr="00692045">
        <w:rPr>
          <w:rFonts w:cstheme="minorHAnsi"/>
        </w:rPr>
        <w:t xml:space="preserve">committed to </w:t>
      </w:r>
      <w:r w:rsidR="00C37D4C" w:rsidRPr="00692045">
        <w:rPr>
          <w:rFonts w:cstheme="minorHAnsi"/>
        </w:rPr>
        <w:t>reinforce</w:t>
      </w:r>
      <w:r w:rsidR="00B80F87" w:rsidRPr="00692045">
        <w:rPr>
          <w:rFonts w:cstheme="minorHAnsi"/>
        </w:rPr>
        <w:t xml:space="preserve"> information sharing and communication with all </w:t>
      </w:r>
      <w:r w:rsidR="00D117BD">
        <w:rPr>
          <w:rFonts w:cstheme="minorHAnsi"/>
        </w:rPr>
        <w:t>C</w:t>
      </w:r>
      <w:r w:rsidR="00B80F87" w:rsidRPr="00692045">
        <w:rPr>
          <w:rFonts w:cstheme="minorHAnsi"/>
        </w:rPr>
        <w:t>ommittees, noting the central role of</w:t>
      </w:r>
      <w:r w:rsidR="006D19D7">
        <w:rPr>
          <w:rFonts w:cstheme="minorHAnsi"/>
        </w:rPr>
        <w:t xml:space="preserve"> </w:t>
      </w:r>
      <w:r w:rsidR="00B80F87" w:rsidRPr="00692045">
        <w:rPr>
          <w:rFonts w:cstheme="minorHAnsi"/>
        </w:rPr>
        <w:t>human rights mechanism</w:t>
      </w:r>
      <w:r w:rsidR="006D19D7">
        <w:rPr>
          <w:rFonts w:cstheme="minorHAnsi"/>
        </w:rPr>
        <w:t xml:space="preserve">s, including </w:t>
      </w:r>
      <w:r w:rsidR="00B80F87" w:rsidRPr="00692045">
        <w:rPr>
          <w:rFonts w:cstheme="minorHAnsi"/>
        </w:rPr>
        <w:t>the treaty body system</w:t>
      </w:r>
      <w:r w:rsidR="006D19D7">
        <w:rPr>
          <w:rFonts w:cstheme="minorHAnsi"/>
        </w:rPr>
        <w:t>, should play</w:t>
      </w:r>
      <w:r w:rsidR="00B80F87" w:rsidRPr="00692045">
        <w:rPr>
          <w:rFonts w:cstheme="minorHAnsi"/>
        </w:rPr>
        <w:t xml:space="preserve"> in a </w:t>
      </w:r>
      <w:r w:rsidR="00C46696" w:rsidRPr="00692045">
        <w:rPr>
          <w:rFonts w:cstheme="minorHAnsi"/>
        </w:rPr>
        <w:t xml:space="preserve">global </w:t>
      </w:r>
      <w:r w:rsidR="00B80F87" w:rsidRPr="00692045">
        <w:rPr>
          <w:rFonts w:cstheme="minorHAnsi"/>
        </w:rPr>
        <w:t xml:space="preserve">context that is becoming increasingly polarized. </w:t>
      </w:r>
    </w:p>
    <w:p w14:paraId="2C56CC30" w14:textId="0DA6D67D" w:rsidR="00FC1891" w:rsidRPr="00692045" w:rsidRDefault="00FC1891" w:rsidP="00692045">
      <w:pPr>
        <w:spacing w:line="240" w:lineRule="auto"/>
        <w:rPr>
          <w:rFonts w:cstheme="minorHAnsi"/>
        </w:rPr>
      </w:pPr>
      <w:r>
        <w:rPr>
          <w:rFonts w:cstheme="minorHAnsi"/>
        </w:rPr>
        <w:t xml:space="preserve">In their presentations and </w:t>
      </w:r>
      <w:r w:rsidR="002B1770">
        <w:rPr>
          <w:rFonts w:cstheme="minorHAnsi"/>
        </w:rPr>
        <w:t xml:space="preserve">ensuing </w:t>
      </w:r>
      <w:r>
        <w:rPr>
          <w:rFonts w:cstheme="minorHAnsi"/>
        </w:rPr>
        <w:t>moderation of the discussions</w:t>
      </w:r>
      <w:r w:rsidR="009A66F8">
        <w:rPr>
          <w:rFonts w:cstheme="minorHAnsi"/>
        </w:rPr>
        <w:t xml:space="preserve">, </w:t>
      </w:r>
      <w:r w:rsidR="00AB796C">
        <w:rPr>
          <w:rStyle w:val="FootnoteReference"/>
          <w:rFonts w:cstheme="minorHAnsi"/>
        </w:rPr>
        <w:footnoteReference w:id="4"/>
      </w:r>
      <w:r>
        <w:rPr>
          <w:rFonts w:cstheme="minorHAnsi"/>
        </w:rPr>
        <w:t xml:space="preserve"> OHCHR</w:t>
      </w:r>
      <w:r w:rsidR="00C37D4C">
        <w:rPr>
          <w:rFonts w:cstheme="minorHAnsi"/>
        </w:rPr>
        <w:t xml:space="preserve"> senior</w:t>
      </w:r>
      <w:r>
        <w:rPr>
          <w:rFonts w:cstheme="minorHAnsi"/>
        </w:rPr>
        <w:t xml:space="preserve"> managers indicated that </w:t>
      </w:r>
      <w:r w:rsidR="00D117BD">
        <w:rPr>
          <w:rFonts w:cstheme="minorHAnsi"/>
        </w:rPr>
        <w:t>S</w:t>
      </w:r>
      <w:r>
        <w:rPr>
          <w:rFonts w:cstheme="minorHAnsi"/>
        </w:rPr>
        <w:t>tates</w:t>
      </w:r>
      <w:r w:rsidR="009E65A4">
        <w:rPr>
          <w:rFonts w:cstheme="minorHAnsi"/>
        </w:rPr>
        <w:t xml:space="preserve">, </w:t>
      </w:r>
      <w:proofErr w:type="gramStart"/>
      <w:r w:rsidR="009E65A4">
        <w:rPr>
          <w:rFonts w:cstheme="minorHAnsi"/>
        </w:rPr>
        <w:t>NGOs</w:t>
      </w:r>
      <w:proofErr w:type="gramEnd"/>
      <w:r w:rsidR="009E65A4">
        <w:rPr>
          <w:rFonts w:cstheme="minorHAnsi"/>
        </w:rPr>
        <w:t xml:space="preserve"> and other stakeholders </w:t>
      </w:r>
      <w:r>
        <w:rPr>
          <w:rFonts w:cstheme="minorHAnsi"/>
        </w:rPr>
        <w:t xml:space="preserve">had </w:t>
      </w:r>
      <w:r w:rsidR="009E65A4">
        <w:rPr>
          <w:rFonts w:cstheme="minorHAnsi"/>
        </w:rPr>
        <w:t xml:space="preserve">expressed </w:t>
      </w:r>
      <w:r>
        <w:rPr>
          <w:rFonts w:cstheme="minorHAnsi"/>
        </w:rPr>
        <w:t xml:space="preserve">expectations, particularly in terms of reporting predictability, harmonisation of working methods, avoiding unnecessary duplication and </w:t>
      </w:r>
      <w:r w:rsidR="00B945C2">
        <w:rPr>
          <w:rFonts w:cstheme="minorHAnsi"/>
        </w:rPr>
        <w:t xml:space="preserve">expanding </w:t>
      </w:r>
      <w:r>
        <w:rPr>
          <w:rFonts w:cstheme="minorHAnsi"/>
        </w:rPr>
        <w:t>simplified reporting procedures</w:t>
      </w:r>
      <w:r w:rsidR="009A66F8">
        <w:rPr>
          <w:rFonts w:cstheme="minorHAnsi"/>
        </w:rPr>
        <w:t xml:space="preserve">. </w:t>
      </w:r>
      <w:r w:rsidR="00BA235B">
        <w:rPr>
          <w:rStyle w:val="FootnoteReference"/>
          <w:rFonts w:cstheme="minorHAnsi"/>
        </w:rPr>
        <w:footnoteReference w:id="5"/>
      </w:r>
      <w:r w:rsidR="00C37D4C">
        <w:rPr>
          <w:rFonts w:cstheme="minorHAnsi"/>
        </w:rPr>
        <w:t xml:space="preserve"> OHCHR indicated that</w:t>
      </w:r>
      <w:r w:rsidR="009E65A4">
        <w:rPr>
          <w:rFonts w:cstheme="minorHAnsi"/>
        </w:rPr>
        <w:t xml:space="preserve"> eight</w:t>
      </w:r>
      <w:r w:rsidR="00322F58">
        <w:rPr>
          <w:rFonts w:cstheme="minorHAnsi"/>
        </w:rPr>
        <w:t xml:space="preserve"> years of implementation of the landmark </w:t>
      </w:r>
      <w:r w:rsidR="00D117BD">
        <w:rPr>
          <w:rFonts w:cstheme="minorHAnsi"/>
        </w:rPr>
        <w:t>General Assembly</w:t>
      </w:r>
      <w:r w:rsidR="00322F58">
        <w:rPr>
          <w:rFonts w:cstheme="minorHAnsi"/>
        </w:rPr>
        <w:t xml:space="preserve"> resolution 68/268 </w:t>
      </w:r>
      <w:r w:rsidR="009E65A4">
        <w:rPr>
          <w:rFonts w:cstheme="minorHAnsi"/>
        </w:rPr>
        <w:t xml:space="preserve">had </w:t>
      </w:r>
      <w:r w:rsidR="00322F58">
        <w:rPr>
          <w:rFonts w:cstheme="minorHAnsi"/>
        </w:rPr>
        <w:t xml:space="preserve">generated a wealth </w:t>
      </w:r>
      <w:r w:rsidR="00C37D4C">
        <w:rPr>
          <w:rFonts w:cstheme="minorHAnsi"/>
        </w:rPr>
        <w:t>of lessons learned that were regularly</w:t>
      </w:r>
      <w:r w:rsidR="00322F58">
        <w:rPr>
          <w:rFonts w:cstheme="minorHAnsi"/>
        </w:rPr>
        <w:t xml:space="preserve"> captured in </w:t>
      </w:r>
      <w:r w:rsidR="009E65A4">
        <w:rPr>
          <w:rFonts w:cstheme="minorHAnsi"/>
        </w:rPr>
        <w:t xml:space="preserve">the </w:t>
      </w:r>
      <w:r w:rsidR="00322F58">
        <w:rPr>
          <w:rFonts w:cstheme="minorHAnsi"/>
        </w:rPr>
        <w:t>S</w:t>
      </w:r>
      <w:r w:rsidR="00D117BD">
        <w:rPr>
          <w:rFonts w:cstheme="minorHAnsi"/>
        </w:rPr>
        <w:t>ecretary-General’s</w:t>
      </w:r>
      <w:r w:rsidR="00322F58">
        <w:rPr>
          <w:rFonts w:cstheme="minorHAnsi"/>
        </w:rPr>
        <w:t xml:space="preserve"> reports</w:t>
      </w:r>
      <w:r w:rsidR="00D117BD">
        <w:rPr>
          <w:rFonts w:cstheme="minorHAnsi"/>
        </w:rPr>
        <w:t xml:space="preserve"> on the status of the treaty body system</w:t>
      </w:r>
      <w:r w:rsidR="00322F58">
        <w:rPr>
          <w:rFonts w:cstheme="minorHAnsi"/>
        </w:rPr>
        <w:t>.</w:t>
      </w:r>
      <w:r w:rsidR="00322F58">
        <w:rPr>
          <w:rStyle w:val="FootnoteReference"/>
          <w:rFonts w:cstheme="minorHAnsi"/>
        </w:rPr>
        <w:footnoteReference w:id="6"/>
      </w:r>
      <w:r w:rsidR="00322F58">
        <w:rPr>
          <w:rFonts w:cstheme="minorHAnsi"/>
        </w:rPr>
        <w:t xml:space="preserve"> The COVID-19 pandemic phase </w:t>
      </w:r>
      <w:r w:rsidR="009E65A4">
        <w:rPr>
          <w:rFonts w:cstheme="minorHAnsi"/>
        </w:rPr>
        <w:t xml:space="preserve">had </w:t>
      </w:r>
      <w:r w:rsidR="00322F58">
        <w:rPr>
          <w:rFonts w:cstheme="minorHAnsi"/>
        </w:rPr>
        <w:t>also demonstrated the risks of the treaty body system being paralysed when it is most needed. OHCHR managers prepared specific questions after each presentation they provided</w:t>
      </w:r>
      <w:r w:rsidR="002B1770">
        <w:rPr>
          <w:rFonts w:cstheme="minorHAnsi"/>
        </w:rPr>
        <w:t xml:space="preserve"> to help</w:t>
      </w:r>
      <w:r w:rsidR="00322F58">
        <w:rPr>
          <w:rFonts w:cstheme="minorHAnsi"/>
        </w:rPr>
        <w:t xml:space="preserve"> the informal conversation</w:t>
      </w:r>
      <w:r w:rsidR="00D117BD">
        <w:rPr>
          <w:rFonts w:cstheme="minorHAnsi"/>
        </w:rPr>
        <w:t>s</w:t>
      </w:r>
      <w:r w:rsidR="00322F58">
        <w:rPr>
          <w:rFonts w:cstheme="minorHAnsi"/>
        </w:rPr>
        <w:t xml:space="preserve"> to proceed in a </w:t>
      </w:r>
      <w:r w:rsidR="00C37D4C">
        <w:rPr>
          <w:rFonts w:cstheme="minorHAnsi"/>
        </w:rPr>
        <w:t xml:space="preserve">dynamic, </w:t>
      </w:r>
      <w:proofErr w:type="gramStart"/>
      <w:r w:rsidR="00C37D4C">
        <w:rPr>
          <w:rFonts w:cstheme="minorHAnsi"/>
        </w:rPr>
        <w:t>interactive</w:t>
      </w:r>
      <w:proofErr w:type="gramEnd"/>
      <w:r w:rsidR="00C37D4C">
        <w:rPr>
          <w:rFonts w:cstheme="minorHAnsi"/>
        </w:rPr>
        <w:t xml:space="preserve"> </w:t>
      </w:r>
      <w:r w:rsidR="00322F58">
        <w:rPr>
          <w:rFonts w:cstheme="minorHAnsi"/>
        </w:rPr>
        <w:t>and fruitful manner</w:t>
      </w:r>
      <w:r w:rsidR="002B1770">
        <w:rPr>
          <w:rFonts w:cstheme="minorHAnsi"/>
        </w:rPr>
        <w:t>.</w:t>
      </w:r>
      <w:r w:rsidR="00322F58">
        <w:rPr>
          <w:rFonts w:cstheme="minorHAnsi"/>
        </w:rPr>
        <w:t xml:space="preserve"> </w:t>
      </w:r>
    </w:p>
    <w:p w14:paraId="35CC8C5B" w14:textId="77777777" w:rsidR="00692045" w:rsidRPr="00692045" w:rsidRDefault="00692045" w:rsidP="00692045">
      <w:pPr>
        <w:spacing w:after="0" w:line="240" w:lineRule="auto"/>
        <w:rPr>
          <w:rFonts w:eastAsia="Times New Roman" w:cstheme="minorHAnsi"/>
          <w:b/>
          <w:bCs/>
          <w:lang w:val="en-US"/>
        </w:rPr>
      </w:pPr>
      <w:r w:rsidRPr="00692045">
        <w:rPr>
          <w:rFonts w:eastAsia="Times New Roman" w:cstheme="minorHAnsi"/>
          <w:b/>
          <w:bCs/>
          <w:lang w:val="en-US"/>
        </w:rPr>
        <w:t>Predictable schedule of reviews/calendar</w:t>
      </w:r>
    </w:p>
    <w:p w14:paraId="0331602B" w14:textId="77777777" w:rsidR="00692045" w:rsidRPr="00692045" w:rsidRDefault="00692045" w:rsidP="00692045">
      <w:pPr>
        <w:spacing w:after="0" w:line="240" w:lineRule="auto"/>
        <w:rPr>
          <w:rFonts w:eastAsia="Times New Roman" w:cstheme="minorHAnsi"/>
          <w:b/>
          <w:bCs/>
          <w:lang w:val="en-US"/>
        </w:rPr>
      </w:pPr>
    </w:p>
    <w:p w14:paraId="184314AF" w14:textId="547F2A6A" w:rsidR="00692045" w:rsidRPr="00B57A47" w:rsidRDefault="00641B78" w:rsidP="00692045">
      <w:pPr>
        <w:spacing w:line="240" w:lineRule="auto"/>
        <w:rPr>
          <w:rFonts w:cstheme="minorHAnsi"/>
        </w:rPr>
      </w:pPr>
      <w:r>
        <w:rPr>
          <w:rFonts w:cstheme="minorHAnsi"/>
        </w:rPr>
        <w:t xml:space="preserve">Based on the </w:t>
      </w:r>
      <w:r w:rsidR="0045369A">
        <w:rPr>
          <w:rFonts w:cstheme="minorHAnsi"/>
        </w:rPr>
        <w:t>C</w:t>
      </w:r>
      <w:r>
        <w:rPr>
          <w:rFonts w:cstheme="minorHAnsi"/>
        </w:rPr>
        <w:t>hairs</w:t>
      </w:r>
      <w:r w:rsidR="002B1770">
        <w:rPr>
          <w:rFonts w:cstheme="minorHAnsi"/>
        </w:rPr>
        <w:t>’</w:t>
      </w:r>
      <w:r>
        <w:rPr>
          <w:rFonts w:cstheme="minorHAnsi"/>
        </w:rPr>
        <w:t xml:space="preserve"> agreed vision adopted at thei</w:t>
      </w:r>
      <w:r w:rsidR="0045369A">
        <w:rPr>
          <w:rFonts w:cstheme="minorHAnsi"/>
        </w:rPr>
        <w:t>r 31</w:t>
      </w:r>
      <w:r w:rsidR="0045369A" w:rsidRPr="00EB24F6">
        <w:rPr>
          <w:rFonts w:cstheme="minorHAnsi"/>
          <w:vertAlign w:val="superscript"/>
        </w:rPr>
        <w:t>s</w:t>
      </w:r>
      <w:r w:rsidR="0045369A">
        <w:rPr>
          <w:rFonts w:cstheme="minorHAnsi"/>
          <w:vertAlign w:val="superscript"/>
        </w:rPr>
        <w:t xml:space="preserve">t </w:t>
      </w:r>
      <w:r w:rsidR="0045369A">
        <w:rPr>
          <w:rFonts w:cstheme="minorHAnsi"/>
        </w:rPr>
        <w:t>annual</w:t>
      </w:r>
      <w:r>
        <w:rPr>
          <w:rFonts w:cstheme="minorHAnsi"/>
        </w:rPr>
        <w:t xml:space="preserve"> meeting of June 2019</w:t>
      </w:r>
      <w:r w:rsidR="0045369A">
        <w:rPr>
          <w:rFonts w:cstheme="minorHAnsi"/>
        </w:rPr>
        <w:t xml:space="preserve">, </w:t>
      </w:r>
      <w:r>
        <w:rPr>
          <w:rStyle w:val="FootnoteReference"/>
          <w:rFonts w:cstheme="minorHAnsi"/>
        </w:rPr>
        <w:footnoteReference w:id="7"/>
      </w:r>
      <w:r>
        <w:rPr>
          <w:rFonts w:cstheme="minorHAnsi"/>
        </w:rPr>
        <w:t xml:space="preserve"> t</w:t>
      </w:r>
      <w:r w:rsidRPr="00641B78">
        <w:rPr>
          <w:rFonts w:cstheme="minorHAnsi"/>
        </w:rPr>
        <w:t xml:space="preserve">he </w:t>
      </w:r>
      <w:r w:rsidR="0045369A">
        <w:rPr>
          <w:rFonts w:cstheme="minorHAnsi"/>
        </w:rPr>
        <w:t xml:space="preserve">Committee on the Rights of </w:t>
      </w:r>
      <w:r w:rsidR="002B1770">
        <w:rPr>
          <w:rFonts w:cstheme="minorHAnsi"/>
        </w:rPr>
        <w:t>P</w:t>
      </w:r>
      <w:r w:rsidR="0045369A">
        <w:rPr>
          <w:rFonts w:cstheme="minorHAnsi"/>
        </w:rPr>
        <w:t>ersons with Disabilities (</w:t>
      </w:r>
      <w:r w:rsidRPr="00641B78">
        <w:rPr>
          <w:rFonts w:cstheme="minorHAnsi"/>
        </w:rPr>
        <w:t>CRPD</w:t>
      </w:r>
      <w:r w:rsidR="0045369A">
        <w:rPr>
          <w:rFonts w:cstheme="minorHAnsi"/>
        </w:rPr>
        <w:t>)</w:t>
      </w:r>
      <w:r w:rsidR="00692045" w:rsidRPr="00B57A47">
        <w:rPr>
          <w:rFonts w:cstheme="minorHAnsi"/>
        </w:rPr>
        <w:t xml:space="preserve"> </w:t>
      </w:r>
      <w:r w:rsidR="00B16AEE">
        <w:rPr>
          <w:rFonts w:cstheme="minorHAnsi"/>
        </w:rPr>
        <w:t xml:space="preserve">had originally </w:t>
      </w:r>
      <w:r w:rsidR="00692045" w:rsidRPr="00B57A47">
        <w:rPr>
          <w:rFonts w:cstheme="minorHAnsi"/>
        </w:rPr>
        <w:t>proposed to introduce a predictable schedule of reviews based on a five-year review cycle</w:t>
      </w:r>
      <w:r w:rsidR="00392553">
        <w:rPr>
          <w:rFonts w:cstheme="minorHAnsi"/>
        </w:rPr>
        <w:t>,</w:t>
      </w:r>
      <w:r w:rsidR="00692045" w:rsidRPr="00B57A47">
        <w:rPr>
          <w:rFonts w:cstheme="minorHAnsi"/>
        </w:rPr>
        <w:t xml:space="preserve"> factoring in the dates of the UPR</w:t>
      </w:r>
      <w:r w:rsidR="00392553">
        <w:rPr>
          <w:rFonts w:cstheme="minorHAnsi"/>
        </w:rPr>
        <w:t>,</w:t>
      </w:r>
      <w:r w:rsidR="00692045" w:rsidRPr="00B57A47">
        <w:rPr>
          <w:rFonts w:cstheme="minorHAnsi"/>
        </w:rPr>
        <w:t xml:space="preserve"> </w:t>
      </w:r>
      <w:proofErr w:type="gramStart"/>
      <w:r w:rsidR="00692045" w:rsidRPr="00B57A47">
        <w:rPr>
          <w:rFonts w:cstheme="minorHAnsi"/>
        </w:rPr>
        <w:t>on the basis of</w:t>
      </w:r>
      <w:proofErr w:type="gramEnd"/>
      <w:r w:rsidR="00692045" w:rsidRPr="00B57A47">
        <w:rPr>
          <w:rFonts w:cstheme="minorHAnsi"/>
        </w:rPr>
        <w:t xml:space="preserve"> alternating between full </w:t>
      </w:r>
      <w:r w:rsidR="001D6711">
        <w:rPr>
          <w:rFonts w:cstheme="minorHAnsi"/>
        </w:rPr>
        <w:t>review</w:t>
      </w:r>
      <w:r w:rsidR="009F38B3">
        <w:rPr>
          <w:rFonts w:cstheme="minorHAnsi"/>
        </w:rPr>
        <w:t>s</w:t>
      </w:r>
      <w:r w:rsidR="00392553">
        <w:rPr>
          <w:rFonts w:cstheme="minorHAnsi"/>
        </w:rPr>
        <w:t xml:space="preserve"> </w:t>
      </w:r>
      <w:r w:rsidR="00B16AEE">
        <w:rPr>
          <w:rFonts w:cstheme="minorHAnsi"/>
        </w:rPr>
        <w:t xml:space="preserve">and “focused </w:t>
      </w:r>
      <w:r w:rsidR="00692045" w:rsidRPr="00B57A47">
        <w:rPr>
          <w:rFonts w:cstheme="minorHAnsi"/>
        </w:rPr>
        <w:t>review</w:t>
      </w:r>
      <w:r w:rsidR="009F38B3">
        <w:rPr>
          <w:rFonts w:cstheme="minorHAnsi"/>
        </w:rPr>
        <w:t>s</w:t>
      </w:r>
      <w:r w:rsidR="00B16AEE">
        <w:rPr>
          <w:rFonts w:cstheme="minorHAnsi"/>
        </w:rPr>
        <w:t>”</w:t>
      </w:r>
      <w:r w:rsidR="00692045" w:rsidRPr="00B57A47">
        <w:rPr>
          <w:rFonts w:cstheme="minorHAnsi"/>
        </w:rPr>
        <w:t xml:space="preserve">. </w:t>
      </w:r>
      <w:r w:rsidR="009F38B3">
        <w:rPr>
          <w:rStyle w:val="FootnoteReference"/>
          <w:rFonts w:cstheme="minorHAnsi"/>
        </w:rPr>
        <w:footnoteReference w:id="8"/>
      </w:r>
    </w:p>
    <w:p w14:paraId="4EAEE5DD" w14:textId="0DFD1D59" w:rsidR="000C7EEA" w:rsidRPr="008C3468" w:rsidRDefault="00B626E6" w:rsidP="000C7EEA">
      <w:pPr>
        <w:spacing w:line="240" w:lineRule="auto"/>
        <w:rPr>
          <w:rFonts w:cstheme="minorHAnsi"/>
        </w:rPr>
      </w:pPr>
      <w:r w:rsidRPr="008C3468">
        <w:rPr>
          <w:rFonts w:cstheme="minorHAnsi"/>
        </w:rPr>
        <w:t>T</w:t>
      </w:r>
      <w:r w:rsidR="001D7284" w:rsidRPr="008C3468">
        <w:rPr>
          <w:rFonts w:cstheme="minorHAnsi"/>
        </w:rPr>
        <w:t>he</w:t>
      </w:r>
      <w:r w:rsidR="00B16B7F" w:rsidRPr="008C3468">
        <w:rPr>
          <w:rFonts w:cstheme="minorHAnsi"/>
        </w:rPr>
        <w:t xml:space="preserve"> </w:t>
      </w:r>
      <w:r w:rsidR="00692045" w:rsidRPr="008C3468">
        <w:rPr>
          <w:rFonts w:cstheme="minorHAnsi"/>
        </w:rPr>
        <w:t>Human Rights Committee</w:t>
      </w:r>
      <w:r w:rsidRPr="008C3468">
        <w:rPr>
          <w:rFonts w:cstheme="minorHAnsi"/>
        </w:rPr>
        <w:t xml:space="preserve"> (</w:t>
      </w:r>
      <w:proofErr w:type="spellStart"/>
      <w:r w:rsidRPr="008C3468">
        <w:rPr>
          <w:rFonts w:cstheme="minorHAnsi"/>
        </w:rPr>
        <w:t>HRCttee</w:t>
      </w:r>
      <w:proofErr w:type="spellEnd"/>
      <w:r w:rsidRPr="008C3468">
        <w:rPr>
          <w:rFonts w:cstheme="minorHAnsi"/>
        </w:rPr>
        <w:t>)</w:t>
      </w:r>
      <w:r w:rsidR="00692045" w:rsidRPr="008C3468">
        <w:rPr>
          <w:rFonts w:cstheme="minorHAnsi"/>
        </w:rPr>
        <w:t xml:space="preserve">, </w:t>
      </w:r>
      <w:r w:rsidRPr="008C3468">
        <w:rPr>
          <w:rFonts w:cstheme="minorHAnsi"/>
        </w:rPr>
        <w:t>Committee on Economic Social and Cultural Rights (CESCR)</w:t>
      </w:r>
      <w:r w:rsidR="00692045" w:rsidRPr="008C3468">
        <w:rPr>
          <w:rFonts w:cstheme="minorHAnsi"/>
        </w:rPr>
        <w:t xml:space="preserve">, </w:t>
      </w:r>
      <w:r w:rsidRPr="008C3468">
        <w:rPr>
          <w:rFonts w:cstheme="minorHAnsi"/>
        </w:rPr>
        <w:t>Committee on the Elimination of Discrimination against Women (CEDAW)</w:t>
      </w:r>
      <w:r w:rsidR="00692045" w:rsidRPr="008C3468">
        <w:rPr>
          <w:rFonts w:cstheme="minorHAnsi"/>
        </w:rPr>
        <w:t>,</w:t>
      </w:r>
      <w:r w:rsidRPr="008C3468">
        <w:rPr>
          <w:rFonts w:cstheme="minorHAnsi"/>
        </w:rPr>
        <w:t xml:space="preserve"> the Committee on the Rights of the Child (CRC)</w:t>
      </w:r>
      <w:r w:rsidR="00692045" w:rsidRPr="008C3468">
        <w:rPr>
          <w:rFonts w:cstheme="minorHAnsi"/>
        </w:rPr>
        <w:t xml:space="preserve">, </w:t>
      </w:r>
      <w:r w:rsidRPr="008C3468">
        <w:rPr>
          <w:rFonts w:cstheme="minorHAnsi"/>
        </w:rPr>
        <w:t xml:space="preserve">the Committee on Migrant Workers (CMW), </w:t>
      </w:r>
      <w:r w:rsidR="000C7EEA" w:rsidRPr="008C3468">
        <w:rPr>
          <w:rFonts w:cstheme="minorHAnsi"/>
        </w:rPr>
        <w:t>and</w:t>
      </w:r>
      <w:r w:rsidRPr="008C3468">
        <w:rPr>
          <w:rFonts w:cstheme="minorHAnsi"/>
        </w:rPr>
        <w:t xml:space="preserve"> the Committee on the Elimination of Racial Discrimination (CERD)</w:t>
      </w:r>
      <w:r w:rsidR="000C7EEA" w:rsidRPr="008C3468">
        <w:rPr>
          <w:rFonts w:cstheme="minorHAnsi"/>
        </w:rPr>
        <w:t xml:space="preserve"> </w:t>
      </w:r>
      <w:r w:rsidR="002B1770">
        <w:rPr>
          <w:rFonts w:cstheme="minorHAnsi"/>
        </w:rPr>
        <w:t>stated</w:t>
      </w:r>
      <w:r w:rsidR="002B1770" w:rsidRPr="008C3468">
        <w:rPr>
          <w:rFonts w:cstheme="minorHAnsi"/>
        </w:rPr>
        <w:t xml:space="preserve"> </w:t>
      </w:r>
      <w:r w:rsidR="00B16AEE" w:rsidRPr="008C3468">
        <w:rPr>
          <w:rFonts w:cstheme="minorHAnsi"/>
        </w:rPr>
        <w:t xml:space="preserve">their support for an </w:t>
      </w:r>
      <w:r w:rsidR="00692045" w:rsidRPr="008C3468">
        <w:rPr>
          <w:rFonts w:cstheme="minorHAnsi"/>
        </w:rPr>
        <w:t xml:space="preserve">eight-year </w:t>
      </w:r>
      <w:r w:rsidR="00392553" w:rsidRPr="008C3468">
        <w:rPr>
          <w:rFonts w:cstheme="minorHAnsi"/>
        </w:rPr>
        <w:t>review cycle</w:t>
      </w:r>
      <w:r w:rsidR="00B16AEE" w:rsidRPr="008C3468">
        <w:rPr>
          <w:rFonts w:cstheme="minorHAnsi"/>
        </w:rPr>
        <w:t xml:space="preserve"> for full reviews</w:t>
      </w:r>
      <w:r w:rsidR="00392553" w:rsidRPr="008C3468">
        <w:rPr>
          <w:rFonts w:cstheme="minorHAnsi"/>
        </w:rPr>
        <w:t xml:space="preserve"> </w:t>
      </w:r>
      <w:r w:rsidR="00692045" w:rsidRPr="008C3468">
        <w:rPr>
          <w:rFonts w:cstheme="minorHAnsi"/>
        </w:rPr>
        <w:t>with follow-up</w:t>
      </w:r>
      <w:r w:rsidR="00B16AEE" w:rsidRPr="008C3468">
        <w:rPr>
          <w:rFonts w:cstheme="minorHAnsi"/>
        </w:rPr>
        <w:t xml:space="preserve"> in-between</w:t>
      </w:r>
      <w:r w:rsidR="00692045" w:rsidRPr="008C3468">
        <w:rPr>
          <w:rFonts w:cstheme="minorHAnsi"/>
        </w:rPr>
        <w:t xml:space="preserve">, and to offering </w:t>
      </w:r>
      <w:r w:rsidR="004958B0">
        <w:rPr>
          <w:rFonts w:cstheme="minorHAnsi"/>
        </w:rPr>
        <w:t>to States parties</w:t>
      </w:r>
      <w:r w:rsidR="009F2836">
        <w:rPr>
          <w:rFonts w:cstheme="minorHAnsi"/>
        </w:rPr>
        <w:t xml:space="preserve"> </w:t>
      </w:r>
      <w:r w:rsidR="00692045" w:rsidRPr="008C3468">
        <w:rPr>
          <w:rFonts w:cstheme="minorHAnsi"/>
        </w:rPr>
        <w:t>the simplified reporting procedure as the default procedure</w:t>
      </w:r>
      <w:r w:rsidR="001D7284" w:rsidRPr="008C3468">
        <w:rPr>
          <w:rFonts w:cstheme="minorHAnsi"/>
        </w:rPr>
        <w:t xml:space="preserve"> (</w:t>
      </w:r>
      <w:r w:rsidR="00692045" w:rsidRPr="008C3468">
        <w:rPr>
          <w:rFonts w:cstheme="minorHAnsi"/>
        </w:rPr>
        <w:t xml:space="preserve">i.e. States parties </w:t>
      </w:r>
      <w:r w:rsidR="00B16AEE" w:rsidRPr="008C3468">
        <w:rPr>
          <w:rFonts w:cstheme="minorHAnsi"/>
        </w:rPr>
        <w:t xml:space="preserve">would </w:t>
      </w:r>
      <w:r w:rsidR="001D7284" w:rsidRPr="008C3468">
        <w:rPr>
          <w:rFonts w:cstheme="minorHAnsi"/>
        </w:rPr>
        <w:t xml:space="preserve">be requested to </w:t>
      </w:r>
      <w:r w:rsidR="00692045" w:rsidRPr="008C3468">
        <w:rPr>
          <w:rFonts w:cstheme="minorHAnsi"/>
        </w:rPr>
        <w:t xml:space="preserve">inform </w:t>
      </w:r>
      <w:r w:rsidR="001D7284" w:rsidRPr="008C3468">
        <w:rPr>
          <w:rFonts w:cstheme="minorHAnsi"/>
        </w:rPr>
        <w:t xml:space="preserve">the </w:t>
      </w:r>
      <w:r w:rsidRPr="008C3468">
        <w:rPr>
          <w:rFonts w:cstheme="minorHAnsi"/>
        </w:rPr>
        <w:t>C</w:t>
      </w:r>
      <w:r w:rsidR="001D7284" w:rsidRPr="008C3468">
        <w:rPr>
          <w:rFonts w:cstheme="minorHAnsi"/>
        </w:rPr>
        <w:t xml:space="preserve">ommittee concerned if they wish </w:t>
      </w:r>
      <w:r w:rsidR="00692045" w:rsidRPr="008C3468">
        <w:rPr>
          <w:rFonts w:cstheme="minorHAnsi"/>
        </w:rPr>
        <w:t>to opt</w:t>
      </w:r>
      <w:r w:rsidR="001D7284" w:rsidRPr="008C3468">
        <w:rPr>
          <w:rFonts w:cstheme="minorHAnsi"/>
        </w:rPr>
        <w:t xml:space="preserve"> </w:t>
      </w:r>
      <w:r w:rsidR="00692045" w:rsidRPr="008C3468">
        <w:rPr>
          <w:rFonts w:cstheme="minorHAnsi"/>
        </w:rPr>
        <w:t>out</w:t>
      </w:r>
      <w:r w:rsidR="001D7284" w:rsidRPr="008C3468">
        <w:rPr>
          <w:rFonts w:cstheme="minorHAnsi"/>
        </w:rPr>
        <w:t>)</w:t>
      </w:r>
      <w:r w:rsidR="00692045" w:rsidRPr="008C3468">
        <w:rPr>
          <w:rFonts w:cstheme="minorHAnsi"/>
        </w:rPr>
        <w:t xml:space="preserve">. </w:t>
      </w:r>
      <w:r w:rsidR="00F7056F" w:rsidRPr="008C3468">
        <w:rPr>
          <w:rFonts w:cstheme="minorHAnsi"/>
        </w:rPr>
        <w:t>Members of t</w:t>
      </w:r>
      <w:r w:rsidR="000C7EEA" w:rsidRPr="008C3468">
        <w:rPr>
          <w:rFonts w:cstheme="minorHAnsi"/>
        </w:rPr>
        <w:t>he Committee against Torture (</w:t>
      </w:r>
      <w:r w:rsidR="00692045" w:rsidRPr="008C3468">
        <w:rPr>
          <w:rFonts w:cstheme="minorHAnsi"/>
        </w:rPr>
        <w:t>CAT</w:t>
      </w:r>
      <w:r w:rsidR="000C7EEA" w:rsidRPr="008C3468">
        <w:rPr>
          <w:rFonts w:cstheme="minorHAnsi"/>
        </w:rPr>
        <w:t>)</w:t>
      </w:r>
      <w:r w:rsidR="00692045" w:rsidRPr="008C3468">
        <w:rPr>
          <w:rFonts w:cstheme="minorHAnsi"/>
        </w:rPr>
        <w:t xml:space="preserve"> </w:t>
      </w:r>
      <w:r w:rsidR="001D7284" w:rsidRPr="008C3468">
        <w:rPr>
          <w:rFonts w:cstheme="minorHAnsi"/>
        </w:rPr>
        <w:t xml:space="preserve">reiterated that </w:t>
      </w:r>
      <w:r w:rsidRPr="008C3468">
        <w:rPr>
          <w:rFonts w:cstheme="minorHAnsi"/>
        </w:rPr>
        <w:t>the Committee</w:t>
      </w:r>
      <w:r w:rsidR="00B16AEE" w:rsidRPr="008C3468">
        <w:rPr>
          <w:rFonts w:cstheme="minorHAnsi"/>
        </w:rPr>
        <w:t xml:space="preserve"> </w:t>
      </w:r>
      <w:r w:rsidR="0045369A" w:rsidRPr="00EB24F6">
        <w:t xml:space="preserve">is not in favour of a consolidated calendar with a firmly fixed timetable of reviews of States parties by all </w:t>
      </w:r>
      <w:r w:rsidR="0045369A">
        <w:t>C</w:t>
      </w:r>
      <w:r w:rsidR="0045369A" w:rsidRPr="00EB24F6">
        <w:t>ommittees</w:t>
      </w:r>
      <w:r w:rsidR="0045369A">
        <w:t>, and that f</w:t>
      </w:r>
      <w:r w:rsidR="0045369A" w:rsidRPr="00EB24F6">
        <w:t xml:space="preserve">or any review schedule to be feasible it would need to allow a degree of flexibility, enabling the treaty bodies to consider country-specific developments, including requests by States Parties for rescheduling reviews due to unforeseen circumstances. </w:t>
      </w:r>
      <w:r w:rsidR="00692045" w:rsidRPr="008C3468">
        <w:rPr>
          <w:rFonts w:cstheme="minorHAnsi"/>
        </w:rPr>
        <w:t>CED and SPT</w:t>
      </w:r>
      <w:r w:rsidR="000C7EEA" w:rsidRPr="008C3468">
        <w:rPr>
          <w:rFonts w:cstheme="minorHAnsi"/>
        </w:rPr>
        <w:t xml:space="preserve"> </w:t>
      </w:r>
      <w:proofErr w:type="gramStart"/>
      <w:r w:rsidR="00B16B7F" w:rsidRPr="008C3468">
        <w:rPr>
          <w:rFonts w:cstheme="minorHAnsi"/>
        </w:rPr>
        <w:t xml:space="preserve">- </w:t>
      </w:r>
      <w:r w:rsidR="000C7EEA" w:rsidRPr="008C3468">
        <w:rPr>
          <w:rFonts w:cstheme="minorHAnsi"/>
        </w:rPr>
        <w:t xml:space="preserve"> which</w:t>
      </w:r>
      <w:proofErr w:type="gramEnd"/>
      <w:r w:rsidR="000C7EEA" w:rsidRPr="008C3468">
        <w:rPr>
          <w:rFonts w:cstheme="minorHAnsi"/>
        </w:rPr>
        <w:t xml:space="preserve"> </w:t>
      </w:r>
      <w:r w:rsidR="00692045" w:rsidRPr="008C3468">
        <w:rPr>
          <w:rFonts w:cstheme="minorHAnsi"/>
        </w:rPr>
        <w:t>do not review period</w:t>
      </w:r>
      <w:r w:rsidR="000C7EEA" w:rsidRPr="008C3468">
        <w:rPr>
          <w:rFonts w:cstheme="minorHAnsi"/>
        </w:rPr>
        <w:t>ic</w:t>
      </w:r>
      <w:r w:rsidR="00662BE1" w:rsidRPr="008C3468">
        <w:rPr>
          <w:rFonts w:cstheme="minorHAnsi"/>
        </w:rPr>
        <w:t xml:space="preserve"> </w:t>
      </w:r>
      <w:r w:rsidR="00692045" w:rsidRPr="008C3468">
        <w:rPr>
          <w:rFonts w:cstheme="minorHAnsi"/>
        </w:rPr>
        <w:t>reports</w:t>
      </w:r>
      <w:r w:rsidR="00B16B7F" w:rsidRPr="008C3468">
        <w:rPr>
          <w:rFonts w:cstheme="minorHAnsi"/>
        </w:rPr>
        <w:t xml:space="preserve"> </w:t>
      </w:r>
      <w:r w:rsidR="004958B0">
        <w:rPr>
          <w:rFonts w:cstheme="minorHAnsi"/>
        </w:rPr>
        <w:t>-</w:t>
      </w:r>
      <w:r w:rsidR="004958B0" w:rsidRPr="008C3468">
        <w:rPr>
          <w:rFonts w:cstheme="minorHAnsi"/>
        </w:rPr>
        <w:t xml:space="preserve"> </w:t>
      </w:r>
      <w:r w:rsidR="00B16B7F" w:rsidRPr="008C3468">
        <w:rPr>
          <w:rFonts w:cstheme="minorHAnsi"/>
        </w:rPr>
        <w:t xml:space="preserve">expressed support for </w:t>
      </w:r>
      <w:r w:rsidR="00692045" w:rsidRPr="008C3468">
        <w:rPr>
          <w:rFonts w:cstheme="minorHAnsi"/>
        </w:rPr>
        <w:t>predictable schedules</w:t>
      </w:r>
      <w:r w:rsidR="009F2836">
        <w:rPr>
          <w:rFonts w:cstheme="minorHAnsi"/>
        </w:rPr>
        <w:t>,</w:t>
      </w:r>
      <w:r w:rsidR="00692045" w:rsidRPr="008C3468">
        <w:rPr>
          <w:rFonts w:cstheme="minorHAnsi"/>
        </w:rPr>
        <w:t xml:space="preserve"> </w:t>
      </w:r>
      <w:r w:rsidR="00B16B7F" w:rsidRPr="008C3468">
        <w:rPr>
          <w:rFonts w:cstheme="minorHAnsi"/>
        </w:rPr>
        <w:t xml:space="preserve">while noting that the </w:t>
      </w:r>
      <w:r w:rsidR="00F7056F" w:rsidRPr="008C3468">
        <w:rPr>
          <w:rFonts w:cstheme="minorHAnsi"/>
        </w:rPr>
        <w:t>specificity of their respective mandates and working methods</w:t>
      </w:r>
      <w:r w:rsidR="00B16B7F" w:rsidRPr="008C3468">
        <w:rPr>
          <w:rFonts w:cstheme="minorHAnsi"/>
        </w:rPr>
        <w:t xml:space="preserve"> would need to be taken int</w:t>
      </w:r>
      <w:r w:rsidR="00BF4329" w:rsidRPr="008C3468">
        <w:rPr>
          <w:rFonts w:cstheme="minorHAnsi"/>
        </w:rPr>
        <w:t>o</w:t>
      </w:r>
      <w:r w:rsidR="00B16B7F" w:rsidRPr="008C3468">
        <w:rPr>
          <w:rFonts w:cstheme="minorHAnsi"/>
        </w:rPr>
        <w:t xml:space="preserve"> account.</w:t>
      </w:r>
    </w:p>
    <w:p w14:paraId="18B17ED4" w14:textId="11404518" w:rsidR="00B16B7F" w:rsidRPr="00692045" w:rsidRDefault="00B16B7F" w:rsidP="00B16B7F">
      <w:pPr>
        <w:spacing w:line="240" w:lineRule="auto"/>
        <w:rPr>
          <w:rFonts w:cstheme="minorHAnsi"/>
          <w:b/>
        </w:rPr>
      </w:pPr>
      <w:r w:rsidRPr="00692045">
        <w:rPr>
          <w:rFonts w:cstheme="minorHAnsi"/>
          <w:b/>
        </w:rPr>
        <w:lastRenderedPageBreak/>
        <w:t xml:space="preserve">Focused </w:t>
      </w:r>
      <w:r w:rsidR="002B1698">
        <w:rPr>
          <w:rFonts w:cstheme="minorHAnsi"/>
          <w:b/>
        </w:rPr>
        <w:t>R</w:t>
      </w:r>
      <w:r w:rsidRPr="00692045">
        <w:rPr>
          <w:rFonts w:cstheme="minorHAnsi"/>
          <w:b/>
        </w:rPr>
        <w:t>eview</w:t>
      </w:r>
    </w:p>
    <w:p w14:paraId="79B0A6B7" w14:textId="4C2A973E" w:rsidR="00B16B7F" w:rsidRDefault="00B16B7F" w:rsidP="00EB24F6">
      <w:pPr>
        <w:rPr>
          <w:rFonts w:eastAsia="Times New Roman" w:cstheme="minorHAnsi"/>
          <w:b/>
          <w:bCs/>
          <w:lang w:val="en-US"/>
        </w:rPr>
      </w:pPr>
      <w:r w:rsidRPr="00B57A47">
        <w:rPr>
          <w:rFonts w:cstheme="minorHAnsi"/>
        </w:rPr>
        <w:t xml:space="preserve">The Committees’ views on the </w:t>
      </w:r>
      <w:r w:rsidR="002B1698">
        <w:rPr>
          <w:rFonts w:cstheme="minorHAnsi"/>
        </w:rPr>
        <w:t>“F</w:t>
      </w:r>
      <w:r w:rsidRPr="00B57A47">
        <w:rPr>
          <w:rFonts w:cstheme="minorHAnsi"/>
        </w:rPr>
        <w:t xml:space="preserve">ocused </w:t>
      </w:r>
      <w:r w:rsidR="002B1698">
        <w:rPr>
          <w:rFonts w:cstheme="minorHAnsi"/>
        </w:rPr>
        <w:t>R</w:t>
      </w:r>
      <w:r w:rsidRPr="00B57A47">
        <w:rPr>
          <w:rFonts w:cstheme="minorHAnsi"/>
        </w:rPr>
        <w:t>eview</w:t>
      </w:r>
      <w:r w:rsidR="002B1698">
        <w:rPr>
          <w:rFonts w:cstheme="minorHAnsi"/>
        </w:rPr>
        <w:t>”</w:t>
      </w:r>
      <w:r w:rsidRPr="00B57A47">
        <w:rPr>
          <w:rFonts w:cstheme="minorHAnsi"/>
        </w:rPr>
        <w:t xml:space="preserve"> varied considerably</w:t>
      </w:r>
      <w:r>
        <w:rPr>
          <w:rFonts w:cstheme="minorHAnsi"/>
        </w:rPr>
        <w:t xml:space="preserve"> at the beginning of the informal conversations convened by OHCHR</w:t>
      </w:r>
      <w:r w:rsidRPr="00B57A47">
        <w:rPr>
          <w:rFonts w:cstheme="minorHAnsi"/>
        </w:rPr>
        <w:t xml:space="preserve">.  Several </w:t>
      </w:r>
      <w:r w:rsidR="0087613F">
        <w:rPr>
          <w:rFonts w:cstheme="minorHAnsi"/>
        </w:rPr>
        <w:t>experts</w:t>
      </w:r>
      <w:r w:rsidRPr="00B57A47">
        <w:rPr>
          <w:rFonts w:cstheme="minorHAnsi"/>
        </w:rPr>
        <w:t xml:space="preserve"> </w:t>
      </w:r>
      <w:r w:rsidRPr="00B57A47">
        <w:rPr>
          <w:rFonts w:cstheme="minorHAnsi"/>
          <w:lang w:val="en-US"/>
        </w:rPr>
        <w:t xml:space="preserve">expressed reservations about the </w:t>
      </w:r>
      <w:r w:rsidR="002B1698">
        <w:rPr>
          <w:rFonts w:cstheme="minorHAnsi"/>
          <w:lang w:val="en-US"/>
        </w:rPr>
        <w:t>F</w:t>
      </w:r>
      <w:r w:rsidRPr="00B57A47">
        <w:rPr>
          <w:rFonts w:cstheme="minorHAnsi"/>
          <w:lang w:val="en-US"/>
        </w:rPr>
        <w:t xml:space="preserve">ocused </w:t>
      </w:r>
      <w:r w:rsidR="002B1698">
        <w:rPr>
          <w:rFonts w:cstheme="minorHAnsi"/>
          <w:lang w:val="en-US"/>
        </w:rPr>
        <w:t>R</w:t>
      </w:r>
      <w:r w:rsidRPr="00B57A47">
        <w:rPr>
          <w:rFonts w:cstheme="minorHAnsi"/>
          <w:lang w:val="en-US"/>
        </w:rPr>
        <w:t xml:space="preserve">eview, </w:t>
      </w:r>
      <w:r w:rsidRPr="00B57A47">
        <w:rPr>
          <w:rFonts w:cstheme="minorHAnsi"/>
        </w:rPr>
        <w:t xml:space="preserve">noting that there </w:t>
      </w:r>
      <w:r w:rsidR="009F2836">
        <w:rPr>
          <w:rFonts w:cstheme="minorHAnsi"/>
        </w:rPr>
        <w:t>was</w:t>
      </w:r>
      <w:r w:rsidR="009F2836" w:rsidRPr="00B57A47">
        <w:rPr>
          <w:rFonts w:cstheme="minorHAnsi"/>
        </w:rPr>
        <w:t xml:space="preserve"> </w:t>
      </w:r>
      <w:r w:rsidRPr="00B57A47">
        <w:rPr>
          <w:rFonts w:cstheme="minorHAnsi"/>
        </w:rPr>
        <w:t xml:space="preserve">scepticism about </w:t>
      </w:r>
      <w:r w:rsidR="009F2836">
        <w:rPr>
          <w:rFonts w:cstheme="minorHAnsi"/>
        </w:rPr>
        <w:t xml:space="preserve">its </w:t>
      </w:r>
      <w:r w:rsidRPr="00B57A47">
        <w:rPr>
          <w:rFonts w:cstheme="minorHAnsi"/>
        </w:rPr>
        <w:t>practicality</w:t>
      </w:r>
      <w:r w:rsidR="00BF4329">
        <w:rPr>
          <w:rFonts w:cstheme="minorHAnsi"/>
        </w:rPr>
        <w:t xml:space="preserve"> as regards </w:t>
      </w:r>
      <w:r w:rsidRPr="00B57A47">
        <w:rPr>
          <w:rFonts w:cstheme="minorHAnsi"/>
        </w:rPr>
        <w:t>logistics and financial need</w:t>
      </w:r>
      <w:r w:rsidR="0087613F">
        <w:rPr>
          <w:rFonts w:cstheme="minorHAnsi"/>
        </w:rPr>
        <w:t>s</w:t>
      </w:r>
      <w:r w:rsidRPr="00B57A47">
        <w:rPr>
          <w:rFonts w:cstheme="minorHAnsi"/>
        </w:rPr>
        <w:t xml:space="preserve"> of this procedure, and that human resources </w:t>
      </w:r>
      <w:r w:rsidR="00670A24">
        <w:rPr>
          <w:rFonts w:cstheme="minorHAnsi"/>
        </w:rPr>
        <w:t xml:space="preserve">would </w:t>
      </w:r>
      <w:r w:rsidRPr="00B57A47">
        <w:rPr>
          <w:rFonts w:cstheme="minorHAnsi"/>
        </w:rPr>
        <w:t xml:space="preserve">have to be increased to support any </w:t>
      </w:r>
      <w:r w:rsidR="002B1698">
        <w:rPr>
          <w:rFonts w:cstheme="minorHAnsi"/>
        </w:rPr>
        <w:t>F</w:t>
      </w:r>
      <w:r w:rsidRPr="00B57A47">
        <w:rPr>
          <w:rFonts w:cstheme="minorHAnsi"/>
        </w:rPr>
        <w:t xml:space="preserve">ocused </w:t>
      </w:r>
      <w:r w:rsidR="002B1698">
        <w:rPr>
          <w:rFonts w:cstheme="minorHAnsi"/>
        </w:rPr>
        <w:t>R</w:t>
      </w:r>
      <w:r w:rsidRPr="00B57A47">
        <w:rPr>
          <w:rFonts w:cstheme="minorHAnsi"/>
        </w:rPr>
        <w:t>eview and follow-up procedures.</w:t>
      </w:r>
      <w:r>
        <w:rPr>
          <w:rFonts w:cstheme="minorHAnsi"/>
        </w:rPr>
        <w:t xml:space="preserve"> </w:t>
      </w:r>
      <w:r w:rsidR="00854BEC">
        <w:rPr>
          <w:rFonts w:cstheme="minorHAnsi"/>
        </w:rPr>
        <w:t>T</w:t>
      </w:r>
      <w:r w:rsidR="00854BEC">
        <w:rPr>
          <w:rFonts w:cstheme="minorHAnsi"/>
          <w:lang w:val="en-US"/>
        </w:rPr>
        <w:t xml:space="preserve">he </w:t>
      </w:r>
      <w:r w:rsidRPr="00B57A47">
        <w:rPr>
          <w:rFonts w:cstheme="minorHAnsi"/>
          <w:lang w:val="en-US"/>
        </w:rPr>
        <w:t xml:space="preserve">view </w:t>
      </w:r>
      <w:r w:rsidR="00854BEC">
        <w:rPr>
          <w:rFonts w:cstheme="minorHAnsi"/>
          <w:lang w:val="en-US"/>
        </w:rPr>
        <w:t xml:space="preserve">was expressed </w:t>
      </w:r>
      <w:r w:rsidRPr="00B57A47">
        <w:rPr>
          <w:rFonts w:cstheme="minorHAnsi"/>
          <w:lang w:val="en-US"/>
        </w:rPr>
        <w:t xml:space="preserve">that the objective of the </w:t>
      </w:r>
      <w:r w:rsidR="002B1698">
        <w:rPr>
          <w:rFonts w:cstheme="minorHAnsi"/>
          <w:lang w:val="en-US"/>
        </w:rPr>
        <w:t>F</w:t>
      </w:r>
      <w:r w:rsidRPr="00B57A47">
        <w:rPr>
          <w:rFonts w:cstheme="minorHAnsi"/>
          <w:lang w:val="en-US"/>
        </w:rPr>
        <w:t xml:space="preserve">ocused </w:t>
      </w:r>
      <w:r w:rsidR="002B1698">
        <w:rPr>
          <w:rFonts w:cstheme="minorHAnsi"/>
          <w:lang w:val="en-US"/>
        </w:rPr>
        <w:t>R</w:t>
      </w:r>
      <w:r w:rsidRPr="00B57A47">
        <w:rPr>
          <w:rFonts w:cstheme="minorHAnsi"/>
          <w:lang w:val="en-US"/>
        </w:rPr>
        <w:t>eview would be to have increased contact with stakeholders, and this process should not be online.</w:t>
      </w:r>
      <w:r>
        <w:rPr>
          <w:rFonts w:cstheme="minorHAnsi"/>
          <w:lang w:val="en-US"/>
        </w:rPr>
        <w:t xml:space="preserve"> Several </w:t>
      </w:r>
      <w:r w:rsidR="00E85A69">
        <w:rPr>
          <w:rFonts w:cstheme="minorHAnsi"/>
          <w:lang w:val="en-US"/>
        </w:rPr>
        <w:t>experts</w:t>
      </w:r>
      <w:r>
        <w:rPr>
          <w:rFonts w:cstheme="minorHAnsi"/>
          <w:lang w:val="en-US"/>
        </w:rPr>
        <w:t xml:space="preserve"> noted that the </w:t>
      </w:r>
      <w:r w:rsidR="002B1698">
        <w:rPr>
          <w:rFonts w:cstheme="minorHAnsi"/>
          <w:lang w:val="en-US"/>
        </w:rPr>
        <w:t>F</w:t>
      </w:r>
      <w:r>
        <w:rPr>
          <w:rFonts w:cstheme="minorHAnsi"/>
          <w:lang w:val="en-US"/>
        </w:rPr>
        <w:t xml:space="preserve">ocused </w:t>
      </w:r>
      <w:r w:rsidR="002B1698">
        <w:rPr>
          <w:rFonts w:cstheme="minorHAnsi"/>
          <w:lang w:val="en-US"/>
        </w:rPr>
        <w:t>R</w:t>
      </w:r>
      <w:r>
        <w:rPr>
          <w:rFonts w:cstheme="minorHAnsi"/>
          <w:lang w:val="en-US"/>
        </w:rPr>
        <w:t>eview remain</w:t>
      </w:r>
      <w:r w:rsidR="0087613F">
        <w:rPr>
          <w:rFonts w:cstheme="minorHAnsi"/>
          <w:lang w:val="en-US"/>
        </w:rPr>
        <w:t>s</w:t>
      </w:r>
      <w:r>
        <w:rPr>
          <w:rFonts w:cstheme="minorHAnsi"/>
          <w:lang w:val="en-US"/>
        </w:rPr>
        <w:t xml:space="preserve"> unclear as a concept</w:t>
      </w:r>
      <w:r w:rsidR="00E85A69">
        <w:rPr>
          <w:rFonts w:cstheme="minorHAnsi"/>
          <w:lang w:val="en-US"/>
        </w:rPr>
        <w:t xml:space="preserve"> and suggested that</w:t>
      </w:r>
      <w:r>
        <w:rPr>
          <w:rFonts w:cstheme="minorHAnsi"/>
          <w:lang w:val="en-US"/>
        </w:rPr>
        <w:t xml:space="preserve"> its aim</w:t>
      </w:r>
      <w:r w:rsidR="00E85A69">
        <w:rPr>
          <w:rFonts w:cstheme="minorHAnsi"/>
          <w:lang w:val="en-US"/>
        </w:rPr>
        <w:t>s</w:t>
      </w:r>
      <w:r>
        <w:rPr>
          <w:rFonts w:cstheme="minorHAnsi"/>
          <w:lang w:val="en-US"/>
        </w:rPr>
        <w:t xml:space="preserve"> could be pursued through </w:t>
      </w:r>
      <w:r w:rsidR="00E85A69">
        <w:rPr>
          <w:rFonts w:cstheme="minorHAnsi"/>
          <w:lang w:val="en-US"/>
        </w:rPr>
        <w:t xml:space="preserve">strengthening of </w:t>
      </w:r>
      <w:r w:rsidR="009F2836">
        <w:rPr>
          <w:rFonts w:cstheme="minorHAnsi"/>
          <w:lang w:val="en-US"/>
        </w:rPr>
        <w:t xml:space="preserve">the </w:t>
      </w:r>
      <w:r w:rsidR="00E85A69">
        <w:rPr>
          <w:rFonts w:cstheme="minorHAnsi"/>
          <w:lang w:val="en-US"/>
        </w:rPr>
        <w:t>follow-up</w:t>
      </w:r>
      <w:r w:rsidR="009F2836">
        <w:rPr>
          <w:rFonts w:cstheme="minorHAnsi"/>
          <w:lang w:val="en-US"/>
        </w:rPr>
        <w:t xml:space="preserve"> procedures</w:t>
      </w:r>
      <w:r w:rsidR="00E85A69">
        <w:rPr>
          <w:rFonts w:cstheme="minorHAnsi"/>
          <w:lang w:val="en-US"/>
        </w:rPr>
        <w:t>.</w:t>
      </w:r>
      <w:r>
        <w:rPr>
          <w:rFonts w:cstheme="minorHAnsi"/>
          <w:lang w:val="en-US"/>
        </w:rPr>
        <w:t xml:space="preserve">  </w:t>
      </w:r>
    </w:p>
    <w:p w14:paraId="27E675D2" w14:textId="12D98099" w:rsidR="00692045" w:rsidRPr="00692045" w:rsidRDefault="00692045" w:rsidP="00692045">
      <w:pPr>
        <w:spacing w:after="0" w:line="240" w:lineRule="auto"/>
        <w:rPr>
          <w:rFonts w:cstheme="minorHAnsi"/>
          <w:b/>
        </w:rPr>
      </w:pPr>
      <w:r w:rsidRPr="00692045">
        <w:rPr>
          <w:rFonts w:eastAsia="Times New Roman" w:cstheme="minorHAnsi"/>
          <w:b/>
          <w:bCs/>
          <w:lang w:val="en-US"/>
        </w:rPr>
        <w:t>F</w:t>
      </w:r>
      <w:proofErr w:type="spellStart"/>
      <w:r w:rsidRPr="00692045">
        <w:rPr>
          <w:rFonts w:cstheme="minorHAnsi"/>
          <w:b/>
        </w:rPr>
        <w:t>ollow</w:t>
      </w:r>
      <w:proofErr w:type="spellEnd"/>
      <w:r w:rsidR="0087613F">
        <w:rPr>
          <w:rFonts w:cstheme="minorHAnsi"/>
          <w:b/>
        </w:rPr>
        <w:t>-</w:t>
      </w:r>
      <w:r w:rsidRPr="00692045">
        <w:rPr>
          <w:rFonts w:cstheme="minorHAnsi"/>
          <w:b/>
        </w:rPr>
        <w:t xml:space="preserve">up </w:t>
      </w:r>
      <w:r>
        <w:rPr>
          <w:rFonts w:cstheme="minorHAnsi"/>
          <w:b/>
        </w:rPr>
        <w:t>procedures</w:t>
      </w:r>
    </w:p>
    <w:p w14:paraId="7B2870CB" w14:textId="77777777" w:rsidR="00692045" w:rsidRPr="00692045" w:rsidRDefault="00692045" w:rsidP="00692045">
      <w:pPr>
        <w:spacing w:after="0" w:line="240" w:lineRule="auto"/>
        <w:rPr>
          <w:rFonts w:eastAsia="Times New Roman" w:cstheme="minorHAnsi"/>
          <w:b/>
          <w:bCs/>
          <w:lang w:val="en-US"/>
        </w:rPr>
      </w:pPr>
    </w:p>
    <w:p w14:paraId="7CF2DE42" w14:textId="258356EF" w:rsidR="00B16B7F" w:rsidRPr="00662BE1" w:rsidRDefault="00692045" w:rsidP="00692045">
      <w:pPr>
        <w:spacing w:line="240" w:lineRule="auto"/>
        <w:contextualSpacing/>
        <w:rPr>
          <w:rFonts w:cstheme="minorHAnsi"/>
          <w:lang w:val="en-US"/>
        </w:rPr>
      </w:pPr>
      <w:r w:rsidRPr="00B57A47">
        <w:rPr>
          <w:rFonts w:cstheme="minorHAnsi"/>
        </w:rPr>
        <w:t>Regarding the follow</w:t>
      </w:r>
      <w:r w:rsidR="00E85A69">
        <w:rPr>
          <w:rFonts w:cstheme="minorHAnsi"/>
        </w:rPr>
        <w:t>-</w:t>
      </w:r>
      <w:r w:rsidRPr="00B57A47">
        <w:rPr>
          <w:rFonts w:cstheme="minorHAnsi"/>
        </w:rPr>
        <w:t>up procedure</w:t>
      </w:r>
      <w:r w:rsidR="0087613F">
        <w:rPr>
          <w:rFonts w:cstheme="minorHAnsi"/>
        </w:rPr>
        <w:t>s</w:t>
      </w:r>
      <w:r w:rsidRPr="00B57A47">
        <w:rPr>
          <w:rFonts w:cstheme="minorHAnsi"/>
        </w:rPr>
        <w:t xml:space="preserve">, </w:t>
      </w:r>
      <w:r w:rsidR="00B16B7F">
        <w:rPr>
          <w:rFonts w:cstheme="minorHAnsi"/>
        </w:rPr>
        <w:t>s</w:t>
      </w:r>
      <w:r w:rsidRPr="00B57A47">
        <w:rPr>
          <w:rFonts w:cstheme="minorHAnsi"/>
        </w:rPr>
        <w:t xml:space="preserve">ome </w:t>
      </w:r>
      <w:r w:rsidR="00854BEC">
        <w:rPr>
          <w:rFonts w:cstheme="minorHAnsi"/>
        </w:rPr>
        <w:t xml:space="preserve">experts </w:t>
      </w:r>
      <w:r w:rsidRPr="00B57A47">
        <w:rPr>
          <w:rFonts w:cstheme="minorHAnsi"/>
        </w:rPr>
        <w:t>noted that they already had follow</w:t>
      </w:r>
      <w:r w:rsidR="0087613F">
        <w:rPr>
          <w:rFonts w:cstheme="minorHAnsi"/>
        </w:rPr>
        <w:t>-</w:t>
      </w:r>
      <w:r w:rsidRPr="00B57A47">
        <w:rPr>
          <w:rFonts w:cstheme="minorHAnsi"/>
        </w:rPr>
        <w:t xml:space="preserve">up procedures that worked well. </w:t>
      </w:r>
      <w:r w:rsidR="00854BEC">
        <w:rPr>
          <w:rFonts w:cstheme="minorHAnsi"/>
        </w:rPr>
        <w:t>One view expressed was</w:t>
      </w:r>
      <w:r w:rsidRPr="00B57A47">
        <w:rPr>
          <w:rFonts w:cstheme="minorHAnsi"/>
        </w:rPr>
        <w:t xml:space="preserve"> that </w:t>
      </w:r>
      <w:r w:rsidR="00854BEC">
        <w:rPr>
          <w:rFonts w:cstheme="minorHAnsi"/>
        </w:rPr>
        <w:t xml:space="preserve">a </w:t>
      </w:r>
      <w:proofErr w:type="gramStart"/>
      <w:r w:rsidR="0087613F">
        <w:rPr>
          <w:rFonts w:cstheme="minorHAnsi"/>
        </w:rPr>
        <w:t>C</w:t>
      </w:r>
      <w:r w:rsidRPr="00B57A47">
        <w:rPr>
          <w:rFonts w:cstheme="minorHAnsi"/>
        </w:rPr>
        <w:t>ommittee</w:t>
      </w:r>
      <w:proofErr w:type="gramEnd"/>
      <w:r w:rsidRPr="00B57A47">
        <w:rPr>
          <w:rFonts w:cstheme="minorHAnsi"/>
        </w:rPr>
        <w:t xml:space="preserve"> had </w:t>
      </w:r>
      <w:r w:rsidRPr="00B57A47">
        <w:rPr>
          <w:rFonts w:cstheme="minorHAnsi"/>
          <w:lang w:val="en-US"/>
        </w:rPr>
        <w:t>s</w:t>
      </w:r>
      <w:r w:rsidRPr="00B57A47">
        <w:rPr>
          <w:rFonts w:cstheme="minorHAnsi"/>
        </w:rPr>
        <w:t>tarted considering the follow</w:t>
      </w:r>
      <w:r w:rsidR="0087613F">
        <w:rPr>
          <w:rFonts w:cstheme="minorHAnsi"/>
        </w:rPr>
        <w:t>-</w:t>
      </w:r>
      <w:r w:rsidRPr="00B57A47">
        <w:rPr>
          <w:rFonts w:cstheme="minorHAnsi"/>
        </w:rPr>
        <w:t xml:space="preserve">up in the mid-term as an addition, which would strengthen the mandate, and the Committee would </w:t>
      </w:r>
      <w:r w:rsidRPr="00B57A47">
        <w:rPr>
          <w:rFonts w:cstheme="minorHAnsi"/>
          <w:lang w:val="en-US"/>
        </w:rPr>
        <w:t>not object if the follow</w:t>
      </w:r>
      <w:r w:rsidR="0087613F">
        <w:rPr>
          <w:rFonts w:cstheme="minorHAnsi"/>
          <w:lang w:val="en-US"/>
        </w:rPr>
        <w:t>-</w:t>
      </w:r>
      <w:r w:rsidRPr="00B57A47">
        <w:rPr>
          <w:rFonts w:cstheme="minorHAnsi"/>
          <w:lang w:val="en-US"/>
        </w:rPr>
        <w:t xml:space="preserve">up procedure </w:t>
      </w:r>
      <w:r w:rsidR="00391ED0">
        <w:rPr>
          <w:rFonts w:cstheme="minorHAnsi"/>
          <w:lang w:val="en-US"/>
        </w:rPr>
        <w:t xml:space="preserve">becomes the intermediary review. </w:t>
      </w:r>
      <w:r w:rsidR="000C7EEA" w:rsidRPr="00B57A47">
        <w:rPr>
          <w:rFonts w:cstheme="minorHAnsi"/>
        </w:rPr>
        <w:t xml:space="preserve">Several </w:t>
      </w:r>
      <w:r w:rsidR="00854BEC">
        <w:rPr>
          <w:rFonts w:cstheme="minorHAnsi"/>
        </w:rPr>
        <w:t xml:space="preserve">experts </w:t>
      </w:r>
      <w:r w:rsidR="000C7EEA" w:rsidRPr="00B57A47">
        <w:rPr>
          <w:rFonts w:cstheme="minorHAnsi"/>
        </w:rPr>
        <w:t xml:space="preserve">agreed that </w:t>
      </w:r>
      <w:r w:rsidR="000C7EEA" w:rsidRPr="00B57A47">
        <w:rPr>
          <w:rFonts w:cstheme="minorHAnsi"/>
          <w:lang w:val="en-US"/>
        </w:rPr>
        <w:t>the provision of adequate resources to the follow</w:t>
      </w:r>
      <w:r w:rsidR="0087613F">
        <w:rPr>
          <w:rFonts w:cstheme="minorHAnsi"/>
          <w:lang w:val="en-US"/>
        </w:rPr>
        <w:t>-</w:t>
      </w:r>
      <w:r w:rsidR="000C7EEA" w:rsidRPr="00B57A47">
        <w:rPr>
          <w:rFonts w:cstheme="minorHAnsi"/>
          <w:lang w:val="en-US"/>
        </w:rPr>
        <w:t>up procedure</w:t>
      </w:r>
      <w:r w:rsidR="0087613F">
        <w:rPr>
          <w:rFonts w:cstheme="minorHAnsi"/>
          <w:lang w:val="en-US"/>
        </w:rPr>
        <w:t>s</w:t>
      </w:r>
      <w:r w:rsidR="000C7EEA" w:rsidRPr="00B57A47">
        <w:rPr>
          <w:rFonts w:cstheme="minorHAnsi"/>
          <w:lang w:val="en-US"/>
        </w:rPr>
        <w:t xml:space="preserve"> was important, while one</w:t>
      </w:r>
      <w:r w:rsidR="00854BEC">
        <w:rPr>
          <w:rFonts w:cstheme="minorHAnsi"/>
          <w:lang w:val="en-US"/>
        </w:rPr>
        <w:t xml:space="preserve"> expert </w:t>
      </w:r>
      <w:r w:rsidR="000C7EEA" w:rsidRPr="00B57A47">
        <w:rPr>
          <w:rFonts w:cstheme="minorHAnsi"/>
          <w:lang w:val="en-US"/>
        </w:rPr>
        <w:t>also requested clarity on how many additional weeks of meeting time would be necessary for the follow-up procedure</w:t>
      </w:r>
      <w:r w:rsidR="00391ED0">
        <w:rPr>
          <w:rFonts w:cstheme="minorHAnsi"/>
          <w:lang w:val="en-US"/>
        </w:rPr>
        <w:t xml:space="preserve"> to become a structured harmonized review by all treaty bodies.</w:t>
      </w:r>
    </w:p>
    <w:p w14:paraId="16C16DDB" w14:textId="77777777" w:rsidR="000C7EEA" w:rsidRPr="00692045" w:rsidRDefault="000C7EEA" w:rsidP="00692045">
      <w:pPr>
        <w:spacing w:line="240" w:lineRule="auto"/>
        <w:contextualSpacing/>
        <w:rPr>
          <w:rFonts w:cstheme="minorHAnsi"/>
          <w:lang w:val="en-US"/>
        </w:rPr>
      </w:pPr>
    </w:p>
    <w:p w14:paraId="52628F9A" w14:textId="18F91552" w:rsidR="00C34E2D" w:rsidRDefault="009F2836" w:rsidP="001D6711">
      <w:pPr>
        <w:rPr>
          <w:rFonts w:cstheme="minorHAnsi"/>
          <w:lang w:val="en-US"/>
        </w:rPr>
      </w:pPr>
      <w:r>
        <w:rPr>
          <w:rFonts w:cstheme="minorHAnsi"/>
          <w:lang w:val="en-US"/>
        </w:rPr>
        <w:t xml:space="preserve">During the conversation, </w:t>
      </w:r>
      <w:r w:rsidR="00AE4E43">
        <w:rPr>
          <w:rFonts w:cstheme="minorHAnsi"/>
          <w:lang w:val="en-US"/>
        </w:rPr>
        <w:t>a</w:t>
      </w:r>
      <w:r w:rsidR="00E85A69">
        <w:rPr>
          <w:rFonts w:cstheme="minorHAnsi"/>
          <w:lang w:val="en-US"/>
        </w:rPr>
        <w:t xml:space="preserve"> </w:t>
      </w:r>
      <w:r w:rsidR="00AE4E43">
        <w:rPr>
          <w:rFonts w:cstheme="minorHAnsi"/>
          <w:lang w:val="en-US"/>
        </w:rPr>
        <w:t xml:space="preserve">consensus emerged towards </w:t>
      </w:r>
      <w:r w:rsidR="001D6711" w:rsidRPr="001D6711">
        <w:rPr>
          <w:rFonts w:cstheme="minorHAnsi"/>
          <w:lang w:val="en-US"/>
        </w:rPr>
        <w:t xml:space="preserve">dropping the </w:t>
      </w:r>
      <w:r w:rsidR="00E85A69">
        <w:rPr>
          <w:rFonts w:cstheme="minorHAnsi"/>
          <w:lang w:val="en-US"/>
        </w:rPr>
        <w:t xml:space="preserve">notion </w:t>
      </w:r>
      <w:r w:rsidR="001D6711">
        <w:rPr>
          <w:rFonts w:cstheme="minorHAnsi"/>
          <w:lang w:val="en-US"/>
        </w:rPr>
        <w:t>of “</w:t>
      </w:r>
      <w:r w:rsidR="002B1698">
        <w:rPr>
          <w:rFonts w:cstheme="minorHAnsi"/>
          <w:lang w:val="en-US"/>
        </w:rPr>
        <w:t>F</w:t>
      </w:r>
      <w:r w:rsidR="001D6711">
        <w:rPr>
          <w:rFonts w:cstheme="minorHAnsi"/>
          <w:lang w:val="en-US"/>
        </w:rPr>
        <w:t xml:space="preserve">ocused </w:t>
      </w:r>
      <w:r w:rsidR="002B1698">
        <w:rPr>
          <w:rFonts w:cstheme="minorHAnsi"/>
          <w:lang w:val="en-US"/>
        </w:rPr>
        <w:t>R</w:t>
      </w:r>
      <w:r w:rsidR="001D6711">
        <w:rPr>
          <w:rFonts w:cstheme="minorHAnsi"/>
          <w:lang w:val="en-US"/>
        </w:rPr>
        <w:t>eview” and replacin</w:t>
      </w:r>
      <w:r w:rsidR="00AE4E43">
        <w:rPr>
          <w:rFonts w:cstheme="minorHAnsi"/>
          <w:lang w:val="en-US"/>
        </w:rPr>
        <w:t xml:space="preserve">g </w:t>
      </w:r>
      <w:r w:rsidR="00E85A69">
        <w:rPr>
          <w:rFonts w:cstheme="minorHAnsi"/>
          <w:lang w:val="en-US"/>
        </w:rPr>
        <w:t>it</w:t>
      </w:r>
      <w:r w:rsidR="00AE4E43">
        <w:rPr>
          <w:rFonts w:cstheme="minorHAnsi"/>
          <w:lang w:val="en-US"/>
        </w:rPr>
        <w:t xml:space="preserve"> by the clearer term of “Follow-up R</w:t>
      </w:r>
      <w:r w:rsidR="001D6711">
        <w:rPr>
          <w:rFonts w:cstheme="minorHAnsi"/>
          <w:lang w:val="en-US"/>
        </w:rPr>
        <w:t>eview”</w:t>
      </w:r>
      <w:r w:rsidR="00E85A69">
        <w:rPr>
          <w:rFonts w:cstheme="minorHAnsi"/>
          <w:lang w:val="en-US"/>
        </w:rPr>
        <w:t xml:space="preserve">. </w:t>
      </w:r>
      <w:r w:rsidR="00854BEC">
        <w:rPr>
          <w:rFonts w:cstheme="minorHAnsi"/>
          <w:lang w:val="en-US"/>
        </w:rPr>
        <w:t xml:space="preserve">A </w:t>
      </w:r>
      <w:r w:rsidR="00E85A69">
        <w:rPr>
          <w:rFonts w:cstheme="minorHAnsi"/>
          <w:lang w:val="en-US"/>
        </w:rPr>
        <w:t xml:space="preserve">“Follow-up </w:t>
      </w:r>
      <w:r w:rsidR="002B1698">
        <w:rPr>
          <w:rFonts w:cstheme="minorHAnsi"/>
          <w:lang w:val="en-US"/>
        </w:rPr>
        <w:t>R</w:t>
      </w:r>
      <w:r w:rsidR="00E85A69">
        <w:rPr>
          <w:rFonts w:cstheme="minorHAnsi"/>
          <w:lang w:val="en-US"/>
        </w:rPr>
        <w:t>eview” would constitute</w:t>
      </w:r>
      <w:r w:rsidR="001D6711">
        <w:rPr>
          <w:rFonts w:cstheme="minorHAnsi"/>
          <w:lang w:val="en-US"/>
        </w:rPr>
        <w:t xml:space="preserve"> an intermediary </w:t>
      </w:r>
      <w:r w:rsidR="009F38B3">
        <w:rPr>
          <w:rFonts w:cstheme="minorHAnsi"/>
          <w:lang w:val="en-US"/>
        </w:rPr>
        <w:t>review</w:t>
      </w:r>
      <w:r w:rsidR="001D6711">
        <w:rPr>
          <w:rFonts w:cstheme="minorHAnsi"/>
          <w:lang w:val="en-US"/>
        </w:rPr>
        <w:t xml:space="preserve"> </w:t>
      </w:r>
      <w:r w:rsidR="003E4D8A">
        <w:rPr>
          <w:rFonts w:cstheme="minorHAnsi"/>
          <w:lang w:val="en-US"/>
        </w:rPr>
        <w:t>between two full reviews</w:t>
      </w:r>
      <w:r w:rsidR="00C34E2D">
        <w:rPr>
          <w:rFonts w:cstheme="minorHAnsi"/>
          <w:lang w:val="en-US"/>
        </w:rPr>
        <w:t xml:space="preserve"> over</w:t>
      </w:r>
      <w:r w:rsidR="0087613F">
        <w:rPr>
          <w:rFonts w:cstheme="minorHAnsi"/>
          <w:lang w:val="en-US"/>
        </w:rPr>
        <w:t xml:space="preserve"> an</w:t>
      </w:r>
      <w:r w:rsidR="00C34E2D">
        <w:rPr>
          <w:rFonts w:cstheme="minorHAnsi"/>
          <w:lang w:val="en-US"/>
        </w:rPr>
        <w:t xml:space="preserve"> eight-year cycle</w:t>
      </w:r>
      <w:r w:rsidR="003E4D8A">
        <w:rPr>
          <w:rFonts w:cstheme="minorHAnsi"/>
          <w:lang w:val="en-US"/>
        </w:rPr>
        <w:t xml:space="preserve">. While </w:t>
      </w:r>
      <w:r w:rsidR="00C34E2D">
        <w:rPr>
          <w:rFonts w:cstheme="minorHAnsi"/>
          <w:lang w:val="en-US"/>
        </w:rPr>
        <w:t>drawing</w:t>
      </w:r>
      <w:r w:rsidR="003E4D8A">
        <w:rPr>
          <w:rFonts w:cstheme="minorHAnsi"/>
          <w:lang w:val="en-US"/>
        </w:rPr>
        <w:t xml:space="preserve"> on the current follow-up proced</w:t>
      </w:r>
      <w:r w:rsidR="00C34E2D">
        <w:rPr>
          <w:rFonts w:cstheme="minorHAnsi"/>
          <w:lang w:val="en-US"/>
        </w:rPr>
        <w:t>u</w:t>
      </w:r>
      <w:r w:rsidR="003E4D8A">
        <w:rPr>
          <w:rFonts w:cstheme="minorHAnsi"/>
          <w:lang w:val="en-US"/>
        </w:rPr>
        <w:t xml:space="preserve">res, </w:t>
      </w:r>
      <w:r w:rsidR="00C34E2D">
        <w:rPr>
          <w:rFonts w:cstheme="minorHAnsi"/>
          <w:lang w:val="en-US"/>
        </w:rPr>
        <w:t>its</w:t>
      </w:r>
      <w:r w:rsidR="003E4D8A">
        <w:rPr>
          <w:rFonts w:cstheme="minorHAnsi"/>
          <w:lang w:val="en-US"/>
        </w:rPr>
        <w:t xml:space="preserve"> </w:t>
      </w:r>
      <w:r w:rsidR="001D6711">
        <w:rPr>
          <w:rFonts w:cstheme="minorHAnsi"/>
          <w:lang w:val="en-US"/>
        </w:rPr>
        <w:t>harmonized modalities</w:t>
      </w:r>
      <w:r w:rsidR="00C34E2D">
        <w:rPr>
          <w:rFonts w:cstheme="minorHAnsi"/>
          <w:lang w:val="en-US"/>
        </w:rPr>
        <w:t xml:space="preserve"> would need to be further defined</w:t>
      </w:r>
      <w:r w:rsidR="001D6711">
        <w:rPr>
          <w:rFonts w:cstheme="minorHAnsi"/>
          <w:lang w:val="en-US"/>
        </w:rPr>
        <w:t xml:space="preserve">. </w:t>
      </w:r>
      <w:r w:rsidR="00C34E2D">
        <w:rPr>
          <w:rFonts w:cstheme="minorHAnsi"/>
          <w:lang w:val="en-US"/>
        </w:rPr>
        <w:t xml:space="preserve">A </w:t>
      </w:r>
      <w:r w:rsidR="0087613F">
        <w:rPr>
          <w:rFonts w:cstheme="minorHAnsi"/>
          <w:lang w:val="en-US"/>
        </w:rPr>
        <w:t>p</w:t>
      </w:r>
      <w:r w:rsidR="00C34E2D">
        <w:rPr>
          <w:rFonts w:cstheme="minorHAnsi"/>
          <w:lang w:val="en-US"/>
        </w:rPr>
        <w:t>redicta</w:t>
      </w:r>
      <w:r w:rsidR="0087613F">
        <w:rPr>
          <w:rFonts w:cstheme="minorHAnsi"/>
          <w:lang w:val="en-US"/>
        </w:rPr>
        <w:t>b</w:t>
      </w:r>
      <w:r w:rsidR="00C34E2D">
        <w:rPr>
          <w:rFonts w:cstheme="minorHAnsi"/>
          <w:lang w:val="en-US"/>
        </w:rPr>
        <w:t>le eight-year cycle with</w:t>
      </w:r>
      <w:r w:rsidR="0087613F">
        <w:rPr>
          <w:rFonts w:cstheme="minorHAnsi"/>
          <w:lang w:val="en-US"/>
        </w:rPr>
        <w:t xml:space="preserve"> a</w:t>
      </w:r>
      <w:r w:rsidR="00AE4E43">
        <w:rPr>
          <w:rFonts w:cstheme="minorHAnsi"/>
          <w:lang w:val="en-US"/>
        </w:rPr>
        <w:t xml:space="preserve"> </w:t>
      </w:r>
      <w:r w:rsidR="00AE4E43" w:rsidRPr="00AE4E43">
        <w:rPr>
          <w:rFonts w:cstheme="minorHAnsi"/>
          <w:lang w:val="en-US"/>
        </w:rPr>
        <w:t>“Follow-up Review”</w:t>
      </w:r>
      <w:r w:rsidR="00AE4E43">
        <w:rPr>
          <w:rFonts w:cstheme="minorHAnsi"/>
          <w:lang w:val="en-US"/>
        </w:rPr>
        <w:t xml:space="preserve"> </w:t>
      </w:r>
      <w:r w:rsidR="00C34E2D">
        <w:rPr>
          <w:rFonts w:cstheme="minorHAnsi"/>
          <w:lang w:val="en-US"/>
        </w:rPr>
        <w:t>in</w:t>
      </w:r>
      <w:r w:rsidR="0087613F">
        <w:rPr>
          <w:rFonts w:cstheme="minorHAnsi"/>
          <w:lang w:val="en-US"/>
        </w:rPr>
        <w:t>-</w:t>
      </w:r>
      <w:r w:rsidR="00C34E2D">
        <w:rPr>
          <w:rFonts w:cstheme="minorHAnsi"/>
          <w:lang w:val="en-US"/>
        </w:rPr>
        <w:t xml:space="preserve">between would </w:t>
      </w:r>
      <w:r w:rsidR="00AE4E43">
        <w:rPr>
          <w:rFonts w:cstheme="minorHAnsi"/>
          <w:lang w:val="en-US"/>
        </w:rPr>
        <w:t xml:space="preserve">ensure equal treatment of all </w:t>
      </w:r>
      <w:r w:rsidR="0087613F">
        <w:rPr>
          <w:rFonts w:cstheme="minorHAnsi"/>
          <w:lang w:val="en-US"/>
        </w:rPr>
        <w:t>S</w:t>
      </w:r>
      <w:r w:rsidR="00AE4E43">
        <w:rPr>
          <w:rFonts w:cstheme="minorHAnsi"/>
          <w:lang w:val="en-US"/>
        </w:rPr>
        <w:t xml:space="preserve">tates and </w:t>
      </w:r>
      <w:r w:rsidR="00C34E2D">
        <w:rPr>
          <w:rFonts w:cstheme="minorHAnsi"/>
          <w:lang w:val="en-US"/>
        </w:rPr>
        <w:t xml:space="preserve">facilitate </w:t>
      </w:r>
      <w:r w:rsidR="00AE4E43">
        <w:rPr>
          <w:rFonts w:cstheme="minorHAnsi"/>
          <w:lang w:val="en-US"/>
        </w:rPr>
        <w:t xml:space="preserve">compliance with their reporting obligations. </w:t>
      </w:r>
      <w:r w:rsidR="00C34E2D">
        <w:rPr>
          <w:rFonts w:cstheme="minorHAnsi"/>
          <w:lang w:val="en-US"/>
        </w:rPr>
        <w:t>It</w:t>
      </w:r>
      <w:r w:rsidR="00AE4E43">
        <w:rPr>
          <w:rFonts w:cstheme="minorHAnsi"/>
          <w:lang w:val="en-US"/>
        </w:rPr>
        <w:t xml:space="preserve"> would</w:t>
      </w:r>
      <w:r w:rsidR="00C34E2D">
        <w:rPr>
          <w:rFonts w:cstheme="minorHAnsi"/>
          <w:lang w:val="en-US"/>
        </w:rPr>
        <w:t xml:space="preserve"> also</w:t>
      </w:r>
      <w:r w:rsidR="00AE4E43">
        <w:rPr>
          <w:rFonts w:cstheme="minorHAnsi"/>
          <w:lang w:val="en-US"/>
        </w:rPr>
        <w:t xml:space="preserve"> allow treaty bodies to avoid unnecessary duplication or repeti</w:t>
      </w:r>
      <w:r w:rsidR="00C34E2D">
        <w:rPr>
          <w:rFonts w:cstheme="minorHAnsi"/>
          <w:lang w:val="en-US"/>
        </w:rPr>
        <w:t>ti</w:t>
      </w:r>
      <w:r w:rsidR="00AE4E43">
        <w:rPr>
          <w:rFonts w:cstheme="minorHAnsi"/>
          <w:lang w:val="en-US"/>
        </w:rPr>
        <w:t xml:space="preserve">on of recommendations, which were largely attributed to the lack of </w:t>
      </w:r>
      <w:r w:rsidR="003D785D">
        <w:rPr>
          <w:rFonts w:cstheme="minorHAnsi"/>
          <w:lang w:val="en-US"/>
        </w:rPr>
        <w:t>certainty about</w:t>
      </w:r>
      <w:r w:rsidR="00AE4E43">
        <w:rPr>
          <w:rFonts w:cstheme="minorHAnsi"/>
          <w:lang w:val="en-US"/>
        </w:rPr>
        <w:t xml:space="preserve"> </w:t>
      </w:r>
      <w:r w:rsidR="0087613F">
        <w:rPr>
          <w:rFonts w:cstheme="minorHAnsi"/>
          <w:lang w:val="en-US"/>
        </w:rPr>
        <w:t>S</w:t>
      </w:r>
      <w:r w:rsidR="00AE4E43">
        <w:rPr>
          <w:rFonts w:cstheme="minorHAnsi"/>
          <w:lang w:val="en-US"/>
        </w:rPr>
        <w:t>tates</w:t>
      </w:r>
      <w:r w:rsidR="0087613F">
        <w:rPr>
          <w:rFonts w:cstheme="minorHAnsi"/>
          <w:lang w:val="en-US"/>
        </w:rPr>
        <w:t>’</w:t>
      </w:r>
      <w:r w:rsidR="00AE4E43">
        <w:rPr>
          <w:rFonts w:cstheme="minorHAnsi"/>
          <w:lang w:val="en-US"/>
        </w:rPr>
        <w:t xml:space="preserve"> subsequent engagement with </w:t>
      </w:r>
      <w:r w:rsidR="0087613F">
        <w:rPr>
          <w:rFonts w:cstheme="minorHAnsi"/>
          <w:lang w:val="en-US"/>
        </w:rPr>
        <w:t xml:space="preserve">other </w:t>
      </w:r>
      <w:r w:rsidR="00AE4E43">
        <w:rPr>
          <w:rFonts w:cstheme="minorHAnsi"/>
          <w:lang w:val="en-US"/>
        </w:rPr>
        <w:t>treaty bodies.</w:t>
      </w:r>
      <w:r w:rsidR="003D785D">
        <w:rPr>
          <w:rFonts w:cstheme="minorHAnsi"/>
          <w:lang w:val="en-US"/>
        </w:rPr>
        <w:t xml:space="preserve"> </w:t>
      </w:r>
      <w:r w:rsidR="004958B0">
        <w:rPr>
          <w:rFonts w:cstheme="minorHAnsi"/>
          <w:lang w:val="en-US"/>
        </w:rPr>
        <w:t>The view was expressed that it was also necessary to factor in the UPR calendar.</w:t>
      </w:r>
    </w:p>
    <w:p w14:paraId="0653D298" w14:textId="26B39E91" w:rsidR="00C34E2D" w:rsidRDefault="003D785D" w:rsidP="001D6711">
      <w:pPr>
        <w:rPr>
          <w:rFonts w:cstheme="minorHAnsi"/>
          <w:lang w:val="en-US"/>
        </w:rPr>
      </w:pPr>
      <w:r>
        <w:rPr>
          <w:rFonts w:cstheme="minorHAnsi"/>
          <w:lang w:val="en-US"/>
        </w:rPr>
        <w:t xml:space="preserve">While cost saving </w:t>
      </w:r>
      <w:r w:rsidR="0087613F">
        <w:rPr>
          <w:rFonts w:cstheme="minorHAnsi"/>
          <w:lang w:val="en-US"/>
        </w:rPr>
        <w:t>wa</w:t>
      </w:r>
      <w:r>
        <w:rPr>
          <w:rFonts w:cstheme="minorHAnsi"/>
          <w:lang w:val="en-US"/>
        </w:rPr>
        <w:t xml:space="preserve">s not the driving factor behind the treaty body strengthening process, it was underlined by OHCHR </w:t>
      </w:r>
      <w:r w:rsidR="0087613F">
        <w:rPr>
          <w:rFonts w:cstheme="minorHAnsi"/>
          <w:lang w:val="en-US"/>
        </w:rPr>
        <w:t xml:space="preserve">that </w:t>
      </w:r>
      <w:r>
        <w:rPr>
          <w:rFonts w:cstheme="minorHAnsi"/>
          <w:lang w:val="en-US"/>
        </w:rPr>
        <w:t xml:space="preserve">the intermediary review should be lighter than a full review. This </w:t>
      </w:r>
      <w:proofErr w:type="gramStart"/>
      <w:r>
        <w:rPr>
          <w:rFonts w:cstheme="minorHAnsi"/>
          <w:lang w:val="en-US"/>
        </w:rPr>
        <w:t xml:space="preserve">would </w:t>
      </w:r>
      <w:r w:rsidR="00C34E2D">
        <w:rPr>
          <w:rFonts w:cstheme="minorHAnsi"/>
          <w:lang w:val="en-US"/>
        </w:rPr>
        <w:t xml:space="preserve"> </w:t>
      </w:r>
      <w:r w:rsidR="00670A24">
        <w:rPr>
          <w:rFonts w:cstheme="minorHAnsi"/>
          <w:lang w:val="en-US"/>
        </w:rPr>
        <w:t>help</w:t>
      </w:r>
      <w:proofErr w:type="gramEnd"/>
      <w:r w:rsidR="00670A24">
        <w:rPr>
          <w:rFonts w:cstheme="minorHAnsi"/>
          <w:lang w:val="en-US"/>
        </w:rPr>
        <w:t xml:space="preserve"> </w:t>
      </w:r>
      <w:r w:rsidR="00C34E2D">
        <w:rPr>
          <w:rFonts w:cstheme="minorHAnsi"/>
          <w:lang w:val="en-US"/>
        </w:rPr>
        <w:t xml:space="preserve">ensure that </w:t>
      </w:r>
      <w:r>
        <w:rPr>
          <w:rFonts w:cstheme="minorHAnsi"/>
          <w:lang w:val="en-US"/>
        </w:rPr>
        <w:t xml:space="preserve">the required additional resources </w:t>
      </w:r>
      <w:r w:rsidR="00670A24">
        <w:rPr>
          <w:rFonts w:cstheme="minorHAnsi"/>
          <w:lang w:val="en-US"/>
        </w:rPr>
        <w:t>would be</w:t>
      </w:r>
      <w:r w:rsidR="00C34E2D">
        <w:rPr>
          <w:rFonts w:cstheme="minorHAnsi"/>
          <w:lang w:val="en-US"/>
        </w:rPr>
        <w:t xml:space="preserve"> at </w:t>
      </w:r>
      <w:r w:rsidR="009D5E20">
        <w:rPr>
          <w:rFonts w:cstheme="minorHAnsi"/>
          <w:lang w:val="en-US"/>
        </w:rPr>
        <w:t xml:space="preserve">a </w:t>
      </w:r>
      <w:r>
        <w:rPr>
          <w:rFonts w:cstheme="minorHAnsi"/>
          <w:lang w:val="en-US"/>
        </w:rPr>
        <w:t>reasonable level, both in terms of experts</w:t>
      </w:r>
      <w:r w:rsidR="00C34E2D">
        <w:rPr>
          <w:rFonts w:cstheme="minorHAnsi"/>
          <w:lang w:val="en-US"/>
        </w:rPr>
        <w:t>’</w:t>
      </w:r>
      <w:r>
        <w:rPr>
          <w:rFonts w:cstheme="minorHAnsi"/>
          <w:lang w:val="en-US"/>
        </w:rPr>
        <w:t xml:space="preserve"> availability for additional meeting time</w:t>
      </w:r>
      <w:r w:rsidR="00854BEC">
        <w:rPr>
          <w:rFonts w:cstheme="minorHAnsi"/>
          <w:lang w:val="en-US"/>
        </w:rPr>
        <w:t xml:space="preserve"> </w:t>
      </w:r>
      <w:r w:rsidR="00854BEC">
        <w:rPr>
          <w:rStyle w:val="FootnoteReference"/>
          <w:rFonts w:cstheme="minorHAnsi"/>
          <w:lang w:val="en-US"/>
        </w:rPr>
        <w:footnoteReference w:id="9"/>
      </w:r>
      <w:r w:rsidR="00AD4D16">
        <w:rPr>
          <w:rFonts w:cstheme="minorHAnsi"/>
          <w:lang w:val="en-US"/>
        </w:rPr>
        <w:t xml:space="preserve"> </w:t>
      </w:r>
      <w:r>
        <w:rPr>
          <w:rFonts w:cstheme="minorHAnsi"/>
          <w:lang w:val="en-US"/>
        </w:rPr>
        <w:t xml:space="preserve">and in terms of total cost of the treaty body system. </w:t>
      </w:r>
    </w:p>
    <w:p w14:paraId="2FF7B849" w14:textId="29770500" w:rsidR="00486972" w:rsidRDefault="003D785D" w:rsidP="005F0CD1">
      <w:pPr>
        <w:rPr>
          <w:rFonts w:cstheme="minorHAnsi"/>
          <w:lang w:val="en-US"/>
        </w:rPr>
      </w:pPr>
      <w:r>
        <w:rPr>
          <w:rFonts w:cstheme="minorHAnsi"/>
          <w:lang w:val="en-US"/>
        </w:rPr>
        <w:t>OHCHR emphasized that lessons learned from the COVID-19 pandemic confirm</w:t>
      </w:r>
      <w:r w:rsidR="00854BEC">
        <w:rPr>
          <w:rFonts w:cstheme="minorHAnsi"/>
          <w:lang w:val="en-US"/>
        </w:rPr>
        <w:t>ed</w:t>
      </w:r>
      <w:r>
        <w:rPr>
          <w:rFonts w:cstheme="minorHAnsi"/>
          <w:lang w:val="en-US"/>
        </w:rPr>
        <w:t xml:space="preserve"> that a digital uplift c</w:t>
      </w:r>
      <w:r w:rsidR="00854BEC">
        <w:rPr>
          <w:rFonts w:cstheme="minorHAnsi"/>
          <w:lang w:val="en-US"/>
        </w:rPr>
        <w:t xml:space="preserve">ould </w:t>
      </w:r>
      <w:r>
        <w:rPr>
          <w:rFonts w:cstheme="minorHAnsi"/>
          <w:lang w:val="en-US"/>
        </w:rPr>
        <w:t xml:space="preserve">and should </w:t>
      </w:r>
      <w:r w:rsidR="009F2836">
        <w:rPr>
          <w:rFonts w:cstheme="minorHAnsi"/>
          <w:lang w:val="en-US"/>
        </w:rPr>
        <w:t xml:space="preserve">support </w:t>
      </w:r>
      <w:r>
        <w:rPr>
          <w:rFonts w:cstheme="minorHAnsi"/>
          <w:lang w:val="en-US"/>
        </w:rPr>
        <w:t xml:space="preserve">in-person meetings and </w:t>
      </w:r>
      <w:r w:rsidR="00C34E2D">
        <w:rPr>
          <w:rFonts w:cstheme="minorHAnsi"/>
          <w:lang w:val="en-US"/>
        </w:rPr>
        <w:t xml:space="preserve">the treaty body system’s </w:t>
      </w:r>
      <w:r>
        <w:rPr>
          <w:rFonts w:cstheme="minorHAnsi"/>
          <w:lang w:val="en-US"/>
        </w:rPr>
        <w:t xml:space="preserve">effectiveness, given that meeting time cannot increase indefinitely.  </w:t>
      </w:r>
      <w:r w:rsidR="009F2836">
        <w:rPr>
          <w:rFonts w:cstheme="minorHAnsi"/>
          <w:lang w:val="en-US"/>
        </w:rPr>
        <w:t>OHCHR clarified that that t</w:t>
      </w:r>
      <w:r>
        <w:rPr>
          <w:rFonts w:cstheme="minorHAnsi"/>
          <w:lang w:val="en-US"/>
        </w:rPr>
        <w:t xml:space="preserve">he digital uplift </w:t>
      </w:r>
      <w:r w:rsidR="009F2836">
        <w:rPr>
          <w:rFonts w:cstheme="minorHAnsi"/>
          <w:lang w:val="en-US"/>
        </w:rPr>
        <w:t>did not signify a</w:t>
      </w:r>
      <w:r>
        <w:rPr>
          <w:rFonts w:cstheme="minorHAnsi"/>
          <w:lang w:val="en-US"/>
        </w:rPr>
        <w:t xml:space="preserve"> replacement for in-person meetings. A related issue that remain</w:t>
      </w:r>
      <w:r w:rsidR="009F2836">
        <w:rPr>
          <w:rFonts w:cstheme="minorHAnsi"/>
          <w:lang w:val="en-US"/>
        </w:rPr>
        <w:t>ed</w:t>
      </w:r>
      <w:r>
        <w:rPr>
          <w:rFonts w:cstheme="minorHAnsi"/>
          <w:lang w:val="en-US"/>
        </w:rPr>
        <w:t xml:space="preserve"> </w:t>
      </w:r>
      <w:r>
        <w:rPr>
          <w:rFonts w:cstheme="minorHAnsi"/>
          <w:lang w:val="en-US"/>
        </w:rPr>
        <w:lastRenderedPageBreak/>
        <w:t xml:space="preserve">unsettled in this respect, and OHCHR </w:t>
      </w:r>
      <w:r w:rsidR="009F2836">
        <w:rPr>
          <w:rFonts w:cstheme="minorHAnsi"/>
          <w:lang w:val="en-US"/>
        </w:rPr>
        <w:t xml:space="preserve">committed </w:t>
      </w:r>
      <w:r>
        <w:rPr>
          <w:rFonts w:cstheme="minorHAnsi"/>
          <w:lang w:val="en-US"/>
        </w:rPr>
        <w:t xml:space="preserve">to </w:t>
      </w:r>
      <w:r w:rsidR="009F2836">
        <w:rPr>
          <w:rFonts w:cstheme="minorHAnsi"/>
          <w:lang w:val="en-US"/>
        </w:rPr>
        <w:t xml:space="preserve">continuously </w:t>
      </w:r>
      <w:r>
        <w:rPr>
          <w:rFonts w:cstheme="minorHAnsi"/>
          <w:lang w:val="en-US"/>
        </w:rPr>
        <w:t xml:space="preserve">raise it with </w:t>
      </w:r>
      <w:r w:rsidR="00AD4D16">
        <w:rPr>
          <w:rFonts w:cstheme="minorHAnsi"/>
          <w:lang w:val="en-US"/>
        </w:rPr>
        <w:t>S</w:t>
      </w:r>
      <w:r>
        <w:rPr>
          <w:rFonts w:cstheme="minorHAnsi"/>
          <w:lang w:val="en-US"/>
        </w:rPr>
        <w:t xml:space="preserve">tates, </w:t>
      </w:r>
      <w:r w:rsidR="009F2836">
        <w:rPr>
          <w:rFonts w:cstheme="minorHAnsi"/>
          <w:lang w:val="en-US"/>
        </w:rPr>
        <w:t xml:space="preserve">was </w:t>
      </w:r>
      <w:r>
        <w:rPr>
          <w:rFonts w:cstheme="minorHAnsi"/>
          <w:lang w:val="en-US"/>
        </w:rPr>
        <w:t>the compensation for treaty body experts</w:t>
      </w:r>
      <w:r w:rsidR="00DB0758">
        <w:rPr>
          <w:rFonts w:cstheme="minorHAnsi"/>
          <w:lang w:val="en-US"/>
        </w:rPr>
        <w:t>’</w:t>
      </w:r>
      <w:r>
        <w:rPr>
          <w:rFonts w:cstheme="minorHAnsi"/>
          <w:lang w:val="en-US"/>
        </w:rPr>
        <w:t xml:space="preserve"> work on-</w:t>
      </w:r>
      <w:r w:rsidR="00FC1891">
        <w:rPr>
          <w:rFonts w:cstheme="minorHAnsi"/>
          <w:lang w:val="en-US"/>
        </w:rPr>
        <w:t>line</w:t>
      </w:r>
      <w:r w:rsidR="002B1698">
        <w:rPr>
          <w:rFonts w:cstheme="minorHAnsi"/>
          <w:lang w:val="en-US"/>
        </w:rPr>
        <w:t>.</w:t>
      </w:r>
      <w:r w:rsidR="00854BEC">
        <w:rPr>
          <w:rFonts w:cstheme="minorHAnsi"/>
          <w:lang w:val="en-US"/>
        </w:rPr>
        <w:t xml:space="preserve"> </w:t>
      </w:r>
      <w:r w:rsidR="00854BEC">
        <w:rPr>
          <w:rStyle w:val="FootnoteReference"/>
          <w:rFonts w:cstheme="minorHAnsi"/>
          <w:lang w:val="en-US"/>
        </w:rPr>
        <w:footnoteReference w:id="10"/>
      </w:r>
    </w:p>
    <w:p w14:paraId="769B70C3" w14:textId="77777777" w:rsidR="00486972" w:rsidRPr="00692045" w:rsidRDefault="00486972" w:rsidP="00486972">
      <w:pPr>
        <w:spacing w:line="240" w:lineRule="auto"/>
        <w:rPr>
          <w:rFonts w:cstheme="minorHAnsi"/>
          <w:b/>
        </w:rPr>
      </w:pPr>
      <w:r w:rsidRPr="00692045">
        <w:rPr>
          <w:rFonts w:cstheme="minorHAnsi"/>
          <w:b/>
        </w:rPr>
        <w:t>Harmonization of working methods</w:t>
      </w:r>
    </w:p>
    <w:p w14:paraId="4441E658" w14:textId="678D2CB1" w:rsidR="00486972" w:rsidRDefault="00486972" w:rsidP="00486972">
      <w:pPr>
        <w:spacing w:line="240" w:lineRule="auto"/>
        <w:rPr>
          <w:rFonts w:cstheme="minorHAnsi"/>
          <w:lang w:val="en-US"/>
        </w:rPr>
      </w:pPr>
      <w:r w:rsidRPr="00B57A47">
        <w:rPr>
          <w:rFonts w:cstheme="minorHAnsi"/>
        </w:rPr>
        <w:t xml:space="preserve">Regarding harmonization of working methods, </w:t>
      </w:r>
      <w:r>
        <w:rPr>
          <w:rFonts w:cstheme="minorHAnsi"/>
        </w:rPr>
        <w:t>t</w:t>
      </w:r>
      <w:r w:rsidRPr="00B57A47">
        <w:rPr>
          <w:rFonts w:cstheme="minorHAnsi"/>
        </w:rPr>
        <w:t xml:space="preserve">reaty body experts expressed a variety of views during the </w:t>
      </w:r>
      <w:r>
        <w:rPr>
          <w:rFonts w:cstheme="minorHAnsi"/>
        </w:rPr>
        <w:t>i</w:t>
      </w:r>
      <w:r w:rsidRPr="00B57A47">
        <w:rPr>
          <w:rFonts w:cstheme="minorHAnsi"/>
        </w:rPr>
        <w:t xml:space="preserve">nformal </w:t>
      </w:r>
      <w:r>
        <w:rPr>
          <w:rFonts w:cstheme="minorHAnsi"/>
        </w:rPr>
        <w:t>c</w:t>
      </w:r>
      <w:r w:rsidRPr="00B57A47">
        <w:rPr>
          <w:rFonts w:cstheme="minorHAnsi"/>
        </w:rPr>
        <w:t>onversation</w:t>
      </w:r>
      <w:r>
        <w:rPr>
          <w:rFonts w:cstheme="minorHAnsi"/>
        </w:rPr>
        <w:t>s. T</w:t>
      </w:r>
      <w:r w:rsidRPr="00B57A47">
        <w:rPr>
          <w:rFonts w:cstheme="minorHAnsi"/>
        </w:rPr>
        <w:t xml:space="preserve">he </w:t>
      </w:r>
      <w:r>
        <w:rPr>
          <w:rFonts w:cstheme="minorHAnsi"/>
        </w:rPr>
        <w:t xml:space="preserve">general feeling among experts was that </w:t>
      </w:r>
      <w:r w:rsidR="009D5E20">
        <w:rPr>
          <w:rFonts w:cstheme="minorHAnsi"/>
        </w:rPr>
        <w:t xml:space="preserve">satisfactory </w:t>
      </w:r>
      <w:r>
        <w:rPr>
          <w:rFonts w:cstheme="minorHAnsi"/>
        </w:rPr>
        <w:t xml:space="preserve">progress had been achieved in </w:t>
      </w:r>
      <w:proofErr w:type="gramStart"/>
      <w:r w:rsidR="003153C5">
        <w:rPr>
          <w:rFonts w:cstheme="minorHAnsi"/>
        </w:rPr>
        <w:t>a number of</w:t>
      </w:r>
      <w:proofErr w:type="gramEnd"/>
      <w:r w:rsidR="003153C5">
        <w:rPr>
          <w:rFonts w:cstheme="minorHAnsi"/>
        </w:rPr>
        <w:t xml:space="preserve"> areas</w:t>
      </w:r>
      <w:r>
        <w:rPr>
          <w:rFonts w:cstheme="minorHAnsi"/>
        </w:rPr>
        <w:t xml:space="preserve">. </w:t>
      </w:r>
      <w:r w:rsidR="009D5E20">
        <w:rPr>
          <w:rFonts w:cstheme="minorHAnsi"/>
        </w:rPr>
        <w:t xml:space="preserve">Discussions </w:t>
      </w:r>
      <w:r>
        <w:rPr>
          <w:rFonts w:cstheme="minorHAnsi"/>
        </w:rPr>
        <w:t xml:space="preserve">revolved around the two notions of specificities and flexibility. </w:t>
      </w:r>
      <w:r w:rsidR="008C3468">
        <w:rPr>
          <w:rFonts w:cstheme="minorHAnsi"/>
          <w:lang w:val="en-US"/>
        </w:rPr>
        <w:t>The view was expressed</w:t>
      </w:r>
      <w:r>
        <w:rPr>
          <w:rFonts w:cstheme="minorHAnsi"/>
          <w:lang w:val="en-US"/>
        </w:rPr>
        <w:t xml:space="preserve"> </w:t>
      </w:r>
      <w:r w:rsidRPr="00B57A47">
        <w:rPr>
          <w:rFonts w:cstheme="minorHAnsi"/>
          <w:lang w:val="en-US"/>
        </w:rPr>
        <w:t xml:space="preserve">that the </w:t>
      </w:r>
      <w:r w:rsidRPr="00B57A47">
        <w:rPr>
          <w:rFonts w:cstheme="minorHAnsi"/>
        </w:rPr>
        <w:t xml:space="preserve">Committees are doing </w:t>
      </w:r>
      <w:r>
        <w:rPr>
          <w:rFonts w:cstheme="minorHAnsi"/>
        </w:rPr>
        <w:t xml:space="preserve">their </w:t>
      </w:r>
      <w:r w:rsidRPr="00B57A47">
        <w:rPr>
          <w:rFonts w:cstheme="minorHAnsi"/>
        </w:rPr>
        <w:t xml:space="preserve">utmost to harmonize working methods, and </w:t>
      </w:r>
      <w:r w:rsidR="008C3468">
        <w:rPr>
          <w:rFonts w:cstheme="minorHAnsi"/>
        </w:rPr>
        <w:t>it was also</w:t>
      </w:r>
      <w:r w:rsidRPr="00B57A47">
        <w:rPr>
          <w:rFonts w:cstheme="minorHAnsi"/>
        </w:rPr>
        <w:t xml:space="preserve"> noted that it </w:t>
      </w:r>
      <w:r>
        <w:rPr>
          <w:rFonts w:cstheme="minorHAnsi"/>
        </w:rPr>
        <w:t>wa</w:t>
      </w:r>
      <w:r w:rsidRPr="00B57A47">
        <w:rPr>
          <w:rFonts w:cstheme="minorHAnsi"/>
        </w:rPr>
        <w:t xml:space="preserve">s the </w:t>
      </w:r>
      <w:r>
        <w:rPr>
          <w:rFonts w:cstheme="minorHAnsi"/>
        </w:rPr>
        <w:t>t</w:t>
      </w:r>
      <w:r w:rsidRPr="00B57A47">
        <w:rPr>
          <w:rFonts w:cstheme="minorHAnsi"/>
        </w:rPr>
        <w:t xml:space="preserve">reaty body system’s responsibility to act in common with the </w:t>
      </w:r>
      <w:r w:rsidR="009D5E20">
        <w:rPr>
          <w:rFonts w:cstheme="minorHAnsi"/>
        </w:rPr>
        <w:t>support of OHCHR</w:t>
      </w:r>
      <w:r w:rsidRPr="00B57A47">
        <w:rPr>
          <w:rFonts w:cstheme="minorHAnsi"/>
        </w:rPr>
        <w:t xml:space="preserve">. </w:t>
      </w:r>
      <w:r w:rsidRPr="00B57A47">
        <w:rPr>
          <w:rFonts w:cstheme="minorHAnsi"/>
          <w:lang w:val="en-US"/>
        </w:rPr>
        <w:t xml:space="preserve">Several </w:t>
      </w:r>
      <w:r w:rsidR="008C3468">
        <w:rPr>
          <w:rFonts w:cstheme="minorHAnsi"/>
          <w:lang w:val="en-US"/>
        </w:rPr>
        <w:t>experts</w:t>
      </w:r>
      <w:r w:rsidRPr="00B57A47">
        <w:rPr>
          <w:rFonts w:cstheme="minorHAnsi"/>
        </w:rPr>
        <w:t xml:space="preserve"> </w:t>
      </w:r>
      <w:r w:rsidRPr="00B57A47">
        <w:rPr>
          <w:rFonts w:cstheme="minorHAnsi"/>
          <w:lang w:val="en-US"/>
        </w:rPr>
        <w:t xml:space="preserve">broadly felt that those processes that could be changed by all treaty bodies </w:t>
      </w:r>
      <w:r w:rsidR="009D5E20">
        <w:rPr>
          <w:rFonts w:cstheme="minorHAnsi"/>
          <w:lang w:val="en-US"/>
        </w:rPr>
        <w:t xml:space="preserve">were </w:t>
      </w:r>
      <w:r w:rsidR="003153C5">
        <w:rPr>
          <w:rFonts w:cstheme="minorHAnsi"/>
          <w:lang w:val="en-US"/>
        </w:rPr>
        <w:t xml:space="preserve">to an extent </w:t>
      </w:r>
      <w:r w:rsidR="009D5E20">
        <w:rPr>
          <w:rFonts w:cstheme="minorHAnsi"/>
          <w:lang w:val="en-US"/>
        </w:rPr>
        <w:t>implemented. Others agree</w:t>
      </w:r>
      <w:r w:rsidR="009F2836">
        <w:rPr>
          <w:rFonts w:cstheme="minorHAnsi"/>
          <w:lang w:val="en-US"/>
        </w:rPr>
        <w:t>d</w:t>
      </w:r>
      <w:r w:rsidR="009D5E20">
        <w:rPr>
          <w:rFonts w:cstheme="minorHAnsi"/>
          <w:lang w:val="en-US"/>
        </w:rPr>
        <w:t xml:space="preserve"> that more</w:t>
      </w:r>
      <w:r w:rsidRPr="00B57A47">
        <w:rPr>
          <w:rFonts w:cstheme="minorHAnsi"/>
          <w:lang w:val="en-US"/>
        </w:rPr>
        <w:t xml:space="preserve"> changes of working methods</w:t>
      </w:r>
      <w:r w:rsidR="009D5E20">
        <w:rPr>
          <w:rFonts w:cstheme="minorHAnsi"/>
          <w:lang w:val="en-US"/>
        </w:rPr>
        <w:t xml:space="preserve"> </w:t>
      </w:r>
      <w:r w:rsidR="009F2836">
        <w:rPr>
          <w:rFonts w:cstheme="minorHAnsi"/>
          <w:lang w:val="en-US"/>
        </w:rPr>
        <w:t xml:space="preserve">could </w:t>
      </w:r>
      <w:r w:rsidR="009D5E20">
        <w:rPr>
          <w:rFonts w:cstheme="minorHAnsi"/>
          <w:lang w:val="en-US"/>
        </w:rPr>
        <w:t xml:space="preserve">still be considered and that all </w:t>
      </w:r>
      <w:proofErr w:type="gramStart"/>
      <w:r w:rsidR="009D5E20">
        <w:rPr>
          <w:rFonts w:cstheme="minorHAnsi"/>
          <w:lang w:val="en-US"/>
        </w:rPr>
        <w:t xml:space="preserve">Committees </w:t>
      </w:r>
      <w:r w:rsidRPr="00B57A47">
        <w:rPr>
          <w:rFonts w:cstheme="minorHAnsi"/>
          <w:lang w:val="en-US"/>
        </w:rPr>
        <w:t xml:space="preserve"> should</w:t>
      </w:r>
      <w:proofErr w:type="gramEnd"/>
      <w:r w:rsidRPr="00B57A47">
        <w:rPr>
          <w:rFonts w:cstheme="minorHAnsi"/>
          <w:lang w:val="en-US"/>
        </w:rPr>
        <w:t xml:space="preserve"> do so in a unified manner</w:t>
      </w:r>
      <w:r w:rsidR="009D5E20">
        <w:rPr>
          <w:rFonts w:cstheme="minorHAnsi"/>
          <w:lang w:val="en-US"/>
        </w:rPr>
        <w:t xml:space="preserve"> unless a demonstrable specificity requires otherwise</w:t>
      </w:r>
      <w:r w:rsidRPr="00B57A47">
        <w:rPr>
          <w:rFonts w:cstheme="minorHAnsi"/>
          <w:lang w:val="en-US"/>
        </w:rPr>
        <w:t>. One expert noted that flexibility need</w:t>
      </w:r>
      <w:r>
        <w:rPr>
          <w:rFonts w:cstheme="minorHAnsi"/>
          <w:lang w:val="en-US"/>
        </w:rPr>
        <w:t>ed</w:t>
      </w:r>
      <w:r w:rsidRPr="00B57A47">
        <w:rPr>
          <w:rFonts w:cstheme="minorHAnsi"/>
          <w:lang w:val="en-US"/>
        </w:rPr>
        <w:t xml:space="preserve"> to be kept when harmonizing</w:t>
      </w:r>
      <w:r w:rsidR="009D5E20">
        <w:rPr>
          <w:rFonts w:cstheme="minorHAnsi"/>
          <w:lang w:val="en-US"/>
        </w:rPr>
        <w:t xml:space="preserve"> working</w:t>
      </w:r>
      <w:r w:rsidRPr="00B57A47">
        <w:rPr>
          <w:rFonts w:cstheme="minorHAnsi"/>
          <w:lang w:val="en-US"/>
        </w:rPr>
        <w:t xml:space="preserve"> methods, and other experts highlighted that proper funding must be allocated to the harmonization processes</w:t>
      </w:r>
      <w:r w:rsidR="00442405">
        <w:rPr>
          <w:rFonts w:cstheme="minorHAnsi"/>
          <w:lang w:val="en-US"/>
        </w:rPr>
        <w:t xml:space="preserve"> because it requires</w:t>
      </w:r>
      <w:r w:rsidR="009D5E20">
        <w:rPr>
          <w:rFonts w:cstheme="minorHAnsi"/>
          <w:lang w:val="en-US"/>
        </w:rPr>
        <w:t xml:space="preserve"> experts</w:t>
      </w:r>
      <w:r w:rsidR="009F2836">
        <w:rPr>
          <w:rFonts w:cstheme="minorHAnsi"/>
          <w:lang w:val="en-US"/>
        </w:rPr>
        <w:t>’</w:t>
      </w:r>
      <w:r w:rsidR="009D5E20">
        <w:rPr>
          <w:rFonts w:cstheme="minorHAnsi"/>
          <w:lang w:val="en-US"/>
        </w:rPr>
        <w:t xml:space="preserve"> time and staff support</w:t>
      </w:r>
      <w:r w:rsidRPr="00B57A47">
        <w:rPr>
          <w:rFonts w:cstheme="minorHAnsi"/>
          <w:lang w:val="en-US"/>
        </w:rPr>
        <w:t>.</w:t>
      </w:r>
      <w:r w:rsidRPr="00662BE1">
        <w:rPr>
          <w:rFonts w:cstheme="minorHAnsi"/>
          <w:lang w:val="en-US"/>
        </w:rPr>
        <w:t xml:space="preserve"> </w:t>
      </w:r>
    </w:p>
    <w:p w14:paraId="2F2EA166" w14:textId="02B9CC72" w:rsidR="00486972" w:rsidRDefault="008249FF" w:rsidP="00486972">
      <w:pPr>
        <w:spacing w:line="240" w:lineRule="auto"/>
        <w:rPr>
          <w:rFonts w:cstheme="minorHAnsi"/>
          <w:lang w:val="en-US"/>
        </w:rPr>
      </w:pPr>
      <w:r>
        <w:rPr>
          <w:rFonts w:cstheme="minorHAnsi"/>
        </w:rPr>
        <w:t xml:space="preserve">It was proposed that </w:t>
      </w:r>
      <w:r w:rsidR="00486972">
        <w:rPr>
          <w:rFonts w:cstheme="minorHAnsi"/>
        </w:rPr>
        <w:t xml:space="preserve">a </w:t>
      </w:r>
      <w:r w:rsidR="00486972" w:rsidRPr="00EC2EEF">
        <w:rPr>
          <w:rFonts w:cstheme="minorHAnsi"/>
        </w:rPr>
        <w:t xml:space="preserve">mechanism </w:t>
      </w:r>
      <w:r w:rsidR="00442405">
        <w:rPr>
          <w:rFonts w:cstheme="minorHAnsi"/>
        </w:rPr>
        <w:t xml:space="preserve">dedicated to regularly analyse </w:t>
      </w:r>
      <w:r w:rsidR="003153C5">
        <w:rPr>
          <w:rFonts w:cstheme="minorHAnsi"/>
        </w:rPr>
        <w:t xml:space="preserve">and support </w:t>
      </w:r>
      <w:r w:rsidR="00442405">
        <w:rPr>
          <w:rFonts w:cstheme="minorHAnsi"/>
        </w:rPr>
        <w:t xml:space="preserve">harmonising </w:t>
      </w:r>
      <w:r w:rsidR="00486972" w:rsidRPr="00EC2EEF">
        <w:rPr>
          <w:rFonts w:cstheme="minorHAnsi"/>
        </w:rPr>
        <w:t>working methods</w:t>
      </w:r>
      <w:r w:rsidR="009F2836">
        <w:rPr>
          <w:rFonts w:cstheme="minorHAnsi"/>
        </w:rPr>
        <w:t xml:space="preserve"> be created</w:t>
      </w:r>
      <w:r w:rsidR="00486972" w:rsidRPr="00EC2EEF">
        <w:rPr>
          <w:rFonts w:cstheme="minorHAnsi"/>
        </w:rPr>
        <w:t>, suggesting it should be factored into a proposal for costing</w:t>
      </w:r>
      <w:r w:rsidR="00B36F46">
        <w:rPr>
          <w:rFonts w:cstheme="minorHAnsi"/>
        </w:rPr>
        <w:t>. It was further suggested to have an</w:t>
      </w:r>
      <w:r w:rsidR="00486972" w:rsidRPr="00EC2EEF">
        <w:rPr>
          <w:rFonts w:cstheme="minorHAnsi"/>
        </w:rPr>
        <w:t xml:space="preserve"> inter-Committee structure with a coordinated</w:t>
      </w:r>
      <w:r w:rsidR="00442405">
        <w:rPr>
          <w:rFonts w:cstheme="minorHAnsi"/>
        </w:rPr>
        <w:t xml:space="preserve"> working methods</w:t>
      </w:r>
      <w:r w:rsidR="00486972" w:rsidRPr="00EC2EEF">
        <w:rPr>
          <w:rFonts w:cstheme="minorHAnsi"/>
        </w:rPr>
        <w:t xml:space="preserve"> agenda for all </w:t>
      </w:r>
      <w:r w:rsidR="00486972">
        <w:rPr>
          <w:rFonts w:cstheme="minorHAnsi"/>
        </w:rPr>
        <w:t>t</w:t>
      </w:r>
      <w:r w:rsidR="00486972" w:rsidRPr="00EC2EEF">
        <w:rPr>
          <w:rFonts w:cstheme="minorHAnsi"/>
        </w:rPr>
        <w:t xml:space="preserve">reaty bodies. </w:t>
      </w:r>
      <w:r>
        <w:rPr>
          <w:rFonts w:cstheme="minorHAnsi"/>
        </w:rPr>
        <w:t>There was one request for the</w:t>
      </w:r>
      <w:r w:rsidR="00486972" w:rsidRPr="00EC2EEF">
        <w:rPr>
          <w:rFonts w:cstheme="minorHAnsi"/>
        </w:rPr>
        <w:t xml:space="preserve"> budget of the eight-year predictable review cycle,</w:t>
      </w:r>
      <w:r w:rsidR="00486972">
        <w:rPr>
          <w:rFonts w:cstheme="minorHAnsi"/>
        </w:rPr>
        <w:t xml:space="preserve"> </w:t>
      </w:r>
      <w:r w:rsidR="00486972" w:rsidRPr="00EC2EEF">
        <w:rPr>
          <w:rFonts w:cstheme="minorHAnsi"/>
        </w:rPr>
        <w:t>and</w:t>
      </w:r>
      <w:r>
        <w:rPr>
          <w:rFonts w:cstheme="minorHAnsi"/>
        </w:rPr>
        <w:t xml:space="preserve"> it was</w:t>
      </w:r>
      <w:r w:rsidR="00486972" w:rsidRPr="00EC2EEF">
        <w:rPr>
          <w:rFonts w:cstheme="minorHAnsi"/>
        </w:rPr>
        <w:t xml:space="preserve"> noted that the treaty bodies had been working together</w:t>
      </w:r>
      <w:r w:rsidR="003153C5">
        <w:rPr>
          <w:rFonts w:cstheme="minorHAnsi"/>
        </w:rPr>
        <w:t xml:space="preserve"> -</w:t>
      </w:r>
      <w:r w:rsidR="00486972" w:rsidRPr="00EC2EEF">
        <w:rPr>
          <w:rFonts w:cstheme="minorHAnsi"/>
        </w:rPr>
        <w:t xml:space="preserve"> online</w:t>
      </w:r>
      <w:r w:rsidR="003153C5">
        <w:rPr>
          <w:rFonts w:cstheme="minorHAnsi"/>
        </w:rPr>
        <w:t xml:space="preserve"> and</w:t>
      </w:r>
      <w:r w:rsidR="00486972" w:rsidRPr="00EC2EEF">
        <w:rPr>
          <w:rFonts w:cstheme="minorHAnsi"/>
        </w:rPr>
        <w:t xml:space="preserve"> offline </w:t>
      </w:r>
      <w:r w:rsidR="003153C5">
        <w:rPr>
          <w:rFonts w:cstheme="minorHAnsi"/>
        </w:rPr>
        <w:t xml:space="preserve">- </w:t>
      </w:r>
      <w:r w:rsidR="00486972" w:rsidRPr="00EC2EEF">
        <w:rPr>
          <w:rFonts w:cstheme="minorHAnsi"/>
        </w:rPr>
        <w:t>on harmonization for a while already.</w:t>
      </w:r>
    </w:p>
    <w:p w14:paraId="2AF2A152" w14:textId="7FC23705" w:rsidR="00486972" w:rsidRPr="00662BE1" w:rsidRDefault="00486972" w:rsidP="00486972">
      <w:pPr>
        <w:spacing w:line="240" w:lineRule="auto"/>
        <w:rPr>
          <w:rFonts w:cstheme="minorHAnsi"/>
          <w:lang w:val="en-US"/>
        </w:rPr>
      </w:pPr>
      <w:r>
        <w:rPr>
          <w:rFonts w:cstheme="minorHAnsi"/>
          <w:lang w:val="en-US"/>
        </w:rPr>
        <w:t xml:space="preserve">OHCHR made a presentation about the variations in working </w:t>
      </w:r>
      <w:proofErr w:type="gramStart"/>
      <w:r>
        <w:rPr>
          <w:rFonts w:cstheme="minorHAnsi"/>
          <w:lang w:val="en-US"/>
        </w:rPr>
        <w:t>methods</w:t>
      </w:r>
      <w:r w:rsidR="002B09D9">
        <w:rPr>
          <w:rFonts w:cstheme="minorHAnsi"/>
          <w:lang w:val="en-US"/>
        </w:rPr>
        <w:t>,</w:t>
      </w:r>
      <w:r>
        <w:rPr>
          <w:rFonts w:cstheme="minorHAnsi"/>
          <w:lang w:val="en-US"/>
        </w:rPr>
        <w:t>.</w:t>
      </w:r>
      <w:proofErr w:type="gramEnd"/>
      <w:r w:rsidR="00BA617D">
        <w:rPr>
          <w:rFonts w:cstheme="minorHAnsi"/>
          <w:lang w:val="en-US"/>
        </w:rPr>
        <w:t xml:space="preserve"> </w:t>
      </w:r>
      <w:r w:rsidR="00BA617D">
        <w:rPr>
          <w:rStyle w:val="FootnoteReference"/>
          <w:rFonts w:cstheme="minorHAnsi"/>
          <w:lang w:val="en-US"/>
        </w:rPr>
        <w:footnoteReference w:id="11"/>
      </w:r>
      <w:r>
        <w:rPr>
          <w:rFonts w:cstheme="minorHAnsi"/>
          <w:lang w:val="en-US"/>
        </w:rPr>
        <w:t xml:space="preserve"> </w:t>
      </w:r>
      <w:r w:rsidR="002B09D9">
        <w:rPr>
          <w:rFonts w:cstheme="minorHAnsi"/>
          <w:lang w:val="en-US"/>
        </w:rPr>
        <w:t>Existing d</w:t>
      </w:r>
      <w:r>
        <w:rPr>
          <w:rFonts w:cstheme="minorHAnsi"/>
          <w:lang w:val="en-US"/>
        </w:rPr>
        <w:t>oubts about the decision</w:t>
      </w:r>
      <w:r w:rsidR="002B09D9">
        <w:rPr>
          <w:rFonts w:cstheme="minorHAnsi"/>
          <w:lang w:val="en-US"/>
        </w:rPr>
        <w:t>-</w:t>
      </w:r>
      <w:r>
        <w:rPr>
          <w:rFonts w:cstheme="minorHAnsi"/>
          <w:lang w:val="en-US"/>
        </w:rPr>
        <w:t xml:space="preserve">making role of the Chairs </w:t>
      </w:r>
      <w:r w:rsidR="002B09D9">
        <w:rPr>
          <w:rFonts w:cstheme="minorHAnsi"/>
          <w:lang w:val="en-US"/>
        </w:rPr>
        <w:t xml:space="preserve">were </w:t>
      </w:r>
      <w:r>
        <w:rPr>
          <w:rFonts w:cstheme="minorHAnsi"/>
          <w:lang w:val="en-US"/>
        </w:rPr>
        <w:t>mentioned as an obstacle</w:t>
      </w:r>
      <w:r w:rsidR="002B09D9">
        <w:rPr>
          <w:rFonts w:cstheme="minorHAnsi"/>
          <w:lang w:val="en-US"/>
        </w:rPr>
        <w:t>,</w:t>
      </w:r>
      <w:r>
        <w:rPr>
          <w:rFonts w:cstheme="minorHAnsi"/>
          <w:lang w:val="en-US"/>
        </w:rPr>
        <w:t xml:space="preserve"> as well as  the insufficient time during sessions to discuss working methods, which should be a permanent work in progress for constant improvement towards effectiveness</w:t>
      </w:r>
      <w:r w:rsidR="00143AB4">
        <w:rPr>
          <w:rFonts w:cstheme="minorHAnsi"/>
          <w:lang w:val="en-US"/>
        </w:rPr>
        <w:t xml:space="preserve">, and increasing </w:t>
      </w:r>
      <w:proofErr w:type="spellStart"/>
      <w:r w:rsidR="00143AB4">
        <w:rPr>
          <w:rFonts w:cstheme="minorHAnsi"/>
          <w:lang w:val="en-US"/>
        </w:rPr>
        <w:t>synergies.</w:t>
      </w:r>
      <w:r>
        <w:rPr>
          <w:rFonts w:cstheme="minorHAnsi"/>
          <w:lang w:val="en-US"/>
        </w:rPr>
        <w:t>The</w:t>
      </w:r>
      <w:proofErr w:type="spellEnd"/>
      <w:r>
        <w:rPr>
          <w:rFonts w:cstheme="minorHAnsi"/>
          <w:lang w:val="en-US"/>
        </w:rPr>
        <w:t xml:space="preserve"> proposal to assign focal points in each Committee for working methods was considered important to exchange good practices and suggest improvements that could be adopted by all Committees as long as there </w:t>
      </w:r>
      <w:r w:rsidR="002B09D9">
        <w:rPr>
          <w:rFonts w:cstheme="minorHAnsi"/>
          <w:lang w:val="en-US"/>
        </w:rPr>
        <w:t xml:space="preserve">was </w:t>
      </w:r>
      <w:r>
        <w:rPr>
          <w:rFonts w:cstheme="minorHAnsi"/>
          <w:lang w:val="en-US"/>
        </w:rPr>
        <w:t xml:space="preserve">no specific reason for a Committee not to align with the general working methods of other Committees. OHCHR shared its conviction, based on experience, that efforts to </w:t>
      </w:r>
      <w:r w:rsidR="00442405">
        <w:rPr>
          <w:rFonts w:cstheme="minorHAnsi"/>
          <w:lang w:val="en-US"/>
        </w:rPr>
        <w:t>harmonize working</w:t>
      </w:r>
      <w:r>
        <w:rPr>
          <w:rFonts w:cstheme="minorHAnsi"/>
          <w:lang w:val="en-US"/>
        </w:rPr>
        <w:t xml:space="preserve"> methods could only lead to positive results if focal points were delegated and if the Chairs meeting was empowered to reach its own conclusions, after proper internal consultation within each Committee. </w:t>
      </w:r>
      <w:r>
        <w:rPr>
          <w:rStyle w:val="FootnoteReference"/>
          <w:rFonts w:cstheme="minorHAnsi"/>
          <w:lang w:val="en-US"/>
        </w:rPr>
        <w:footnoteReference w:id="12"/>
      </w:r>
    </w:p>
    <w:p w14:paraId="3BA7772E" w14:textId="77777777" w:rsidR="00264898" w:rsidRPr="00692045" w:rsidRDefault="006436F9" w:rsidP="00692045">
      <w:pPr>
        <w:spacing w:after="0" w:line="240" w:lineRule="auto"/>
        <w:rPr>
          <w:rFonts w:eastAsia="Times New Roman" w:cstheme="minorHAnsi"/>
          <w:b/>
          <w:lang w:val="en-US"/>
        </w:rPr>
      </w:pPr>
      <w:r w:rsidRPr="00692045">
        <w:rPr>
          <w:rFonts w:eastAsia="Times New Roman" w:cstheme="minorHAnsi"/>
          <w:b/>
          <w:lang w:val="en-US"/>
        </w:rPr>
        <w:t xml:space="preserve">Reasonable accommodation </w:t>
      </w:r>
    </w:p>
    <w:p w14:paraId="2293EAF1" w14:textId="77777777" w:rsidR="006436F9" w:rsidRPr="005F0CD1" w:rsidRDefault="006436F9" w:rsidP="00692045">
      <w:pPr>
        <w:spacing w:line="240" w:lineRule="auto"/>
        <w:contextualSpacing/>
        <w:rPr>
          <w:rFonts w:cstheme="minorHAnsi"/>
          <w:b/>
        </w:rPr>
      </w:pPr>
    </w:p>
    <w:p w14:paraId="5388E492" w14:textId="618A4EE4" w:rsidR="00692045" w:rsidRPr="00B57A47" w:rsidRDefault="006436F9" w:rsidP="00692045">
      <w:pPr>
        <w:spacing w:line="240" w:lineRule="auto"/>
        <w:contextualSpacing/>
        <w:rPr>
          <w:rFonts w:cstheme="minorHAnsi"/>
        </w:rPr>
      </w:pPr>
      <w:r w:rsidRPr="00B57A47">
        <w:rPr>
          <w:rFonts w:cstheme="minorHAnsi"/>
        </w:rPr>
        <w:lastRenderedPageBreak/>
        <w:t xml:space="preserve">The Chair of </w:t>
      </w:r>
      <w:r w:rsidR="00903D7D">
        <w:rPr>
          <w:rFonts w:cstheme="minorHAnsi"/>
        </w:rPr>
        <w:t xml:space="preserve">the </w:t>
      </w:r>
      <w:r w:rsidRPr="00B57A47">
        <w:rPr>
          <w:rFonts w:cstheme="minorHAnsi"/>
        </w:rPr>
        <w:t>Chairs</w:t>
      </w:r>
      <w:r w:rsidR="00903D7D">
        <w:rPr>
          <w:rFonts w:cstheme="minorHAnsi"/>
        </w:rPr>
        <w:t xml:space="preserve"> meeting</w:t>
      </w:r>
      <w:r w:rsidR="00143AB4">
        <w:rPr>
          <w:rFonts w:cstheme="minorHAnsi"/>
        </w:rPr>
        <w:t xml:space="preserve"> outlined the current framework which was</w:t>
      </w:r>
      <w:r w:rsidRPr="00B57A47">
        <w:rPr>
          <w:rFonts w:cstheme="minorHAnsi"/>
        </w:rPr>
        <w:t xml:space="preserve"> </w:t>
      </w:r>
      <w:r w:rsidR="00143AB4">
        <w:rPr>
          <w:rFonts w:cstheme="minorHAnsi"/>
        </w:rPr>
        <w:t xml:space="preserve">the </w:t>
      </w:r>
      <w:r w:rsidR="00143AB4">
        <w:rPr>
          <w:rFonts w:cstheme="minorHAnsi"/>
        </w:rPr>
        <w:t xml:space="preserve">United Nations Disability Inclusion Strategy </w:t>
      </w:r>
      <w:r w:rsidR="00143AB4" w:rsidRPr="00B57A47">
        <w:rPr>
          <w:rFonts w:cstheme="minorHAnsi"/>
        </w:rPr>
        <w:t>intended</w:t>
      </w:r>
      <w:r w:rsidR="00975EDF">
        <w:rPr>
          <w:rFonts w:cstheme="minorHAnsi"/>
        </w:rPr>
        <w:t xml:space="preserve"> to enable</w:t>
      </w:r>
      <w:r w:rsidR="00143AB4" w:rsidRPr="00B57A47">
        <w:rPr>
          <w:rFonts w:cstheme="minorHAnsi"/>
        </w:rPr>
        <w:t xml:space="preserve"> persons with disabilities to participate on an equal basis with others</w:t>
      </w:r>
      <w:r w:rsidR="00975EDF">
        <w:rPr>
          <w:rFonts w:cstheme="minorHAnsi"/>
        </w:rPr>
        <w:t xml:space="preserve"> in the work of the United Nations</w:t>
      </w:r>
      <w:r w:rsidR="00143AB4">
        <w:rPr>
          <w:rFonts w:cstheme="minorHAnsi"/>
        </w:rPr>
        <w:t>. The framework had two aspects</w:t>
      </w:r>
      <w:r w:rsidR="00975EDF">
        <w:rPr>
          <w:rFonts w:cstheme="minorHAnsi"/>
        </w:rPr>
        <w:t>;</w:t>
      </w:r>
      <w:r w:rsidR="00143AB4">
        <w:rPr>
          <w:rFonts w:cstheme="minorHAnsi"/>
        </w:rPr>
        <w:t xml:space="preserve"> accessibility and reasonable accommodation</w:t>
      </w:r>
      <w:r w:rsidR="00975EDF">
        <w:rPr>
          <w:rFonts w:cstheme="minorHAnsi"/>
        </w:rPr>
        <w:t>, both being legal obligations embedded in the Convention on the Rights of Persons with Disabilities</w:t>
      </w:r>
      <w:r w:rsidR="00143AB4">
        <w:rPr>
          <w:rFonts w:cstheme="minorHAnsi"/>
        </w:rPr>
        <w:t xml:space="preserve">. </w:t>
      </w:r>
      <w:r w:rsidR="00143AB4" w:rsidRPr="00B57A47">
        <w:rPr>
          <w:rFonts w:cstheme="minorHAnsi"/>
        </w:rPr>
        <w:t xml:space="preserve"> </w:t>
      </w:r>
      <w:r w:rsidR="00A53EB4">
        <w:rPr>
          <w:rFonts w:cstheme="minorHAnsi"/>
        </w:rPr>
        <w:t xml:space="preserve">Accessibility involved measures </w:t>
      </w:r>
      <w:r w:rsidR="00A53EB4" w:rsidRPr="00E124A1">
        <w:rPr>
          <w:rFonts w:cstheme="minorHAnsi"/>
        </w:rPr>
        <w:t>to ensure t</w:t>
      </w:r>
      <w:r w:rsidR="00A53EB4">
        <w:rPr>
          <w:rFonts w:cstheme="minorHAnsi"/>
        </w:rPr>
        <w:t xml:space="preserve">hat </w:t>
      </w:r>
      <w:r w:rsidR="00A53EB4" w:rsidRPr="00E124A1">
        <w:rPr>
          <w:rFonts w:cstheme="minorHAnsi"/>
        </w:rPr>
        <w:t>persons with disabilities</w:t>
      </w:r>
      <w:r w:rsidR="00A53EB4">
        <w:rPr>
          <w:rFonts w:cstheme="minorHAnsi"/>
        </w:rPr>
        <w:t xml:space="preserve"> </w:t>
      </w:r>
      <w:r w:rsidR="00975EDF">
        <w:rPr>
          <w:rFonts w:cstheme="minorHAnsi"/>
        </w:rPr>
        <w:t xml:space="preserve">have </w:t>
      </w:r>
      <w:r w:rsidR="00A53EB4" w:rsidRPr="00E124A1">
        <w:rPr>
          <w:rFonts w:cstheme="minorHAnsi"/>
        </w:rPr>
        <w:t xml:space="preserve">access, on an equal basis with others, </w:t>
      </w:r>
      <w:r w:rsidR="00A53EB4">
        <w:rPr>
          <w:rFonts w:cstheme="minorHAnsi"/>
        </w:rPr>
        <w:t xml:space="preserve">to the premises, </w:t>
      </w:r>
      <w:r w:rsidR="00A53EB4" w:rsidRPr="00E124A1">
        <w:rPr>
          <w:rFonts w:cstheme="minorHAnsi"/>
        </w:rPr>
        <w:t>to information and communications, including information and communications technologies and systems, and to other facilities and services</w:t>
      </w:r>
      <w:r w:rsidR="00A53EB4">
        <w:rPr>
          <w:rFonts w:cstheme="minorHAnsi"/>
        </w:rPr>
        <w:t xml:space="preserve">. </w:t>
      </w:r>
      <w:r w:rsidR="00F75899">
        <w:rPr>
          <w:rFonts w:cstheme="minorHAnsi"/>
        </w:rPr>
        <w:t>R</w:t>
      </w:r>
      <w:r w:rsidRPr="00B57A47">
        <w:rPr>
          <w:rFonts w:cstheme="minorHAnsi"/>
        </w:rPr>
        <w:t>easonable accommodation involve</w:t>
      </w:r>
      <w:r w:rsidR="00B84B44">
        <w:rPr>
          <w:rFonts w:cstheme="minorHAnsi"/>
        </w:rPr>
        <w:t>d</w:t>
      </w:r>
      <w:r w:rsidRPr="00B57A47">
        <w:rPr>
          <w:rFonts w:cstheme="minorHAnsi"/>
        </w:rPr>
        <w:t xml:space="preserve"> some modifications and adjustments, </w:t>
      </w:r>
      <w:r w:rsidR="00975EDF" w:rsidRPr="00E124A1">
        <w:rPr>
          <w:rFonts w:cstheme="minorHAnsi"/>
        </w:rPr>
        <w:t xml:space="preserve">not imposing a disproportionate or undue burden, where needed in a particular case, to ensure </w:t>
      </w:r>
      <w:r w:rsidR="00975EDF">
        <w:rPr>
          <w:rFonts w:cstheme="minorHAnsi"/>
        </w:rPr>
        <w:t xml:space="preserve">that a person with a disability could fully participate on an equal basis with others. </w:t>
      </w:r>
      <w:r w:rsidR="00B84B44">
        <w:rPr>
          <w:rFonts w:cstheme="minorHAnsi"/>
        </w:rPr>
        <w:t>She explained that r</w:t>
      </w:r>
      <w:r w:rsidR="00692045" w:rsidRPr="00B57A47">
        <w:rPr>
          <w:rFonts w:cstheme="minorHAnsi"/>
        </w:rPr>
        <w:t xml:space="preserve">easonable accommodation </w:t>
      </w:r>
      <w:r w:rsidR="00B84B44">
        <w:rPr>
          <w:rFonts w:cstheme="minorHAnsi"/>
        </w:rPr>
        <w:t>was</w:t>
      </w:r>
      <w:r w:rsidR="00692045" w:rsidRPr="00B57A47">
        <w:rPr>
          <w:rFonts w:cstheme="minorHAnsi"/>
        </w:rPr>
        <w:t xml:space="preserve"> an individualized process that </w:t>
      </w:r>
      <w:r w:rsidR="00B84B44">
        <w:rPr>
          <w:rFonts w:cstheme="minorHAnsi"/>
        </w:rPr>
        <w:t>was</w:t>
      </w:r>
      <w:r w:rsidR="00692045" w:rsidRPr="00B57A47">
        <w:rPr>
          <w:rFonts w:cstheme="minorHAnsi"/>
        </w:rPr>
        <w:t xml:space="preserve"> part of the definition of non-discrimination</w:t>
      </w:r>
      <w:r w:rsidR="00975EDF">
        <w:rPr>
          <w:rFonts w:cstheme="minorHAnsi"/>
        </w:rPr>
        <w:t>.</w:t>
      </w:r>
      <w:r w:rsidR="00692045" w:rsidRPr="00B57A47">
        <w:rPr>
          <w:rFonts w:cstheme="minorHAnsi"/>
        </w:rPr>
        <w:t xml:space="preserve"> </w:t>
      </w:r>
      <w:r w:rsidR="00B84B44">
        <w:rPr>
          <w:rFonts w:cstheme="minorHAnsi"/>
        </w:rPr>
        <w:t xml:space="preserve">She </w:t>
      </w:r>
      <w:r w:rsidR="00975EDF">
        <w:rPr>
          <w:rFonts w:cstheme="minorHAnsi"/>
        </w:rPr>
        <w:t xml:space="preserve">highlighted </w:t>
      </w:r>
      <w:r w:rsidR="00B84B44">
        <w:rPr>
          <w:rFonts w:cstheme="minorHAnsi"/>
        </w:rPr>
        <w:t>that t</w:t>
      </w:r>
      <w:r w:rsidR="00692045" w:rsidRPr="00B57A47">
        <w:rPr>
          <w:rFonts w:cstheme="minorHAnsi"/>
        </w:rPr>
        <w:t xml:space="preserve">he current framework </w:t>
      </w:r>
      <w:r w:rsidR="00B84B44">
        <w:rPr>
          <w:rFonts w:cstheme="minorHAnsi"/>
        </w:rPr>
        <w:t xml:space="preserve">was </w:t>
      </w:r>
      <w:r w:rsidR="00692045" w:rsidRPr="00B57A47">
        <w:rPr>
          <w:rFonts w:cstheme="minorHAnsi"/>
        </w:rPr>
        <w:t xml:space="preserve">insufficient </w:t>
      </w:r>
      <w:r w:rsidR="002B09D9">
        <w:rPr>
          <w:rFonts w:cstheme="minorHAnsi"/>
        </w:rPr>
        <w:t>as it would not allow for</w:t>
      </w:r>
      <w:r w:rsidR="00692045" w:rsidRPr="00B57A47">
        <w:rPr>
          <w:rFonts w:cstheme="minorHAnsi"/>
        </w:rPr>
        <w:t xml:space="preserve"> individualized responses to </w:t>
      </w:r>
      <w:r w:rsidR="002B09D9">
        <w:rPr>
          <w:rFonts w:cstheme="minorHAnsi"/>
        </w:rPr>
        <w:t>people’s</w:t>
      </w:r>
      <w:r w:rsidR="00692045" w:rsidRPr="00B57A47">
        <w:rPr>
          <w:rFonts w:cstheme="minorHAnsi"/>
        </w:rPr>
        <w:t xml:space="preserve"> needs to ensure that they can participate </w:t>
      </w:r>
      <w:r w:rsidR="00975EDF">
        <w:rPr>
          <w:rFonts w:cstheme="minorHAnsi"/>
        </w:rPr>
        <w:t xml:space="preserve">on an equal basis with others. She added that what was needed was </w:t>
      </w:r>
      <w:r w:rsidR="00975EDF" w:rsidRPr="00B57A47">
        <w:rPr>
          <w:rFonts w:cstheme="minorHAnsi"/>
        </w:rPr>
        <w:t>a mechanism by which an individual c</w:t>
      </w:r>
      <w:r w:rsidR="00975EDF">
        <w:rPr>
          <w:rFonts w:cstheme="minorHAnsi"/>
        </w:rPr>
        <w:t>ould</w:t>
      </w:r>
      <w:r w:rsidR="00975EDF" w:rsidRPr="00B57A47">
        <w:rPr>
          <w:rFonts w:cstheme="minorHAnsi"/>
        </w:rPr>
        <w:t xml:space="preserve"> explain </w:t>
      </w:r>
      <w:r w:rsidR="00975EDF">
        <w:rPr>
          <w:rFonts w:cstheme="minorHAnsi"/>
        </w:rPr>
        <w:t xml:space="preserve">what </w:t>
      </w:r>
      <w:r w:rsidR="00975EDF" w:rsidRPr="00B57A47">
        <w:rPr>
          <w:rFonts w:cstheme="minorHAnsi"/>
        </w:rPr>
        <w:t>their requirements</w:t>
      </w:r>
      <w:r w:rsidR="00975EDF">
        <w:rPr>
          <w:rFonts w:cstheme="minorHAnsi"/>
        </w:rPr>
        <w:t xml:space="preserve"> were</w:t>
      </w:r>
      <w:r w:rsidR="00975EDF" w:rsidRPr="00B57A47">
        <w:rPr>
          <w:rFonts w:cstheme="minorHAnsi"/>
        </w:rPr>
        <w:t xml:space="preserve"> to participate on an equal basis with others</w:t>
      </w:r>
      <w:r w:rsidR="00975EDF">
        <w:rPr>
          <w:rFonts w:cstheme="minorHAnsi"/>
        </w:rPr>
        <w:t>,</w:t>
      </w:r>
      <w:r w:rsidR="00975EDF" w:rsidRPr="00B57A47">
        <w:rPr>
          <w:rFonts w:cstheme="minorHAnsi"/>
        </w:rPr>
        <w:t xml:space="preserve"> </w:t>
      </w:r>
      <w:r w:rsidR="00975EDF">
        <w:rPr>
          <w:rFonts w:cstheme="minorHAnsi"/>
        </w:rPr>
        <w:t xml:space="preserve">and if they were </w:t>
      </w:r>
      <w:r w:rsidR="00975EDF" w:rsidRPr="00B57A47">
        <w:rPr>
          <w:rFonts w:cstheme="minorHAnsi"/>
        </w:rPr>
        <w:t xml:space="preserve">not met, </w:t>
      </w:r>
      <w:r w:rsidR="00975EDF">
        <w:rPr>
          <w:rFonts w:cstheme="minorHAnsi"/>
        </w:rPr>
        <w:t>that a</w:t>
      </w:r>
      <w:r w:rsidR="00975EDF" w:rsidRPr="00B57A47">
        <w:rPr>
          <w:rFonts w:cstheme="minorHAnsi"/>
        </w:rPr>
        <w:t xml:space="preserve"> complaint mechanism need</w:t>
      </w:r>
      <w:r w:rsidR="00975EDF">
        <w:rPr>
          <w:rFonts w:cstheme="minorHAnsi"/>
        </w:rPr>
        <w:t>ed to be put in place so that it could</w:t>
      </w:r>
      <w:r w:rsidR="00975EDF" w:rsidRPr="00B57A47">
        <w:rPr>
          <w:rFonts w:cstheme="minorHAnsi"/>
        </w:rPr>
        <w:t xml:space="preserve"> independently assess whether the process ha</w:t>
      </w:r>
      <w:r w:rsidR="00975EDF">
        <w:rPr>
          <w:rFonts w:cstheme="minorHAnsi"/>
        </w:rPr>
        <w:t>d</w:t>
      </w:r>
      <w:r w:rsidR="00975EDF" w:rsidRPr="00B57A47">
        <w:rPr>
          <w:rFonts w:cstheme="minorHAnsi"/>
        </w:rPr>
        <w:t xml:space="preserve"> been reasonable.</w:t>
      </w:r>
      <w:r w:rsidR="00975EDF">
        <w:rPr>
          <w:rFonts w:cstheme="minorHAnsi"/>
        </w:rPr>
        <w:t xml:space="preserve"> She stated that t</w:t>
      </w:r>
      <w:r w:rsidR="00692045" w:rsidRPr="00B57A47">
        <w:rPr>
          <w:rFonts w:cstheme="minorHAnsi"/>
        </w:rPr>
        <w:t xml:space="preserve">he framework of reasonable accommodation had been integrated into </w:t>
      </w:r>
      <w:r w:rsidR="00713C15">
        <w:rPr>
          <w:rFonts w:cstheme="minorHAnsi"/>
        </w:rPr>
        <w:t>t</w:t>
      </w:r>
      <w:r w:rsidR="00692045" w:rsidRPr="00B57A47">
        <w:rPr>
          <w:rFonts w:cstheme="minorHAnsi"/>
        </w:rPr>
        <w:t>reaty body working methods</w:t>
      </w:r>
      <w:r w:rsidR="00975EDF">
        <w:rPr>
          <w:rFonts w:cstheme="minorHAnsi"/>
        </w:rPr>
        <w:t xml:space="preserve"> through the </w:t>
      </w:r>
      <w:r w:rsidR="00692045" w:rsidRPr="00B57A47">
        <w:rPr>
          <w:rFonts w:cstheme="minorHAnsi"/>
        </w:rPr>
        <w:t>recognition of different forms of accommodation and adjustment of time,</w:t>
      </w:r>
      <w:r w:rsidR="00F75899">
        <w:rPr>
          <w:rFonts w:cstheme="minorHAnsi"/>
        </w:rPr>
        <w:t xml:space="preserve"> adjustment to</w:t>
      </w:r>
      <w:r w:rsidR="00692045" w:rsidRPr="00B57A47">
        <w:rPr>
          <w:rFonts w:cstheme="minorHAnsi"/>
        </w:rPr>
        <w:t xml:space="preserve"> the format of meetings, and personal assistant</w:t>
      </w:r>
      <w:r w:rsidR="00B36F46">
        <w:rPr>
          <w:rFonts w:cstheme="minorHAnsi"/>
        </w:rPr>
        <w:t>s</w:t>
      </w:r>
      <w:r w:rsidR="00692045" w:rsidRPr="00B57A47">
        <w:rPr>
          <w:rFonts w:cstheme="minorHAnsi"/>
        </w:rPr>
        <w:t xml:space="preserve"> </w:t>
      </w:r>
      <w:r w:rsidR="002B09D9">
        <w:rPr>
          <w:rFonts w:cstheme="minorHAnsi"/>
        </w:rPr>
        <w:t>were</w:t>
      </w:r>
      <w:r w:rsidR="002B09D9" w:rsidRPr="00B57A47">
        <w:rPr>
          <w:rFonts w:cstheme="minorHAnsi"/>
        </w:rPr>
        <w:t xml:space="preserve"> </w:t>
      </w:r>
      <w:r w:rsidR="00692045" w:rsidRPr="00B57A47">
        <w:rPr>
          <w:rFonts w:cstheme="minorHAnsi"/>
        </w:rPr>
        <w:t xml:space="preserve">being recognized and accommodated across the treaty bodies. </w:t>
      </w:r>
      <w:r w:rsidR="00975EDF">
        <w:rPr>
          <w:rFonts w:cstheme="minorHAnsi"/>
        </w:rPr>
        <w:t xml:space="preserve">However, she </w:t>
      </w:r>
      <w:r w:rsidR="00713C15">
        <w:rPr>
          <w:rFonts w:cstheme="minorHAnsi"/>
        </w:rPr>
        <w:t>highlighted that</w:t>
      </w:r>
      <w:r w:rsidR="00975EDF">
        <w:rPr>
          <w:rFonts w:cstheme="minorHAnsi"/>
        </w:rPr>
        <w:t xml:space="preserve"> in the future as </w:t>
      </w:r>
      <w:r w:rsidR="00692045" w:rsidRPr="00B57A47">
        <w:rPr>
          <w:rFonts w:cstheme="minorHAnsi"/>
        </w:rPr>
        <w:t>more experts with disabilities</w:t>
      </w:r>
      <w:r w:rsidR="00975EDF">
        <w:rPr>
          <w:rFonts w:cstheme="minorHAnsi"/>
        </w:rPr>
        <w:t xml:space="preserve"> join the treaty bodies, t</w:t>
      </w:r>
      <w:r w:rsidR="00F75899">
        <w:rPr>
          <w:rFonts w:cstheme="minorHAnsi"/>
        </w:rPr>
        <w:t>hese mechanisms</w:t>
      </w:r>
      <w:r w:rsidR="00975EDF">
        <w:rPr>
          <w:rFonts w:cstheme="minorHAnsi"/>
        </w:rPr>
        <w:t xml:space="preserve"> now </w:t>
      </w:r>
      <w:r w:rsidR="00692045" w:rsidRPr="00B57A47">
        <w:rPr>
          <w:rFonts w:cstheme="minorHAnsi"/>
        </w:rPr>
        <w:t>need</w:t>
      </w:r>
      <w:r w:rsidR="00713C15">
        <w:rPr>
          <w:rFonts w:cstheme="minorHAnsi"/>
        </w:rPr>
        <w:t>ed</w:t>
      </w:r>
      <w:r w:rsidR="00692045" w:rsidRPr="00B57A47">
        <w:rPr>
          <w:rFonts w:cstheme="minorHAnsi"/>
        </w:rPr>
        <w:t xml:space="preserve"> to be formalized, </w:t>
      </w:r>
      <w:proofErr w:type="gramStart"/>
      <w:r w:rsidR="00692045" w:rsidRPr="00B57A47">
        <w:rPr>
          <w:rFonts w:cstheme="minorHAnsi"/>
        </w:rPr>
        <w:t>in order to</w:t>
      </w:r>
      <w:proofErr w:type="gramEnd"/>
      <w:r w:rsidR="00692045" w:rsidRPr="00B57A47">
        <w:rPr>
          <w:rFonts w:cstheme="minorHAnsi"/>
        </w:rPr>
        <w:t xml:space="preserve"> meet the legal obligations</w:t>
      </w:r>
      <w:r w:rsidR="00975EDF">
        <w:rPr>
          <w:rFonts w:cstheme="minorHAnsi"/>
        </w:rPr>
        <w:t xml:space="preserve"> under the Convention</w:t>
      </w:r>
      <w:r w:rsidR="00692045" w:rsidRPr="00B57A47">
        <w:rPr>
          <w:rFonts w:cstheme="minorHAnsi"/>
        </w:rPr>
        <w:t xml:space="preserve">. </w:t>
      </w:r>
    </w:p>
    <w:p w14:paraId="3CA71A42" w14:textId="77777777" w:rsidR="005F0CD1" w:rsidRPr="00692045" w:rsidRDefault="005F0CD1" w:rsidP="00692045">
      <w:pPr>
        <w:spacing w:line="240" w:lineRule="auto"/>
        <w:contextualSpacing/>
        <w:rPr>
          <w:rFonts w:cstheme="minorHAnsi"/>
        </w:rPr>
      </w:pPr>
    </w:p>
    <w:p w14:paraId="08A570F9" w14:textId="77777777" w:rsidR="006436F9" w:rsidRPr="00692045" w:rsidRDefault="006436F9" w:rsidP="00692045">
      <w:pPr>
        <w:spacing w:line="240" w:lineRule="auto"/>
        <w:rPr>
          <w:rFonts w:cstheme="minorHAnsi"/>
          <w:b/>
        </w:rPr>
      </w:pPr>
      <w:r w:rsidRPr="00692045">
        <w:rPr>
          <w:rFonts w:cstheme="minorHAnsi"/>
          <w:b/>
        </w:rPr>
        <w:t xml:space="preserve">Backlog </w:t>
      </w:r>
    </w:p>
    <w:p w14:paraId="3684BD90" w14:textId="6F234DC3" w:rsidR="00486972" w:rsidRDefault="006F54B2" w:rsidP="00692045">
      <w:pPr>
        <w:spacing w:line="240" w:lineRule="auto"/>
        <w:rPr>
          <w:rFonts w:cstheme="minorHAnsi"/>
        </w:rPr>
      </w:pPr>
      <w:r w:rsidRPr="00B57A47">
        <w:rPr>
          <w:rFonts w:cstheme="minorHAnsi"/>
        </w:rPr>
        <w:t xml:space="preserve">In the discussions, experts expressed concern regarding the backlog </w:t>
      </w:r>
      <w:r w:rsidR="000D67AC" w:rsidRPr="00B57A47">
        <w:rPr>
          <w:rFonts w:cstheme="minorHAnsi"/>
        </w:rPr>
        <w:t>of State party reviews</w:t>
      </w:r>
      <w:r w:rsidR="007E7B43" w:rsidRPr="00B57A47">
        <w:rPr>
          <w:rFonts w:cstheme="minorHAnsi"/>
        </w:rPr>
        <w:t xml:space="preserve"> </w:t>
      </w:r>
      <w:r w:rsidRPr="00B57A47">
        <w:rPr>
          <w:rFonts w:cstheme="minorHAnsi"/>
        </w:rPr>
        <w:t xml:space="preserve">overall due to </w:t>
      </w:r>
      <w:r w:rsidR="000D67AC" w:rsidRPr="00B57A47">
        <w:rPr>
          <w:rFonts w:cstheme="minorHAnsi"/>
        </w:rPr>
        <w:t xml:space="preserve">the </w:t>
      </w:r>
      <w:r w:rsidRPr="00B57A47">
        <w:rPr>
          <w:rFonts w:cstheme="minorHAnsi"/>
        </w:rPr>
        <w:t xml:space="preserve">COVID 19 </w:t>
      </w:r>
      <w:r w:rsidR="000D67AC" w:rsidRPr="00B57A47">
        <w:rPr>
          <w:rFonts w:cstheme="minorHAnsi"/>
        </w:rPr>
        <w:t>pandemic</w:t>
      </w:r>
      <w:r w:rsidR="002B09D9">
        <w:rPr>
          <w:rFonts w:cstheme="minorHAnsi"/>
        </w:rPr>
        <w:t>,</w:t>
      </w:r>
      <w:r w:rsidR="000D67AC" w:rsidRPr="00B57A47">
        <w:rPr>
          <w:rFonts w:cstheme="minorHAnsi"/>
        </w:rPr>
        <w:t xml:space="preserve"> </w:t>
      </w:r>
      <w:r w:rsidRPr="00B57A47">
        <w:rPr>
          <w:rFonts w:cstheme="minorHAnsi"/>
        </w:rPr>
        <w:t xml:space="preserve">while others focussed more on the backlog of </w:t>
      </w:r>
      <w:proofErr w:type="gramStart"/>
      <w:r w:rsidR="003153C5">
        <w:rPr>
          <w:rFonts w:cstheme="minorHAnsi"/>
        </w:rPr>
        <w:t>p</w:t>
      </w:r>
      <w:r w:rsidRPr="00B57A47">
        <w:rPr>
          <w:rFonts w:cstheme="minorHAnsi"/>
        </w:rPr>
        <w:t>etitions  (</w:t>
      </w:r>
      <w:proofErr w:type="gramEnd"/>
      <w:r w:rsidRPr="00B57A47">
        <w:rPr>
          <w:rFonts w:cstheme="minorHAnsi"/>
        </w:rPr>
        <w:t>please see section</w:t>
      </w:r>
      <w:r w:rsidR="00486972">
        <w:rPr>
          <w:rFonts w:cstheme="minorHAnsi"/>
        </w:rPr>
        <w:t xml:space="preserve"> below</w:t>
      </w:r>
      <w:r w:rsidRPr="00B57A47">
        <w:rPr>
          <w:rFonts w:cstheme="minorHAnsi"/>
        </w:rPr>
        <w:t xml:space="preserve"> on Petitions).</w:t>
      </w:r>
      <w:r w:rsidR="00A67E39">
        <w:rPr>
          <w:rFonts w:cstheme="minorHAnsi"/>
        </w:rPr>
        <w:t xml:space="preserve"> </w:t>
      </w:r>
      <w:r w:rsidR="008E50D7">
        <w:rPr>
          <w:rFonts w:cstheme="minorHAnsi"/>
        </w:rPr>
        <w:t xml:space="preserve">OHCHR indicated that the current backlog of reports </w:t>
      </w:r>
      <w:r w:rsidR="00A67E39">
        <w:rPr>
          <w:rFonts w:cstheme="minorHAnsi"/>
        </w:rPr>
        <w:t>was 441 as of 31 December 2021</w:t>
      </w:r>
      <w:r w:rsidR="008E50D7">
        <w:rPr>
          <w:rFonts w:cstheme="minorHAnsi"/>
        </w:rPr>
        <w:t>, which is</w:t>
      </w:r>
      <w:r w:rsidR="00A67E39">
        <w:rPr>
          <w:rFonts w:cstheme="minorHAnsi"/>
        </w:rPr>
        <w:t xml:space="preserve"> </w:t>
      </w:r>
      <w:r w:rsidR="008249FF">
        <w:rPr>
          <w:rFonts w:cstheme="minorHAnsi"/>
        </w:rPr>
        <w:t xml:space="preserve">45% </w:t>
      </w:r>
      <w:r w:rsidR="00A67E39">
        <w:rPr>
          <w:rFonts w:cstheme="minorHAnsi"/>
        </w:rPr>
        <w:t>higher tha</w:t>
      </w:r>
      <w:r w:rsidR="002008BD">
        <w:rPr>
          <w:rFonts w:cstheme="minorHAnsi"/>
        </w:rPr>
        <w:t>n</w:t>
      </w:r>
      <w:r w:rsidR="00A67E39">
        <w:rPr>
          <w:rFonts w:cstheme="minorHAnsi"/>
        </w:rPr>
        <w:t xml:space="preserve"> the amount of 304 pending reports as of 31 </w:t>
      </w:r>
      <w:r w:rsidR="00A67E39">
        <w:rPr>
          <w:rFonts w:cstheme="minorHAnsi"/>
        </w:rPr>
        <w:lastRenderedPageBreak/>
        <w:t xml:space="preserve">December 2013, when the treaty body strengthening </w:t>
      </w:r>
      <w:r w:rsidR="00442405">
        <w:rPr>
          <w:rFonts w:cstheme="minorHAnsi"/>
        </w:rPr>
        <w:t xml:space="preserve">process </w:t>
      </w:r>
      <w:r w:rsidR="00A67E39">
        <w:rPr>
          <w:rFonts w:cstheme="minorHAnsi"/>
        </w:rPr>
        <w:t xml:space="preserve">started, and </w:t>
      </w:r>
      <w:r w:rsidR="008249FF">
        <w:rPr>
          <w:rFonts w:cstheme="minorHAnsi"/>
        </w:rPr>
        <w:t>71% higher than the</w:t>
      </w:r>
      <w:r w:rsidR="00A67E39">
        <w:rPr>
          <w:rFonts w:cstheme="minorHAnsi"/>
        </w:rPr>
        <w:t xml:space="preserve"> amount of 258 pending reports as of 31 December 2015, </w:t>
      </w:r>
      <w:r w:rsidR="002008BD">
        <w:rPr>
          <w:rFonts w:cstheme="minorHAnsi"/>
        </w:rPr>
        <w:t xml:space="preserve">when </w:t>
      </w:r>
      <w:r w:rsidR="008E50D7">
        <w:rPr>
          <w:rFonts w:cstheme="minorHAnsi"/>
        </w:rPr>
        <w:t>G</w:t>
      </w:r>
      <w:r w:rsidR="00A67E39">
        <w:rPr>
          <w:rFonts w:cstheme="minorHAnsi"/>
        </w:rPr>
        <w:t>eneral Assembly</w:t>
      </w:r>
      <w:r w:rsidR="008E50D7">
        <w:rPr>
          <w:rFonts w:cstheme="minorHAnsi"/>
        </w:rPr>
        <w:t xml:space="preserve"> resolution 68/268</w:t>
      </w:r>
      <w:r w:rsidR="002008BD">
        <w:rPr>
          <w:rFonts w:cstheme="minorHAnsi"/>
        </w:rPr>
        <w:t xml:space="preserve"> was adopted</w:t>
      </w:r>
      <w:r w:rsidR="00A67E39">
        <w:rPr>
          <w:rFonts w:cstheme="minorHAnsi"/>
        </w:rPr>
        <w:t xml:space="preserve">. This </w:t>
      </w:r>
      <w:r w:rsidR="002F7028">
        <w:rPr>
          <w:rFonts w:cstheme="minorHAnsi"/>
        </w:rPr>
        <w:t xml:space="preserve">figure is to be added </w:t>
      </w:r>
      <w:r w:rsidR="00927A2E">
        <w:rPr>
          <w:rFonts w:cstheme="minorHAnsi"/>
        </w:rPr>
        <w:t>to the</w:t>
      </w:r>
      <w:r w:rsidR="00A67E39">
        <w:rPr>
          <w:rFonts w:cstheme="minorHAnsi"/>
        </w:rPr>
        <w:t xml:space="preserve"> individual</w:t>
      </w:r>
      <w:r w:rsidR="00927A2E">
        <w:rPr>
          <w:rFonts w:cstheme="minorHAnsi"/>
        </w:rPr>
        <w:t xml:space="preserve"> commu</w:t>
      </w:r>
      <w:r w:rsidR="00A67E39">
        <w:rPr>
          <w:rFonts w:cstheme="minorHAnsi"/>
        </w:rPr>
        <w:t xml:space="preserve">nications and urgent actions </w:t>
      </w:r>
      <w:r w:rsidR="00927A2E">
        <w:rPr>
          <w:rFonts w:cstheme="minorHAnsi"/>
        </w:rPr>
        <w:t xml:space="preserve">backlog. OHCHR expressed its </w:t>
      </w:r>
      <w:r w:rsidR="002B09D9">
        <w:rPr>
          <w:rFonts w:cstheme="minorHAnsi"/>
        </w:rPr>
        <w:t xml:space="preserve">view </w:t>
      </w:r>
      <w:r w:rsidR="00927A2E">
        <w:rPr>
          <w:rFonts w:cstheme="minorHAnsi"/>
        </w:rPr>
        <w:t xml:space="preserve">that dealing with the backlog </w:t>
      </w:r>
      <w:r w:rsidR="00BF7242">
        <w:rPr>
          <w:rFonts w:cstheme="minorHAnsi"/>
        </w:rPr>
        <w:t xml:space="preserve">of reports </w:t>
      </w:r>
      <w:r w:rsidR="002B09D9">
        <w:rPr>
          <w:rFonts w:cstheme="minorHAnsi"/>
        </w:rPr>
        <w:t xml:space="preserve">would </w:t>
      </w:r>
      <w:r w:rsidR="00927A2E">
        <w:rPr>
          <w:rFonts w:cstheme="minorHAnsi"/>
        </w:rPr>
        <w:t>be better achieved in the framework of a larger vision for the future, in the sense that it could be integrated into the predictable review calendar that should start by reports submitted but not yet review</w:t>
      </w:r>
      <w:r w:rsidR="00BF7242">
        <w:rPr>
          <w:rFonts w:cstheme="minorHAnsi"/>
        </w:rPr>
        <w:t>e</w:t>
      </w:r>
      <w:r w:rsidR="00927A2E">
        <w:rPr>
          <w:rFonts w:cstheme="minorHAnsi"/>
        </w:rPr>
        <w:t xml:space="preserve">d. </w:t>
      </w:r>
    </w:p>
    <w:p w14:paraId="1D690BC4" w14:textId="77777777" w:rsidR="00486972" w:rsidRPr="00692045" w:rsidRDefault="00486972" w:rsidP="00486972">
      <w:pPr>
        <w:spacing w:line="240" w:lineRule="auto"/>
        <w:rPr>
          <w:rFonts w:cstheme="minorHAnsi"/>
          <w:b/>
        </w:rPr>
      </w:pPr>
      <w:r w:rsidRPr="00692045">
        <w:rPr>
          <w:rFonts w:cstheme="minorHAnsi"/>
          <w:b/>
        </w:rPr>
        <w:t>Petitions</w:t>
      </w:r>
    </w:p>
    <w:p w14:paraId="61F52F80" w14:textId="386B29BA" w:rsidR="00486972" w:rsidRDefault="00486972" w:rsidP="00486972">
      <w:pPr>
        <w:spacing w:after="0" w:line="240" w:lineRule="auto"/>
        <w:rPr>
          <w:rFonts w:cstheme="minorHAnsi"/>
        </w:rPr>
      </w:pPr>
      <w:r>
        <w:rPr>
          <w:rFonts w:cstheme="minorHAnsi"/>
        </w:rPr>
        <w:t>Several</w:t>
      </w:r>
      <w:r w:rsidRPr="00B57A47">
        <w:rPr>
          <w:rFonts w:cstheme="minorHAnsi"/>
        </w:rPr>
        <w:t xml:space="preserve"> treaty body experts </w:t>
      </w:r>
      <w:r>
        <w:rPr>
          <w:rFonts w:cstheme="minorHAnsi"/>
        </w:rPr>
        <w:t xml:space="preserve">shared </w:t>
      </w:r>
      <w:r w:rsidRPr="00B57A47">
        <w:rPr>
          <w:rFonts w:cstheme="minorHAnsi"/>
        </w:rPr>
        <w:t>their concern</w:t>
      </w:r>
      <w:r>
        <w:rPr>
          <w:rFonts w:cstheme="minorHAnsi"/>
        </w:rPr>
        <w:t xml:space="preserve">s </w:t>
      </w:r>
      <w:proofErr w:type="gramStart"/>
      <w:r>
        <w:rPr>
          <w:rFonts w:cstheme="minorHAnsi"/>
        </w:rPr>
        <w:t>with regard to</w:t>
      </w:r>
      <w:proofErr w:type="gramEnd"/>
      <w:r w:rsidRPr="00B57A47">
        <w:rPr>
          <w:rFonts w:cstheme="minorHAnsi"/>
        </w:rPr>
        <w:t xml:space="preserve"> the treaty bodies</w:t>
      </w:r>
      <w:r>
        <w:rPr>
          <w:rFonts w:cstheme="minorHAnsi"/>
        </w:rPr>
        <w:t>’ work on petitions</w:t>
      </w:r>
      <w:r w:rsidRPr="00B57A47">
        <w:rPr>
          <w:rFonts w:cstheme="minorHAnsi"/>
        </w:rPr>
        <w:t xml:space="preserve">. They </w:t>
      </w:r>
      <w:r>
        <w:rPr>
          <w:rFonts w:cstheme="minorHAnsi"/>
        </w:rPr>
        <w:t xml:space="preserve">stressed the </w:t>
      </w:r>
      <w:r w:rsidRPr="00B57A47">
        <w:rPr>
          <w:rFonts w:cstheme="minorHAnsi"/>
        </w:rPr>
        <w:t>importan</w:t>
      </w:r>
      <w:r>
        <w:rPr>
          <w:rFonts w:cstheme="minorHAnsi"/>
        </w:rPr>
        <w:t>ce of the</w:t>
      </w:r>
      <w:r w:rsidRPr="00B57A47">
        <w:rPr>
          <w:rFonts w:cstheme="minorHAnsi"/>
        </w:rPr>
        <w:t xml:space="preserve"> work that the Petitions </w:t>
      </w:r>
      <w:r w:rsidR="00E65207">
        <w:rPr>
          <w:rFonts w:cstheme="minorHAnsi"/>
        </w:rPr>
        <w:t>Section</w:t>
      </w:r>
      <w:r w:rsidRPr="00B57A47">
        <w:rPr>
          <w:rFonts w:cstheme="minorHAnsi"/>
        </w:rPr>
        <w:t xml:space="preserve">, and the severe overload of work </w:t>
      </w:r>
      <w:r>
        <w:rPr>
          <w:rFonts w:cstheme="minorHAnsi"/>
        </w:rPr>
        <w:t xml:space="preserve">it </w:t>
      </w:r>
      <w:r w:rsidRPr="00B57A47">
        <w:rPr>
          <w:rFonts w:cstheme="minorHAnsi"/>
        </w:rPr>
        <w:t>face</w:t>
      </w:r>
      <w:r>
        <w:rPr>
          <w:rFonts w:cstheme="minorHAnsi"/>
        </w:rPr>
        <w:t>d</w:t>
      </w:r>
      <w:r w:rsidRPr="00B57A47">
        <w:rPr>
          <w:rFonts w:cstheme="minorHAnsi"/>
        </w:rPr>
        <w:t>, noting that individual communications remain</w:t>
      </w:r>
      <w:r>
        <w:rPr>
          <w:rFonts w:cstheme="minorHAnsi"/>
        </w:rPr>
        <w:t>ed</w:t>
      </w:r>
      <w:r w:rsidRPr="00B57A47">
        <w:rPr>
          <w:rFonts w:cstheme="minorHAnsi"/>
        </w:rPr>
        <w:t xml:space="preserve"> a priority.</w:t>
      </w:r>
      <w:r>
        <w:rPr>
          <w:rFonts w:cstheme="minorHAnsi"/>
        </w:rPr>
        <w:t xml:space="preserve"> E</w:t>
      </w:r>
      <w:r w:rsidRPr="00B57A47">
        <w:rPr>
          <w:rFonts w:cstheme="minorHAnsi"/>
        </w:rPr>
        <w:t>xperts expressed concern regarding the petitions backlog</w:t>
      </w:r>
      <w:r>
        <w:rPr>
          <w:rFonts w:cstheme="minorHAnsi"/>
        </w:rPr>
        <w:t xml:space="preserve"> and underlined</w:t>
      </w:r>
      <w:r w:rsidRPr="00B57A47">
        <w:rPr>
          <w:rFonts w:cstheme="minorHAnsi"/>
        </w:rPr>
        <w:t xml:space="preserve"> the need for increased resources to improve the petitions system and follow up, including </w:t>
      </w:r>
      <w:r>
        <w:rPr>
          <w:rFonts w:cstheme="minorHAnsi"/>
        </w:rPr>
        <w:t xml:space="preserve">through </w:t>
      </w:r>
      <w:r w:rsidRPr="00B57A47">
        <w:rPr>
          <w:rFonts w:cstheme="minorHAnsi"/>
        </w:rPr>
        <w:t xml:space="preserve">digital tools. </w:t>
      </w:r>
    </w:p>
    <w:p w14:paraId="162C1E6A" w14:textId="77777777" w:rsidR="00486972" w:rsidRDefault="00486972" w:rsidP="00486972">
      <w:pPr>
        <w:spacing w:after="0" w:line="240" w:lineRule="auto"/>
        <w:rPr>
          <w:rFonts w:cstheme="minorHAnsi"/>
        </w:rPr>
      </w:pPr>
    </w:p>
    <w:p w14:paraId="47736236" w14:textId="401D4BB8" w:rsidR="00486972" w:rsidRDefault="00486972" w:rsidP="00486972">
      <w:pPr>
        <w:spacing w:after="0" w:line="240" w:lineRule="auto"/>
        <w:rPr>
          <w:rFonts w:cstheme="minorHAnsi"/>
        </w:rPr>
      </w:pPr>
      <w:r>
        <w:rPr>
          <w:rFonts w:cstheme="minorHAnsi"/>
        </w:rPr>
        <w:t>OHCHR’s presentation on petitions clarified that the formula of resources contained in General Assembly resolution 68/268 was not implemented</w:t>
      </w:r>
      <w:r w:rsidR="00E65207">
        <w:rPr>
          <w:rFonts w:cstheme="minorHAnsi"/>
        </w:rPr>
        <w:t xml:space="preserve"> in relation to petitions’ workload</w:t>
      </w:r>
      <w:r>
        <w:rPr>
          <w:rFonts w:cstheme="minorHAnsi"/>
        </w:rPr>
        <w:t>.</w:t>
      </w:r>
      <w:r w:rsidR="008249FF">
        <w:rPr>
          <w:rFonts w:cstheme="minorHAnsi"/>
        </w:rPr>
        <w:t xml:space="preserve"> </w:t>
      </w:r>
      <w:r>
        <w:rPr>
          <w:rStyle w:val="FootnoteReference"/>
          <w:rFonts w:cstheme="minorHAnsi"/>
        </w:rPr>
        <w:footnoteReference w:id="13"/>
      </w:r>
      <w:r>
        <w:rPr>
          <w:rFonts w:cstheme="minorHAnsi"/>
        </w:rPr>
        <w:t xml:space="preserve"> In addition, the number of individual communications registered increased from 307</w:t>
      </w:r>
      <w:r w:rsidR="00E65207">
        <w:rPr>
          <w:rFonts w:cstheme="minorHAnsi"/>
        </w:rPr>
        <w:t>,</w:t>
      </w:r>
      <w:r>
        <w:rPr>
          <w:rFonts w:cstheme="minorHAnsi"/>
        </w:rPr>
        <w:t xml:space="preserve"> as </w:t>
      </w:r>
      <w:proofErr w:type="gramStart"/>
      <w:r>
        <w:rPr>
          <w:rFonts w:cstheme="minorHAnsi"/>
        </w:rPr>
        <w:t>at</w:t>
      </w:r>
      <w:proofErr w:type="gramEnd"/>
      <w:r>
        <w:rPr>
          <w:rFonts w:cstheme="minorHAnsi"/>
        </w:rPr>
        <w:t xml:space="preserve"> 31 December 2015</w:t>
      </w:r>
      <w:r w:rsidR="00E65207">
        <w:rPr>
          <w:rFonts w:cstheme="minorHAnsi"/>
        </w:rPr>
        <w:t>,</w:t>
      </w:r>
      <w:r>
        <w:rPr>
          <w:rFonts w:cstheme="minorHAnsi"/>
        </w:rPr>
        <w:t xml:space="preserve"> to 399 as at 31 December 2021, representing an increase of 30%. The individual communications pending review increased from 769 on 31 December 2015 to 1,800 on 31 December 2021, representing an increase of 134%. The lack of a modern data management system </w:t>
      </w:r>
      <w:r w:rsidR="00E65207">
        <w:rPr>
          <w:rFonts w:cstheme="minorHAnsi"/>
        </w:rPr>
        <w:t xml:space="preserve">has </w:t>
      </w:r>
      <w:r>
        <w:rPr>
          <w:rFonts w:cstheme="minorHAnsi"/>
        </w:rPr>
        <w:t xml:space="preserve">led to a </w:t>
      </w:r>
      <w:r w:rsidR="00E65207">
        <w:rPr>
          <w:rFonts w:cstheme="minorHAnsi"/>
        </w:rPr>
        <w:t xml:space="preserve">significant </w:t>
      </w:r>
      <w:r>
        <w:rPr>
          <w:rFonts w:cstheme="minorHAnsi"/>
        </w:rPr>
        <w:t>loss of time on manual processing and action</w:t>
      </w:r>
      <w:r w:rsidR="00E65207">
        <w:rPr>
          <w:rFonts w:cstheme="minorHAnsi"/>
        </w:rPr>
        <w:t>s</w:t>
      </w:r>
      <w:r>
        <w:rPr>
          <w:rFonts w:cstheme="minorHAnsi"/>
        </w:rPr>
        <w:t xml:space="preserve"> on various stages of individual complaints. </w:t>
      </w:r>
      <w:r w:rsidR="00E65207">
        <w:rPr>
          <w:rFonts w:cstheme="minorHAnsi"/>
        </w:rPr>
        <w:t>T</w:t>
      </w:r>
      <w:r>
        <w:rPr>
          <w:rFonts w:cstheme="minorHAnsi"/>
        </w:rPr>
        <w:t>wo issues</w:t>
      </w:r>
      <w:r w:rsidR="00E65207">
        <w:rPr>
          <w:rFonts w:cstheme="minorHAnsi"/>
        </w:rPr>
        <w:t xml:space="preserve"> were</w:t>
      </w:r>
      <w:r>
        <w:rPr>
          <w:rFonts w:cstheme="minorHAnsi"/>
        </w:rPr>
        <w:t xml:space="preserve"> </w:t>
      </w:r>
      <w:r w:rsidR="00E65207">
        <w:rPr>
          <w:rFonts w:cstheme="minorHAnsi"/>
        </w:rPr>
        <w:t>critical, namely the development of</w:t>
      </w:r>
      <w:r>
        <w:rPr>
          <w:rFonts w:cstheme="minorHAnsi"/>
        </w:rPr>
        <w:t xml:space="preserve"> modern technology, on which OHCHR </w:t>
      </w:r>
      <w:r w:rsidR="00E65207">
        <w:rPr>
          <w:rFonts w:cstheme="minorHAnsi"/>
        </w:rPr>
        <w:t>has started to act</w:t>
      </w:r>
      <w:r>
        <w:rPr>
          <w:rFonts w:cstheme="minorHAnsi"/>
        </w:rPr>
        <w:t xml:space="preserve"> with the support of a number of donors, and human </w:t>
      </w:r>
      <w:proofErr w:type="gramStart"/>
      <w:r>
        <w:rPr>
          <w:rFonts w:cstheme="minorHAnsi"/>
        </w:rPr>
        <w:t>resources ,</w:t>
      </w:r>
      <w:proofErr w:type="gramEnd"/>
      <w:r>
        <w:rPr>
          <w:rFonts w:cstheme="minorHAnsi"/>
        </w:rPr>
        <w:t xml:space="preserve"> which OHCHR hoped to address through the  4th Secretary-General’s status report so as to clarify to member States what action </w:t>
      </w:r>
      <w:r w:rsidR="00E65207">
        <w:rPr>
          <w:rFonts w:cstheme="minorHAnsi"/>
        </w:rPr>
        <w:t xml:space="preserve">and support </w:t>
      </w:r>
      <w:r>
        <w:rPr>
          <w:rFonts w:cstheme="minorHAnsi"/>
        </w:rPr>
        <w:t xml:space="preserve">was needed. </w:t>
      </w:r>
    </w:p>
    <w:p w14:paraId="11038314" w14:textId="4EC85069" w:rsidR="00486972" w:rsidRDefault="00486972" w:rsidP="00486972">
      <w:pPr>
        <w:spacing w:after="0" w:line="240" w:lineRule="auto"/>
        <w:rPr>
          <w:rFonts w:cstheme="minorHAnsi"/>
        </w:rPr>
      </w:pPr>
    </w:p>
    <w:p w14:paraId="20C48953" w14:textId="77777777" w:rsidR="00486972" w:rsidRPr="00692045" w:rsidRDefault="00486972" w:rsidP="00486972">
      <w:pPr>
        <w:spacing w:line="240" w:lineRule="auto"/>
        <w:rPr>
          <w:rFonts w:cstheme="minorHAnsi"/>
          <w:b/>
          <w:lang w:val="en-US"/>
        </w:rPr>
      </w:pPr>
      <w:r w:rsidRPr="00692045">
        <w:rPr>
          <w:rFonts w:cstheme="minorHAnsi"/>
          <w:b/>
          <w:lang w:val="en-US"/>
        </w:rPr>
        <w:t>Human</w:t>
      </w:r>
      <w:r>
        <w:rPr>
          <w:rFonts w:cstheme="minorHAnsi"/>
          <w:b/>
          <w:lang w:val="en-US"/>
        </w:rPr>
        <w:t xml:space="preserve"> and</w:t>
      </w:r>
      <w:r w:rsidRPr="00692045">
        <w:rPr>
          <w:rFonts w:cstheme="minorHAnsi"/>
          <w:b/>
          <w:lang w:val="en-US"/>
        </w:rPr>
        <w:t xml:space="preserve"> financial resources, budget</w:t>
      </w:r>
    </w:p>
    <w:p w14:paraId="14A64C6A" w14:textId="4991D509" w:rsidR="006F54B2" w:rsidRPr="00EB24F6" w:rsidRDefault="00486972" w:rsidP="00EB24F6">
      <w:pPr>
        <w:rPr>
          <w:rFonts w:cstheme="minorHAnsi"/>
          <w:lang w:val="en-US"/>
        </w:rPr>
      </w:pPr>
      <w:r>
        <w:rPr>
          <w:rFonts w:cstheme="minorHAnsi"/>
        </w:rPr>
        <w:t xml:space="preserve">Most </w:t>
      </w:r>
      <w:r w:rsidRPr="00B57A47">
        <w:rPr>
          <w:rFonts w:cstheme="minorHAnsi"/>
        </w:rPr>
        <w:t xml:space="preserve">experts expressed </w:t>
      </w:r>
      <w:r>
        <w:rPr>
          <w:rFonts w:cstheme="minorHAnsi"/>
        </w:rPr>
        <w:t xml:space="preserve">serious </w:t>
      </w:r>
      <w:r w:rsidRPr="00B57A47">
        <w:rPr>
          <w:rFonts w:cstheme="minorHAnsi"/>
        </w:rPr>
        <w:t xml:space="preserve">concern regarding the budget allocated to the treaty bodies and highlighted that the treaty body system </w:t>
      </w:r>
      <w:r w:rsidR="00E65207">
        <w:rPr>
          <w:rFonts w:cstheme="minorHAnsi"/>
        </w:rPr>
        <w:t xml:space="preserve">would </w:t>
      </w:r>
      <w:r w:rsidRPr="00B57A47">
        <w:rPr>
          <w:rFonts w:cstheme="minorHAnsi"/>
        </w:rPr>
        <w:t xml:space="preserve">need additional financial resources </w:t>
      </w:r>
      <w:proofErr w:type="gramStart"/>
      <w:r w:rsidRPr="00B57A47">
        <w:rPr>
          <w:rFonts w:cstheme="minorHAnsi"/>
        </w:rPr>
        <w:t>in order to</w:t>
      </w:r>
      <w:proofErr w:type="gramEnd"/>
      <w:r w:rsidRPr="00B57A47">
        <w:rPr>
          <w:rFonts w:cstheme="minorHAnsi"/>
        </w:rPr>
        <w:t xml:space="preserve"> fulfil </w:t>
      </w:r>
      <w:r w:rsidR="00E65207">
        <w:rPr>
          <w:rFonts w:cstheme="minorHAnsi"/>
        </w:rPr>
        <w:t>its</w:t>
      </w:r>
      <w:r w:rsidR="00E65207" w:rsidRPr="00B57A47">
        <w:rPr>
          <w:rFonts w:cstheme="minorHAnsi"/>
        </w:rPr>
        <w:t xml:space="preserve"> </w:t>
      </w:r>
      <w:r w:rsidRPr="00B57A47">
        <w:rPr>
          <w:rFonts w:cstheme="minorHAnsi"/>
        </w:rPr>
        <w:t>mandates</w:t>
      </w:r>
      <w:r w:rsidR="002F7028">
        <w:rPr>
          <w:rFonts w:cstheme="minorHAnsi"/>
        </w:rPr>
        <w:t xml:space="preserve"> which are legally binding as a matter of human rights treaty law</w:t>
      </w:r>
      <w:r w:rsidRPr="00B57A47">
        <w:rPr>
          <w:rFonts w:cstheme="minorHAnsi"/>
        </w:rPr>
        <w:t>.</w:t>
      </w:r>
      <w:r>
        <w:rPr>
          <w:rFonts w:cstheme="minorHAnsi"/>
        </w:rPr>
        <w:t xml:space="preserve"> </w:t>
      </w:r>
      <w:proofErr w:type="gramStart"/>
      <w:r>
        <w:rPr>
          <w:rFonts w:cstheme="minorHAnsi"/>
        </w:rPr>
        <w:t>A number of</w:t>
      </w:r>
      <w:proofErr w:type="gramEnd"/>
      <w:r>
        <w:rPr>
          <w:rFonts w:cstheme="minorHAnsi"/>
        </w:rPr>
        <w:t xml:space="preserve"> experts </w:t>
      </w:r>
      <w:r w:rsidRPr="00B57A47">
        <w:rPr>
          <w:rFonts w:cstheme="minorHAnsi"/>
        </w:rPr>
        <w:t>suggested that the 4</w:t>
      </w:r>
      <w:r w:rsidRPr="00B57A47">
        <w:rPr>
          <w:rFonts w:cstheme="minorHAnsi"/>
          <w:vertAlign w:val="superscript"/>
        </w:rPr>
        <w:t>th</w:t>
      </w:r>
      <w:r w:rsidRPr="00B57A47">
        <w:rPr>
          <w:rFonts w:cstheme="minorHAnsi"/>
        </w:rPr>
        <w:t xml:space="preserve"> Secretary General’s report should include concrete and specific budget proposals</w:t>
      </w:r>
      <w:r>
        <w:rPr>
          <w:rFonts w:cstheme="minorHAnsi"/>
        </w:rPr>
        <w:t xml:space="preserve"> and</w:t>
      </w:r>
      <w:r w:rsidRPr="00B57A47">
        <w:rPr>
          <w:rFonts w:cstheme="minorHAnsi"/>
        </w:rPr>
        <w:t xml:space="preserve"> expressed the need for sufficient financial resources for the petitions system and follow</w:t>
      </w:r>
      <w:r>
        <w:rPr>
          <w:rFonts w:cstheme="minorHAnsi"/>
        </w:rPr>
        <w:t>-</w:t>
      </w:r>
      <w:r w:rsidRPr="00B57A47">
        <w:rPr>
          <w:rFonts w:cstheme="minorHAnsi"/>
        </w:rPr>
        <w:t xml:space="preserve">up, as well as </w:t>
      </w:r>
      <w:r>
        <w:rPr>
          <w:rFonts w:cstheme="minorHAnsi"/>
        </w:rPr>
        <w:t xml:space="preserve">for </w:t>
      </w:r>
      <w:r w:rsidRPr="00B57A47">
        <w:rPr>
          <w:rFonts w:cstheme="minorHAnsi"/>
        </w:rPr>
        <w:t>digital tools.</w:t>
      </w:r>
      <w:r>
        <w:rPr>
          <w:rFonts w:cstheme="minorHAnsi"/>
        </w:rPr>
        <w:t xml:space="preserve"> </w:t>
      </w:r>
    </w:p>
    <w:p w14:paraId="63ED25D1" w14:textId="52E3786B" w:rsidR="006436F9" w:rsidRPr="00692045" w:rsidRDefault="006436F9" w:rsidP="00692045">
      <w:pPr>
        <w:spacing w:after="0" w:line="240" w:lineRule="auto"/>
        <w:rPr>
          <w:rFonts w:eastAsia="Times New Roman" w:cstheme="minorHAnsi"/>
          <w:b/>
          <w:lang w:val="en-US"/>
        </w:rPr>
      </w:pPr>
      <w:r w:rsidRPr="00692045">
        <w:rPr>
          <w:rFonts w:eastAsia="Times New Roman" w:cstheme="minorHAnsi"/>
          <w:b/>
          <w:lang w:val="en-US"/>
        </w:rPr>
        <w:t>Improved</w:t>
      </w:r>
      <w:r w:rsidR="00C46696" w:rsidRPr="00692045">
        <w:rPr>
          <w:rFonts w:eastAsia="Times New Roman" w:cstheme="minorHAnsi"/>
          <w:b/>
          <w:lang w:val="en-US"/>
        </w:rPr>
        <w:t xml:space="preserve"> information sharing between treaty body </w:t>
      </w:r>
      <w:r w:rsidR="00264898" w:rsidRPr="00692045">
        <w:rPr>
          <w:rFonts w:eastAsia="Times New Roman" w:cstheme="minorHAnsi"/>
          <w:b/>
          <w:lang w:val="en-US"/>
        </w:rPr>
        <w:t>members and OHCHR</w:t>
      </w:r>
    </w:p>
    <w:p w14:paraId="1BD0B079" w14:textId="77777777" w:rsidR="006436F9" w:rsidRPr="006F54B2" w:rsidRDefault="006436F9" w:rsidP="00692045">
      <w:pPr>
        <w:spacing w:after="0" w:line="240" w:lineRule="auto"/>
        <w:rPr>
          <w:rFonts w:eastAsia="Times New Roman" w:cstheme="minorHAnsi"/>
          <w:b/>
          <w:lang w:val="en-US"/>
        </w:rPr>
      </w:pPr>
    </w:p>
    <w:p w14:paraId="4D94BE93" w14:textId="3621B63B" w:rsidR="008249FF" w:rsidRDefault="00927A2E" w:rsidP="008249FF">
      <w:r>
        <w:rPr>
          <w:rFonts w:cstheme="minorHAnsi"/>
          <w:lang w:val="en-US"/>
        </w:rPr>
        <w:t>T</w:t>
      </w:r>
      <w:r w:rsidR="000D67AC" w:rsidRPr="00B57A47">
        <w:rPr>
          <w:rFonts w:cstheme="minorHAnsi"/>
          <w:lang w:val="en-US"/>
        </w:rPr>
        <w:t xml:space="preserve">reaty body </w:t>
      </w:r>
      <w:r w:rsidR="006F54B2" w:rsidRPr="00B57A47">
        <w:rPr>
          <w:rFonts w:cstheme="minorHAnsi"/>
        </w:rPr>
        <w:t>expert</w:t>
      </w:r>
      <w:r w:rsidR="00E65207">
        <w:rPr>
          <w:rFonts w:cstheme="minorHAnsi"/>
        </w:rPr>
        <w:t>s</w:t>
      </w:r>
      <w:r w:rsidR="006F54B2" w:rsidRPr="00B57A47">
        <w:rPr>
          <w:rFonts w:cstheme="minorHAnsi"/>
        </w:rPr>
        <w:t xml:space="preserve"> expressed appreciation for the CTMD </w:t>
      </w:r>
      <w:r w:rsidR="002008BD">
        <w:rPr>
          <w:rFonts w:cstheme="minorHAnsi"/>
        </w:rPr>
        <w:t>D</w:t>
      </w:r>
      <w:r w:rsidR="006F54B2" w:rsidRPr="00B57A47">
        <w:rPr>
          <w:rFonts w:cstheme="minorHAnsi"/>
        </w:rPr>
        <w:t>irector’s communications sent in the last months, highlighting that the Committees need</w:t>
      </w:r>
      <w:r w:rsidR="002008BD">
        <w:rPr>
          <w:rFonts w:cstheme="minorHAnsi"/>
        </w:rPr>
        <w:t>ed</w:t>
      </w:r>
      <w:r w:rsidR="006F54B2" w:rsidRPr="00B57A47">
        <w:rPr>
          <w:rFonts w:cstheme="minorHAnsi"/>
        </w:rPr>
        <w:t xml:space="preserve"> a more open way of communication via email and through meetings</w:t>
      </w:r>
      <w:r w:rsidR="00E65207">
        <w:rPr>
          <w:rFonts w:cstheme="minorHAnsi"/>
        </w:rPr>
        <w:t>,</w:t>
      </w:r>
      <w:r w:rsidR="006F54B2" w:rsidRPr="00B57A47">
        <w:rPr>
          <w:rFonts w:cstheme="minorHAnsi"/>
        </w:rPr>
        <w:t xml:space="preserve"> such as th</w:t>
      </w:r>
      <w:r w:rsidR="002008BD">
        <w:rPr>
          <w:rFonts w:cstheme="minorHAnsi"/>
        </w:rPr>
        <w:t>e</w:t>
      </w:r>
      <w:r w:rsidR="006F54B2" w:rsidRPr="00B57A47">
        <w:rPr>
          <w:rFonts w:cstheme="minorHAnsi"/>
        </w:rPr>
        <w:t xml:space="preserve"> </w:t>
      </w:r>
      <w:r w:rsidR="002008BD">
        <w:rPr>
          <w:rFonts w:cstheme="minorHAnsi"/>
        </w:rPr>
        <w:t>i</w:t>
      </w:r>
      <w:r w:rsidR="006F54B2" w:rsidRPr="00B57A47">
        <w:rPr>
          <w:rFonts w:cstheme="minorHAnsi"/>
        </w:rPr>
        <w:t xml:space="preserve">nformal </w:t>
      </w:r>
      <w:r w:rsidR="002008BD">
        <w:rPr>
          <w:rFonts w:cstheme="minorHAnsi"/>
        </w:rPr>
        <w:t>c</w:t>
      </w:r>
      <w:r w:rsidR="006F54B2" w:rsidRPr="00B57A47">
        <w:rPr>
          <w:rFonts w:cstheme="minorHAnsi"/>
        </w:rPr>
        <w:t>onversation</w:t>
      </w:r>
      <w:r w:rsidR="002008BD">
        <w:rPr>
          <w:rFonts w:cstheme="minorHAnsi"/>
        </w:rPr>
        <w:t>s organi</w:t>
      </w:r>
      <w:r w:rsidR="008249FF">
        <w:rPr>
          <w:rFonts w:cstheme="minorHAnsi"/>
        </w:rPr>
        <w:t>z</w:t>
      </w:r>
      <w:r w:rsidR="002008BD">
        <w:rPr>
          <w:rFonts w:cstheme="minorHAnsi"/>
        </w:rPr>
        <w:t>ed</w:t>
      </w:r>
      <w:r w:rsidR="006F54B2" w:rsidRPr="00B57A47">
        <w:rPr>
          <w:rFonts w:cstheme="minorHAnsi"/>
        </w:rPr>
        <w:t xml:space="preserve">. </w:t>
      </w:r>
      <w:r w:rsidR="008249FF">
        <w:rPr>
          <w:rFonts w:cstheme="minorHAnsi"/>
        </w:rPr>
        <w:t xml:space="preserve">It was also suggested that when a </w:t>
      </w:r>
      <w:proofErr w:type="gramStart"/>
      <w:r w:rsidR="008249FF">
        <w:rPr>
          <w:rFonts w:cstheme="minorHAnsi"/>
        </w:rPr>
        <w:t>Committee</w:t>
      </w:r>
      <w:proofErr w:type="gramEnd"/>
      <w:r w:rsidR="008249FF">
        <w:rPr>
          <w:rFonts w:cstheme="minorHAnsi"/>
        </w:rPr>
        <w:t xml:space="preserve"> is in session in Geneva, there should be </w:t>
      </w:r>
      <w:r w:rsidR="008249FF">
        <w:t xml:space="preserve">direct exchanges with senior management on current issues, </w:t>
      </w:r>
    </w:p>
    <w:p w14:paraId="31C0D656" w14:textId="008484E9" w:rsidR="006F54B2" w:rsidRPr="00B57A47" w:rsidRDefault="006F54B2" w:rsidP="006F54B2">
      <w:r w:rsidRPr="00B57A47">
        <w:rPr>
          <w:rFonts w:cstheme="minorHAnsi"/>
        </w:rPr>
        <w:lastRenderedPageBreak/>
        <w:t xml:space="preserve"> The Geneva Academy </w:t>
      </w:r>
      <w:r w:rsidR="000D67AC" w:rsidRPr="00B57A47">
        <w:t xml:space="preserve">communication </w:t>
      </w:r>
      <w:r w:rsidR="000D67AC" w:rsidRPr="00B57A47">
        <w:rPr>
          <w:rFonts w:cstheme="minorHAnsi"/>
        </w:rPr>
        <w:t xml:space="preserve">platform </w:t>
      </w:r>
      <w:r w:rsidRPr="00B57A47">
        <w:t xml:space="preserve">was seen by </w:t>
      </w:r>
      <w:r w:rsidR="00927A2E">
        <w:t>some</w:t>
      </w:r>
      <w:r w:rsidRPr="00B57A47">
        <w:t xml:space="preserve"> </w:t>
      </w:r>
      <w:proofErr w:type="spellStart"/>
      <w:r w:rsidRPr="00B57A47">
        <w:t>expert</w:t>
      </w:r>
      <w:r w:rsidR="00927A2E">
        <w:t>s</w:t>
      </w:r>
      <w:r w:rsidR="00031A83">
        <w:t>and</w:t>
      </w:r>
      <w:proofErr w:type="spellEnd"/>
      <w:r w:rsidR="00031A83">
        <w:t xml:space="preserve"> by OHCHR</w:t>
      </w:r>
      <w:r w:rsidR="00031A83" w:rsidRPr="00B57A47">
        <w:t>, as</w:t>
      </w:r>
      <w:r w:rsidRPr="00B57A47">
        <w:t xml:space="preserve"> a</w:t>
      </w:r>
      <w:r w:rsidR="00927A2E">
        <w:rPr>
          <w:rFonts w:cstheme="minorHAnsi"/>
        </w:rPr>
        <w:t xml:space="preserve">n innovative and useful IT tool </w:t>
      </w:r>
      <w:proofErr w:type="gramStart"/>
      <w:r w:rsidR="00927A2E">
        <w:rPr>
          <w:rFonts w:cstheme="minorHAnsi"/>
        </w:rPr>
        <w:t xml:space="preserve">for  </w:t>
      </w:r>
      <w:r w:rsidRPr="00B57A47">
        <w:rPr>
          <w:rFonts w:cstheme="minorHAnsi"/>
        </w:rPr>
        <w:t>exchange</w:t>
      </w:r>
      <w:r w:rsidR="00927A2E">
        <w:rPr>
          <w:rFonts w:cstheme="minorHAnsi"/>
        </w:rPr>
        <w:t>s</w:t>
      </w:r>
      <w:proofErr w:type="gramEnd"/>
      <w:r w:rsidRPr="00B57A47">
        <w:rPr>
          <w:rFonts w:cstheme="minorHAnsi"/>
        </w:rPr>
        <w:t xml:space="preserve"> </w:t>
      </w:r>
      <w:r w:rsidR="00927A2E">
        <w:rPr>
          <w:rFonts w:cstheme="minorHAnsi"/>
        </w:rPr>
        <w:t xml:space="preserve">among experts that would undoubtedly enhance the effectiveness of </w:t>
      </w:r>
      <w:r w:rsidRPr="00B57A47">
        <w:rPr>
          <w:rFonts w:cstheme="minorHAnsi"/>
        </w:rPr>
        <w:t xml:space="preserve"> the </w:t>
      </w:r>
      <w:r w:rsidR="002008BD">
        <w:rPr>
          <w:rFonts w:cstheme="minorHAnsi"/>
        </w:rPr>
        <w:t>t</w:t>
      </w:r>
      <w:r w:rsidRPr="00B57A47">
        <w:rPr>
          <w:rFonts w:cstheme="minorHAnsi"/>
        </w:rPr>
        <w:t xml:space="preserve">reaty </w:t>
      </w:r>
      <w:r w:rsidR="002008BD">
        <w:rPr>
          <w:rFonts w:cstheme="minorHAnsi"/>
        </w:rPr>
        <w:t>b</w:t>
      </w:r>
      <w:r w:rsidRPr="00B57A47">
        <w:rPr>
          <w:rFonts w:cstheme="minorHAnsi"/>
        </w:rPr>
        <w:t>ody system</w:t>
      </w:r>
      <w:r w:rsidR="00927A2E">
        <w:rPr>
          <w:rFonts w:cstheme="minorHAnsi"/>
        </w:rPr>
        <w:t xml:space="preserve"> as a whole, particularly in terms of </w:t>
      </w:r>
      <w:r w:rsidR="002008BD">
        <w:rPr>
          <w:rFonts w:cstheme="minorHAnsi"/>
        </w:rPr>
        <w:t xml:space="preserve">synergies on </w:t>
      </w:r>
      <w:r w:rsidR="00927A2E">
        <w:rPr>
          <w:rFonts w:cstheme="minorHAnsi"/>
        </w:rPr>
        <w:t xml:space="preserve">substantive and methodological </w:t>
      </w:r>
      <w:r w:rsidR="002008BD">
        <w:rPr>
          <w:rFonts w:cstheme="minorHAnsi"/>
        </w:rPr>
        <w:t>issues</w:t>
      </w:r>
      <w:r w:rsidRPr="00B57A47">
        <w:rPr>
          <w:rFonts w:cstheme="minorHAnsi"/>
        </w:rPr>
        <w:t>.</w:t>
      </w:r>
      <w:r w:rsidR="002F7028">
        <w:rPr>
          <w:rFonts w:cstheme="minorHAnsi"/>
        </w:rPr>
        <w:t xml:space="preserve"> OHCHR senior managers also committed to </w:t>
      </w:r>
      <w:r w:rsidR="00E65207">
        <w:rPr>
          <w:rFonts w:cstheme="minorHAnsi"/>
        </w:rPr>
        <w:t>identify and propose</w:t>
      </w:r>
      <w:r w:rsidR="002F7028">
        <w:rPr>
          <w:rFonts w:cstheme="minorHAnsi"/>
        </w:rPr>
        <w:t xml:space="preserve"> improvements </w:t>
      </w:r>
      <w:r w:rsidR="00E65207">
        <w:rPr>
          <w:rFonts w:cstheme="minorHAnsi"/>
        </w:rPr>
        <w:t xml:space="preserve">in </w:t>
      </w:r>
      <w:r w:rsidR="002F7028">
        <w:rPr>
          <w:rFonts w:cstheme="minorHAnsi"/>
        </w:rPr>
        <w:t xml:space="preserve">the frequency and substance of communications with treaty body experts. </w:t>
      </w:r>
    </w:p>
    <w:p w14:paraId="44EF2002" w14:textId="5B1A6874" w:rsidR="006436F9" w:rsidRPr="00692045" w:rsidRDefault="006436F9" w:rsidP="00692045">
      <w:pPr>
        <w:spacing w:line="240" w:lineRule="auto"/>
        <w:rPr>
          <w:rFonts w:cstheme="minorHAnsi"/>
          <w:b/>
        </w:rPr>
      </w:pPr>
      <w:r w:rsidRPr="00692045">
        <w:rPr>
          <w:rFonts w:cstheme="minorHAnsi"/>
          <w:b/>
        </w:rPr>
        <w:t>Digitalization</w:t>
      </w:r>
    </w:p>
    <w:p w14:paraId="719C8E55" w14:textId="57207A3D" w:rsidR="00692045" w:rsidRPr="00692045" w:rsidRDefault="00C53B8D" w:rsidP="00EB24F6">
      <w:pPr>
        <w:rPr>
          <w:rFonts w:cstheme="minorHAnsi"/>
        </w:rPr>
      </w:pPr>
      <w:r>
        <w:rPr>
          <w:rFonts w:cstheme="minorHAnsi"/>
        </w:rPr>
        <w:t xml:space="preserve">The discussion </w:t>
      </w:r>
      <w:r w:rsidR="00E65207">
        <w:rPr>
          <w:rFonts w:cstheme="minorHAnsi"/>
        </w:rPr>
        <w:t>provided an opportunity to clarify</w:t>
      </w:r>
      <w:r>
        <w:rPr>
          <w:rFonts w:cstheme="minorHAnsi"/>
        </w:rPr>
        <w:t xml:space="preserve"> </w:t>
      </w:r>
      <w:r w:rsidR="00927A2E">
        <w:rPr>
          <w:rFonts w:cstheme="minorHAnsi"/>
        </w:rPr>
        <w:t>misconceptions</w:t>
      </w:r>
      <w:r>
        <w:rPr>
          <w:rFonts w:cstheme="minorHAnsi"/>
        </w:rPr>
        <w:t xml:space="preserve"> </w:t>
      </w:r>
      <w:r w:rsidR="00927A2E">
        <w:rPr>
          <w:rFonts w:cstheme="minorHAnsi"/>
        </w:rPr>
        <w:t>regarding</w:t>
      </w:r>
      <w:r>
        <w:rPr>
          <w:rFonts w:cstheme="minorHAnsi"/>
        </w:rPr>
        <w:t xml:space="preserve"> the digital uplift</w:t>
      </w:r>
      <w:r w:rsidR="00927A2E">
        <w:rPr>
          <w:rFonts w:cstheme="minorHAnsi"/>
        </w:rPr>
        <w:t>.</w:t>
      </w:r>
      <w:r w:rsidR="002008BD">
        <w:rPr>
          <w:rFonts w:cstheme="minorHAnsi"/>
        </w:rPr>
        <w:t xml:space="preserve"> </w:t>
      </w:r>
      <w:r w:rsidR="006F54B2" w:rsidRPr="00B57A47">
        <w:rPr>
          <w:rFonts w:cstheme="minorHAnsi"/>
        </w:rPr>
        <w:t xml:space="preserve">Several </w:t>
      </w:r>
      <w:r w:rsidR="008249FF">
        <w:rPr>
          <w:rFonts w:cstheme="minorHAnsi"/>
        </w:rPr>
        <w:t xml:space="preserve">experts </w:t>
      </w:r>
      <w:r w:rsidR="006F54B2" w:rsidRPr="00B57A47">
        <w:rPr>
          <w:rFonts w:cstheme="minorHAnsi"/>
        </w:rPr>
        <w:t xml:space="preserve">reiterated </w:t>
      </w:r>
      <w:r w:rsidR="00E65207">
        <w:rPr>
          <w:rFonts w:cstheme="minorHAnsi"/>
        </w:rPr>
        <w:t xml:space="preserve">that the </w:t>
      </w:r>
      <w:r w:rsidR="006F54B2" w:rsidRPr="00B57A47">
        <w:rPr>
          <w:rFonts w:cstheme="minorHAnsi"/>
        </w:rPr>
        <w:t xml:space="preserve">digital uplift </w:t>
      </w:r>
      <w:r w:rsidR="00E65207">
        <w:rPr>
          <w:rFonts w:cstheme="minorHAnsi"/>
        </w:rPr>
        <w:t xml:space="preserve">would be critical to </w:t>
      </w:r>
      <w:proofErr w:type="gramStart"/>
      <w:r w:rsidR="00E65207">
        <w:rPr>
          <w:rFonts w:cstheme="minorHAnsi"/>
        </w:rPr>
        <w:t xml:space="preserve">support </w:t>
      </w:r>
      <w:r w:rsidR="006F54B2" w:rsidRPr="00B57A47">
        <w:rPr>
          <w:rFonts w:cstheme="minorHAnsi"/>
        </w:rPr>
        <w:t xml:space="preserve"> the</w:t>
      </w:r>
      <w:proofErr w:type="gramEnd"/>
      <w:r w:rsidR="006F54B2" w:rsidRPr="00B57A47">
        <w:rPr>
          <w:rFonts w:cstheme="minorHAnsi"/>
        </w:rPr>
        <w:t xml:space="preserve"> work of all treaty bodies</w:t>
      </w:r>
      <w:r w:rsidR="006F54B2" w:rsidRPr="00B57A47">
        <w:t xml:space="preserve">.  </w:t>
      </w:r>
      <w:r w:rsidR="00BF7242">
        <w:rPr>
          <w:rFonts w:cstheme="minorHAnsi"/>
        </w:rPr>
        <w:t>It was noted that i</w:t>
      </w:r>
      <w:r w:rsidR="00BF7242" w:rsidRPr="00B57A47">
        <w:rPr>
          <w:rFonts w:cstheme="minorHAnsi"/>
        </w:rPr>
        <w:t xml:space="preserve">ndividual </w:t>
      </w:r>
      <w:r w:rsidR="008249FF">
        <w:rPr>
          <w:rFonts w:cstheme="minorHAnsi"/>
        </w:rPr>
        <w:t>communications</w:t>
      </w:r>
      <w:r w:rsidR="00BF7242" w:rsidRPr="00B57A47">
        <w:rPr>
          <w:rFonts w:cstheme="minorHAnsi"/>
        </w:rPr>
        <w:t xml:space="preserve"> </w:t>
      </w:r>
      <w:r w:rsidR="00BF7242">
        <w:rPr>
          <w:rFonts w:cstheme="minorHAnsi"/>
        </w:rPr>
        <w:t>should</w:t>
      </w:r>
      <w:r w:rsidR="002008BD">
        <w:rPr>
          <w:rFonts w:cstheme="minorHAnsi"/>
        </w:rPr>
        <w:t xml:space="preserve"> be</w:t>
      </w:r>
      <w:r w:rsidR="00BF7242" w:rsidRPr="00B57A47">
        <w:rPr>
          <w:rFonts w:cstheme="minorHAnsi"/>
        </w:rPr>
        <w:t xml:space="preserve"> </w:t>
      </w:r>
      <w:r w:rsidR="00BF7242">
        <w:rPr>
          <w:rFonts w:cstheme="minorHAnsi"/>
        </w:rPr>
        <w:t>a</w:t>
      </w:r>
      <w:r w:rsidR="00BF7242" w:rsidRPr="00B57A47">
        <w:rPr>
          <w:rFonts w:cstheme="minorHAnsi"/>
        </w:rPr>
        <w:t xml:space="preserve"> priority </w:t>
      </w:r>
      <w:r w:rsidR="00BF7242">
        <w:rPr>
          <w:rFonts w:cstheme="minorHAnsi"/>
        </w:rPr>
        <w:t xml:space="preserve">area </w:t>
      </w:r>
      <w:r w:rsidR="00BF7242" w:rsidRPr="00B57A47">
        <w:rPr>
          <w:rFonts w:cstheme="minorHAnsi"/>
        </w:rPr>
        <w:t>for th</w:t>
      </w:r>
      <w:r w:rsidR="00E65207">
        <w:rPr>
          <w:rFonts w:cstheme="minorHAnsi"/>
        </w:rPr>
        <w:t>is</w:t>
      </w:r>
      <w:r w:rsidR="00BF7242" w:rsidRPr="00B57A47">
        <w:rPr>
          <w:rFonts w:cstheme="minorHAnsi"/>
        </w:rPr>
        <w:t xml:space="preserve"> digital transformation</w:t>
      </w:r>
      <w:r w:rsidR="008249FF">
        <w:rPr>
          <w:rFonts w:cstheme="minorHAnsi"/>
        </w:rPr>
        <w:t xml:space="preserve"> and further clarification was sought around the term “transformation” which is an Office wide endeavour</w:t>
      </w:r>
      <w:r w:rsidR="00BF7242" w:rsidRPr="00B57A47">
        <w:rPr>
          <w:rFonts w:cstheme="minorHAnsi"/>
        </w:rPr>
        <w:t>.</w:t>
      </w:r>
      <w:r w:rsidR="00BF7242">
        <w:t xml:space="preserve"> </w:t>
      </w:r>
      <w:r w:rsidR="006F54B2" w:rsidRPr="00B57A47">
        <w:t xml:space="preserve">Others </w:t>
      </w:r>
      <w:r w:rsidR="006F54B2" w:rsidRPr="00B57A47">
        <w:rPr>
          <w:rFonts w:cstheme="minorHAnsi"/>
        </w:rPr>
        <w:t xml:space="preserve">highlighted the importance of taking advantage of the opportunity that the digital shift could offer to </w:t>
      </w:r>
      <w:r w:rsidR="002008BD">
        <w:rPr>
          <w:rFonts w:cstheme="minorHAnsi"/>
        </w:rPr>
        <w:t>t</w:t>
      </w:r>
      <w:r w:rsidR="006F54B2" w:rsidRPr="00B57A47">
        <w:rPr>
          <w:rFonts w:cstheme="minorHAnsi"/>
        </w:rPr>
        <w:t xml:space="preserve">reaty </w:t>
      </w:r>
      <w:r w:rsidR="002008BD">
        <w:rPr>
          <w:rFonts w:cstheme="minorHAnsi"/>
        </w:rPr>
        <w:t>b</w:t>
      </w:r>
      <w:r w:rsidR="006F54B2" w:rsidRPr="00B57A47">
        <w:rPr>
          <w:rFonts w:cstheme="minorHAnsi"/>
        </w:rPr>
        <w:t xml:space="preserve">odies, including some of the lessons learned from the online work carried out during the pandemic, suggesting that the UN should internalize digital mechanisms in all its aspects. Others </w:t>
      </w:r>
      <w:r w:rsidR="0046063C" w:rsidRPr="00B57A47">
        <w:rPr>
          <w:rFonts w:cstheme="minorHAnsi"/>
        </w:rPr>
        <w:t>a</w:t>
      </w:r>
      <w:r w:rsidR="006F54B2" w:rsidRPr="00B57A47">
        <w:rPr>
          <w:rFonts w:cstheme="minorHAnsi"/>
        </w:rPr>
        <w:t xml:space="preserve">greed that some of the positive digital developments that help enhance the work of the treaty bodies </w:t>
      </w:r>
      <w:r w:rsidR="002008BD">
        <w:rPr>
          <w:rFonts w:cstheme="minorHAnsi"/>
        </w:rPr>
        <w:t>should b</w:t>
      </w:r>
      <w:r w:rsidR="006F54B2" w:rsidRPr="00B57A47">
        <w:rPr>
          <w:rFonts w:cstheme="minorHAnsi"/>
        </w:rPr>
        <w:t xml:space="preserve">e </w:t>
      </w:r>
      <w:r w:rsidR="00927A2E">
        <w:rPr>
          <w:rFonts w:cstheme="minorHAnsi"/>
        </w:rPr>
        <w:t>further perused and enhanced</w:t>
      </w:r>
      <w:r w:rsidR="000D67AC" w:rsidRPr="00B57A47">
        <w:rPr>
          <w:rFonts w:cstheme="minorHAnsi"/>
        </w:rPr>
        <w:t>.</w:t>
      </w:r>
      <w:r w:rsidR="006F54B2" w:rsidRPr="00B57A47">
        <w:rPr>
          <w:rFonts w:cstheme="minorHAnsi"/>
        </w:rPr>
        <w:t xml:space="preserve"> </w:t>
      </w:r>
      <w:r w:rsidR="00BF7242">
        <w:rPr>
          <w:rFonts w:cstheme="minorHAnsi"/>
        </w:rPr>
        <w:t>Several</w:t>
      </w:r>
      <w:r w:rsidR="00927A2E">
        <w:rPr>
          <w:rFonts w:cstheme="minorHAnsi"/>
        </w:rPr>
        <w:t xml:space="preserve"> </w:t>
      </w:r>
      <w:r w:rsidR="000D67AC" w:rsidRPr="00B57A47">
        <w:rPr>
          <w:rFonts w:cstheme="minorHAnsi"/>
        </w:rPr>
        <w:t xml:space="preserve">experts noted that the digital system </w:t>
      </w:r>
      <w:r w:rsidR="00E65207">
        <w:rPr>
          <w:rFonts w:cstheme="minorHAnsi"/>
        </w:rPr>
        <w:t>should</w:t>
      </w:r>
      <w:r w:rsidR="00E65207" w:rsidRPr="00B57A47">
        <w:rPr>
          <w:rFonts w:cstheme="minorHAnsi"/>
        </w:rPr>
        <w:t xml:space="preserve"> </w:t>
      </w:r>
      <w:r w:rsidR="000D67AC" w:rsidRPr="00B57A47">
        <w:rPr>
          <w:rFonts w:cstheme="minorHAnsi"/>
        </w:rPr>
        <w:t>not replace in-person meetings</w:t>
      </w:r>
      <w:r w:rsidR="00BF7242">
        <w:t>. Some experts</w:t>
      </w:r>
      <w:r w:rsidR="000D67AC" w:rsidRPr="00B57A47">
        <w:t xml:space="preserve"> </w:t>
      </w:r>
      <w:r w:rsidR="000D67AC" w:rsidRPr="00B57A47">
        <w:rPr>
          <w:rFonts w:cstheme="minorHAnsi"/>
        </w:rPr>
        <w:t>flagged</w:t>
      </w:r>
      <w:r w:rsidR="00BF7242">
        <w:rPr>
          <w:rFonts w:cstheme="minorHAnsi"/>
        </w:rPr>
        <w:t xml:space="preserve"> </w:t>
      </w:r>
      <w:r w:rsidR="000D67AC" w:rsidRPr="00B57A47">
        <w:rPr>
          <w:rFonts w:cstheme="minorHAnsi"/>
        </w:rPr>
        <w:t>problems with the new OHCHR website</w:t>
      </w:r>
      <w:r w:rsidR="00BF7242">
        <w:rPr>
          <w:rFonts w:cstheme="minorHAnsi"/>
        </w:rPr>
        <w:t>.</w:t>
      </w:r>
      <w:r w:rsidR="000D67AC" w:rsidRPr="00B57A47">
        <w:rPr>
          <w:rFonts w:cstheme="minorHAnsi"/>
        </w:rPr>
        <w:t xml:space="preserve"> </w:t>
      </w:r>
    </w:p>
    <w:p w14:paraId="1A4EEBAB" w14:textId="12E8560E" w:rsidR="00FC117A" w:rsidRDefault="00FC117A" w:rsidP="00692045">
      <w:pPr>
        <w:spacing w:line="240" w:lineRule="auto"/>
        <w:rPr>
          <w:rFonts w:cstheme="minorHAnsi"/>
          <w:b/>
        </w:rPr>
      </w:pPr>
      <w:r>
        <w:rPr>
          <w:rFonts w:cstheme="minorHAnsi"/>
          <w:b/>
        </w:rPr>
        <w:t>Concl</w:t>
      </w:r>
      <w:r w:rsidR="00535399">
        <w:rPr>
          <w:rFonts w:cstheme="minorHAnsi"/>
          <w:b/>
        </w:rPr>
        <w:t>usion</w:t>
      </w:r>
      <w:r>
        <w:rPr>
          <w:rFonts w:cstheme="minorHAnsi"/>
          <w:b/>
        </w:rPr>
        <w:t>s</w:t>
      </w:r>
    </w:p>
    <w:p w14:paraId="52A702D8" w14:textId="1247C500" w:rsidR="00FC117A" w:rsidRPr="00692045" w:rsidRDefault="00FC117A" w:rsidP="00692045">
      <w:pPr>
        <w:spacing w:line="240" w:lineRule="auto"/>
        <w:rPr>
          <w:rFonts w:cstheme="minorHAnsi"/>
          <w:b/>
        </w:rPr>
      </w:pPr>
      <w:r>
        <w:rPr>
          <w:rFonts w:cstheme="minorHAnsi"/>
          <w:b/>
        </w:rPr>
        <w:t xml:space="preserve">The </w:t>
      </w:r>
      <w:r w:rsidR="00D32EE3">
        <w:rPr>
          <w:rFonts w:cstheme="minorHAnsi"/>
          <w:b/>
        </w:rPr>
        <w:t>informal conversation</w:t>
      </w:r>
      <w:r w:rsidR="007F7E47">
        <w:rPr>
          <w:rFonts w:cstheme="minorHAnsi"/>
          <w:b/>
        </w:rPr>
        <w:t>s</w:t>
      </w:r>
      <w:r w:rsidR="00D32EE3">
        <w:rPr>
          <w:rFonts w:cstheme="minorHAnsi"/>
          <w:b/>
        </w:rPr>
        <w:t xml:space="preserve"> </w:t>
      </w:r>
      <w:r w:rsidR="00E65207">
        <w:rPr>
          <w:rFonts w:cstheme="minorHAnsi"/>
          <w:b/>
        </w:rPr>
        <w:t>provided for a timely opportunity to exchange</w:t>
      </w:r>
      <w:r w:rsidR="00D32EE3">
        <w:rPr>
          <w:rFonts w:cstheme="minorHAnsi"/>
          <w:b/>
        </w:rPr>
        <w:t xml:space="preserve"> </w:t>
      </w:r>
      <w:proofErr w:type="gramStart"/>
      <w:r w:rsidR="00D32EE3">
        <w:rPr>
          <w:rFonts w:cstheme="minorHAnsi"/>
          <w:b/>
        </w:rPr>
        <w:t>constructive</w:t>
      </w:r>
      <w:r w:rsidR="00E65207">
        <w:rPr>
          <w:rFonts w:cstheme="minorHAnsi"/>
          <w:b/>
        </w:rPr>
        <w:t>ly</w:t>
      </w:r>
      <w:r w:rsidR="00D32EE3">
        <w:rPr>
          <w:rFonts w:cstheme="minorHAnsi"/>
          <w:b/>
        </w:rPr>
        <w:t xml:space="preserve"> ,</w:t>
      </w:r>
      <w:proofErr w:type="gramEnd"/>
      <w:r w:rsidR="00D32EE3">
        <w:rPr>
          <w:rFonts w:cstheme="minorHAnsi"/>
          <w:b/>
        </w:rPr>
        <w:t xml:space="preserve"> </w:t>
      </w:r>
      <w:r w:rsidR="00E65207">
        <w:rPr>
          <w:rFonts w:cstheme="minorHAnsi"/>
          <w:b/>
        </w:rPr>
        <w:t>in view of</w:t>
      </w:r>
      <w:r w:rsidR="00D32EE3">
        <w:rPr>
          <w:rFonts w:cstheme="minorHAnsi"/>
          <w:b/>
        </w:rPr>
        <w:t xml:space="preserve"> the forthcoming Chairs’ meeting</w:t>
      </w:r>
      <w:r w:rsidR="00E65207">
        <w:rPr>
          <w:rFonts w:cstheme="minorHAnsi"/>
          <w:b/>
        </w:rPr>
        <w:t xml:space="preserve"> (30 May – 3 June 2022)</w:t>
      </w:r>
      <w:r w:rsidR="00D32EE3">
        <w:rPr>
          <w:rFonts w:cstheme="minorHAnsi"/>
          <w:b/>
        </w:rPr>
        <w:t xml:space="preserve">. Progress towards </w:t>
      </w:r>
      <w:r w:rsidR="002F7028">
        <w:rPr>
          <w:rFonts w:cstheme="minorHAnsi"/>
          <w:b/>
        </w:rPr>
        <w:t xml:space="preserve">a common position </w:t>
      </w:r>
      <w:r w:rsidR="00D32EE3">
        <w:rPr>
          <w:rFonts w:cstheme="minorHAnsi"/>
          <w:b/>
        </w:rPr>
        <w:t xml:space="preserve">was made in several critical areas, </w:t>
      </w:r>
      <w:r w:rsidR="00172DBE">
        <w:rPr>
          <w:rFonts w:cstheme="minorHAnsi"/>
          <w:b/>
        </w:rPr>
        <w:t>with wide support being</w:t>
      </w:r>
      <w:r w:rsidR="00D32EE3">
        <w:rPr>
          <w:rFonts w:cstheme="minorHAnsi"/>
          <w:b/>
        </w:rPr>
        <w:t xml:space="preserve"> expressed for an eight-year predictable cycle for full reviews, coupled with follow-up reviews in between. </w:t>
      </w:r>
      <w:r w:rsidR="00016C7E">
        <w:rPr>
          <w:rFonts w:cstheme="minorHAnsi"/>
          <w:b/>
        </w:rPr>
        <w:t xml:space="preserve">This and other concrete proposals will </w:t>
      </w:r>
      <w:r w:rsidR="00436BF7">
        <w:rPr>
          <w:rFonts w:cstheme="minorHAnsi"/>
          <w:b/>
        </w:rPr>
        <w:t xml:space="preserve">help </w:t>
      </w:r>
      <w:r w:rsidR="00016C7E">
        <w:rPr>
          <w:rFonts w:cstheme="minorHAnsi"/>
          <w:b/>
        </w:rPr>
        <w:t xml:space="preserve">treaty bodies and OHCHR </w:t>
      </w:r>
      <w:r w:rsidR="00436BF7">
        <w:rPr>
          <w:rFonts w:cstheme="minorHAnsi"/>
          <w:b/>
        </w:rPr>
        <w:t xml:space="preserve">to </w:t>
      </w:r>
      <w:r w:rsidR="00016C7E">
        <w:rPr>
          <w:rFonts w:cstheme="minorHAnsi"/>
          <w:b/>
        </w:rPr>
        <w:t xml:space="preserve">advance </w:t>
      </w:r>
      <w:r w:rsidR="00436BF7">
        <w:rPr>
          <w:rFonts w:cstheme="minorHAnsi"/>
          <w:b/>
        </w:rPr>
        <w:t xml:space="preserve">together in </w:t>
      </w:r>
      <w:r w:rsidR="002F7028">
        <w:rPr>
          <w:rFonts w:cstheme="minorHAnsi"/>
          <w:b/>
        </w:rPr>
        <w:t xml:space="preserve">achieving concrete results, with </w:t>
      </w:r>
      <w:r w:rsidR="00834EAF">
        <w:rPr>
          <w:rFonts w:cstheme="minorHAnsi"/>
          <w:b/>
        </w:rPr>
        <w:t>St</w:t>
      </w:r>
      <w:r w:rsidR="002F7028">
        <w:rPr>
          <w:rFonts w:cstheme="minorHAnsi"/>
          <w:b/>
        </w:rPr>
        <w:t>ates and other stakeholders suppor</w:t>
      </w:r>
      <w:r w:rsidR="00535399">
        <w:rPr>
          <w:rFonts w:cstheme="minorHAnsi"/>
          <w:b/>
        </w:rPr>
        <w:t xml:space="preserve">t, </w:t>
      </w:r>
      <w:r w:rsidR="00172DBE">
        <w:rPr>
          <w:rFonts w:cstheme="minorHAnsi"/>
          <w:b/>
        </w:rPr>
        <w:t xml:space="preserve">towards </w:t>
      </w:r>
      <w:proofErr w:type="gramStart"/>
      <w:r w:rsidR="00172DBE">
        <w:rPr>
          <w:rFonts w:cstheme="minorHAnsi"/>
          <w:b/>
        </w:rPr>
        <w:t>the</w:t>
      </w:r>
      <w:r w:rsidR="002F7028">
        <w:rPr>
          <w:rFonts w:cstheme="minorHAnsi"/>
          <w:b/>
        </w:rPr>
        <w:t xml:space="preserve"> </w:t>
      </w:r>
      <w:r w:rsidR="00436BF7">
        <w:rPr>
          <w:rFonts w:cstheme="minorHAnsi"/>
          <w:b/>
        </w:rPr>
        <w:t xml:space="preserve"> </w:t>
      </w:r>
      <w:proofErr w:type="spellStart"/>
      <w:r w:rsidR="00436BF7">
        <w:rPr>
          <w:rFonts w:cstheme="minorHAnsi"/>
          <w:b/>
        </w:rPr>
        <w:t>trengthening</w:t>
      </w:r>
      <w:proofErr w:type="spellEnd"/>
      <w:proofErr w:type="gramEnd"/>
      <w:r w:rsidR="002F7028">
        <w:rPr>
          <w:rFonts w:cstheme="minorHAnsi"/>
          <w:b/>
        </w:rPr>
        <w:t xml:space="preserve"> the treaty body system in a sustainable and efficient manner</w:t>
      </w:r>
      <w:r w:rsidR="00436BF7">
        <w:rPr>
          <w:rFonts w:cstheme="minorHAnsi"/>
          <w:b/>
        </w:rPr>
        <w:t>.</w:t>
      </w:r>
    </w:p>
    <w:p w14:paraId="15B51DE5" w14:textId="77777777" w:rsidR="00AE133E" w:rsidRDefault="00CB648A" w:rsidP="003A573E">
      <w:pPr>
        <w:spacing w:after="0" w:line="240" w:lineRule="auto"/>
      </w:pPr>
    </w:p>
    <w:sectPr w:rsidR="00AE13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BE55" w14:textId="77777777" w:rsidR="00DF4605" w:rsidRDefault="00DF4605" w:rsidP="00264898">
      <w:pPr>
        <w:spacing w:after="0" w:line="240" w:lineRule="auto"/>
      </w:pPr>
      <w:r>
        <w:separator/>
      </w:r>
    </w:p>
  </w:endnote>
  <w:endnote w:type="continuationSeparator" w:id="0">
    <w:p w14:paraId="44E953EF" w14:textId="77777777" w:rsidR="00DF4605" w:rsidRDefault="00DF4605" w:rsidP="0026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024345"/>
      <w:docPartObj>
        <w:docPartGallery w:val="Page Numbers (Bottom of Page)"/>
        <w:docPartUnique/>
      </w:docPartObj>
    </w:sdtPr>
    <w:sdtEndPr>
      <w:rPr>
        <w:noProof/>
      </w:rPr>
    </w:sdtEndPr>
    <w:sdtContent>
      <w:p w14:paraId="7CA98538" w14:textId="3CFF918D" w:rsidR="00AD4D16" w:rsidRDefault="00AD4D16">
        <w:pPr>
          <w:pStyle w:val="Footer"/>
          <w:jc w:val="right"/>
        </w:pPr>
        <w:r>
          <w:fldChar w:fldCharType="begin"/>
        </w:r>
        <w:r>
          <w:instrText xml:space="preserve"> PAGE   \* MERGEFORMAT </w:instrText>
        </w:r>
        <w:r>
          <w:fldChar w:fldCharType="separate"/>
        </w:r>
        <w:r w:rsidR="00855F3E">
          <w:rPr>
            <w:noProof/>
          </w:rPr>
          <w:t>3</w:t>
        </w:r>
        <w:r>
          <w:rPr>
            <w:noProof/>
          </w:rPr>
          <w:fldChar w:fldCharType="end"/>
        </w:r>
      </w:p>
    </w:sdtContent>
  </w:sdt>
  <w:p w14:paraId="58609222" w14:textId="77777777" w:rsidR="00AD4D16" w:rsidRDefault="00AD4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4163" w14:textId="77777777" w:rsidR="00DF4605" w:rsidRDefault="00DF4605" w:rsidP="00264898">
      <w:pPr>
        <w:spacing w:after="0" w:line="240" w:lineRule="auto"/>
      </w:pPr>
      <w:r>
        <w:separator/>
      </w:r>
    </w:p>
  </w:footnote>
  <w:footnote w:type="continuationSeparator" w:id="0">
    <w:p w14:paraId="2F8001F6" w14:textId="77777777" w:rsidR="00DF4605" w:rsidRDefault="00DF4605" w:rsidP="00264898">
      <w:pPr>
        <w:spacing w:after="0" w:line="240" w:lineRule="auto"/>
      </w:pPr>
      <w:r>
        <w:continuationSeparator/>
      </w:r>
    </w:p>
  </w:footnote>
  <w:footnote w:id="1">
    <w:p w14:paraId="316B718D" w14:textId="6FA53F1A" w:rsidR="004F7B3D" w:rsidRDefault="007D0BB3" w:rsidP="004F7B3D">
      <w:pPr>
        <w:pStyle w:val="FootnoteText"/>
      </w:pPr>
      <w:r>
        <w:rPr>
          <w:rStyle w:val="FootnoteReference"/>
        </w:rPr>
        <w:footnoteRef/>
      </w:r>
      <w:r>
        <w:t xml:space="preserve"> </w:t>
      </w:r>
      <w:r w:rsidR="004F7B3D">
        <w:t xml:space="preserve">These conversations were initiated and moderated by OHCHR. This non-exhaustive summary reflects the understanding of OHCHR of the discussions held during the informal conversations, and as serves as reference for OHCHR as the convener of these conversations. </w:t>
      </w:r>
      <w:r w:rsidR="004F7B3D">
        <w:t>The summary attempts to capture what participants expressed during the conversations that there seemed to be an “emerging consensus”.</w:t>
      </w:r>
      <w:r w:rsidR="004F7B3D">
        <w:t xml:space="preserve"> The summary is prepared to assist the Chairs in the process of translating their vision agreed in June 2019 into concrete models to be costed by OHCHR and considered by States.</w:t>
      </w:r>
    </w:p>
    <w:p w14:paraId="64D822EA" w14:textId="0E08E9FE" w:rsidR="007D0BB3" w:rsidRDefault="007D0BB3">
      <w:pPr>
        <w:pStyle w:val="FootnoteText"/>
      </w:pPr>
      <w:r>
        <w:t xml:space="preserve">OHCHR and considered by </w:t>
      </w:r>
      <w:r w:rsidR="00D117BD">
        <w:t>S</w:t>
      </w:r>
      <w:r>
        <w:t>tates.</w:t>
      </w:r>
    </w:p>
  </w:footnote>
  <w:footnote w:id="2">
    <w:p w14:paraId="1B876930" w14:textId="07C1D6A8" w:rsidR="00942170" w:rsidRDefault="00942170">
      <w:pPr>
        <w:pStyle w:val="FootnoteText"/>
      </w:pPr>
      <w:r>
        <w:rPr>
          <w:rStyle w:val="FootnoteReference"/>
        </w:rPr>
        <w:footnoteRef/>
      </w:r>
      <w:r>
        <w:t xml:space="preserve"> See, </w:t>
      </w:r>
      <w:hyperlink r:id="rId1" w:history="1">
        <w:r w:rsidRPr="00F30591">
          <w:rPr>
            <w:rStyle w:val="Hyperlink"/>
          </w:rPr>
          <w:t>A/</w:t>
        </w:r>
        <w:r w:rsidR="00F30591" w:rsidRPr="00F30591">
          <w:rPr>
            <w:rStyle w:val="Hyperlink"/>
          </w:rPr>
          <w:t>75/601</w:t>
        </w:r>
      </w:hyperlink>
      <w:r w:rsidR="00F30591">
        <w:t xml:space="preserve">, </w:t>
      </w:r>
      <w:proofErr w:type="spellStart"/>
      <w:r w:rsidR="00F30591">
        <w:t>para.s</w:t>
      </w:r>
      <w:proofErr w:type="spellEnd"/>
      <w:r w:rsidR="00F30591">
        <w:t xml:space="preserve"> 19, 22, 35-36, 56, 62, 66.</w:t>
      </w:r>
    </w:p>
  </w:footnote>
  <w:footnote w:id="3">
    <w:p w14:paraId="6B26C98E" w14:textId="0C45ACD4" w:rsidR="009A66F8" w:rsidRDefault="009A66F8">
      <w:pPr>
        <w:pStyle w:val="FootnoteText"/>
      </w:pPr>
      <w:r>
        <w:rPr>
          <w:rStyle w:val="FootnoteReference"/>
        </w:rPr>
        <w:footnoteRef/>
      </w:r>
      <w:r>
        <w:t xml:space="preserve"> See </w:t>
      </w:r>
      <w:hyperlink r:id="rId2" w:history="1">
        <w:r w:rsidRPr="009A66F8">
          <w:rPr>
            <w:rStyle w:val="Hyperlink"/>
          </w:rPr>
          <w:t>A/76/197</w:t>
        </w:r>
      </w:hyperlink>
      <w:r>
        <w:t xml:space="preserve"> mandated by </w:t>
      </w:r>
      <w:hyperlink r:id="rId3" w:history="1">
        <w:r w:rsidRPr="009A66F8">
          <w:rPr>
            <w:rStyle w:val="Hyperlink"/>
          </w:rPr>
          <w:t>GA res. 75/252</w:t>
        </w:r>
      </w:hyperlink>
      <w:r>
        <w:t xml:space="preserve"> para. 54.</w:t>
      </w:r>
    </w:p>
  </w:footnote>
  <w:footnote w:id="4">
    <w:p w14:paraId="01754EDA" w14:textId="3AFE68E4" w:rsidR="00AB796C" w:rsidRDefault="00AB796C">
      <w:pPr>
        <w:pStyle w:val="FootnoteText"/>
      </w:pPr>
      <w:r>
        <w:rPr>
          <w:rStyle w:val="FootnoteReference"/>
        </w:rPr>
        <w:footnoteRef/>
      </w:r>
      <w:r>
        <w:t xml:space="preserve"> See OHCHR’s presentations</w:t>
      </w:r>
      <w:r w:rsidR="000C5914">
        <w:t xml:space="preserve"> on </w:t>
      </w:r>
      <w:hyperlink r:id="rId4" w:history="1">
        <w:r w:rsidR="000C5914" w:rsidRPr="000C5914">
          <w:rPr>
            <w:rStyle w:val="Hyperlink"/>
          </w:rPr>
          <w:t>Chairs extranet, 34th session</w:t>
        </w:r>
      </w:hyperlink>
    </w:p>
  </w:footnote>
  <w:footnote w:id="5">
    <w:p w14:paraId="04CD3CF9" w14:textId="25393DDB" w:rsidR="00BA235B" w:rsidRPr="00E63A4B" w:rsidRDefault="00BA235B" w:rsidP="00EB24F6">
      <w:pPr>
        <w:spacing w:after="0" w:line="240" w:lineRule="auto"/>
      </w:pPr>
      <w:r>
        <w:rPr>
          <w:rStyle w:val="FootnoteReference"/>
        </w:rPr>
        <w:footnoteRef/>
      </w:r>
      <w:r>
        <w:t xml:space="preserve"> </w:t>
      </w:r>
      <w:r w:rsidR="000C5914">
        <w:t xml:space="preserve">See </w:t>
      </w:r>
      <w:hyperlink r:id="rId5" w:tooltip="Letter-group-46-States-2June2021.pdf" w:history="1">
        <w:r w:rsidR="000C5914" w:rsidRPr="00EB24F6">
          <w:rPr>
            <w:rFonts w:eastAsia="Times New Roman" w:cstheme="minorHAnsi"/>
            <w:color w:val="0000FF"/>
            <w:sz w:val="20"/>
            <w:szCs w:val="20"/>
            <w:u w:val="single"/>
            <w:lang w:eastAsia="en-GB"/>
          </w:rPr>
          <w:t>Letter from a group of 46 States (2 June 2021)</w:t>
        </w:r>
      </w:hyperlink>
      <w:r w:rsidR="000C5914">
        <w:rPr>
          <w:rFonts w:eastAsia="Times New Roman" w:cstheme="minorHAnsi"/>
          <w:sz w:val="20"/>
          <w:szCs w:val="20"/>
          <w:lang w:eastAsia="en-GB"/>
        </w:rPr>
        <w:t xml:space="preserve"> and </w:t>
      </w:r>
      <w:hyperlink r:id="rId6" w:tooltip="NV-letter-AfricanGroup-to-Chairs-8jun21.pdf" w:history="1">
        <w:r w:rsidR="000C5914" w:rsidRPr="00EB24F6">
          <w:rPr>
            <w:rFonts w:eastAsia="Times New Roman" w:cstheme="minorHAnsi"/>
            <w:color w:val="0000FF"/>
            <w:sz w:val="20"/>
            <w:szCs w:val="20"/>
            <w:u w:val="single"/>
            <w:lang w:eastAsia="en-GB"/>
          </w:rPr>
          <w:t>Note verbale and letter from the African Group (8 June 2021)</w:t>
        </w:r>
      </w:hyperlink>
      <w:r w:rsidR="000C5914">
        <w:rPr>
          <w:rFonts w:eastAsia="Times New Roman" w:cstheme="minorHAnsi"/>
          <w:sz w:val="20"/>
          <w:szCs w:val="20"/>
          <w:lang w:eastAsia="en-GB"/>
        </w:rPr>
        <w:t xml:space="preserve"> on the webpage of </w:t>
      </w:r>
      <w:hyperlink r:id="rId7" w:history="1">
        <w:r w:rsidR="000C5914" w:rsidRPr="00E63A4B">
          <w:rPr>
            <w:rStyle w:val="Hyperlink"/>
            <w:sz w:val="20"/>
            <w:szCs w:val="20"/>
          </w:rPr>
          <w:t>Chairs of treaty bodies webpage, 33rd meeting</w:t>
        </w:r>
      </w:hyperlink>
      <w:r w:rsidR="00B626E6">
        <w:rPr>
          <w:sz w:val="20"/>
          <w:szCs w:val="20"/>
        </w:rPr>
        <w:t>.</w:t>
      </w:r>
    </w:p>
  </w:footnote>
  <w:footnote w:id="6">
    <w:p w14:paraId="5C06D429" w14:textId="37E1DFA6" w:rsidR="00322F58" w:rsidRDefault="00322F58">
      <w:pPr>
        <w:pStyle w:val="FootnoteText"/>
      </w:pPr>
      <w:r>
        <w:rPr>
          <w:rStyle w:val="FootnoteReference"/>
        </w:rPr>
        <w:footnoteRef/>
      </w:r>
      <w:r>
        <w:t xml:space="preserve"> </w:t>
      </w:r>
      <w:r w:rsidR="00E63A4B">
        <w:t xml:space="preserve"> See </w:t>
      </w:r>
      <w:hyperlink r:id="rId8" w:history="1">
        <w:r w:rsidR="00E63A4B" w:rsidRPr="00E63A4B">
          <w:rPr>
            <w:rStyle w:val="Hyperlink"/>
          </w:rPr>
          <w:t>treaty body strengthening</w:t>
        </w:r>
      </w:hyperlink>
      <w:r w:rsidR="00E63A4B">
        <w:t xml:space="preserve"> and three reports of the Secretary-General on the status of the treaty body system, </w:t>
      </w:r>
      <w:hyperlink r:id="rId9" w:history="1">
        <w:r w:rsidR="00E63A4B" w:rsidRPr="00E63A4B">
          <w:rPr>
            <w:rStyle w:val="Hyperlink"/>
          </w:rPr>
          <w:t>A/71/118</w:t>
        </w:r>
      </w:hyperlink>
      <w:r w:rsidR="00E63A4B">
        <w:t xml:space="preserve">, </w:t>
      </w:r>
      <w:hyperlink r:id="rId10" w:history="1">
        <w:r w:rsidR="00E63A4B" w:rsidRPr="00B626E6">
          <w:rPr>
            <w:rStyle w:val="Hyperlink"/>
          </w:rPr>
          <w:t>A/73/309</w:t>
        </w:r>
      </w:hyperlink>
      <w:r w:rsidR="00E63A4B">
        <w:t xml:space="preserve">, </w:t>
      </w:r>
      <w:hyperlink r:id="rId11" w:history="1">
        <w:r w:rsidR="00E63A4B" w:rsidRPr="00B626E6">
          <w:rPr>
            <w:rStyle w:val="Hyperlink"/>
          </w:rPr>
          <w:t>A/74/643</w:t>
        </w:r>
      </w:hyperlink>
      <w:r w:rsidR="00E63A4B">
        <w:t xml:space="preserve">. The fourth Secretary-General’s report on the status of the treaty body </w:t>
      </w:r>
      <w:proofErr w:type="gramStart"/>
      <w:r w:rsidR="00E63A4B">
        <w:t xml:space="preserve">system </w:t>
      </w:r>
      <w:r>
        <w:t xml:space="preserve"> </w:t>
      </w:r>
      <w:r w:rsidR="00670A24">
        <w:t>could</w:t>
      </w:r>
      <w:proofErr w:type="gramEnd"/>
      <w:r w:rsidR="00670A24">
        <w:t xml:space="preserve"> focus on </w:t>
      </w:r>
      <w:r>
        <w:t>transmit</w:t>
      </w:r>
      <w:r w:rsidR="00670A24">
        <w:t>ting</w:t>
      </w:r>
      <w:r>
        <w:t xml:space="preserve"> the hopefully agreed models in implementation of the co</w:t>
      </w:r>
      <w:r w:rsidR="00E63A4B">
        <w:t>-</w:t>
      </w:r>
      <w:r>
        <w:t xml:space="preserve">facilitators recommendations and the 2019 </w:t>
      </w:r>
      <w:r w:rsidR="00E63A4B">
        <w:t>C</w:t>
      </w:r>
      <w:r>
        <w:t>hairs vision.</w:t>
      </w:r>
    </w:p>
  </w:footnote>
  <w:footnote w:id="7">
    <w:p w14:paraId="3F33C155" w14:textId="6F4DBDE4" w:rsidR="00641B78" w:rsidRDefault="00641B78">
      <w:pPr>
        <w:pStyle w:val="FootnoteText"/>
      </w:pPr>
      <w:r>
        <w:rPr>
          <w:rStyle w:val="FootnoteReference"/>
        </w:rPr>
        <w:footnoteRef/>
      </w:r>
      <w:r>
        <w:t xml:space="preserve"> </w:t>
      </w:r>
      <w:r w:rsidR="0045369A">
        <w:t xml:space="preserve">See </w:t>
      </w:r>
      <w:hyperlink r:id="rId12" w:history="1">
        <w:r w:rsidR="0045369A" w:rsidRPr="0045369A">
          <w:rPr>
            <w:rStyle w:val="Hyperlink"/>
          </w:rPr>
          <w:t>A/74/256</w:t>
        </w:r>
      </w:hyperlink>
      <w:r w:rsidR="0045369A">
        <w:t>, Annex III.</w:t>
      </w:r>
    </w:p>
  </w:footnote>
  <w:footnote w:id="8">
    <w:p w14:paraId="4A3C02CB" w14:textId="44DD82D5" w:rsidR="00B626E6" w:rsidRPr="00EB24F6" w:rsidRDefault="009F38B3" w:rsidP="00EB24F6">
      <w:pPr>
        <w:spacing w:after="0" w:line="240" w:lineRule="auto"/>
        <w:rPr>
          <w:rFonts w:eastAsia="Times New Roman" w:cstheme="minorHAnsi"/>
          <w:lang w:eastAsia="en-GB"/>
        </w:rPr>
      </w:pPr>
      <w:r>
        <w:rPr>
          <w:rStyle w:val="FootnoteReference"/>
        </w:rPr>
        <w:footnoteRef/>
      </w:r>
      <w:r>
        <w:t xml:space="preserve"> </w:t>
      </w:r>
      <w:r w:rsidR="00B626E6" w:rsidRPr="00EB24F6">
        <w:rPr>
          <w:rFonts w:cstheme="minorHAnsi"/>
          <w:sz w:val="20"/>
          <w:szCs w:val="20"/>
        </w:rPr>
        <w:t xml:space="preserve">See </w:t>
      </w:r>
      <w:hyperlink r:id="rId13" w:tooltip="Proposal-CRPD-3August2021.docx" w:history="1">
        <w:r w:rsidR="00B626E6" w:rsidRPr="00EB24F6">
          <w:rPr>
            <w:rFonts w:eastAsia="Times New Roman" w:cstheme="minorHAnsi"/>
            <w:color w:val="0000FF"/>
            <w:sz w:val="20"/>
            <w:szCs w:val="20"/>
            <w:u w:val="single"/>
            <w:lang w:eastAsia="en-GB"/>
          </w:rPr>
          <w:t>Proposal by the Committee on the Rights of Persons with Disabilities (3 August 2021)</w:t>
        </w:r>
      </w:hyperlink>
      <w:r w:rsidR="00B626E6" w:rsidRPr="00EB24F6">
        <w:rPr>
          <w:rFonts w:eastAsia="Times New Roman" w:cstheme="minorHAnsi"/>
          <w:sz w:val="20"/>
          <w:szCs w:val="20"/>
          <w:lang w:eastAsia="en-GB"/>
        </w:rPr>
        <w:t>.</w:t>
      </w:r>
    </w:p>
    <w:p w14:paraId="1337441E" w14:textId="7B43F4DE" w:rsidR="009F38B3" w:rsidRDefault="009F38B3">
      <w:pPr>
        <w:pStyle w:val="FootnoteText"/>
      </w:pPr>
    </w:p>
  </w:footnote>
  <w:footnote w:id="9">
    <w:p w14:paraId="6AED2659" w14:textId="0978A0D5" w:rsidR="00854BEC" w:rsidRDefault="00854BEC">
      <w:pPr>
        <w:pStyle w:val="FootnoteText"/>
      </w:pPr>
      <w:r>
        <w:rPr>
          <w:rStyle w:val="FootnoteReference"/>
        </w:rPr>
        <w:footnoteRef/>
      </w:r>
      <w:r>
        <w:t xml:space="preserve"> </w:t>
      </w:r>
      <w:r w:rsidRPr="00B36F46">
        <w:rPr>
          <w:rFonts w:cstheme="minorHAnsi"/>
        </w:rPr>
        <w:t xml:space="preserve">In the </w:t>
      </w:r>
      <w:hyperlink r:id="rId14" w:history="1">
        <w:r w:rsidRPr="00B36F46">
          <w:rPr>
            <w:rStyle w:val="Hyperlink"/>
            <w:rFonts w:cstheme="minorHAnsi"/>
          </w:rPr>
          <w:t>Chairs vision of June 2019</w:t>
        </w:r>
      </w:hyperlink>
      <w:r w:rsidRPr="00B36F46">
        <w:rPr>
          <w:rFonts w:cstheme="minorHAnsi"/>
        </w:rPr>
        <w:t xml:space="preserve">, </w:t>
      </w:r>
      <w:r w:rsidRPr="00B36F46">
        <w:rPr>
          <w:rFonts w:cstheme="minorHAnsi"/>
          <w:bCs/>
        </w:rPr>
        <w:t>the Chairs agreed that “</w:t>
      </w:r>
      <w:r w:rsidRPr="00B36F46">
        <w:rPr>
          <w:rFonts w:cstheme="minorHAnsi"/>
        </w:rPr>
        <w:t>Committee members</w:t>
      </w:r>
      <w:r w:rsidRPr="00B36F46">
        <w:rPr>
          <w:rFonts w:cstheme="minorHAnsi"/>
          <w:b/>
        </w:rPr>
        <w:t xml:space="preserve"> </w:t>
      </w:r>
      <w:r w:rsidRPr="00B36F46">
        <w:rPr>
          <w:rFonts w:cstheme="minorHAnsi"/>
        </w:rPr>
        <w:t>cannot be expected to contribute more than three months a year of their time (that is, a maximum of three sessions of four weeks each)</w:t>
      </w:r>
      <w:r w:rsidRPr="00B36F46">
        <w:rPr>
          <w:rFonts w:cstheme="minorHAnsi"/>
          <w:bCs/>
        </w:rPr>
        <w:t>”</w:t>
      </w:r>
      <w:r w:rsidRPr="00B36F46">
        <w:rPr>
          <w:rFonts w:cstheme="minorHAnsi"/>
        </w:rPr>
        <w:t>.</w:t>
      </w:r>
      <w:r w:rsidRPr="00026097">
        <w:rPr>
          <w:rFonts w:cstheme="minorHAnsi"/>
          <w:sz w:val="22"/>
          <w:szCs w:val="22"/>
        </w:rPr>
        <w:t xml:space="preserve">  </w:t>
      </w:r>
    </w:p>
  </w:footnote>
  <w:footnote w:id="10">
    <w:p w14:paraId="3C1A1B3E" w14:textId="795E133E" w:rsidR="00854BEC" w:rsidRDefault="00854BEC">
      <w:pPr>
        <w:pStyle w:val="FootnoteText"/>
      </w:pPr>
      <w:r>
        <w:rPr>
          <w:rStyle w:val="FootnoteReference"/>
        </w:rPr>
        <w:footnoteRef/>
      </w:r>
      <w:r>
        <w:t xml:space="preserve"> </w:t>
      </w:r>
      <w:r>
        <w:rPr>
          <w:rFonts w:cstheme="minorHAnsi"/>
        </w:rPr>
        <w:t>After the informal conversations, several Chairs suggested to add budgetary issues, including in relation to the backlog of reports and individual communications, to the agenda of the 34</w:t>
      </w:r>
      <w:r w:rsidRPr="00A856E8">
        <w:rPr>
          <w:rFonts w:cstheme="minorHAnsi"/>
          <w:vertAlign w:val="superscript"/>
        </w:rPr>
        <w:t>th</w:t>
      </w:r>
      <w:r>
        <w:rPr>
          <w:rFonts w:cstheme="minorHAnsi"/>
        </w:rPr>
        <w:t xml:space="preserve"> Chairs meeting.</w:t>
      </w:r>
    </w:p>
  </w:footnote>
  <w:footnote w:id="11">
    <w:p w14:paraId="7FEC5E98" w14:textId="654ACCF5" w:rsidR="00BA617D" w:rsidRDefault="00BA617D">
      <w:pPr>
        <w:pStyle w:val="FootnoteText"/>
      </w:pPr>
      <w:r>
        <w:rPr>
          <w:rStyle w:val="FootnoteReference"/>
        </w:rPr>
        <w:footnoteRef/>
      </w:r>
      <w:r>
        <w:t xml:space="preserve"> See footnote 4.</w:t>
      </w:r>
    </w:p>
  </w:footnote>
  <w:footnote w:id="12">
    <w:p w14:paraId="39238368" w14:textId="17F6FE60" w:rsidR="00486972" w:rsidRDefault="00486972" w:rsidP="00486972">
      <w:pPr>
        <w:pStyle w:val="FootnoteText"/>
      </w:pPr>
      <w:r>
        <w:rPr>
          <w:rStyle w:val="FootnoteReference"/>
        </w:rPr>
        <w:footnoteRef/>
      </w:r>
      <w:r>
        <w:t xml:space="preserve"> See </w:t>
      </w:r>
      <w:hyperlink r:id="rId15" w:history="1">
        <w:r w:rsidRPr="002008BD">
          <w:rPr>
            <w:rStyle w:val="Hyperlink"/>
          </w:rPr>
          <w:t>General Assembly resolut</w:t>
        </w:r>
        <w:r>
          <w:rPr>
            <w:rStyle w:val="Hyperlink"/>
          </w:rPr>
          <w:t>i</w:t>
        </w:r>
        <w:r w:rsidRPr="002008BD">
          <w:rPr>
            <w:rStyle w:val="Hyperlink"/>
          </w:rPr>
          <w:t>on 68/268</w:t>
        </w:r>
      </w:hyperlink>
      <w:r>
        <w:t xml:space="preserve">, paragraph 38 which “encourages the human rights treaty bodies, with a view to accelerating the harmonization of the treaty body system, to continue to enhance the role of their Chairs in relation to procedural matters, including with respect to formulating conclusions on issues related to working methods and procedural matters, promptly generalizing good practices and methodologies among all treaty bodies, ensuring coherence across the treaty bodies and standardizing working methods”. </w:t>
      </w:r>
      <w:r w:rsidR="00BA617D">
        <w:t xml:space="preserve">See also, </w:t>
      </w:r>
      <w:hyperlink r:id="rId16" w:history="1">
        <w:r w:rsidR="00BA617D" w:rsidRPr="00BA617D">
          <w:rPr>
            <w:rStyle w:val="Hyperlink"/>
          </w:rPr>
          <w:t>A/74/256</w:t>
        </w:r>
      </w:hyperlink>
      <w:r w:rsidR="00BA617D">
        <w:t xml:space="preserve">, para. 57 “The Chairs recalled the decision, taken at their previous meetings (A/70/302, para. 88), that they should adopt measures on working methods and procedural matters that were common across the treaty body system, and that such measures should be implemented by all treaty bodies unless a treaty body subsequently dissociated itself from the system.”; </w:t>
      </w:r>
      <w:r w:rsidR="007D0979">
        <w:t>See a</w:t>
      </w:r>
      <w:r w:rsidR="00BA617D">
        <w:t xml:space="preserve">lso </w:t>
      </w:r>
      <w:hyperlink r:id="rId17" w:history="1">
        <w:r w:rsidR="00BA617D" w:rsidRPr="007D0979">
          <w:rPr>
            <w:rStyle w:val="Hyperlink"/>
          </w:rPr>
          <w:t>the outcome document of the meeting held in Dublin in November 2009</w:t>
        </w:r>
      </w:hyperlink>
      <w:r w:rsidR="007D0979">
        <w:t>, para.26</w:t>
      </w:r>
      <w:r w:rsidR="00BA617D">
        <w:t xml:space="preserve"> on the process of strengthening the United Nations human rights treaty body system (see </w:t>
      </w:r>
      <w:hyperlink r:id="rId18" w:history="1">
        <w:r w:rsidR="007D0979" w:rsidRPr="0045390B">
          <w:rPr>
            <w:rStyle w:val="Hyperlink"/>
          </w:rPr>
          <w:t>http://www.ohchr.org/EN/HRBodies/HRTD/Pages/Documents.aspx</w:t>
        </w:r>
      </w:hyperlink>
      <w:r w:rsidR="00BA617D">
        <w:t>).</w:t>
      </w:r>
    </w:p>
  </w:footnote>
  <w:footnote w:id="13">
    <w:p w14:paraId="10D534B4" w14:textId="77777777" w:rsidR="00486972" w:rsidRDefault="00486972" w:rsidP="00486972">
      <w:pPr>
        <w:pStyle w:val="FootnoteText"/>
      </w:pPr>
      <w:r>
        <w:rPr>
          <w:rStyle w:val="FootnoteReference"/>
        </w:rPr>
        <w:footnoteRef/>
      </w:r>
      <w:r>
        <w:t xml:space="preserve"> See Secretary-General’s report on the status of the treaty body system, </w:t>
      </w:r>
      <w:hyperlink r:id="rId19" w:history="1">
        <w:r w:rsidRPr="007F7487">
          <w:rPr>
            <w:rStyle w:val="Hyperlink"/>
          </w:rPr>
          <w:t>A/74/643</w:t>
        </w:r>
      </w:hyperlink>
      <w:r>
        <w:t xml:space="preserve">, para. 43.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F7E"/>
    <w:multiLevelType w:val="multilevel"/>
    <w:tmpl w:val="D7DE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C0887"/>
    <w:multiLevelType w:val="hybridMultilevel"/>
    <w:tmpl w:val="AA38D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F267BE"/>
    <w:multiLevelType w:val="multilevel"/>
    <w:tmpl w:val="4126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2722B"/>
    <w:multiLevelType w:val="hybridMultilevel"/>
    <w:tmpl w:val="3C060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87"/>
    <w:rsid w:val="00016C7E"/>
    <w:rsid w:val="00031A83"/>
    <w:rsid w:val="00045AC8"/>
    <w:rsid w:val="00096AD8"/>
    <w:rsid w:val="000A24E5"/>
    <w:rsid w:val="000A6F78"/>
    <w:rsid w:val="000C5914"/>
    <w:rsid w:val="000C7EEA"/>
    <w:rsid w:val="000D67AC"/>
    <w:rsid w:val="00143AB4"/>
    <w:rsid w:val="00172DBE"/>
    <w:rsid w:val="00176E17"/>
    <w:rsid w:val="001C0D3E"/>
    <w:rsid w:val="001C4EFD"/>
    <w:rsid w:val="001D6711"/>
    <w:rsid w:val="001D7284"/>
    <w:rsid w:val="002001C9"/>
    <w:rsid w:val="002008BD"/>
    <w:rsid w:val="002147E4"/>
    <w:rsid w:val="00264898"/>
    <w:rsid w:val="002B09D9"/>
    <w:rsid w:val="002B11CE"/>
    <w:rsid w:val="002B1698"/>
    <w:rsid w:val="002B1770"/>
    <w:rsid w:val="002B400B"/>
    <w:rsid w:val="002F7028"/>
    <w:rsid w:val="003153C5"/>
    <w:rsid w:val="00322F58"/>
    <w:rsid w:val="00334F83"/>
    <w:rsid w:val="0034133B"/>
    <w:rsid w:val="00391ED0"/>
    <w:rsid w:val="00392553"/>
    <w:rsid w:val="003A573E"/>
    <w:rsid w:val="003C6D4C"/>
    <w:rsid w:val="003D785D"/>
    <w:rsid w:val="003E4D8A"/>
    <w:rsid w:val="00436BF7"/>
    <w:rsid w:val="00442405"/>
    <w:rsid w:val="0045369A"/>
    <w:rsid w:val="0046063C"/>
    <w:rsid w:val="00486972"/>
    <w:rsid w:val="004958B0"/>
    <w:rsid w:val="00496D07"/>
    <w:rsid w:val="004A3685"/>
    <w:rsid w:val="004B6B86"/>
    <w:rsid w:val="004D1F16"/>
    <w:rsid w:val="004F7B3D"/>
    <w:rsid w:val="00502569"/>
    <w:rsid w:val="005138AF"/>
    <w:rsid w:val="00535399"/>
    <w:rsid w:val="005A0B63"/>
    <w:rsid w:val="005B2AEB"/>
    <w:rsid w:val="005F0CD1"/>
    <w:rsid w:val="005F6578"/>
    <w:rsid w:val="00612DA3"/>
    <w:rsid w:val="00641B78"/>
    <w:rsid w:val="006436F9"/>
    <w:rsid w:val="00662BE1"/>
    <w:rsid w:val="00670A24"/>
    <w:rsid w:val="00692045"/>
    <w:rsid w:val="006926AB"/>
    <w:rsid w:val="006D19D7"/>
    <w:rsid w:val="006F54B2"/>
    <w:rsid w:val="007038FE"/>
    <w:rsid w:val="00713C15"/>
    <w:rsid w:val="007609E6"/>
    <w:rsid w:val="007A7D42"/>
    <w:rsid w:val="007D0979"/>
    <w:rsid w:val="007D0BB3"/>
    <w:rsid w:val="007E1D79"/>
    <w:rsid w:val="007E50F0"/>
    <w:rsid w:val="007E7B43"/>
    <w:rsid w:val="007F7487"/>
    <w:rsid w:val="007F7E47"/>
    <w:rsid w:val="008249FF"/>
    <w:rsid w:val="00834EAF"/>
    <w:rsid w:val="00854BEC"/>
    <w:rsid w:val="00855F3E"/>
    <w:rsid w:val="0087613F"/>
    <w:rsid w:val="008C3468"/>
    <w:rsid w:val="008E50D7"/>
    <w:rsid w:val="00903D7D"/>
    <w:rsid w:val="0090476F"/>
    <w:rsid w:val="00927A2E"/>
    <w:rsid w:val="00942170"/>
    <w:rsid w:val="00975EDF"/>
    <w:rsid w:val="009A4FDD"/>
    <w:rsid w:val="009A66F8"/>
    <w:rsid w:val="009D5E20"/>
    <w:rsid w:val="009E65A4"/>
    <w:rsid w:val="009F2836"/>
    <w:rsid w:val="009F38B3"/>
    <w:rsid w:val="00A53EB4"/>
    <w:rsid w:val="00A67E39"/>
    <w:rsid w:val="00AA0087"/>
    <w:rsid w:val="00AB796C"/>
    <w:rsid w:val="00AD3C8E"/>
    <w:rsid w:val="00AD4D16"/>
    <w:rsid w:val="00AE4E43"/>
    <w:rsid w:val="00AF3CC2"/>
    <w:rsid w:val="00B1299C"/>
    <w:rsid w:val="00B16AEE"/>
    <w:rsid w:val="00B16B7F"/>
    <w:rsid w:val="00B36F46"/>
    <w:rsid w:val="00B57A47"/>
    <w:rsid w:val="00B60995"/>
    <w:rsid w:val="00B626E6"/>
    <w:rsid w:val="00B80F87"/>
    <w:rsid w:val="00B84B44"/>
    <w:rsid w:val="00B945C2"/>
    <w:rsid w:val="00BA235B"/>
    <w:rsid w:val="00BA617D"/>
    <w:rsid w:val="00BF4329"/>
    <w:rsid w:val="00BF7242"/>
    <w:rsid w:val="00C34E2D"/>
    <w:rsid w:val="00C37D4C"/>
    <w:rsid w:val="00C46696"/>
    <w:rsid w:val="00C53B8D"/>
    <w:rsid w:val="00C57FEA"/>
    <w:rsid w:val="00CB648A"/>
    <w:rsid w:val="00D117BD"/>
    <w:rsid w:val="00D32EE3"/>
    <w:rsid w:val="00D75079"/>
    <w:rsid w:val="00DB0758"/>
    <w:rsid w:val="00DF4605"/>
    <w:rsid w:val="00E06608"/>
    <w:rsid w:val="00E124A1"/>
    <w:rsid w:val="00E32F1A"/>
    <w:rsid w:val="00E363F5"/>
    <w:rsid w:val="00E403FE"/>
    <w:rsid w:val="00E63A4B"/>
    <w:rsid w:val="00E65207"/>
    <w:rsid w:val="00E85A69"/>
    <w:rsid w:val="00EB24F6"/>
    <w:rsid w:val="00EC2EEF"/>
    <w:rsid w:val="00EE4616"/>
    <w:rsid w:val="00EE6B8F"/>
    <w:rsid w:val="00F30591"/>
    <w:rsid w:val="00F510D7"/>
    <w:rsid w:val="00F7056F"/>
    <w:rsid w:val="00F75899"/>
    <w:rsid w:val="00FC117A"/>
    <w:rsid w:val="00FC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4CE5"/>
  <w15:chartTrackingRefBased/>
  <w15:docId w15:val="{05A5BF1D-65E1-43B2-87F5-070844E7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4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898"/>
    <w:rPr>
      <w:sz w:val="20"/>
      <w:szCs w:val="20"/>
    </w:rPr>
  </w:style>
  <w:style w:type="character" w:styleId="FootnoteReference">
    <w:name w:val="footnote reference"/>
    <w:basedOn w:val="DefaultParagraphFont"/>
    <w:uiPriority w:val="99"/>
    <w:semiHidden/>
    <w:unhideWhenUsed/>
    <w:rsid w:val="00264898"/>
    <w:rPr>
      <w:vertAlign w:val="superscript"/>
    </w:rPr>
  </w:style>
  <w:style w:type="paragraph" w:styleId="ListParagraph">
    <w:name w:val="List Paragraph"/>
    <w:basedOn w:val="Normal"/>
    <w:uiPriority w:val="34"/>
    <w:qFormat/>
    <w:rsid w:val="00264898"/>
    <w:pPr>
      <w:ind w:left="720"/>
      <w:contextualSpacing/>
    </w:pPr>
  </w:style>
  <w:style w:type="character" w:styleId="CommentReference">
    <w:name w:val="annotation reference"/>
    <w:basedOn w:val="DefaultParagraphFont"/>
    <w:uiPriority w:val="99"/>
    <w:semiHidden/>
    <w:unhideWhenUsed/>
    <w:rsid w:val="006436F9"/>
    <w:rPr>
      <w:sz w:val="16"/>
      <w:szCs w:val="16"/>
    </w:rPr>
  </w:style>
  <w:style w:type="paragraph" w:styleId="CommentText">
    <w:name w:val="annotation text"/>
    <w:basedOn w:val="Normal"/>
    <w:link w:val="CommentTextChar"/>
    <w:uiPriority w:val="99"/>
    <w:semiHidden/>
    <w:unhideWhenUsed/>
    <w:rsid w:val="006436F9"/>
    <w:pPr>
      <w:spacing w:line="240" w:lineRule="auto"/>
    </w:pPr>
    <w:rPr>
      <w:sz w:val="20"/>
      <w:szCs w:val="20"/>
    </w:rPr>
  </w:style>
  <w:style w:type="character" w:customStyle="1" w:styleId="CommentTextChar">
    <w:name w:val="Comment Text Char"/>
    <w:basedOn w:val="DefaultParagraphFont"/>
    <w:link w:val="CommentText"/>
    <w:uiPriority w:val="99"/>
    <w:semiHidden/>
    <w:rsid w:val="006436F9"/>
    <w:rPr>
      <w:sz w:val="20"/>
      <w:szCs w:val="20"/>
    </w:rPr>
  </w:style>
  <w:style w:type="paragraph" w:styleId="CommentSubject">
    <w:name w:val="annotation subject"/>
    <w:basedOn w:val="CommentText"/>
    <w:next w:val="CommentText"/>
    <w:link w:val="CommentSubjectChar"/>
    <w:uiPriority w:val="99"/>
    <w:semiHidden/>
    <w:unhideWhenUsed/>
    <w:rsid w:val="006436F9"/>
    <w:rPr>
      <w:b/>
      <w:bCs/>
    </w:rPr>
  </w:style>
  <w:style w:type="character" w:customStyle="1" w:styleId="CommentSubjectChar">
    <w:name w:val="Comment Subject Char"/>
    <w:basedOn w:val="CommentTextChar"/>
    <w:link w:val="CommentSubject"/>
    <w:uiPriority w:val="99"/>
    <w:semiHidden/>
    <w:rsid w:val="006436F9"/>
    <w:rPr>
      <w:b/>
      <w:bCs/>
      <w:sz w:val="20"/>
      <w:szCs w:val="20"/>
    </w:rPr>
  </w:style>
  <w:style w:type="paragraph" w:styleId="BalloonText">
    <w:name w:val="Balloon Text"/>
    <w:basedOn w:val="Normal"/>
    <w:link w:val="BalloonTextChar"/>
    <w:uiPriority w:val="99"/>
    <w:semiHidden/>
    <w:unhideWhenUsed/>
    <w:rsid w:val="00643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6F9"/>
    <w:rPr>
      <w:rFonts w:ascii="Segoe UI" w:hAnsi="Segoe UI" w:cs="Segoe UI"/>
      <w:sz w:val="18"/>
      <w:szCs w:val="18"/>
    </w:rPr>
  </w:style>
  <w:style w:type="paragraph" w:styleId="Header">
    <w:name w:val="header"/>
    <w:basedOn w:val="Normal"/>
    <w:link w:val="HeaderChar"/>
    <w:uiPriority w:val="99"/>
    <w:unhideWhenUsed/>
    <w:rsid w:val="004D1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F16"/>
  </w:style>
  <w:style w:type="paragraph" w:styleId="Footer">
    <w:name w:val="footer"/>
    <w:basedOn w:val="Normal"/>
    <w:link w:val="FooterChar"/>
    <w:uiPriority w:val="99"/>
    <w:unhideWhenUsed/>
    <w:rsid w:val="004D1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F16"/>
  </w:style>
  <w:style w:type="paragraph" w:styleId="Revision">
    <w:name w:val="Revision"/>
    <w:hidden/>
    <w:uiPriority w:val="99"/>
    <w:semiHidden/>
    <w:rsid w:val="00AD3C8E"/>
    <w:pPr>
      <w:spacing w:after="0" w:line="240" w:lineRule="auto"/>
    </w:pPr>
  </w:style>
  <w:style w:type="character" w:styleId="Hyperlink">
    <w:name w:val="Hyperlink"/>
    <w:basedOn w:val="DefaultParagraphFont"/>
    <w:uiPriority w:val="99"/>
    <w:unhideWhenUsed/>
    <w:rsid w:val="000C5914"/>
    <w:rPr>
      <w:color w:val="0000FF"/>
      <w:u w:val="single"/>
    </w:rPr>
  </w:style>
  <w:style w:type="character" w:customStyle="1" w:styleId="UnresolvedMention1">
    <w:name w:val="Unresolved Mention1"/>
    <w:basedOn w:val="DefaultParagraphFont"/>
    <w:uiPriority w:val="99"/>
    <w:semiHidden/>
    <w:unhideWhenUsed/>
    <w:rsid w:val="000C5914"/>
    <w:rPr>
      <w:color w:val="605E5C"/>
      <w:shd w:val="clear" w:color="auto" w:fill="E1DFDD"/>
    </w:rPr>
  </w:style>
  <w:style w:type="character" w:styleId="FollowedHyperlink">
    <w:name w:val="FollowedHyperlink"/>
    <w:basedOn w:val="DefaultParagraphFont"/>
    <w:uiPriority w:val="99"/>
    <w:semiHidden/>
    <w:unhideWhenUsed/>
    <w:rsid w:val="000C5914"/>
    <w:rPr>
      <w:color w:val="954F72" w:themeColor="followedHyperlink"/>
      <w:u w:val="single"/>
    </w:rPr>
  </w:style>
  <w:style w:type="paragraph" w:customStyle="1" w:styleId="SingleTxt">
    <w:name w:val="__Single Txt"/>
    <w:basedOn w:val="Normal"/>
    <w:rsid w:val="0087613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rPr>
  </w:style>
  <w:style w:type="paragraph" w:customStyle="1" w:styleId="H23">
    <w:name w:val="_ H_2/3"/>
    <w:basedOn w:val="Normal"/>
    <w:next w:val="SingleTxt"/>
    <w:rsid w:val="0087613F"/>
    <w:pPr>
      <w:suppressAutoHyphens/>
      <w:spacing w:after="0" w:line="240" w:lineRule="exact"/>
      <w:outlineLvl w:val="1"/>
    </w:pPr>
    <w:rPr>
      <w:rFonts w:ascii="Times New Roman" w:hAnsi="Times New Roman" w:cs="Times New Roman"/>
      <w:b/>
      <w:spacing w:val="4"/>
      <w:w w:val="103"/>
      <w:kern w:val="14"/>
      <w:sz w:val="20"/>
      <w:szCs w:val="20"/>
      <w:lang w:val="en-US"/>
    </w:rPr>
  </w:style>
  <w:style w:type="character" w:customStyle="1" w:styleId="UnresolvedMention2">
    <w:name w:val="Unresolved Mention2"/>
    <w:basedOn w:val="DefaultParagraphFont"/>
    <w:uiPriority w:val="99"/>
    <w:semiHidden/>
    <w:unhideWhenUsed/>
    <w:rsid w:val="00F30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07822">
      <w:bodyDiv w:val="1"/>
      <w:marLeft w:val="0"/>
      <w:marRight w:val="0"/>
      <w:marTop w:val="0"/>
      <w:marBottom w:val="0"/>
      <w:divBdr>
        <w:top w:val="none" w:sz="0" w:space="0" w:color="auto"/>
        <w:left w:val="none" w:sz="0" w:space="0" w:color="auto"/>
        <w:bottom w:val="none" w:sz="0" w:space="0" w:color="auto"/>
        <w:right w:val="none" w:sz="0" w:space="0" w:color="auto"/>
      </w:divBdr>
    </w:div>
    <w:div w:id="1454445220">
      <w:bodyDiv w:val="1"/>
      <w:marLeft w:val="0"/>
      <w:marRight w:val="0"/>
      <w:marTop w:val="0"/>
      <w:marBottom w:val="0"/>
      <w:divBdr>
        <w:top w:val="none" w:sz="0" w:space="0" w:color="auto"/>
        <w:left w:val="none" w:sz="0" w:space="0" w:color="auto"/>
        <w:bottom w:val="none" w:sz="0" w:space="0" w:color="auto"/>
        <w:right w:val="none" w:sz="0" w:space="0" w:color="auto"/>
      </w:divBdr>
    </w:div>
    <w:div w:id="1744911893">
      <w:bodyDiv w:val="1"/>
      <w:marLeft w:val="0"/>
      <w:marRight w:val="0"/>
      <w:marTop w:val="0"/>
      <w:marBottom w:val="0"/>
      <w:divBdr>
        <w:top w:val="none" w:sz="0" w:space="0" w:color="auto"/>
        <w:left w:val="none" w:sz="0" w:space="0" w:color="auto"/>
        <w:bottom w:val="none" w:sz="0" w:space="0" w:color="auto"/>
        <w:right w:val="none" w:sz="0" w:space="0" w:color="auto"/>
      </w:divBdr>
    </w:div>
    <w:div w:id="1813015343">
      <w:bodyDiv w:val="1"/>
      <w:marLeft w:val="0"/>
      <w:marRight w:val="0"/>
      <w:marTop w:val="0"/>
      <w:marBottom w:val="0"/>
      <w:divBdr>
        <w:top w:val="none" w:sz="0" w:space="0" w:color="auto"/>
        <w:left w:val="none" w:sz="0" w:space="0" w:color="auto"/>
        <w:bottom w:val="none" w:sz="0" w:space="0" w:color="auto"/>
        <w:right w:val="none" w:sz="0" w:space="0" w:color="auto"/>
      </w:divBdr>
    </w:div>
    <w:div w:id="196438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treaty-bodies/treaty-body-strengthening" TargetMode="External"/><Relationship Id="rId13" Type="http://schemas.openxmlformats.org/officeDocument/2006/relationships/hyperlink" Target="https://www.ohchr.org/sites/default/files/Documents/HRBodies/Annual-meeting/Proposal-CRPD-3August2021.docx" TargetMode="External"/><Relationship Id="rId18" Type="http://schemas.openxmlformats.org/officeDocument/2006/relationships/hyperlink" Target="http://www.ohchr.org/EN/HRBodies/HRTD/Pages/Documents.aspx" TargetMode="External"/><Relationship Id="rId3" Type="http://schemas.openxmlformats.org/officeDocument/2006/relationships/hyperlink" Target="https://documents-dds-ny.un.org/doc/UNDOC/GEN/N21/002/66/pdf/N2100266.pdf?OpenElement" TargetMode="External"/><Relationship Id="rId7" Type="http://schemas.openxmlformats.org/officeDocument/2006/relationships/hyperlink" Target="https://www.ohchr.org/en/node/102109" TargetMode="External"/><Relationship Id="rId12" Type="http://schemas.openxmlformats.org/officeDocument/2006/relationships/hyperlink" Target="https://documents-dds-ny.un.org/doc/UNDOC/GEN/N19/237/65/pdf/N1923765.pdf?OpenElement" TargetMode="External"/><Relationship Id="rId17" Type="http://schemas.openxmlformats.org/officeDocument/2006/relationships/hyperlink" Target="https://www.ohchr.org/en/treaty-bodies/treaty-body-strengthening-outcome-documents-reports-and-statements" TargetMode="External"/><Relationship Id="rId2" Type="http://schemas.openxmlformats.org/officeDocument/2006/relationships/hyperlink" Target="https://documents-dds-ny.un.org/doc/UNDOC/GEN/N21/228/56/pdf/N2122856.pdf?OpenElement" TargetMode="External"/><Relationship Id="rId16" Type="http://schemas.openxmlformats.org/officeDocument/2006/relationships/hyperlink" Target="https://documents-dds-ny.un.org/doc/UNDOC/GEN/N19/237/65/pdf/N1923765.pdf?OpenElement" TargetMode="External"/><Relationship Id="rId1" Type="http://schemas.openxmlformats.org/officeDocument/2006/relationships/hyperlink" Target="https://documents-dds-ny.un.org/doc/UNDOC/GEN/N20/321/62/PDF/N2032162.pdf?OpenElement" TargetMode="External"/><Relationship Id="rId6" Type="http://schemas.openxmlformats.org/officeDocument/2006/relationships/hyperlink" Target="https://www.ohchr.org/sites/default/files/Documents/HRBodies/Annual-meeting/NV-letter-AfricanGroup-to-Chairs-8jun21.pdf" TargetMode="External"/><Relationship Id="rId11" Type="http://schemas.openxmlformats.org/officeDocument/2006/relationships/hyperlink" Target="https://documents-dds-ny.un.org/doc/UNDOC/GEN/N20/008/12/pdf/N2000812.pdf?OpenElement" TargetMode="External"/><Relationship Id="rId5" Type="http://schemas.openxmlformats.org/officeDocument/2006/relationships/hyperlink" Target="https://www.ohchr.org/sites/default/files/Documents/HRBodies/Annual-meeting/Letter-group-46-States-2June2021.pdf" TargetMode="External"/><Relationship Id="rId15" Type="http://schemas.openxmlformats.org/officeDocument/2006/relationships/hyperlink" Target="https://documents-dds-ny.un.org/doc/UNDOC/GEN/N13/455/53/pdf/N1345553.pdf?OpenElement" TargetMode="External"/><Relationship Id="rId10" Type="http://schemas.openxmlformats.org/officeDocument/2006/relationships/hyperlink" Target="https://documents-dds-ny.un.org/doc/UNDOC/GEN/N18/252/07/pdf/N1825207.pdf?OpenElement" TargetMode="External"/><Relationship Id="rId19" Type="http://schemas.openxmlformats.org/officeDocument/2006/relationships/hyperlink" Target="https://documents-dds-ny.un.org/doc/UNDOC/GEN/N20/008/12/pdf/N2000812.pdf?OpenElement" TargetMode="External"/><Relationship Id="rId4" Type="http://schemas.openxmlformats.org/officeDocument/2006/relationships/hyperlink" Target="https://extranet.ohchr.org/sites/TBChairpersons/Sessions/34/Pages/default.aspx" TargetMode="External"/><Relationship Id="rId9" Type="http://schemas.openxmlformats.org/officeDocument/2006/relationships/hyperlink" Target="https://documents-dds-ny.un.org/doc/UNDOC/GEN/N16/203/92/pdf/N1620392.pdf?OpenElement" TargetMode="External"/><Relationship Id="rId14" Type="http://schemas.openxmlformats.org/officeDocument/2006/relationships/hyperlink" Target="https://tbinternet.ohchr.org/_layouts/15/treatybodyexternal/Download.aspx?symbolno=INT%2fCHAIRPERSONS%2fMCO%2f31%2f31309&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5F736-FDE4-4FC0-8034-B8B48C6B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Kraft</dc:creator>
  <cp:keywords/>
  <dc:description/>
  <cp:lastModifiedBy>Elena Kountouri Tapiero</cp:lastModifiedBy>
  <cp:revision>5</cp:revision>
  <cp:lastPrinted>2022-05-03T09:50:00Z</cp:lastPrinted>
  <dcterms:created xsi:type="dcterms:W3CDTF">2022-05-03T09:49:00Z</dcterms:created>
  <dcterms:modified xsi:type="dcterms:W3CDTF">2022-05-03T10:06:00Z</dcterms:modified>
</cp:coreProperties>
</file>