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5E0E" w14:textId="77777777" w:rsidR="000123A3" w:rsidRDefault="000123A3" w:rsidP="00B73FD1">
      <w:pPr>
        <w:jc w:val="center"/>
        <w:rPr>
          <w:noProof/>
          <w:sz w:val="24"/>
          <w:szCs w:val="24"/>
        </w:rPr>
      </w:pPr>
    </w:p>
    <w:p w14:paraId="3F7143B6" w14:textId="04343096" w:rsidR="003744D5" w:rsidRPr="003744D5" w:rsidRDefault="003744D5" w:rsidP="003744D5">
      <w:pPr>
        <w:spacing w:line="276" w:lineRule="auto"/>
        <w:jc w:val="center"/>
        <w:rPr>
          <w:rFonts w:ascii="Calibri" w:eastAsia="Calibri" w:hAnsi="Calibri" w:cs="Arial"/>
          <w:b/>
          <w:sz w:val="32"/>
          <w:u w:val="single"/>
        </w:rPr>
      </w:pPr>
      <w:r w:rsidRPr="003744D5">
        <w:rPr>
          <w:rFonts w:ascii="Calibri" w:eastAsia="Calibri" w:hAnsi="Calibri" w:cs="Arial"/>
          <w:b/>
          <w:sz w:val="32"/>
          <w:u w:val="single"/>
        </w:rPr>
        <w:t>STATE CONSULTATION</w:t>
      </w:r>
    </w:p>
    <w:p w14:paraId="773F6412" w14:textId="77777777" w:rsidR="003744D5" w:rsidRPr="003744D5" w:rsidRDefault="003744D5" w:rsidP="003744D5">
      <w:pPr>
        <w:spacing w:after="160" w:line="276" w:lineRule="auto"/>
        <w:jc w:val="center"/>
        <w:rPr>
          <w:rFonts w:ascii="Calibri" w:eastAsia="Calibri" w:hAnsi="Calibri" w:cs="Arial"/>
          <w:b/>
          <w:sz w:val="24"/>
        </w:rPr>
      </w:pPr>
      <w:r w:rsidRPr="003744D5">
        <w:rPr>
          <w:rFonts w:ascii="Calibri" w:eastAsia="Calibri" w:hAnsi="Calibri" w:cs="Arial"/>
          <w:b/>
          <w:sz w:val="24"/>
        </w:rPr>
        <w:t xml:space="preserve">Call for input to thematic report of the SR Torture to HRC46 (March 2021): </w:t>
      </w:r>
    </w:p>
    <w:p w14:paraId="1606B839" w14:textId="72CE0DB4" w:rsidR="003744D5" w:rsidRPr="003744D5" w:rsidRDefault="003744D5" w:rsidP="00385B66">
      <w:pPr>
        <w:spacing w:after="160" w:line="276" w:lineRule="auto"/>
        <w:jc w:val="center"/>
        <w:rPr>
          <w:rFonts w:ascii="Calibri" w:eastAsia="Calibri" w:hAnsi="Calibri" w:cs="Arial"/>
          <w:b/>
          <w:bCs/>
          <w:sz w:val="32"/>
          <w:szCs w:val="28"/>
        </w:rPr>
      </w:pPr>
      <w:r w:rsidRPr="003744D5">
        <w:rPr>
          <w:rFonts w:ascii="Calibri" w:eastAsia="Calibri" w:hAnsi="Calibri" w:cs="Arial"/>
          <w:b/>
          <w:sz w:val="24"/>
        </w:rPr>
        <w:t xml:space="preserve">“Effectiveness of States’ responses and follow-up to communications and visit </w:t>
      </w:r>
      <w:r w:rsidRPr="003744D5">
        <w:rPr>
          <w:rFonts w:ascii="Calibri" w:eastAsia="Calibri" w:hAnsi="Calibri" w:cs="Arial"/>
          <w:b/>
          <w:bCs/>
          <w:sz w:val="28"/>
          <w:szCs w:val="22"/>
        </w:rPr>
        <w:t xml:space="preserve">Questionnaire for States </w:t>
      </w:r>
    </w:p>
    <w:p w14:paraId="1AD61330" w14:textId="77777777" w:rsidR="003744D5" w:rsidRPr="003744D5" w:rsidRDefault="003744D5" w:rsidP="003744D5">
      <w:pPr>
        <w:spacing w:after="160" w:line="276" w:lineRule="auto"/>
        <w:jc w:val="center"/>
        <w:rPr>
          <w:rFonts w:ascii="Calibri" w:eastAsia="Calibri" w:hAnsi="Calibri" w:cs="Arial"/>
          <w:b/>
          <w:bCs/>
          <w:sz w:val="24"/>
          <w:szCs w:val="24"/>
        </w:rPr>
      </w:pPr>
      <w:r w:rsidRPr="003744D5">
        <w:rPr>
          <w:rFonts w:ascii="Calibri" w:eastAsia="Calibri" w:hAnsi="Calibri" w:cs="Arial"/>
          <w:b/>
          <w:bCs/>
          <w:sz w:val="28"/>
          <w:szCs w:val="24"/>
        </w:rPr>
        <w:t>(Communications and Visit Requests of the Special Rapporteur)</w:t>
      </w:r>
    </w:p>
    <w:p w14:paraId="02657B57" w14:textId="77777777" w:rsidR="003744D5" w:rsidRPr="003744D5" w:rsidRDefault="003744D5" w:rsidP="003744D5">
      <w:pPr>
        <w:numPr>
          <w:ilvl w:val="0"/>
          <w:numId w:val="36"/>
        </w:numPr>
        <w:tabs>
          <w:tab w:val="left" w:pos="709"/>
        </w:tabs>
        <w:spacing w:after="160" w:line="276" w:lineRule="auto"/>
        <w:contextualSpacing/>
        <w:jc w:val="center"/>
        <w:rPr>
          <w:rFonts w:ascii="Calibri" w:eastAsia="Calibri" w:hAnsi="Calibri" w:cs="Arial"/>
          <w:b/>
          <w:bCs/>
          <w:color w:val="000000"/>
          <w:sz w:val="28"/>
          <w:szCs w:val="22"/>
        </w:rPr>
      </w:pPr>
      <w:r w:rsidRPr="003744D5">
        <w:rPr>
          <w:rFonts w:ascii="Calibri" w:eastAsia="Calibri" w:hAnsi="Calibri" w:cs="Arial"/>
          <w:b/>
          <w:bCs/>
          <w:color w:val="000000"/>
          <w:sz w:val="28"/>
          <w:szCs w:val="22"/>
        </w:rPr>
        <w:t>Procedures for the processing of official communications and requests</w:t>
      </w:r>
    </w:p>
    <w:p w14:paraId="0A397813"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 xml:space="preserve">Please describe the procedures applied by your Government in responding to / following-up on official communications transmitted by the Special Rapporteur, in line with the responsibilities of States outlined in para 2 of Human Rights Council resolution A/HRC/43/L.30 of 31 March 2020, including the initiation of </w:t>
      </w:r>
      <w:r w:rsidRPr="003744D5">
        <w:rPr>
          <w:rFonts w:ascii="Calibri" w:eastAsia="Calibri" w:hAnsi="Calibri" w:cs="Arial"/>
          <w:sz w:val="22"/>
          <w:szCs w:val="22"/>
        </w:rPr>
        <w:t>measures of prevention, investigation, prosecution and redress as may be required under applicable international law.</w:t>
      </w:r>
    </w:p>
    <w:p w14:paraId="59C01E9C" w14:textId="77777777" w:rsidR="003744D5" w:rsidRPr="003744D5" w:rsidRDefault="003744D5" w:rsidP="003744D5">
      <w:pPr>
        <w:spacing w:line="276" w:lineRule="auto"/>
        <w:jc w:val="both"/>
        <w:rPr>
          <w:rFonts w:ascii="Calibri" w:eastAsia="Calibri" w:hAnsi="Calibri" w:cs="Arial"/>
          <w:b/>
          <w:sz w:val="22"/>
          <w:szCs w:val="22"/>
          <w:u w:val="single"/>
        </w:rPr>
      </w:pPr>
    </w:p>
    <w:p w14:paraId="3A632FDD"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0A2FFCBE" w14:textId="77777777" w:rsidR="003744D5" w:rsidRDefault="003744D5" w:rsidP="003744D5">
      <w:pPr>
        <w:pStyle w:val="ListParagraph"/>
        <w:numPr>
          <w:ilvl w:val="0"/>
          <w:numId w:val="37"/>
        </w:numPr>
        <w:spacing w:after="160" w:line="276" w:lineRule="auto"/>
        <w:rPr>
          <w:rFonts w:ascii="Calibri" w:eastAsia="Calibri" w:hAnsi="Calibri" w:cs="Arial"/>
          <w:sz w:val="22"/>
          <w:szCs w:val="22"/>
        </w:rPr>
      </w:pPr>
      <w:r w:rsidRPr="003744D5">
        <w:rPr>
          <w:rFonts w:ascii="Calibri" w:eastAsia="Calibri" w:hAnsi="Calibri" w:cs="Arial"/>
          <w:sz w:val="22"/>
          <w:szCs w:val="22"/>
        </w:rPr>
        <w:t>‘Allegation letters’ (AL) and ‘urgent appeals’ (UA) on specific alleged specific acts or risks of torture or ill-treatment:</w:t>
      </w:r>
    </w:p>
    <w:p w14:paraId="532EE74D" w14:textId="364F6DF2" w:rsidR="00385B66" w:rsidRPr="008F3B1B" w:rsidRDefault="00385B66" w:rsidP="00385B66">
      <w:pPr>
        <w:pStyle w:val="ListParagraph"/>
        <w:spacing w:after="160" w:line="276" w:lineRule="auto"/>
        <w:ind w:left="360"/>
        <w:jc w:val="both"/>
        <w:rPr>
          <w:rFonts w:ascii="Calibri" w:eastAsia="Calibri" w:hAnsi="Calibri" w:cs="Arial"/>
          <w:color w:val="0070C0"/>
          <w:sz w:val="22"/>
          <w:szCs w:val="22"/>
        </w:rPr>
      </w:pPr>
      <w:r w:rsidRPr="008F3B1B">
        <w:rPr>
          <w:rFonts w:ascii="Calibri" w:eastAsia="Calibri" w:hAnsi="Calibri" w:cs="Arial"/>
          <w:color w:val="0070C0"/>
          <w:sz w:val="22"/>
          <w:szCs w:val="22"/>
        </w:rPr>
        <w:t>Upon receiving</w:t>
      </w:r>
      <w:r w:rsidR="00906980" w:rsidRPr="00906980">
        <w:rPr>
          <w:rFonts w:ascii="Calibri" w:eastAsia="Calibri" w:hAnsi="Calibri" w:cs="Arial"/>
          <w:color w:val="0070C0"/>
          <w:sz w:val="22"/>
          <w:szCs w:val="22"/>
        </w:rPr>
        <w:t xml:space="preserve"> </w:t>
      </w:r>
      <w:r w:rsidR="00906980" w:rsidRPr="008F3B1B">
        <w:rPr>
          <w:rFonts w:ascii="Calibri" w:eastAsia="Calibri" w:hAnsi="Calibri" w:cs="Arial"/>
          <w:color w:val="0070C0"/>
          <w:sz w:val="22"/>
          <w:szCs w:val="22"/>
        </w:rPr>
        <w:t>an AL or an UA</w:t>
      </w:r>
      <w:r w:rsidRPr="008F3B1B">
        <w:rPr>
          <w:rFonts w:ascii="Calibri" w:eastAsia="Calibri" w:hAnsi="Calibri" w:cs="Arial"/>
          <w:color w:val="0070C0"/>
          <w:sz w:val="22"/>
          <w:szCs w:val="22"/>
        </w:rPr>
        <w:t xml:space="preserve">, through diplomatic channels, the Ministry of Foreign Affairs (MFA) will notify all the </w:t>
      </w:r>
      <w:r w:rsidR="00906980">
        <w:rPr>
          <w:rFonts w:ascii="Calibri" w:eastAsia="Calibri" w:hAnsi="Calibri" w:cs="Arial"/>
          <w:color w:val="0070C0"/>
          <w:sz w:val="22"/>
          <w:szCs w:val="22"/>
        </w:rPr>
        <w:t>national</w:t>
      </w:r>
      <w:r w:rsidR="00906980" w:rsidRPr="008F3B1B">
        <w:rPr>
          <w:rFonts w:ascii="Calibri" w:eastAsia="Calibri" w:hAnsi="Calibri" w:cs="Arial"/>
          <w:color w:val="0070C0"/>
          <w:sz w:val="22"/>
          <w:szCs w:val="22"/>
        </w:rPr>
        <w:t xml:space="preserve"> </w:t>
      </w:r>
      <w:r w:rsidRPr="008F3B1B">
        <w:rPr>
          <w:rFonts w:ascii="Calibri" w:eastAsia="Calibri" w:hAnsi="Calibri" w:cs="Arial"/>
          <w:color w:val="0070C0"/>
          <w:sz w:val="22"/>
          <w:szCs w:val="22"/>
        </w:rPr>
        <w:t>competent authorities and request them to transmit all the relevant information on the specific acts; if need</w:t>
      </w:r>
      <w:r w:rsidR="00906980">
        <w:rPr>
          <w:rFonts w:ascii="Calibri" w:eastAsia="Calibri" w:hAnsi="Calibri" w:cs="Arial"/>
          <w:color w:val="0070C0"/>
          <w:sz w:val="22"/>
          <w:szCs w:val="22"/>
        </w:rPr>
        <w:t>ed</w:t>
      </w:r>
      <w:r w:rsidRPr="008F3B1B">
        <w:rPr>
          <w:rFonts w:ascii="Calibri" w:eastAsia="Calibri" w:hAnsi="Calibri" w:cs="Arial"/>
          <w:color w:val="0070C0"/>
          <w:sz w:val="22"/>
          <w:szCs w:val="22"/>
        </w:rPr>
        <w:t xml:space="preserve">, after assessing the information received, MFA will </w:t>
      </w:r>
      <w:r w:rsidR="00906980">
        <w:rPr>
          <w:rFonts w:ascii="Calibri" w:eastAsia="Calibri" w:hAnsi="Calibri" w:cs="Arial"/>
          <w:color w:val="0070C0"/>
          <w:sz w:val="22"/>
          <w:szCs w:val="22"/>
        </w:rPr>
        <w:t>revert</w:t>
      </w:r>
      <w:r w:rsidRPr="008F3B1B">
        <w:rPr>
          <w:rFonts w:ascii="Calibri" w:eastAsia="Calibri" w:hAnsi="Calibri" w:cs="Arial"/>
          <w:color w:val="0070C0"/>
          <w:sz w:val="22"/>
          <w:szCs w:val="22"/>
        </w:rPr>
        <w:t xml:space="preserve"> and ask for additional clarifications or information. The request for information will provide for a presentation of the allegations, in Romanian, as well as the aspects considered by the SR to be in breach of the interdiction of torture and ill-treatment. Moreover, depending on the A</w:t>
      </w:r>
      <w:r w:rsidR="00906980">
        <w:rPr>
          <w:rFonts w:ascii="Calibri" w:eastAsia="Calibri" w:hAnsi="Calibri" w:cs="Arial"/>
          <w:color w:val="0070C0"/>
          <w:sz w:val="22"/>
          <w:szCs w:val="22"/>
        </w:rPr>
        <w:t>L</w:t>
      </w:r>
      <w:r w:rsidRPr="008F3B1B">
        <w:rPr>
          <w:rFonts w:ascii="Calibri" w:eastAsia="Calibri" w:hAnsi="Calibri" w:cs="Arial"/>
          <w:color w:val="0070C0"/>
          <w:sz w:val="22"/>
          <w:szCs w:val="22"/>
        </w:rPr>
        <w:t>/UA object, domestic monitoring mechanisms</w:t>
      </w:r>
      <w:r w:rsidR="00485464" w:rsidRPr="008F3B1B">
        <w:rPr>
          <w:rFonts w:ascii="Calibri" w:eastAsia="Calibri" w:hAnsi="Calibri" w:cs="Arial"/>
          <w:color w:val="0070C0"/>
          <w:sz w:val="22"/>
          <w:szCs w:val="22"/>
        </w:rPr>
        <w:t xml:space="preserve"> (such as the Ombudsman – which also fulfil the function of the National Preventive Mechanism – PO-CAT, the Council for Monitoring the implementation of the UN Convention on the Rights of persons with disabilities, the National Council for Combatting Discrimination)</w:t>
      </w:r>
      <w:r w:rsidRPr="008F3B1B">
        <w:rPr>
          <w:rFonts w:ascii="Calibri" w:eastAsia="Calibri" w:hAnsi="Calibri" w:cs="Arial"/>
          <w:color w:val="0070C0"/>
          <w:sz w:val="22"/>
          <w:szCs w:val="22"/>
        </w:rPr>
        <w:t xml:space="preserve"> </w:t>
      </w:r>
      <w:r w:rsidR="00485464" w:rsidRPr="008F3B1B">
        <w:rPr>
          <w:rFonts w:ascii="Calibri" w:eastAsia="Calibri" w:hAnsi="Calibri" w:cs="Arial"/>
          <w:color w:val="0070C0"/>
          <w:sz w:val="22"/>
          <w:szCs w:val="22"/>
        </w:rPr>
        <w:t xml:space="preserve">as well as the criminal investigation ones </w:t>
      </w:r>
      <w:r w:rsidRPr="008F3B1B">
        <w:rPr>
          <w:rFonts w:ascii="Calibri" w:eastAsia="Calibri" w:hAnsi="Calibri" w:cs="Arial"/>
          <w:color w:val="0070C0"/>
          <w:sz w:val="22"/>
          <w:szCs w:val="22"/>
        </w:rPr>
        <w:t>will be notified</w:t>
      </w:r>
      <w:r w:rsidR="00485464" w:rsidRPr="008F3B1B">
        <w:rPr>
          <w:rFonts w:ascii="Calibri" w:eastAsia="Calibri" w:hAnsi="Calibri" w:cs="Arial"/>
          <w:color w:val="0070C0"/>
          <w:sz w:val="22"/>
          <w:szCs w:val="22"/>
        </w:rPr>
        <w:t xml:space="preserve">. </w:t>
      </w:r>
      <w:r w:rsidRPr="008F3B1B">
        <w:rPr>
          <w:rFonts w:ascii="Calibri" w:eastAsia="Calibri" w:hAnsi="Calibri" w:cs="Arial"/>
          <w:color w:val="0070C0"/>
          <w:sz w:val="22"/>
          <w:szCs w:val="22"/>
        </w:rPr>
        <w:t xml:space="preserve"> </w:t>
      </w:r>
    </w:p>
    <w:p w14:paraId="1B7BAB7F" w14:textId="77777777" w:rsidR="00385B66" w:rsidRPr="003744D5" w:rsidRDefault="00385B66" w:rsidP="00385B66">
      <w:pPr>
        <w:pStyle w:val="ListParagraph"/>
        <w:spacing w:after="160" w:line="276" w:lineRule="auto"/>
        <w:ind w:left="360"/>
        <w:rPr>
          <w:rFonts w:ascii="Calibri" w:eastAsia="Calibri" w:hAnsi="Calibri" w:cs="Arial"/>
          <w:sz w:val="22"/>
          <w:szCs w:val="22"/>
        </w:rPr>
      </w:pPr>
    </w:p>
    <w:p w14:paraId="05D47DFF" w14:textId="496C6537" w:rsidR="003744D5" w:rsidRDefault="003744D5" w:rsidP="003744D5">
      <w:pPr>
        <w:pStyle w:val="ListParagraph"/>
        <w:numPr>
          <w:ilvl w:val="0"/>
          <w:numId w:val="37"/>
        </w:numPr>
        <w:spacing w:after="160" w:line="276" w:lineRule="auto"/>
        <w:rPr>
          <w:rFonts w:ascii="Calibri" w:eastAsia="Calibri" w:hAnsi="Calibri" w:cs="Arial"/>
          <w:sz w:val="22"/>
          <w:szCs w:val="22"/>
        </w:rPr>
      </w:pPr>
      <w:r w:rsidRPr="003744D5">
        <w:rPr>
          <w:rFonts w:ascii="Calibri" w:eastAsia="Calibri" w:hAnsi="Calibri" w:cs="Arial"/>
          <w:sz w:val="22"/>
          <w:szCs w:val="22"/>
        </w:rPr>
        <w:t>‘Other letters’ (OL) relating to current or envisaged legislation, regulation or policy measures:</w:t>
      </w:r>
    </w:p>
    <w:p w14:paraId="6AB8F524" w14:textId="3068F5CA" w:rsidR="00485464" w:rsidRPr="008F3B1B" w:rsidRDefault="00485464" w:rsidP="00485464">
      <w:pPr>
        <w:pStyle w:val="ListParagraph"/>
        <w:spacing w:after="160" w:line="276" w:lineRule="auto"/>
        <w:ind w:left="360"/>
        <w:rPr>
          <w:rFonts w:ascii="Calibri" w:eastAsia="Calibri" w:hAnsi="Calibri" w:cs="Arial"/>
          <w:color w:val="0070C0"/>
          <w:sz w:val="22"/>
          <w:szCs w:val="22"/>
        </w:rPr>
      </w:pPr>
      <w:r w:rsidRPr="008F3B1B">
        <w:rPr>
          <w:rFonts w:ascii="Calibri" w:eastAsia="Calibri" w:hAnsi="Calibri" w:cs="Arial"/>
          <w:color w:val="0070C0"/>
          <w:sz w:val="22"/>
          <w:szCs w:val="22"/>
        </w:rPr>
        <w:t>Depending on their object, the OL will be redirected to national competent authorities, for them to take into consideration in the normative or policy drafting process.</w:t>
      </w:r>
    </w:p>
    <w:p w14:paraId="54A1611C" w14:textId="77777777" w:rsidR="00485464" w:rsidRPr="008F3B1B" w:rsidRDefault="00485464" w:rsidP="00485464">
      <w:pPr>
        <w:pStyle w:val="ListParagraph"/>
        <w:spacing w:after="160" w:line="276" w:lineRule="auto"/>
        <w:ind w:left="360"/>
        <w:rPr>
          <w:rFonts w:ascii="Calibri" w:eastAsia="Calibri" w:hAnsi="Calibri" w:cs="Arial"/>
          <w:color w:val="0070C0"/>
          <w:sz w:val="22"/>
          <w:szCs w:val="22"/>
        </w:rPr>
      </w:pPr>
    </w:p>
    <w:p w14:paraId="41689CD9" w14:textId="77777777" w:rsidR="003744D5" w:rsidRDefault="003744D5" w:rsidP="003744D5">
      <w:pPr>
        <w:pStyle w:val="ListParagraph"/>
        <w:numPr>
          <w:ilvl w:val="0"/>
          <w:numId w:val="37"/>
        </w:numPr>
        <w:spacing w:after="160" w:line="276" w:lineRule="auto"/>
        <w:rPr>
          <w:rFonts w:ascii="Calibri" w:eastAsia="Calibri" w:hAnsi="Calibri" w:cs="Arial"/>
          <w:sz w:val="22"/>
          <w:szCs w:val="22"/>
        </w:rPr>
      </w:pPr>
      <w:r w:rsidRPr="003744D5">
        <w:rPr>
          <w:rFonts w:ascii="Calibri" w:eastAsia="Calibri" w:hAnsi="Calibri" w:cs="Arial"/>
          <w:sz w:val="22"/>
          <w:szCs w:val="22"/>
        </w:rPr>
        <w:t xml:space="preserve">Country visit requests: </w:t>
      </w:r>
    </w:p>
    <w:p w14:paraId="45AA1AD4" w14:textId="2039A167" w:rsidR="00485464" w:rsidRPr="008F3B1B" w:rsidRDefault="00485464" w:rsidP="00485464">
      <w:pPr>
        <w:pStyle w:val="ListParagraph"/>
        <w:spacing w:after="160" w:line="276" w:lineRule="auto"/>
        <w:ind w:left="360"/>
        <w:jc w:val="both"/>
        <w:rPr>
          <w:rFonts w:ascii="Calibri" w:eastAsia="Calibri" w:hAnsi="Calibri" w:cs="Arial"/>
          <w:color w:val="0070C0"/>
          <w:sz w:val="22"/>
          <w:szCs w:val="22"/>
        </w:rPr>
      </w:pPr>
      <w:r w:rsidRPr="008F3B1B">
        <w:rPr>
          <w:rFonts w:ascii="Calibri" w:eastAsia="Calibri" w:hAnsi="Calibri" w:cs="Arial"/>
          <w:color w:val="0070C0"/>
          <w:sz w:val="22"/>
          <w:szCs w:val="22"/>
        </w:rPr>
        <w:t>Following the request from the SR, MFA will inform the domestic authorities – mainly the Ministry of Justice</w:t>
      </w:r>
      <w:r w:rsidR="008C6060">
        <w:rPr>
          <w:rFonts w:ascii="Calibri" w:eastAsia="Calibri" w:hAnsi="Calibri" w:cs="Arial"/>
          <w:color w:val="0070C0"/>
          <w:sz w:val="22"/>
          <w:szCs w:val="22"/>
        </w:rPr>
        <w:t xml:space="preserve"> (which</w:t>
      </w:r>
      <w:r w:rsidRPr="008F3B1B">
        <w:rPr>
          <w:rFonts w:ascii="Calibri" w:eastAsia="Calibri" w:hAnsi="Calibri" w:cs="Arial"/>
          <w:color w:val="0070C0"/>
          <w:sz w:val="22"/>
          <w:szCs w:val="22"/>
        </w:rPr>
        <w:t xml:space="preserve"> is also supervising the National Prison Administration</w:t>
      </w:r>
      <w:r w:rsidR="008C6060">
        <w:rPr>
          <w:rFonts w:ascii="Calibri" w:eastAsia="Calibri" w:hAnsi="Calibri" w:cs="Arial"/>
          <w:color w:val="0070C0"/>
          <w:sz w:val="22"/>
          <w:szCs w:val="22"/>
        </w:rPr>
        <w:t>)</w:t>
      </w:r>
      <w:r w:rsidRPr="008F3B1B">
        <w:rPr>
          <w:rFonts w:ascii="Calibri" w:eastAsia="Calibri" w:hAnsi="Calibri" w:cs="Arial"/>
          <w:color w:val="0070C0"/>
          <w:sz w:val="22"/>
          <w:szCs w:val="22"/>
        </w:rPr>
        <w:t xml:space="preserve">, but also the Ministry of Interior, which is supervising the retention and pre-trial detention centres, the Ministry of Health, etc. -  in order to evaluate if the proposed schedule is feasible for an effective visit. </w:t>
      </w:r>
    </w:p>
    <w:p w14:paraId="2EEA50EB" w14:textId="192BF73B" w:rsidR="003744D5" w:rsidRPr="00964454" w:rsidRDefault="003744D5" w:rsidP="00964454">
      <w:pPr>
        <w:pStyle w:val="ListParagraph"/>
        <w:numPr>
          <w:ilvl w:val="0"/>
          <w:numId w:val="36"/>
        </w:numPr>
        <w:spacing w:after="160" w:line="276" w:lineRule="auto"/>
        <w:rPr>
          <w:rFonts w:ascii="Calibri" w:eastAsia="Calibri" w:hAnsi="Calibri" w:cs="Arial"/>
          <w:b/>
          <w:bCs/>
          <w:color w:val="000000"/>
          <w:sz w:val="32"/>
          <w:szCs w:val="22"/>
        </w:rPr>
      </w:pPr>
      <w:r w:rsidRPr="00964454">
        <w:rPr>
          <w:rFonts w:ascii="Calibri" w:eastAsia="Calibri" w:hAnsi="Calibri" w:cs="Arial"/>
          <w:b/>
          <w:bCs/>
          <w:color w:val="000000"/>
          <w:sz w:val="24"/>
          <w:szCs w:val="22"/>
        </w:rPr>
        <w:br w:type="column"/>
      </w:r>
      <w:r w:rsidRPr="00964454">
        <w:rPr>
          <w:rFonts w:ascii="Calibri" w:eastAsia="Calibri" w:hAnsi="Calibri" w:cs="Arial"/>
          <w:b/>
          <w:bCs/>
          <w:color w:val="000000"/>
          <w:sz w:val="32"/>
          <w:szCs w:val="22"/>
        </w:rPr>
        <w:lastRenderedPageBreak/>
        <w:t>Interaction regarding ‘Urgent Appeals’, ‘Allegation Letters’ and ‘Other Letters’</w:t>
      </w:r>
    </w:p>
    <w:p w14:paraId="6E2F1D29"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b/>
          <w:bCs/>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How does your Government self-evaluate its interactions with the mandate of the Special Rapporteur relating to official communications on specific concerns or allegations regarding torture or ill-treatment during the past four years (</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 xml:space="preserve">)? </w:t>
      </w:r>
    </w:p>
    <w:p w14:paraId="6FE49E2C" w14:textId="77777777" w:rsidR="003744D5" w:rsidRPr="003744D5" w:rsidRDefault="003744D5" w:rsidP="003744D5">
      <w:pPr>
        <w:spacing w:after="160" w:line="276" w:lineRule="auto"/>
        <w:jc w:val="both"/>
        <w:rPr>
          <w:rFonts w:ascii="Calibri" w:eastAsia="Calibri" w:hAnsi="Calibri" w:cs="Arial"/>
          <w:sz w:val="22"/>
          <w:szCs w:val="22"/>
        </w:rPr>
      </w:pPr>
    </w:p>
    <w:p w14:paraId="3094E443"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4C84E091" w14:textId="5DF1A0A4" w:rsidR="00FD5BAC" w:rsidRPr="008F3B1B" w:rsidRDefault="00485464" w:rsidP="00FD5BAC">
      <w:pPr>
        <w:spacing w:after="160" w:line="276" w:lineRule="auto"/>
        <w:jc w:val="both"/>
        <w:rPr>
          <w:rFonts w:ascii="Calibri" w:eastAsia="Calibri" w:hAnsi="Calibri" w:cs="Arial"/>
          <w:color w:val="0070C0"/>
          <w:sz w:val="22"/>
          <w:szCs w:val="22"/>
        </w:rPr>
      </w:pPr>
      <w:r w:rsidRPr="008F3B1B">
        <w:rPr>
          <w:rFonts w:ascii="Calibri" w:eastAsia="Calibri" w:hAnsi="Calibri" w:cs="Arial"/>
          <w:color w:val="0070C0"/>
          <w:sz w:val="22"/>
          <w:szCs w:val="22"/>
        </w:rPr>
        <w:t xml:space="preserve">We consider the Romanian Government was </w:t>
      </w:r>
      <w:r w:rsidR="008C6060">
        <w:rPr>
          <w:rFonts w:ascii="Calibri" w:eastAsia="Calibri" w:hAnsi="Calibri" w:cs="Arial"/>
          <w:color w:val="0070C0"/>
          <w:sz w:val="22"/>
          <w:szCs w:val="22"/>
        </w:rPr>
        <w:t>mostly</w:t>
      </w:r>
      <w:r w:rsidR="008C6060" w:rsidRPr="008F3B1B">
        <w:rPr>
          <w:rFonts w:ascii="Calibri" w:eastAsia="Calibri" w:hAnsi="Calibri" w:cs="Arial"/>
          <w:color w:val="0070C0"/>
          <w:sz w:val="22"/>
          <w:szCs w:val="22"/>
        </w:rPr>
        <w:t xml:space="preserve"> </w:t>
      </w:r>
      <w:r w:rsidRPr="008F3B1B">
        <w:rPr>
          <w:rFonts w:ascii="Calibri" w:eastAsia="Calibri" w:hAnsi="Calibri" w:cs="Arial"/>
          <w:color w:val="0070C0"/>
          <w:sz w:val="22"/>
          <w:szCs w:val="22"/>
        </w:rPr>
        <w:t xml:space="preserve">cooperative, as </w:t>
      </w:r>
      <w:r w:rsidR="00FD5BAC" w:rsidRPr="008F3B1B">
        <w:rPr>
          <w:rFonts w:ascii="Calibri" w:eastAsia="Calibri" w:hAnsi="Calibri" w:cs="Arial"/>
          <w:color w:val="0070C0"/>
          <w:sz w:val="22"/>
          <w:szCs w:val="22"/>
        </w:rPr>
        <w:t xml:space="preserve">in one occasion they failed to respond to a JUA. Still, we qualify the dialogue between the Romanian Government and the Special Rapporteur as being a constructive one. </w:t>
      </w:r>
    </w:p>
    <w:p w14:paraId="3FDFCF85" w14:textId="19ACA493" w:rsidR="00FD5BAC" w:rsidRPr="008F3B1B" w:rsidRDefault="00FD5BAC" w:rsidP="00FD5BAC">
      <w:pPr>
        <w:spacing w:after="160" w:line="276" w:lineRule="auto"/>
        <w:jc w:val="both"/>
        <w:rPr>
          <w:rFonts w:ascii="Calibri" w:eastAsia="Calibri" w:hAnsi="Calibri" w:cs="Arial"/>
          <w:bCs/>
          <w:color w:val="0070C0"/>
          <w:sz w:val="22"/>
          <w:szCs w:val="22"/>
          <w:lang w:val="en-US"/>
        </w:rPr>
      </w:pPr>
      <w:r w:rsidRPr="008F3B1B">
        <w:rPr>
          <w:rFonts w:ascii="Calibri" w:eastAsia="Calibri" w:hAnsi="Calibri" w:cs="Arial"/>
          <w:bCs/>
          <w:color w:val="0070C0"/>
          <w:sz w:val="22"/>
          <w:szCs w:val="22"/>
        </w:rPr>
        <w:t xml:space="preserve">As to the challenges or causes that might negatively prevent a quick and comprehensive reaction from the government, we mention: </w:t>
      </w:r>
      <w:proofErr w:type="spellStart"/>
      <w:r w:rsidRPr="008F3B1B">
        <w:rPr>
          <w:rFonts w:ascii="Calibri" w:eastAsia="Calibri" w:hAnsi="Calibri" w:cs="Arial"/>
          <w:bCs/>
          <w:color w:val="0070C0"/>
          <w:sz w:val="22"/>
          <w:szCs w:val="22"/>
        </w:rPr>
        <w:t>i</w:t>
      </w:r>
      <w:proofErr w:type="spellEnd"/>
      <w:r w:rsidRPr="008F3B1B">
        <w:rPr>
          <w:rFonts w:ascii="Calibri" w:eastAsia="Calibri" w:hAnsi="Calibri" w:cs="Arial"/>
          <w:bCs/>
          <w:color w:val="0070C0"/>
          <w:sz w:val="22"/>
          <w:szCs w:val="22"/>
        </w:rPr>
        <w:t xml:space="preserve">. the deadline for reaction is sometimes too tight or insufficient, given the complexity of the AL or UA or the large sphere of domestic authorities </w:t>
      </w:r>
      <w:r w:rsidR="008C6060">
        <w:rPr>
          <w:rFonts w:ascii="Calibri" w:eastAsia="Calibri" w:hAnsi="Calibri" w:cs="Arial"/>
          <w:bCs/>
          <w:color w:val="0070C0"/>
          <w:sz w:val="22"/>
          <w:szCs w:val="22"/>
        </w:rPr>
        <w:t>should</w:t>
      </w:r>
      <w:r w:rsidRPr="008F3B1B">
        <w:rPr>
          <w:rFonts w:ascii="Calibri" w:eastAsia="Calibri" w:hAnsi="Calibri" w:cs="Arial"/>
          <w:bCs/>
          <w:color w:val="0070C0"/>
          <w:sz w:val="22"/>
          <w:szCs w:val="22"/>
        </w:rPr>
        <w:t xml:space="preserve"> be notified/consulted before drafting any reaction; ii. No feed-back as to the satisfactory level of the State</w:t>
      </w:r>
      <w:r w:rsidRPr="008F3B1B">
        <w:rPr>
          <w:rFonts w:ascii="Calibri" w:eastAsia="Calibri" w:hAnsi="Calibri" w:cs="Arial"/>
          <w:bCs/>
          <w:color w:val="0070C0"/>
          <w:sz w:val="22"/>
          <w:szCs w:val="22"/>
          <w:lang w:val="en-US"/>
        </w:rPr>
        <w:t>’s response, either through an officially communicated closure of the case, or through requesting some additional information, if needed.</w:t>
      </w:r>
    </w:p>
    <w:p w14:paraId="0162A1A4" w14:textId="009D4EE3" w:rsidR="00FD5BAC" w:rsidRDefault="00FD5BAC" w:rsidP="00FD5BAC">
      <w:pPr>
        <w:spacing w:after="160" w:line="276" w:lineRule="auto"/>
        <w:jc w:val="both"/>
        <w:rPr>
          <w:rFonts w:ascii="Calibri" w:eastAsia="Calibri" w:hAnsi="Calibri" w:cs="Arial"/>
          <w:b/>
          <w:bCs/>
          <w:color w:val="000000"/>
          <w:sz w:val="32"/>
          <w:szCs w:val="22"/>
        </w:rPr>
      </w:pPr>
      <w:r>
        <w:rPr>
          <w:rFonts w:ascii="Calibri" w:eastAsia="Calibri" w:hAnsi="Calibri" w:cs="Arial"/>
          <w:bCs/>
          <w:color w:val="000000"/>
          <w:sz w:val="22"/>
          <w:szCs w:val="22"/>
        </w:rPr>
        <w:t xml:space="preserve"> </w:t>
      </w:r>
      <w:r w:rsidRPr="00FD5BAC">
        <w:rPr>
          <w:rFonts w:ascii="Calibri" w:eastAsia="Calibri" w:hAnsi="Calibri" w:cs="Arial"/>
          <w:b/>
          <w:bCs/>
          <w:color w:val="000000"/>
          <w:sz w:val="32"/>
          <w:szCs w:val="22"/>
        </w:rPr>
        <w:t xml:space="preserve"> </w:t>
      </w:r>
    </w:p>
    <w:p w14:paraId="2DE7F9C9" w14:textId="77777777" w:rsidR="00FD5BAC" w:rsidRDefault="00FD5BAC" w:rsidP="00FD5BAC">
      <w:pPr>
        <w:spacing w:after="160" w:line="276" w:lineRule="auto"/>
        <w:jc w:val="both"/>
        <w:rPr>
          <w:rFonts w:ascii="Calibri" w:eastAsia="Calibri" w:hAnsi="Calibri" w:cs="Arial"/>
          <w:b/>
          <w:bCs/>
          <w:color w:val="000000"/>
          <w:sz w:val="32"/>
          <w:szCs w:val="22"/>
        </w:rPr>
      </w:pPr>
    </w:p>
    <w:p w14:paraId="37666B03" w14:textId="77777777" w:rsidR="00FD5BAC" w:rsidRDefault="00FD5BAC" w:rsidP="00FD5BAC">
      <w:pPr>
        <w:spacing w:after="160" w:line="276" w:lineRule="auto"/>
        <w:jc w:val="both"/>
        <w:rPr>
          <w:rFonts w:ascii="Calibri" w:eastAsia="Calibri" w:hAnsi="Calibri" w:cs="Arial"/>
          <w:b/>
          <w:bCs/>
          <w:color w:val="000000"/>
          <w:sz w:val="32"/>
          <w:szCs w:val="22"/>
        </w:rPr>
      </w:pPr>
    </w:p>
    <w:p w14:paraId="6F243302" w14:textId="77777777" w:rsidR="00FD5BAC" w:rsidRDefault="00FD5BAC" w:rsidP="00FD5BAC">
      <w:pPr>
        <w:spacing w:after="160" w:line="276" w:lineRule="auto"/>
        <w:jc w:val="both"/>
        <w:rPr>
          <w:rFonts w:ascii="Calibri" w:eastAsia="Calibri" w:hAnsi="Calibri" w:cs="Arial"/>
          <w:b/>
          <w:bCs/>
          <w:color w:val="000000"/>
          <w:sz w:val="32"/>
          <w:szCs w:val="22"/>
        </w:rPr>
      </w:pPr>
    </w:p>
    <w:p w14:paraId="5AC5BEDF" w14:textId="77777777" w:rsidR="00FD5BAC" w:rsidRDefault="00FD5BAC" w:rsidP="00FD5BAC">
      <w:pPr>
        <w:spacing w:after="160" w:line="276" w:lineRule="auto"/>
        <w:jc w:val="both"/>
        <w:rPr>
          <w:rFonts w:ascii="Calibri" w:eastAsia="Calibri" w:hAnsi="Calibri" w:cs="Arial"/>
          <w:b/>
          <w:bCs/>
          <w:color w:val="000000"/>
          <w:sz w:val="32"/>
          <w:szCs w:val="22"/>
        </w:rPr>
      </w:pPr>
    </w:p>
    <w:p w14:paraId="6F38679F" w14:textId="77777777" w:rsidR="00FD5BAC" w:rsidRDefault="00FD5BAC" w:rsidP="00FD5BAC">
      <w:pPr>
        <w:spacing w:after="160" w:line="276" w:lineRule="auto"/>
        <w:jc w:val="both"/>
        <w:rPr>
          <w:rFonts w:ascii="Calibri" w:eastAsia="Calibri" w:hAnsi="Calibri" w:cs="Arial"/>
          <w:b/>
          <w:bCs/>
          <w:color w:val="000000"/>
          <w:sz w:val="32"/>
          <w:szCs w:val="22"/>
        </w:rPr>
      </w:pPr>
    </w:p>
    <w:p w14:paraId="61EC2D34" w14:textId="77777777" w:rsidR="00FD5BAC" w:rsidRDefault="00FD5BAC" w:rsidP="00FD5BAC">
      <w:pPr>
        <w:spacing w:after="160" w:line="276" w:lineRule="auto"/>
        <w:jc w:val="both"/>
        <w:rPr>
          <w:rFonts w:ascii="Calibri" w:eastAsia="Calibri" w:hAnsi="Calibri" w:cs="Arial"/>
          <w:b/>
          <w:bCs/>
          <w:color w:val="000000"/>
          <w:sz w:val="32"/>
          <w:szCs w:val="22"/>
        </w:rPr>
      </w:pPr>
    </w:p>
    <w:p w14:paraId="3C8F1A34" w14:textId="77777777" w:rsidR="00FD5BAC" w:rsidRDefault="00FD5BAC" w:rsidP="00FD5BAC">
      <w:pPr>
        <w:spacing w:after="160" w:line="276" w:lineRule="auto"/>
        <w:jc w:val="both"/>
        <w:rPr>
          <w:rFonts w:ascii="Calibri" w:eastAsia="Calibri" w:hAnsi="Calibri" w:cs="Arial"/>
          <w:b/>
          <w:bCs/>
          <w:color w:val="000000"/>
          <w:sz w:val="32"/>
          <w:szCs w:val="22"/>
        </w:rPr>
      </w:pPr>
    </w:p>
    <w:p w14:paraId="58ED0F76" w14:textId="77777777" w:rsidR="00FD5BAC" w:rsidRDefault="00FD5BAC" w:rsidP="00FD5BAC">
      <w:pPr>
        <w:spacing w:after="160" w:line="276" w:lineRule="auto"/>
        <w:jc w:val="both"/>
        <w:rPr>
          <w:rFonts w:ascii="Calibri" w:eastAsia="Calibri" w:hAnsi="Calibri" w:cs="Arial"/>
          <w:b/>
          <w:bCs/>
          <w:color w:val="000000"/>
          <w:sz w:val="32"/>
          <w:szCs w:val="22"/>
        </w:rPr>
      </w:pPr>
    </w:p>
    <w:p w14:paraId="19770227" w14:textId="77777777" w:rsidR="00FD5BAC" w:rsidRDefault="00FD5BAC" w:rsidP="00FD5BAC">
      <w:pPr>
        <w:spacing w:after="160" w:line="276" w:lineRule="auto"/>
        <w:jc w:val="both"/>
        <w:rPr>
          <w:rFonts w:ascii="Calibri" w:eastAsia="Calibri" w:hAnsi="Calibri" w:cs="Arial"/>
          <w:b/>
          <w:bCs/>
          <w:color w:val="000000"/>
          <w:sz w:val="32"/>
          <w:szCs w:val="22"/>
        </w:rPr>
      </w:pPr>
    </w:p>
    <w:p w14:paraId="059A554F" w14:textId="77777777" w:rsidR="00FD5BAC" w:rsidRDefault="00FD5BAC" w:rsidP="00FD5BAC">
      <w:pPr>
        <w:spacing w:after="160" w:line="276" w:lineRule="auto"/>
        <w:jc w:val="both"/>
        <w:rPr>
          <w:rFonts w:ascii="Calibri" w:eastAsia="Calibri" w:hAnsi="Calibri" w:cs="Arial"/>
          <w:b/>
          <w:bCs/>
          <w:color w:val="000000"/>
          <w:sz w:val="32"/>
          <w:szCs w:val="22"/>
        </w:rPr>
      </w:pPr>
    </w:p>
    <w:p w14:paraId="0CC76196" w14:textId="77777777" w:rsidR="00FD5BAC" w:rsidRPr="00FD5BAC" w:rsidRDefault="00FD5BAC" w:rsidP="00FD5BAC">
      <w:pPr>
        <w:spacing w:after="160" w:line="276" w:lineRule="auto"/>
        <w:jc w:val="both"/>
        <w:rPr>
          <w:rFonts w:ascii="Calibri" w:eastAsia="Calibri" w:hAnsi="Calibri" w:cs="Arial"/>
          <w:b/>
          <w:bCs/>
          <w:color w:val="000000"/>
          <w:sz w:val="32"/>
          <w:szCs w:val="22"/>
        </w:rPr>
      </w:pPr>
    </w:p>
    <w:p w14:paraId="6A5DB645" w14:textId="77777777" w:rsidR="003744D5" w:rsidRPr="003744D5" w:rsidRDefault="003744D5" w:rsidP="003744D5">
      <w:pPr>
        <w:numPr>
          <w:ilvl w:val="0"/>
          <w:numId w:val="36"/>
        </w:numPr>
        <w:spacing w:after="160" w:line="276" w:lineRule="auto"/>
        <w:contextualSpacing/>
        <w:jc w:val="center"/>
        <w:rPr>
          <w:rFonts w:ascii="Calibri" w:eastAsia="Calibri" w:hAnsi="Calibri" w:cs="Arial"/>
          <w:b/>
          <w:bCs/>
          <w:color w:val="000000"/>
          <w:sz w:val="32"/>
          <w:szCs w:val="22"/>
        </w:rPr>
      </w:pPr>
      <w:r w:rsidRPr="003744D5">
        <w:rPr>
          <w:rFonts w:ascii="Calibri" w:eastAsia="Calibri" w:hAnsi="Calibri" w:cs="Arial"/>
          <w:b/>
          <w:bCs/>
          <w:color w:val="000000"/>
          <w:sz w:val="32"/>
          <w:szCs w:val="22"/>
        </w:rPr>
        <w:lastRenderedPageBreak/>
        <w:t>Interaction regarding Country Visit Requests</w:t>
      </w:r>
    </w:p>
    <w:p w14:paraId="28265E6B" w14:textId="77777777" w:rsidR="003744D5" w:rsidRPr="003744D5" w:rsidRDefault="003744D5" w:rsidP="003744D5">
      <w:pPr>
        <w:spacing w:after="160" w:line="276" w:lineRule="auto"/>
        <w:jc w:val="both"/>
        <w:rPr>
          <w:rFonts w:ascii="Calibri" w:eastAsia="Calibri" w:hAnsi="Calibri" w:cs="Arial"/>
          <w:bCs/>
          <w:sz w:val="22"/>
          <w:szCs w:val="22"/>
        </w:rPr>
      </w:pPr>
    </w:p>
    <w:p w14:paraId="6300F12E"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b/>
          <w:bCs/>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How does your Government self-evaluate its interactions with the mandate in response to official requests transmitted by the Special Rapporteur to conduct a country visit during the past four years during the past four years (</w:t>
      </w:r>
      <w:r w:rsidRPr="003744D5">
        <w:rPr>
          <w:rFonts w:ascii="Calibri" w:eastAsia="Calibri" w:hAnsi="Calibri" w:cs="Arial"/>
          <w:sz w:val="22"/>
          <w:szCs w:val="22"/>
        </w:rPr>
        <w:t>1 November 2016 until 31 October 2020</w:t>
      </w:r>
      <w:r w:rsidRPr="003744D5">
        <w:rPr>
          <w:rFonts w:ascii="Calibri" w:eastAsia="Calibri" w:hAnsi="Calibri" w:cs="Arial"/>
          <w:bCs/>
          <w:sz w:val="22"/>
          <w:szCs w:val="22"/>
        </w:rPr>
        <w:t xml:space="preserve">)? </w:t>
      </w:r>
    </w:p>
    <w:p w14:paraId="3E68377D" w14:textId="57F77F92" w:rsidR="003744D5" w:rsidRPr="003744D5" w:rsidRDefault="00FD5BAC" w:rsidP="00FD5BAC">
      <w:pPr>
        <w:spacing w:after="160" w:line="276" w:lineRule="auto"/>
        <w:contextualSpacing/>
        <w:jc w:val="both"/>
        <w:rPr>
          <w:rFonts w:ascii="Calibri" w:eastAsia="Calibri" w:hAnsi="Calibri" w:cs="Arial"/>
          <w:sz w:val="22"/>
          <w:szCs w:val="22"/>
        </w:rPr>
      </w:pPr>
      <w:r w:rsidRPr="003744D5">
        <w:rPr>
          <w:rFonts w:ascii="Calibri" w:eastAsia="Calibri" w:hAnsi="Calibri" w:cs="Arial"/>
          <w:b/>
          <w:sz w:val="22"/>
          <w:szCs w:val="22"/>
        </w:rPr>
        <w:t xml:space="preserve"> </w:t>
      </w:r>
      <w:r w:rsidR="003744D5" w:rsidRPr="003744D5">
        <w:rPr>
          <w:rFonts w:ascii="Calibri" w:eastAsia="Calibri" w:hAnsi="Calibri" w:cs="Arial"/>
          <w:b/>
          <w:sz w:val="22"/>
          <w:szCs w:val="22"/>
        </w:rPr>
        <w:t>“Fully cooperative”:</w:t>
      </w:r>
      <w:r w:rsidR="003744D5" w:rsidRPr="003744D5">
        <w:rPr>
          <w:rFonts w:ascii="Calibri" w:eastAsia="Calibri" w:hAnsi="Calibri" w:cs="Arial"/>
          <w:sz w:val="22"/>
          <w:szCs w:val="22"/>
        </w:rPr>
        <w:t xml:space="preserve"> During the past four years </w:t>
      </w:r>
      <w:r w:rsidR="003744D5" w:rsidRPr="003744D5">
        <w:rPr>
          <w:rFonts w:ascii="Calibri" w:eastAsia="Calibri" w:hAnsi="Calibri" w:cs="Arial"/>
          <w:bCs/>
          <w:sz w:val="22"/>
          <w:szCs w:val="22"/>
        </w:rPr>
        <w:t>(</w:t>
      </w:r>
      <w:r w:rsidR="003744D5" w:rsidRPr="003744D5">
        <w:rPr>
          <w:rFonts w:ascii="Calibri" w:eastAsia="Calibri" w:hAnsi="Calibri" w:cs="Arial"/>
          <w:sz w:val="22"/>
          <w:szCs w:val="22"/>
        </w:rPr>
        <w:t>1 November 2016 until 31 October 2020</w:t>
      </w:r>
      <w:r w:rsidR="003744D5" w:rsidRPr="003744D5">
        <w:rPr>
          <w:rFonts w:ascii="Calibri" w:eastAsia="Calibri" w:hAnsi="Calibri" w:cs="Arial"/>
          <w:bCs/>
          <w:sz w:val="22"/>
          <w:szCs w:val="22"/>
        </w:rPr>
        <w:t>)</w:t>
      </w:r>
      <w:r w:rsidR="003744D5" w:rsidRPr="003744D5">
        <w:rPr>
          <w:rFonts w:ascii="Calibri" w:eastAsia="Calibri" w:hAnsi="Calibri" w:cs="Arial"/>
          <w:sz w:val="22"/>
          <w:szCs w:val="22"/>
        </w:rPr>
        <w:t xml:space="preserve">, the Government has extended either a standing invitation or an bilateral invitation to the Special Rapporteur to conduct a country visit in full compliance with the terms of reference of the mandate, </w:t>
      </w:r>
      <w:r w:rsidR="003744D5" w:rsidRPr="003744D5">
        <w:rPr>
          <w:rFonts w:ascii="Calibri" w:eastAsia="Calibri" w:hAnsi="Calibri" w:cs="Arial"/>
          <w:b/>
          <w:sz w:val="22"/>
          <w:szCs w:val="22"/>
          <w:u w:val="single"/>
        </w:rPr>
        <w:t>and</w:t>
      </w:r>
      <w:r w:rsidR="003744D5" w:rsidRPr="003744D5">
        <w:rPr>
          <w:rFonts w:ascii="Calibri" w:eastAsia="Calibri" w:hAnsi="Calibri" w:cs="Arial"/>
          <w:sz w:val="22"/>
          <w:szCs w:val="22"/>
        </w:rPr>
        <w:t xml:space="preserve"> the visit: (a) has taken place, </w:t>
      </w:r>
      <w:r w:rsidR="003744D5" w:rsidRPr="003744D5">
        <w:rPr>
          <w:rFonts w:ascii="Calibri" w:eastAsia="Calibri" w:hAnsi="Calibri" w:cs="Arial"/>
          <w:sz w:val="22"/>
          <w:szCs w:val="22"/>
          <w:u w:val="single"/>
        </w:rPr>
        <w:t>or</w:t>
      </w:r>
      <w:r w:rsidR="003744D5" w:rsidRPr="003744D5">
        <w:rPr>
          <w:rFonts w:ascii="Calibri" w:eastAsia="Calibri" w:hAnsi="Calibri" w:cs="Arial"/>
          <w:sz w:val="22"/>
          <w:szCs w:val="22"/>
        </w:rPr>
        <w:t xml:space="preserve"> (b) has been scheduled, </w:t>
      </w:r>
      <w:r w:rsidR="003744D5" w:rsidRPr="003744D5">
        <w:rPr>
          <w:rFonts w:ascii="Calibri" w:eastAsia="Calibri" w:hAnsi="Calibri" w:cs="Arial"/>
          <w:sz w:val="22"/>
          <w:szCs w:val="22"/>
          <w:u w:val="single"/>
        </w:rPr>
        <w:t>or</w:t>
      </w:r>
      <w:r w:rsidR="003744D5" w:rsidRPr="003744D5">
        <w:rPr>
          <w:rFonts w:ascii="Calibri" w:eastAsia="Calibri" w:hAnsi="Calibri" w:cs="Arial"/>
          <w:sz w:val="22"/>
          <w:szCs w:val="22"/>
        </w:rPr>
        <w:t xml:space="preserve"> (c) has been postponed or declined by the Special Rapporteur for reasons not in the responsibility of the Government.</w:t>
      </w:r>
    </w:p>
    <w:p w14:paraId="405EF25E" w14:textId="77777777" w:rsidR="003744D5" w:rsidRPr="003744D5" w:rsidRDefault="003744D5" w:rsidP="003744D5">
      <w:pPr>
        <w:spacing w:after="160" w:line="276" w:lineRule="auto"/>
        <w:jc w:val="both"/>
        <w:rPr>
          <w:rFonts w:ascii="Calibri" w:eastAsia="Calibri" w:hAnsi="Calibri" w:cs="Arial"/>
          <w:sz w:val="22"/>
          <w:szCs w:val="22"/>
        </w:rPr>
      </w:pPr>
    </w:p>
    <w:p w14:paraId="1584D844" w14:textId="77777777" w:rsidR="003744D5" w:rsidRP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1F09DC00" w14:textId="027AD800" w:rsidR="00964454" w:rsidRPr="00621A64" w:rsidRDefault="00FD5BAC" w:rsidP="00FD5BAC">
      <w:pPr>
        <w:spacing w:after="160" w:line="276" w:lineRule="auto"/>
        <w:jc w:val="both"/>
        <w:rPr>
          <w:rFonts w:ascii="Calibri" w:eastAsia="Calibri" w:hAnsi="Calibri" w:cs="Arial"/>
          <w:color w:val="0070C0"/>
          <w:sz w:val="22"/>
          <w:szCs w:val="22"/>
        </w:rPr>
      </w:pPr>
      <w:r w:rsidRPr="00621A64">
        <w:rPr>
          <w:rFonts w:ascii="Calibri" w:eastAsia="Calibri" w:hAnsi="Calibri" w:cs="Arial"/>
          <w:color w:val="0070C0"/>
          <w:sz w:val="22"/>
          <w:szCs w:val="22"/>
        </w:rPr>
        <w:t xml:space="preserve">We consider the Romanian Government was fully cooperative; </w:t>
      </w:r>
      <w:r w:rsidR="00964454" w:rsidRPr="00621A64">
        <w:rPr>
          <w:rFonts w:ascii="Calibri" w:eastAsia="Calibri" w:hAnsi="Calibri" w:cs="Arial"/>
          <w:color w:val="0070C0"/>
          <w:sz w:val="22"/>
          <w:szCs w:val="22"/>
        </w:rPr>
        <w:t>from the outset, we underline that Romani</w:t>
      </w:r>
      <w:r w:rsidR="007073C4">
        <w:rPr>
          <w:rFonts w:ascii="Calibri" w:eastAsia="Calibri" w:hAnsi="Calibri" w:cs="Arial"/>
          <w:color w:val="0070C0"/>
          <w:sz w:val="22"/>
          <w:szCs w:val="22"/>
        </w:rPr>
        <w:t>a</w:t>
      </w:r>
      <w:r w:rsidR="00964454" w:rsidRPr="00621A64">
        <w:rPr>
          <w:rFonts w:ascii="Calibri" w:eastAsia="Calibri" w:hAnsi="Calibri" w:cs="Arial"/>
          <w:color w:val="0070C0"/>
          <w:sz w:val="22"/>
          <w:szCs w:val="22"/>
        </w:rPr>
        <w:t xml:space="preserve"> extended a standing invitation to all special procedures since March 2001. </w:t>
      </w:r>
    </w:p>
    <w:p w14:paraId="3723C5A4" w14:textId="071E3728" w:rsidR="00FD5BAC" w:rsidRPr="00621A64" w:rsidRDefault="00964454" w:rsidP="00FD5BAC">
      <w:pPr>
        <w:spacing w:after="160" w:line="276" w:lineRule="auto"/>
        <w:jc w:val="both"/>
        <w:rPr>
          <w:rFonts w:ascii="Calibri" w:eastAsia="Calibri" w:hAnsi="Calibri" w:cs="Arial"/>
          <w:color w:val="0070C0"/>
          <w:sz w:val="22"/>
          <w:szCs w:val="22"/>
        </w:rPr>
      </w:pPr>
      <w:r w:rsidRPr="00621A64">
        <w:rPr>
          <w:rFonts w:ascii="Calibri" w:eastAsia="Calibri" w:hAnsi="Calibri" w:cs="Arial"/>
          <w:color w:val="0070C0"/>
          <w:sz w:val="22"/>
          <w:szCs w:val="22"/>
        </w:rPr>
        <w:t xml:space="preserve">Moreover, </w:t>
      </w:r>
      <w:r w:rsidR="00FD5BAC" w:rsidRPr="00621A64">
        <w:rPr>
          <w:rFonts w:ascii="Calibri" w:eastAsia="Calibri" w:hAnsi="Calibri" w:cs="Arial"/>
          <w:color w:val="0070C0"/>
          <w:sz w:val="22"/>
          <w:szCs w:val="22"/>
        </w:rPr>
        <w:t xml:space="preserve">during the relevant period, we </w:t>
      </w:r>
      <w:r w:rsidR="005E6C94">
        <w:rPr>
          <w:rFonts w:ascii="Calibri" w:eastAsia="Calibri" w:hAnsi="Calibri" w:cs="Arial"/>
          <w:color w:val="0070C0"/>
          <w:sz w:val="22"/>
          <w:szCs w:val="22"/>
        </w:rPr>
        <w:t>received just</w:t>
      </w:r>
      <w:r w:rsidR="00FD5BAC" w:rsidRPr="00621A64">
        <w:rPr>
          <w:rFonts w:ascii="Calibri" w:eastAsia="Calibri" w:hAnsi="Calibri" w:cs="Arial"/>
          <w:color w:val="0070C0"/>
          <w:sz w:val="22"/>
          <w:szCs w:val="22"/>
        </w:rPr>
        <w:t xml:space="preserve"> one </w:t>
      </w:r>
      <w:r w:rsidRPr="00621A64">
        <w:rPr>
          <w:rFonts w:ascii="Calibri" w:eastAsia="Calibri" w:hAnsi="Calibri" w:cs="Arial"/>
          <w:color w:val="0070C0"/>
          <w:sz w:val="22"/>
          <w:szCs w:val="22"/>
        </w:rPr>
        <w:t>notification for a visit</w:t>
      </w:r>
      <w:r w:rsidR="00FD5BAC" w:rsidRPr="00621A64">
        <w:rPr>
          <w:rFonts w:ascii="Calibri" w:eastAsia="Calibri" w:hAnsi="Calibri" w:cs="Arial"/>
          <w:color w:val="0070C0"/>
          <w:sz w:val="22"/>
          <w:szCs w:val="22"/>
        </w:rPr>
        <w:t xml:space="preserve"> </w:t>
      </w:r>
      <w:r w:rsidRPr="00621A64">
        <w:rPr>
          <w:rFonts w:ascii="Calibri" w:eastAsia="Calibri" w:hAnsi="Calibri" w:cs="Arial"/>
          <w:color w:val="0070C0"/>
          <w:sz w:val="22"/>
          <w:szCs w:val="22"/>
        </w:rPr>
        <w:t xml:space="preserve">from the SR, in 2017; after consulting the domestic competent authorities, we </w:t>
      </w:r>
      <w:r w:rsidR="005E6C94">
        <w:rPr>
          <w:rFonts w:ascii="Calibri" w:eastAsia="Calibri" w:hAnsi="Calibri" w:cs="Arial"/>
          <w:color w:val="0070C0"/>
          <w:sz w:val="22"/>
          <w:szCs w:val="22"/>
        </w:rPr>
        <w:t xml:space="preserve">kindly </w:t>
      </w:r>
      <w:r w:rsidRPr="00621A64">
        <w:rPr>
          <w:rFonts w:ascii="Calibri" w:eastAsia="Calibri" w:hAnsi="Calibri" w:cs="Arial"/>
          <w:color w:val="0070C0"/>
          <w:sz w:val="22"/>
          <w:szCs w:val="22"/>
        </w:rPr>
        <w:t xml:space="preserve">requested the SR to change the date of its planned visit, as the </w:t>
      </w:r>
      <w:r w:rsidR="005E6C94">
        <w:rPr>
          <w:rFonts w:ascii="Calibri" w:eastAsia="Calibri" w:hAnsi="Calibri" w:cs="Arial"/>
          <w:color w:val="0070C0"/>
          <w:sz w:val="22"/>
          <w:szCs w:val="22"/>
        </w:rPr>
        <w:t>initial</w:t>
      </w:r>
      <w:r w:rsidR="005E6C94" w:rsidRPr="00621A64">
        <w:rPr>
          <w:rFonts w:ascii="Calibri" w:eastAsia="Calibri" w:hAnsi="Calibri" w:cs="Arial"/>
          <w:color w:val="0070C0"/>
          <w:sz w:val="22"/>
          <w:szCs w:val="22"/>
        </w:rPr>
        <w:t xml:space="preserve"> </w:t>
      </w:r>
      <w:r w:rsidRPr="00621A64">
        <w:rPr>
          <w:rFonts w:ascii="Calibri" w:eastAsia="Calibri" w:hAnsi="Calibri" w:cs="Arial"/>
          <w:color w:val="0070C0"/>
          <w:sz w:val="22"/>
          <w:szCs w:val="22"/>
        </w:rPr>
        <w:t xml:space="preserve">period was already covered with visits and national reports within other European and international monitoring mechanisms. Following the </w:t>
      </w:r>
      <w:r w:rsidR="005E6C94">
        <w:rPr>
          <w:rFonts w:ascii="Calibri" w:eastAsia="Calibri" w:hAnsi="Calibri" w:cs="Arial"/>
          <w:color w:val="0070C0"/>
          <w:sz w:val="22"/>
          <w:szCs w:val="22"/>
        </w:rPr>
        <w:t xml:space="preserve">above mentioned </w:t>
      </w:r>
      <w:r w:rsidRPr="00621A64">
        <w:rPr>
          <w:rFonts w:ascii="Calibri" w:eastAsia="Calibri" w:hAnsi="Calibri" w:cs="Arial"/>
          <w:color w:val="0070C0"/>
          <w:sz w:val="22"/>
          <w:szCs w:val="22"/>
        </w:rPr>
        <w:t xml:space="preserve">suggestion, we were informed that the SR agenda was also fully </w:t>
      </w:r>
      <w:r w:rsidR="005E6C94">
        <w:rPr>
          <w:rFonts w:ascii="Calibri" w:eastAsia="Calibri" w:hAnsi="Calibri" w:cs="Arial"/>
          <w:color w:val="0070C0"/>
          <w:sz w:val="22"/>
          <w:szCs w:val="22"/>
        </w:rPr>
        <w:t>book</w:t>
      </w:r>
      <w:bookmarkStart w:id="0" w:name="_GoBack"/>
      <w:bookmarkEnd w:id="0"/>
      <w:r w:rsidR="005E6C94">
        <w:rPr>
          <w:rFonts w:ascii="Calibri" w:eastAsia="Calibri" w:hAnsi="Calibri" w:cs="Arial"/>
          <w:color w:val="0070C0"/>
          <w:sz w:val="22"/>
          <w:szCs w:val="22"/>
        </w:rPr>
        <w:t>ed</w:t>
      </w:r>
      <w:r w:rsidR="005E6C94" w:rsidRPr="00621A64">
        <w:rPr>
          <w:rFonts w:ascii="Calibri" w:eastAsia="Calibri" w:hAnsi="Calibri" w:cs="Arial"/>
          <w:color w:val="0070C0"/>
          <w:sz w:val="22"/>
          <w:szCs w:val="22"/>
        </w:rPr>
        <w:t xml:space="preserve"> </w:t>
      </w:r>
      <w:r w:rsidRPr="00621A64">
        <w:rPr>
          <w:rFonts w:ascii="Calibri" w:eastAsia="Calibri" w:hAnsi="Calibri" w:cs="Arial"/>
          <w:color w:val="0070C0"/>
          <w:sz w:val="22"/>
          <w:szCs w:val="22"/>
        </w:rPr>
        <w:t xml:space="preserve">and that a new tentative date will be proposed at a later stage. </w:t>
      </w:r>
    </w:p>
    <w:p w14:paraId="733CF85F" w14:textId="7C1FF85E" w:rsidR="00964454" w:rsidRPr="00621A64" w:rsidRDefault="00964454" w:rsidP="00FD5BAC">
      <w:pPr>
        <w:spacing w:after="160" w:line="276" w:lineRule="auto"/>
        <w:jc w:val="both"/>
        <w:rPr>
          <w:rFonts w:ascii="Calibri" w:eastAsia="Calibri" w:hAnsi="Calibri" w:cs="Arial"/>
          <w:color w:val="0070C0"/>
          <w:sz w:val="22"/>
          <w:szCs w:val="22"/>
        </w:rPr>
      </w:pPr>
      <w:r w:rsidRPr="00621A64">
        <w:rPr>
          <w:rFonts w:ascii="Calibri" w:eastAsia="Calibri" w:hAnsi="Calibri" w:cs="Arial"/>
          <w:color w:val="0070C0"/>
          <w:sz w:val="22"/>
          <w:szCs w:val="22"/>
        </w:rPr>
        <w:t xml:space="preserve">As such, if we were to make a recommendation, we would encourage flexibility in setting the period for a visit, in order to avoid overlapping with other </w:t>
      </w:r>
      <w:r w:rsidR="00621A64" w:rsidRPr="00621A64">
        <w:rPr>
          <w:rFonts w:ascii="Calibri" w:eastAsia="Calibri" w:hAnsi="Calibri" w:cs="Arial"/>
          <w:color w:val="0070C0"/>
          <w:sz w:val="22"/>
          <w:szCs w:val="22"/>
        </w:rPr>
        <w:t>mechanisms;</w:t>
      </w:r>
      <w:r w:rsidRPr="00621A64">
        <w:rPr>
          <w:rFonts w:ascii="Calibri" w:eastAsia="Calibri" w:hAnsi="Calibri" w:cs="Arial"/>
          <w:color w:val="0070C0"/>
          <w:sz w:val="22"/>
          <w:szCs w:val="22"/>
        </w:rPr>
        <w:t xml:space="preserve"> such overlapping </w:t>
      </w:r>
      <w:r w:rsidR="00621A64" w:rsidRPr="00621A64">
        <w:rPr>
          <w:rFonts w:ascii="Calibri" w:eastAsia="Calibri" w:hAnsi="Calibri" w:cs="Arial"/>
          <w:color w:val="0070C0"/>
          <w:sz w:val="22"/>
          <w:szCs w:val="22"/>
        </w:rPr>
        <w:t>could</w:t>
      </w:r>
      <w:r w:rsidRPr="00621A64">
        <w:rPr>
          <w:rFonts w:ascii="Calibri" w:eastAsia="Calibri" w:hAnsi="Calibri" w:cs="Arial"/>
          <w:color w:val="0070C0"/>
          <w:sz w:val="22"/>
          <w:szCs w:val="22"/>
        </w:rPr>
        <w:t xml:space="preserve"> </w:t>
      </w:r>
      <w:r w:rsidR="00621A64" w:rsidRPr="00621A64">
        <w:rPr>
          <w:rFonts w:ascii="Calibri" w:eastAsia="Calibri" w:hAnsi="Calibri" w:cs="Arial"/>
          <w:color w:val="0070C0"/>
          <w:sz w:val="22"/>
          <w:szCs w:val="22"/>
        </w:rPr>
        <w:t xml:space="preserve">affect </w:t>
      </w:r>
      <w:r w:rsidRPr="00621A64">
        <w:rPr>
          <w:rFonts w:ascii="Calibri" w:eastAsia="Calibri" w:hAnsi="Calibri" w:cs="Arial"/>
          <w:color w:val="0070C0"/>
          <w:sz w:val="22"/>
          <w:szCs w:val="22"/>
        </w:rPr>
        <w:t xml:space="preserve">the substance of the dialogue between the Government and the SR. </w:t>
      </w:r>
    </w:p>
    <w:p w14:paraId="7C82FA08" w14:textId="77777777" w:rsidR="003744D5" w:rsidRPr="003744D5" w:rsidRDefault="003744D5" w:rsidP="003744D5">
      <w:pPr>
        <w:numPr>
          <w:ilvl w:val="0"/>
          <w:numId w:val="36"/>
        </w:numPr>
        <w:spacing w:after="160" w:line="276" w:lineRule="auto"/>
        <w:contextualSpacing/>
        <w:jc w:val="center"/>
        <w:rPr>
          <w:rFonts w:ascii="Calibri" w:eastAsia="Calibri" w:hAnsi="Calibri" w:cs="Arial"/>
          <w:b/>
          <w:bCs/>
          <w:color w:val="000000"/>
          <w:sz w:val="32"/>
          <w:szCs w:val="22"/>
        </w:rPr>
      </w:pPr>
      <w:r w:rsidRPr="003744D5">
        <w:rPr>
          <w:rFonts w:ascii="Calibri" w:eastAsia="Calibri" w:hAnsi="Calibri" w:cs="Arial"/>
          <w:b/>
          <w:bCs/>
          <w:color w:val="000000"/>
          <w:sz w:val="22"/>
          <w:szCs w:val="22"/>
        </w:rPr>
        <w:br w:type="column"/>
      </w:r>
      <w:r w:rsidRPr="003744D5">
        <w:rPr>
          <w:rFonts w:ascii="Calibri" w:eastAsia="Calibri" w:hAnsi="Calibri" w:cs="Arial"/>
          <w:b/>
          <w:bCs/>
          <w:color w:val="000000"/>
          <w:sz w:val="32"/>
          <w:szCs w:val="22"/>
        </w:rPr>
        <w:lastRenderedPageBreak/>
        <w:t>State recommendations / requests</w:t>
      </w:r>
    </w:p>
    <w:p w14:paraId="47BEF0E1" w14:textId="77777777" w:rsidR="003744D5" w:rsidRPr="003744D5" w:rsidRDefault="003744D5" w:rsidP="003744D5">
      <w:pPr>
        <w:spacing w:after="160" w:line="276" w:lineRule="auto"/>
        <w:jc w:val="center"/>
        <w:rPr>
          <w:rFonts w:ascii="Calibri" w:eastAsia="Calibri" w:hAnsi="Calibri" w:cs="Arial"/>
          <w:b/>
          <w:bCs/>
          <w:color w:val="000000"/>
          <w:sz w:val="24"/>
          <w:szCs w:val="22"/>
        </w:rPr>
      </w:pPr>
    </w:p>
    <w:p w14:paraId="032BB7D7" w14:textId="77777777" w:rsidR="003744D5" w:rsidRPr="003744D5" w:rsidRDefault="003744D5" w:rsidP="003744D5">
      <w:pPr>
        <w:pBdr>
          <w:top w:val="single" w:sz="4" w:space="1" w:color="auto"/>
          <w:left w:val="single" w:sz="4" w:space="4" w:color="auto"/>
          <w:bottom w:val="single" w:sz="4" w:space="1" w:color="auto"/>
          <w:right w:val="single" w:sz="4" w:space="4" w:color="auto"/>
        </w:pBdr>
        <w:spacing w:after="160" w:line="276" w:lineRule="auto"/>
        <w:jc w:val="both"/>
        <w:rPr>
          <w:rFonts w:ascii="Calibri" w:eastAsia="Calibri" w:hAnsi="Calibri" w:cs="Arial"/>
          <w:bCs/>
          <w:sz w:val="22"/>
          <w:szCs w:val="22"/>
        </w:rPr>
      </w:pPr>
      <w:r w:rsidRPr="003744D5">
        <w:rPr>
          <w:rFonts w:ascii="Calibri" w:eastAsia="Calibri" w:hAnsi="Calibri" w:cs="Arial"/>
          <w:b/>
          <w:bCs/>
          <w:sz w:val="22"/>
          <w:szCs w:val="22"/>
          <w:u w:val="single"/>
        </w:rPr>
        <w:t>Question</w:t>
      </w:r>
      <w:r w:rsidRPr="003744D5">
        <w:rPr>
          <w:rFonts w:ascii="Calibri" w:eastAsia="Calibri" w:hAnsi="Calibri" w:cs="Arial"/>
          <w:b/>
          <w:bCs/>
          <w:sz w:val="22"/>
          <w:szCs w:val="22"/>
        </w:rPr>
        <w:t xml:space="preserve">: </w:t>
      </w:r>
      <w:r w:rsidRPr="003744D5">
        <w:rPr>
          <w:rFonts w:ascii="Calibri" w:eastAsia="Calibri" w:hAnsi="Calibri" w:cs="Arial"/>
          <w:bCs/>
          <w:sz w:val="22"/>
          <w:szCs w:val="22"/>
        </w:rPr>
        <w:t xml:space="preserve">Please describe and explain any measures which should be taken, and by which authority, mechanism or institution, in order for your Government to achieve a “fully cooperative” interaction on official communications and visit requests transmitted by the Special Rapporteur, in line with resolution A/HRC/43/L.30 of 31 March 2020 and applicable norms of international law. </w:t>
      </w:r>
    </w:p>
    <w:p w14:paraId="3F386D40" w14:textId="77777777" w:rsidR="003744D5" w:rsidRPr="003744D5" w:rsidRDefault="003744D5" w:rsidP="003744D5">
      <w:pPr>
        <w:spacing w:after="160" w:line="276" w:lineRule="auto"/>
        <w:jc w:val="both"/>
        <w:rPr>
          <w:rFonts w:ascii="Calibri" w:eastAsia="Calibri" w:hAnsi="Calibri" w:cs="Arial"/>
          <w:sz w:val="22"/>
          <w:szCs w:val="22"/>
        </w:rPr>
      </w:pPr>
    </w:p>
    <w:p w14:paraId="72C4084A" w14:textId="77777777" w:rsidR="003744D5" w:rsidRDefault="003744D5" w:rsidP="003744D5">
      <w:pPr>
        <w:spacing w:after="160" w:line="276" w:lineRule="auto"/>
        <w:jc w:val="both"/>
        <w:rPr>
          <w:rFonts w:ascii="Calibri" w:eastAsia="Calibri" w:hAnsi="Calibri" w:cs="Arial"/>
          <w:b/>
          <w:sz w:val="22"/>
          <w:szCs w:val="22"/>
        </w:rPr>
      </w:pPr>
      <w:r w:rsidRPr="003744D5">
        <w:rPr>
          <w:rFonts w:ascii="Calibri" w:eastAsia="Calibri" w:hAnsi="Calibri" w:cs="Arial"/>
          <w:b/>
          <w:sz w:val="22"/>
          <w:szCs w:val="22"/>
          <w:u w:val="single"/>
        </w:rPr>
        <w:t>Response</w:t>
      </w:r>
      <w:r w:rsidRPr="003744D5">
        <w:rPr>
          <w:rFonts w:ascii="Calibri" w:eastAsia="Calibri" w:hAnsi="Calibri" w:cs="Arial"/>
          <w:b/>
          <w:sz w:val="22"/>
          <w:szCs w:val="22"/>
        </w:rPr>
        <w:t>:</w:t>
      </w:r>
    </w:p>
    <w:p w14:paraId="67022F43" w14:textId="5A1DEF40" w:rsidR="00964454" w:rsidRPr="00621A64" w:rsidRDefault="00964454" w:rsidP="008F3B1B">
      <w:pPr>
        <w:spacing w:after="160" w:line="276" w:lineRule="auto"/>
        <w:jc w:val="both"/>
        <w:rPr>
          <w:rFonts w:asciiTheme="minorHAnsi" w:eastAsia="Calibri" w:hAnsiTheme="minorHAnsi" w:cstheme="minorHAnsi"/>
          <w:color w:val="0070C0"/>
          <w:sz w:val="22"/>
          <w:szCs w:val="22"/>
        </w:rPr>
      </w:pPr>
      <w:r w:rsidRPr="00621A64">
        <w:rPr>
          <w:rFonts w:asciiTheme="minorHAnsi" w:eastAsia="Calibri" w:hAnsiTheme="minorHAnsi" w:cstheme="minorHAnsi"/>
          <w:color w:val="0070C0"/>
          <w:sz w:val="22"/>
          <w:szCs w:val="22"/>
        </w:rPr>
        <w:t xml:space="preserve">The experience we had so far in dealing with UA or AL, </w:t>
      </w:r>
      <w:r w:rsidR="008F3B1B" w:rsidRPr="00621A64">
        <w:rPr>
          <w:rFonts w:asciiTheme="minorHAnsi" w:eastAsia="Calibri" w:hAnsiTheme="minorHAnsi" w:cstheme="minorHAnsi"/>
          <w:color w:val="0070C0"/>
          <w:sz w:val="22"/>
          <w:szCs w:val="22"/>
        </w:rPr>
        <w:t>whether</w:t>
      </w:r>
      <w:r w:rsidRPr="00621A64">
        <w:rPr>
          <w:rFonts w:asciiTheme="minorHAnsi" w:eastAsia="Calibri" w:hAnsiTheme="minorHAnsi" w:cstheme="minorHAnsi"/>
          <w:color w:val="0070C0"/>
          <w:sz w:val="22"/>
          <w:szCs w:val="22"/>
        </w:rPr>
        <w:t xml:space="preserve"> they </w:t>
      </w:r>
      <w:r w:rsidR="008F3B1B" w:rsidRPr="00621A64">
        <w:rPr>
          <w:rFonts w:asciiTheme="minorHAnsi" w:eastAsia="Calibri" w:hAnsiTheme="minorHAnsi" w:cstheme="minorHAnsi"/>
          <w:color w:val="0070C0"/>
          <w:sz w:val="22"/>
          <w:szCs w:val="22"/>
        </w:rPr>
        <w:t xml:space="preserve">originate </w:t>
      </w:r>
      <w:r w:rsidRPr="00621A64">
        <w:rPr>
          <w:rFonts w:asciiTheme="minorHAnsi" w:eastAsia="Calibri" w:hAnsiTheme="minorHAnsi" w:cstheme="minorHAnsi"/>
          <w:color w:val="0070C0"/>
          <w:sz w:val="22"/>
          <w:szCs w:val="22"/>
        </w:rPr>
        <w:t xml:space="preserve">from a single special procedure or </w:t>
      </w:r>
      <w:r w:rsidR="008F3B1B" w:rsidRPr="00621A64">
        <w:rPr>
          <w:rFonts w:asciiTheme="minorHAnsi" w:eastAsia="Calibri" w:hAnsiTheme="minorHAnsi" w:cstheme="minorHAnsi"/>
          <w:color w:val="0070C0"/>
          <w:sz w:val="22"/>
          <w:szCs w:val="22"/>
        </w:rPr>
        <w:t xml:space="preserve">they are </w:t>
      </w:r>
      <w:r w:rsidRPr="00621A64">
        <w:rPr>
          <w:rFonts w:asciiTheme="minorHAnsi" w:eastAsia="Calibri" w:hAnsiTheme="minorHAnsi" w:cstheme="minorHAnsi"/>
          <w:color w:val="0070C0"/>
          <w:sz w:val="22"/>
          <w:szCs w:val="22"/>
        </w:rPr>
        <w:t>joint</w:t>
      </w:r>
      <w:r w:rsidR="008F3B1B" w:rsidRPr="00621A64">
        <w:rPr>
          <w:rFonts w:asciiTheme="minorHAnsi" w:eastAsia="Calibri" w:hAnsiTheme="minorHAnsi" w:cstheme="minorHAnsi"/>
          <w:color w:val="0070C0"/>
          <w:sz w:val="22"/>
          <w:szCs w:val="22"/>
        </w:rPr>
        <w:t xml:space="preserve"> demarches</w:t>
      </w:r>
      <w:r w:rsidRPr="00621A64">
        <w:rPr>
          <w:rFonts w:asciiTheme="minorHAnsi" w:eastAsia="Calibri" w:hAnsiTheme="minorHAnsi" w:cstheme="minorHAnsi"/>
          <w:color w:val="0070C0"/>
          <w:sz w:val="22"/>
          <w:szCs w:val="22"/>
        </w:rPr>
        <w:t xml:space="preserve">, showed that the domestic authorities are well equipped to respond and provide the necessary information to all the acts, facts and allegations </w:t>
      </w:r>
      <w:r w:rsidR="008F3B1B" w:rsidRPr="00621A64">
        <w:rPr>
          <w:rFonts w:asciiTheme="minorHAnsi" w:eastAsia="Calibri" w:hAnsiTheme="minorHAnsi" w:cstheme="minorHAnsi"/>
          <w:color w:val="0070C0"/>
          <w:sz w:val="22"/>
          <w:szCs w:val="22"/>
        </w:rPr>
        <w:t xml:space="preserve">included in the document. It would be useful if the letter or the appeal would contain clearer indications as to the deadline for reaction (including the issue of publication) and also, if it would separate the urgent aspects of the appeal from the aspects that may refer to other structural, systemic or specific issues, that are not less important, but to which a later reply from the Government could be requested.  </w:t>
      </w:r>
    </w:p>
    <w:p w14:paraId="476895D6" w14:textId="10B4A107" w:rsidR="008F3B1B" w:rsidRPr="00621A64" w:rsidRDefault="008F3B1B" w:rsidP="008F3B1B">
      <w:pPr>
        <w:spacing w:after="160" w:line="276" w:lineRule="auto"/>
        <w:jc w:val="both"/>
        <w:rPr>
          <w:rFonts w:asciiTheme="minorHAnsi" w:eastAsia="Calibri" w:hAnsiTheme="minorHAnsi" w:cstheme="minorHAnsi"/>
          <w:color w:val="0070C0"/>
          <w:sz w:val="22"/>
          <w:szCs w:val="22"/>
          <w:lang w:val="en-US"/>
        </w:rPr>
      </w:pPr>
      <w:r w:rsidRPr="00621A64">
        <w:rPr>
          <w:rFonts w:asciiTheme="minorHAnsi" w:eastAsia="Calibri" w:hAnsiTheme="minorHAnsi" w:cstheme="minorHAnsi"/>
          <w:color w:val="0070C0"/>
          <w:sz w:val="22"/>
          <w:szCs w:val="22"/>
          <w:lang w:val="en-US"/>
        </w:rPr>
        <w:t xml:space="preserve">Furthermore, we want to underline that </w:t>
      </w:r>
      <w:r w:rsidR="00621A64" w:rsidRPr="00621A64">
        <w:rPr>
          <w:rFonts w:asciiTheme="minorHAnsi" w:eastAsia="Calibri" w:hAnsiTheme="minorHAnsi" w:cstheme="minorHAnsi"/>
          <w:color w:val="0070C0"/>
          <w:sz w:val="22"/>
          <w:szCs w:val="22"/>
          <w:lang w:val="en-US"/>
        </w:rPr>
        <w:t xml:space="preserve">all the domestic authorities treat with utmost seriousness all the requests an recommendations issued by the international monitoring mechanisms; as an example of good practices (which are replicated within the system), </w:t>
      </w:r>
      <w:r w:rsidRPr="00621A64">
        <w:rPr>
          <w:rFonts w:asciiTheme="minorHAnsi" w:eastAsia="Calibri" w:hAnsiTheme="minorHAnsi" w:cstheme="minorHAnsi"/>
          <w:color w:val="0070C0"/>
          <w:sz w:val="22"/>
          <w:szCs w:val="22"/>
          <w:lang w:val="en-US"/>
        </w:rPr>
        <w:t xml:space="preserve">the recommendations issued by international institutions on the enforcement of measures and penalties deprived of liberty are analyzed by </w:t>
      </w:r>
      <w:r w:rsidR="00621A64" w:rsidRPr="00621A64">
        <w:rPr>
          <w:rFonts w:asciiTheme="minorHAnsi" w:eastAsia="Calibri" w:hAnsiTheme="minorHAnsi" w:cstheme="minorHAnsi"/>
          <w:color w:val="0070C0"/>
          <w:sz w:val="22"/>
          <w:szCs w:val="22"/>
          <w:lang w:val="en-US"/>
        </w:rPr>
        <w:t xml:space="preserve">the </w:t>
      </w:r>
      <w:r w:rsidRPr="00621A64">
        <w:rPr>
          <w:rFonts w:asciiTheme="minorHAnsi" w:eastAsia="Calibri" w:hAnsiTheme="minorHAnsi" w:cstheme="minorHAnsi"/>
          <w:color w:val="0070C0"/>
          <w:sz w:val="22"/>
          <w:szCs w:val="22"/>
          <w:lang w:val="en-US"/>
        </w:rPr>
        <w:t>prison system specialists and implemented by updating internal procedures, or projects are developed to amend and supplement the applicable legal framework.</w:t>
      </w:r>
    </w:p>
    <w:p w14:paraId="1993C51B" w14:textId="77777777" w:rsidR="008F3B1B" w:rsidRPr="00621A64" w:rsidRDefault="008F3B1B" w:rsidP="003744D5">
      <w:pPr>
        <w:spacing w:after="160" w:line="276" w:lineRule="auto"/>
        <w:jc w:val="both"/>
        <w:rPr>
          <w:rFonts w:ascii="Calibri" w:eastAsia="Calibri" w:hAnsi="Calibri" w:cs="Arial"/>
          <w:color w:val="0070C0"/>
          <w:sz w:val="22"/>
          <w:szCs w:val="22"/>
        </w:rPr>
      </w:pPr>
    </w:p>
    <w:p w14:paraId="5434FEED" w14:textId="77777777" w:rsidR="003744D5" w:rsidRPr="003744D5" w:rsidRDefault="003744D5" w:rsidP="003744D5">
      <w:pPr>
        <w:spacing w:after="160" w:line="276" w:lineRule="auto"/>
        <w:jc w:val="both"/>
        <w:rPr>
          <w:rFonts w:ascii="Calibri" w:eastAsia="Calibri" w:hAnsi="Calibri" w:cs="Arial"/>
          <w:b/>
          <w:bCs/>
          <w:sz w:val="22"/>
          <w:szCs w:val="22"/>
        </w:rPr>
      </w:pPr>
    </w:p>
    <w:p w14:paraId="1024BD7E" w14:textId="77777777" w:rsidR="003744D5" w:rsidRPr="003744D5" w:rsidRDefault="003744D5" w:rsidP="003744D5">
      <w:pPr>
        <w:spacing w:after="160" w:line="276" w:lineRule="auto"/>
        <w:rPr>
          <w:rFonts w:ascii="Calibri" w:eastAsia="Calibri" w:hAnsi="Calibri" w:cs="Arial"/>
          <w:sz w:val="22"/>
          <w:szCs w:val="22"/>
        </w:rPr>
      </w:pPr>
    </w:p>
    <w:p w14:paraId="6C8633C2" w14:textId="77777777" w:rsidR="000123A3" w:rsidRDefault="000123A3" w:rsidP="003744D5">
      <w:pPr>
        <w:spacing w:line="276" w:lineRule="auto"/>
        <w:jc w:val="center"/>
        <w:rPr>
          <w:noProof/>
          <w:sz w:val="24"/>
          <w:szCs w:val="24"/>
        </w:rPr>
      </w:pPr>
    </w:p>
    <w:sectPr w:rsidR="000123A3" w:rsidSect="00C772EF">
      <w:headerReference w:type="default" r:id="rId12"/>
      <w:footerReference w:type="default" r:id="rId13"/>
      <w:footerReference w:type="first" r:id="rId14"/>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3E13D" w16cid:durableId="22D6B6F2"/>
  <w16cid:commentId w16cid:paraId="7CC4C8A2" w16cid:durableId="22D6B794"/>
  <w16cid:commentId w16cid:paraId="2451E936" w16cid:durableId="22D6B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EDCB" w14:textId="77777777" w:rsidR="00C81150" w:rsidRDefault="00C81150">
      <w:r>
        <w:separator/>
      </w:r>
    </w:p>
  </w:endnote>
  <w:endnote w:type="continuationSeparator" w:id="0">
    <w:p w14:paraId="73BBAC47" w14:textId="77777777" w:rsidR="00C81150" w:rsidRDefault="00C8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D191" w14:textId="77777777" w:rsidR="003214AE" w:rsidRDefault="003214AE"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9D9B" w14:textId="77777777" w:rsidR="003214AE" w:rsidRDefault="003214AE" w:rsidP="00B73FD1">
    <w:pPr>
      <w:pStyle w:val="Footer"/>
    </w:pPr>
  </w:p>
  <w:p w14:paraId="52198C12" w14:textId="77777777" w:rsidR="003214AE" w:rsidRPr="002873B2" w:rsidRDefault="003214AE" w:rsidP="00B73FD1">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18303" w14:textId="77777777" w:rsidR="00C81150" w:rsidRDefault="00C81150">
      <w:r>
        <w:separator/>
      </w:r>
    </w:p>
  </w:footnote>
  <w:footnote w:type="continuationSeparator" w:id="0">
    <w:p w14:paraId="2779A879" w14:textId="77777777" w:rsidR="00C81150" w:rsidRDefault="00C8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850B" w14:textId="77777777" w:rsidR="003214AE" w:rsidRPr="00AD4CA9" w:rsidRDefault="003214AE"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EE8538B"/>
    <w:multiLevelType w:val="hybridMultilevel"/>
    <w:tmpl w:val="A61E6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F02589"/>
    <w:multiLevelType w:val="hybridMultilevel"/>
    <w:tmpl w:val="47028770"/>
    <w:lvl w:ilvl="0" w:tplc="1286E10C">
      <w:start w:val="3"/>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85096C"/>
    <w:multiLevelType w:val="hybridMultilevel"/>
    <w:tmpl w:val="F9EA0C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AF559D"/>
    <w:multiLevelType w:val="hybridMultilevel"/>
    <w:tmpl w:val="6A165116"/>
    <w:lvl w:ilvl="0" w:tplc="B360E0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BC7D73"/>
    <w:multiLevelType w:val="hybridMultilevel"/>
    <w:tmpl w:val="40521BCE"/>
    <w:lvl w:ilvl="0" w:tplc="9F58A0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4216B3"/>
    <w:multiLevelType w:val="hybridMultilevel"/>
    <w:tmpl w:val="F15E4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66045E"/>
    <w:multiLevelType w:val="hybridMultilevel"/>
    <w:tmpl w:val="C1F6B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E64D2"/>
    <w:multiLevelType w:val="hybridMultilevel"/>
    <w:tmpl w:val="36362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17B43"/>
    <w:multiLevelType w:val="hybridMultilevel"/>
    <w:tmpl w:val="444A5A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8816D5"/>
    <w:multiLevelType w:val="hybridMultilevel"/>
    <w:tmpl w:val="F276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nsid w:val="5D595A21"/>
    <w:multiLevelType w:val="hybridMultilevel"/>
    <w:tmpl w:val="A7A2775A"/>
    <w:lvl w:ilvl="0" w:tplc="0B749F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B54BD9"/>
    <w:multiLevelType w:val="hybridMultilevel"/>
    <w:tmpl w:val="C7CA445E"/>
    <w:lvl w:ilvl="0" w:tplc="27986C9C">
      <w:start w:val="1"/>
      <w:numFmt w:val="upperLetter"/>
      <w:lvlText w:val="%1."/>
      <w:lvlJc w:val="left"/>
      <w:pPr>
        <w:ind w:left="720" w:hanging="360"/>
      </w:pPr>
      <w:rPr>
        <w:rFonts w:hint="default"/>
        <w:sz w:val="24"/>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797DAC"/>
    <w:multiLevelType w:val="hybridMultilevel"/>
    <w:tmpl w:val="F9EA0C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3A564AD"/>
    <w:multiLevelType w:val="multilevel"/>
    <w:tmpl w:val="157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6"/>
  </w:num>
  <w:num w:numId="4">
    <w:abstractNumId w:val="9"/>
  </w:num>
  <w:num w:numId="5">
    <w:abstractNumId w:val="27"/>
  </w:num>
  <w:num w:numId="6">
    <w:abstractNumId w:val="16"/>
  </w:num>
  <w:num w:numId="7">
    <w:abstractNumId w:val="2"/>
  </w:num>
  <w:num w:numId="8">
    <w:abstractNumId w:val="18"/>
  </w:num>
  <w:num w:numId="9">
    <w:abstractNumId w:val="3"/>
  </w:num>
  <w:num w:numId="10">
    <w:abstractNumId w:val="1"/>
  </w:num>
  <w:num w:numId="11">
    <w:abstractNumId w:val="10"/>
  </w:num>
  <w:num w:numId="12">
    <w:abstractNumId w:val="33"/>
  </w:num>
  <w:num w:numId="13">
    <w:abstractNumId w:val="35"/>
  </w:num>
  <w:num w:numId="14">
    <w:abstractNumId w:val="23"/>
  </w:num>
  <w:num w:numId="15">
    <w:abstractNumId w:val="5"/>
  </w:num>
  <w:num w:numId="16">
    <w:abstractNumId w:val="0"/>
  </w:num>
  <w:num w:numId="17">
    <w:abstractNumId w:val="29"/>
  </w:num>
  <w:num w:numId="18">
    <w:abstractNumId w:val="6"/>
  </w:num>
  <w:num w:numId="19">
    <w:abstractNumId w:val="22"/>
  </w:num>
  <w:num w:numId="20">
    <w:abstractNumId w:val="4"/>
  </w:num>
  <w:num w:numId="21">
    <w:abstractNumId w:val="28"/>
  </w:num>
  <w:num w:numId="22">
    <w:abstractNumId w:val="25"/>
  </w:num>
  <w:num w:numId="23">
    <w:abstractNumId w:val="19"/>
  </w:num>
  <w:num w:numId="24">
    <w:abstractNumId w:val="34"/>
  </w:num>
  <w:num w:numId="25">
    <w:abstractNumId w:val="14"/>
  </w:num>
  <w:num w:numId="26">
    <w:abstractNumId w:val="7"/>
  </w:num>
  <w:num w:numId="27">
    <w:abstractNumId w:val="30"/>
  </w:num>
  <w:num w:numId="28">
    <w:abstractNumId w:val="32"/>
  </w:num>
  <w:num w:numId="29">
    <w:abstractNumId w:val="11"/>
  </w:num>
  <w:num w:numId="30">
    <w:abstractNumId w:val="20"/>
  </w:num>
  <w:num w:numId="31">
    <w:abstractNumId w:val="8"/>
  </w:num>
  <w:num w:numId="32">
    <w:abstractNumId w:val="13"/>
  </w:num>
  <w:num w:numId="33">
    <w:abstractNumId w:val="12"/>
  </w:num>
  <w:num w:numId="34">
    <w:abstractNumId w:val="31"/>
  </w:num>
  <w:num w:numId="35">
    <w:abstractNumId w:val="21"/>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23A3"/>
    <w:rsid w:val="000138F6"/>
    <w:rsid w:val="00020D95"/>
    <w:rsid w:val="000225FC"/>
    <w:rsid w:val="00026D1F"/>
    <w:rsid w:val="00034418"/>
    <w:rsid w:val="0003674D"/>
    <w:rsid w:val="000506FF"/>
    <w:rsid w:val="0005390B"/>
    <w:rsid w:val="00063BFD"/>
    <w:rsid w:val="00077294"/>
    <w:rsid w:val="000875C6"/>
    <w:rsid w:val="00091BF0"/>
    <w:rsid w:val="000A2B89"/>
    <w:rsid w:val="000A6F03"/>
    <w:rsid w:val="000B224A"/>
    <w:rsid w:val="000C3A89"/>
    <w:rsid w:val="000C7660"/>
    <w:rsid w:val="000D210E"/>
    <w:rsid w:val="000D34F2"/>
    <w:rsid w:val="000D5600"/>
    <w:rsid w:val="000E2860"/>
    <w:rsid w:val="000E42EE"/>
    <w:rsid w:val="000F183C"/>
    <w:rsid w:val="000F20BE"/>
    <w:rsid w:val="00103AE3"/>
    <w:rsid w:val="00106F64"/>
    <w:rsid w:val="00115798"/>
    <w:rsid w:val="00117F5F"/>
    <w:rsid w:val="001205D6"/>
    <w:rsid w:val="0013487C"/>
    <w:rsid w:val="001456CB"/>
    <w:rsid w:val="00150F5D"/>
    <w:rsid w:val="001516DD"/>
    <w:rsid w:val="001537CC"/>
    <w:rsid w:val="00153DB2"/>
    <w:rsid w:val="0015615C"/>
    <w:rsid w:val="001676BA"/>
    <w:rsid w:val="00183B60"/>
    <w:rsid w:val="00194332"/>
    <w:rsid w:val="001A2281"/>
    <w:rsid w:val="001A3D10"/>
    <w:rsid w:val="001B2693"/>
    <w:rsid w:val="001B59BB"/>
    <w:rsid w:val="001B7B09"/>
    <w:rsid w:val="001C4360"/>
    <w:rsid w:val="001D3313"/>
    <w:rsid w:val="001D763F"/>
    <w:rsid w:val="001E3384"/>
    <w:rsid w:val="002028A9"/>
    <w:rsid w:val="0021296A"/>
    <w:rsid w:val="002129D5"/>
    <w:rsid w:val="00215C19"/>
    <w:rsid w:val="00221893"/>
    <w:rsid w:val="00224386"/>
    <w:rsid w:val="00227E2F"/>
    <w:rsid w:val="00230775"/>
    <w:rsid w:val="00235A1A"/>
    <w:rsid w:val="002431DB"/>
    <w:rsid w:val="00244860"/>
    <w:rsid w:val="0024583B"/>
    <w:rsid w:val="0025174E"/>
    <w:rsid w:val="00257195"/>
    <w:rsid w:val="00266D70"/>
    <w:rsid w:val="00270418"/>
    <w:rsid w:val="00282E14"/>
    <w:rsid w:val="0028624E"/>
    <w:rsid w:val="002863A2"/>
    <w:rsid w:val="002873B2"/>
    <w:rsid w:val="00293243"/>
    <w:rsid w:val="002969BF"/>
    <w:rsid w:val="002A21C3"/>
    <w:rsid w:val="002A2F06"/>
    <w:rsid w:val="002B38CC"/>
    <w:rsid w:val="002B7819"/>
    <w:rsid w:val="002D2F84"/>
    <w:rsid w:val="002E65F4"/>
    <w:rsid w:val="00305B08"/>
    <w:rsid w:val="003214AE"/>
    <w:rsid w:val="00327EF9"/>
    <w:rsid w:val="00335FB9"/>
    <w:rsid w:val="00356299"/>
    <w:rsid w:val="003577DB"/>
    <w:rsid w:val="003632D8"/>
    <w:rsid w:val="003744D5"/>
    <w:rsid w:val="00380489"/>
    <w:rsid w:val="00382C40"/>
    <w:rsid w:val="00385B66"/>
    <w:rsid w:val="003956EF"/>
    <w:rsid w:val="00396E4C"/>
    <w:rsid w:val="003A3957"/>
    <w:rsid w:val="003B776F"/>
    <w:rsid w:val="003C37C3"/>
    <w:rsid w:val="003D0C10"/>
    <w:rsid w:val="003D34E2"/>
    <w:rsid w:val="003D3D66"/>
    <w:rsid w:val="003E3607"/>
    <w:rsid w:val="003E552B"/>
    <w:rsid w:val="00401FD2"/>
    <w:rsid w:val="00404A0D"/>
    <w:rsid w:val="00410560"/>
    <w:rsid w:val="00411C0A"/>
    <w:rsid w:val="004153DE"/>
    <w:rsid w:val="00415EFC"/>
    <w:rsid w:val="00431490"/>
    <w:rsid w:val="00440385"/>
    <w:rsid w:val="00440E30"/>
    <w:rsid w:val="00440ED0"/>
    <w:rsid w:val="0044387F"/>
    <w:rsid w:val="00443DF5"/>
    <w:rsid w:val="00447412"/>
    <w:rsid w:val="00455C6D"/>
    <w:rsid w:val="00456419"/>
    <w:rsid w:val="00460258"/>
    <w:rsid w:val="00461E0B"/>
    <w:rsid w:val="004831E7"/>
    <w:rsid w:val="00483FC0"/>
    <w:rsid w:val="00485464"/>
    <w:rsid w:val="00486362"/>
    <w:rsid w:val="004A5D9B"/>
    <w:rsid w:val="004B4CAC"/>
    <w:rsid w:val="004B709A"/>
    <w:rsid w:val="004C044F"/>
    <w:rsid w:val="004D21C9"/>
    <w:rsid w:val="004D3D30"/>
    <w:rsid w:val="004D5717"/>
    <w:rsid w:val="004D5D19"/>
    <w:rsid w:val="004E0AB6"/>
    <w:rsid w:val="004E49EC"/>
    <w:rsid w:val="004E4D86"/>
    <w:rsid w:val="004F4DB0"/>
    <w:rsid w:val="005140BC"/>
    <w:rsid w:val="005167F0"/>
    <w:rsid w:val="00520DCB"/>
    <w:rsid w:val="00523E81"/>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96CFB"/>
    <w:rsid w:val="005B284C"/>
    <w:rsid w:val="005B4015"/>
    <w:rsid w:val="005C0336"/>
    <w:rsid w:val="005C2811"/>
    <w:rsid w:val="005C677D"/>
    <w:rsid w:val="005D622D"/>
    <w:rsid w:val="005E6C94"/>
    <w:rsid w:val="005E7C37"/>
    <w:rsid w:val="005F283E"/>
    <w:rsid w:val="0060068B"/>
    <w:rsid w:val="0060785C"/>
    <w:rsid w:val="00621A64"/>
    <w:rsid w:val="00627A52"/>
    <w:rsid w:val="0063240F"/>
    <w:rsid w:val="00634C24"/>
    <w:rsid w:val="00635102"/>
    <w:rsid w:val="00636BD7"/>
    <w:rsid w:val="006375A5"/>
    <w:rsid w:val="006412EA"/>
    <w:rsid w:val="00645695"/>
    <w:rsid w:val="00650CD4"/>
    <w:rsid w:val="00651436"/>
    <w:rsid w:val="006605E5"/>
    <w:rsid w:val="00660EDA"/>
    <w:rsid w:val="006617A4"/>
    <w:rsid w:val="00667227"/>
    <w:rsid w:val="006749F6"/>
    <w:rsid w:val="00682D26"/>
    <w:rsid w:val="00682DDB"/>
    <w:rsid w:val="006834E4"/>
    <w:rsid w:val="00687E4F"/>
    <w:rsid w:val="00695D3E"/>
    <w:rsid w:val="006A7352"/>
    <w:rsid w:val="006B5A71"/>
    <w:rsid w:val="006D0083"/>
    <w:rsid w:val="006D5B97"/>
    <w:rsid w:val="006E6CC3"/>
    <w:rsid w:val="006F790C"/>
    <w:rsid w:val="007073C4"/>
    <w:rsid w:val="007114F8"/>
    <w:rsid w:val="00712363"/>
    <w:rsid w:val="00712EFD"/>
    <w:rsid w:val="00715E16"/>
    <w:rsid w:val="00716D30"/>
    <w:rsid w:val="007210F6"/>
    <w:rsid w:val="00723438"/>
    <w:rsid w:val="00733660"/>
    <w:rsid w:val="00741EBC"/>
    <w:rsid w:val="007432E5"/>
    <w:rsid w:val="007450E8"/>
    <w:rsid w:val="0075359B"/>
    <w:rsid w:val="00756037"/>
    <w:rsid w:val="007625BA"/>
    <w:rsid w:val="00776BDB"/>
    <w:rsid w:val="00777CE8"/>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205D"/>
    <w:rsid w:val="007F73A1"/>
    <w:rsid w:val="007F7DA3"/>
    <w:rsid w:val="0081788D"/>
    <w:rsid w:val="00827C8F"/>
    <w:rsid w:val="00842120"/>
    <w:rsid w:val="00842220"/>
    <w:rsid w:val="008427AA"/>
    <w:rsid w:val="00846B4A"/>
    <w:rsid w:val="008553DE"/>
    <w:rsid w:val="008568EA"/>
    <w:rsid w:val="008656FA"/>
    <w:rsid w:val="00874280"/>
    <w:rsid w:val="008774E3"/>
    <w:rsid w:val="008875A7"/>
    <w:rsid w:val="008A2623"/>
    <w:rsid w:val="008A2957"/>
    <w:rsid w:val="008B33E8"/>
    <w:rsid w:val="008B4DD7"/>
    <w:rsid w:val="008B4F3E"/>
    <w:rsid w:val="008B6B53"/>
    <w:rsid w:val="008C2924"/>
    <w:rsid w:val="008C6060"/>
    <w:rsid w:val="008C60C0"/>
    <w:rsid w:val="008D1A3C"/>
    <w:rsid w:val="008D3B8A"/>
    <w:rsid w:val="008E179D"/>
    <w:rsid w:val="008E46C1"/>
    <w:rsid w:val="008E69FF"/>
    <w:rsid w:val="008F3473"/>
    <w:rsid w:val="008F3B1B"/>
    <w:rsid w:val="009066BC"/>
    <w:rsid w:val="00906980"/>
    <w:rsid w:val="009240B2"/>
    <w:rsid w:val="00925A9D"/>
    <w:rsid w:val="009337F5"/>
    <w:rsid w:val="009358CD"/>
    <w:rsid w:val="009436A7"/>
    <w:rsid w:val="00944040"/>
    <w:rsid w:val="00944E25"/>
    <w:rsid w:val="00945265"/>
    <w:rsid w:val="009469B5"/>
    <w:rsid w:val="00946B6F"/>
    <w:rsid w:val="00951601"/>
    <w:rsid w:val="00964454"/>
    <w:rsid w:val="00977C96"/>
    <w:rsid w:val="00982FCF"/>
    <w:rsid w:val="00983FB8"/>
    <w:rsid w:val="009842D2"/>
    <w:rsid w:val="0098565E"/>
    <w:rsid w:val="00986237"/>
    <w:rsid w:val="00994CCA"/>
    <w:rsid w:val="00997618"/>
    <w:rsid w:val="009A2849"/>
    <w:rsid w:val="009A437A"/>
    <w:rsid w:val="009B459A"/>
    <w:rsid w:val="009D76A9"/>
    <w:rsid w:val="009E00AF"/>
    <w:rsid w:val="009F18EC"/>
    <w:rsid w:val="009F2043"/>
    <w:rsid w:val="00A01741"/>
    <w:rsid w:val="00A12F38"/>
    <w:rsid w:val="00A13A97"/>
    <w:rsid w:val="00A153DB"/>
    <w:rsid w:val="00A21EF1"/>
    <w:rsid w:val="00A34DA7"/>
    <w:rsid w:val="00A364CF"/>
    <w:rsid w:val="00A3761B"/>
    <w:rsid w:val="00A40490"/>
    <w:rsid w:val="00A439B9"/>
    <w:rsid w:val="00A54482"/>
    <w:rsid w:val="00A564C7"/>
    <w:rsid w:val="00A61E26"/>
    <w:rsid w:val="00A63977"/>
    <w:rsid w:val="00A86516"/>
    <w:rsid w:val="00A86B19"/>
    <w:rsid w:val="00A86E08"/>
    <w:rsid w:val="00A9048E"/>
    <w:rsid w:val="00A92159"/>
    <w:rsid w:val="00AA24D9"/>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7BE8"/>
    <w:rsid w:val="00B42B30"/>
    <w:rsid w:val="00B43D96"/>
    <w:rsid w:val="00B458F6"/>
    <w:rsid w:val="00B47738"/>
    <w:rsid w:val="00B54DD5"/>
    <w:rsid w:val="00B61545"/>
    <w:rsid w:val="00B73FA8"/>
    <w:rsid w:val="00B73FD1"/>
    <w:rsid w:val="00B7425B"/>
    <w:rsid w:val="00B84F46"/>
    <w:rsid w:val="00BD2C78"/>
    <w:rsid w:val="00BD39C9"/>
    <w:rsid w:val="00BD6119"/>
    <w:rsid w:val="00BF539E"/>
    <w:rsid w:val="00BF69D2"/>
    <w:rsid w:val="00C07B5F"/>
    <w:rsid w:val="00C12BED"/>
    <w:rsid w:val="00C13F30"/>
    <w:rsid w:val="00C162CD"/>
    <w:rsid w:val="00C17B65"/>
    <w:rsid w:val="00C234D8"/>
    <w:rsid w:val="00C23DDD"/>
    <w:rsid w:val="00C27AF2"/>
    <w:rsid w:val="00C31D9C"/>
    <w:rsid w:val="00C35851"/>
    <w:rsid w:val="00C50365"/>
    <w:rsid w:val="00C6141D"/>
    <w:rsid w:val="00C64254"/>
    <w:rsid w:val="00C707EA"/>
    <w:rsid w:val="00C73CD7"/>
    <w:rsid w:val="00C74811"/>
    <w:rsid w:val="00C772EF"/>
    <w:rsid w:val="00C81150"/>
    <w:rsid w:val="00C81A81"/>
    <w:rsid w:val="00C82CCE"/>
    <w:rsid w:val="00CA65D2"/>
    <w:rsid w:val="00CB1C6E"/>
    <w:rsid w:val="00CB49D0"/>
    <w:rsid w:val="00CC5BEF"/>
    <w:rsid w:val="00CD3302"/>
    <w:rsid w:val="00CE6A0E"/>
    <w:rsid w:val="00D00DDC"/>
    <w:rsid w:val="00D02F61"/>
    <w:rsid w:val="00D044FA"/>
    <w:rsid w:val="00D075E5"/>
    <w:rsid w:val="00D111AF"/>
    <w:rsid w:val="00D1125E"/>
    <w:rsid w:val="00D115F7"/>
    <w:rsid w:val="00D129FA"/>
    <w:rsid w:val="00D230B7"/>
    <w:rsid w:val="00D32E5B"/>
    <w:rsid w:val="00D3608E"/>
    <w:rsid w:val="00D36635"/>
    <w:rsid w:val="00D4007B"/>
    <w:rsid w:val="00D4635B"/>
    <w:rsid w:val="00D5082F"/>
    <w:rsid w:val="00D539BB"/>
    <w:rsid w:val="00D67524"/>
    <w:rsid w:val="00D67DD6"/>
    <w:rsid w:val="00D70178"/>
    <w:rsid w:val="00D82BE4"/>
    <w:rsid w:val="00D84C7E"/>
    <w:rsid w:val="00D963DD"/>
    <w:rsid w:val="00D968C8"/>
    <w:rsid w:val="00DA5FC2"/>
    <w:rsid w:val="00DA6872"/>
    <w:rsid w:val="00DB415F"/>
    <w:rsid w:val="00DB5055"/>
    <w:rsid w:val="00DB5616"/>
    <w:rsid w:val="00DC0CA6"/>
    <w:rsid w:val="00DC3BAB"/>
    <w:rsid w:val="00DC529B"/>
    <w:rsid w:val="00DD4909"/>
    <w:rsid w:val="00DE5C84"/>
    <w:rsid w:val="00E15347"/>
    <w:rsid w:val="00E22392"/>
    <w:rsid w:val="00E30296"/>
    <w:rsid w:val="00E4367D"/>
    <w:rsid w:val="00E5067E"/>
    <w:rsid w:val="00E56372"/>
    <w:rsid w:val="00E60057"/>
    <w:rsid w:val="00E612CC"/>
    <w:rsid w:val="00E664A6"/>
    <w:rsid w:val="00E679E8"/>
    <w:rsid w:val="00E73155"/>
    <w:rsid w:val="00E73F13"/>
    <w:rsid w:val="00E81768"/>
    <w:rsid w:val="00E8258F"/>
    <w:rsid w:val="00E84288"/>
    <w:rsid w:val="00E97A8F"/>
    <w:rsid w:val="00EA6B3E"/>
    <w:rsid w:val="00EB4CDE"/>
    <w:rsid w:val="00EC123F"/>
    <w:rsid w:val="00EC3E83"/>
    <w:rsid w:val="00ED6F1E"/>
    <w:rsid w:val="00EE0A7C"/>
    <w:rsid w:val="00EE5BA8"/>
    <w:rsid w:val="00EE6765"/>
    <w:rsid w:val="00EF0B0D"/>
    <w:rsid w:val="00F006B5"/>
    <w:rsid w:val="00F0710E"/>
    <w:rsid w:val="00F07C8F"/>
    <w:rsid w:val="00F130B3"/>
    <w:rsid w:val="00F14740"/>
    <w:rsid w:val="00F161EC"/>
    <w:rsid w:val="00F17811"/>
    <w:rsid w:val="00F208B1"/>
    <w:rsid w:val="00F44EA7"/>
    <w:rsid w:val="00F47B64"/>
    <w:rsid w:val="00F57066"/>
    <w:rsid w:val="00F611C6"/>
    <w:rsid w:val="00F62027"/>
    <w:rsid w:val="00F80A14"/>
    <w:rsid w:val="00F80D28"/>
    <w:rsid w:val="00F927D4"/>
    <w:rsid w:val="00FA61F7"/>
    <w:rsid w:val="00FA70EE"/>
    <w:rsid w:val="00FB1650"/>
    <w:rsid w:val="00FB32FB"/>
    <w:rsid w:val="00FB365F"/>
    <w:rsid w:val="00FB41B6"/>
    <w:rsid w:val="00FB51C4"/>
    <w:rsid w:val="00FB61D6"/>
    <w:rsid w:val="00FC0B84"/>
    <w:rsid w:val="00FC1DDB"/>
    <w:rsid w:val="00FD41D3"/>
    <w:rsid w:val="00FD5BAC"/>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0123A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012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0123A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01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4393-DDB2-47BB-A396-B449147A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75FB16A5-BD0C-49A5-8624-90B8F41E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2020-10-28T15:38:00Z</dcterms:created>
  <dcterms:modified xsi:type="dcterms:W3CDTF">2020-10-28T15:38:00Z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