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D9071" w14:textId="77777777" w:rsidR="00F062D0" w:rsidRDefault="00F062D0" w:rsidP="00F062D0">
      <w:pPr>
        <w:jc w:val="center"/>
      </w:pPr>
      <w:r>
        <w:t>Expert Group Meeting</w:t>
      </w:r>
    </w:p>
    <w:p w14:paraId="172AFB72" w14:textId="77777777" w:rsidR="00F062D0" w:rsidRDefault="00F062D0" w:rsidP="00F062D0">
      <w:pPr>
        <w:jc w:val="center"/>
      </w:pPr>
      <w:r>
        <w:t>UN Special Rapporteur on violence against women: Report on rape as a grave and systematic human rights violation and gender-based violence against women</w:t>
      </w:r>
    </w:p>
    <w:p w14:paraId="66FD0753" w14:textId="4AACFF88" w:rsidR="00F062D0" w:rsidRDefault="00F062D0" w:rsidP="00F062D0">
      <w:pPr>
        <w:jc w:val="center"/>
      </w:pPr>
      <w:r>
        <w:t>27 May 2020</w:t>
      </w:r>
    </w:p>
    <w:p w14:paraId="69D3E8CF" w14:textId="01973654" w:rsidR="00A15F26" w:rsidRPr="00A15F26" w:rsidRDefault="00A15F26" w:rsidP="00F062D0">
      <w:pPr>
        <w:jc w:val="center"/>
        <w:rPr>
          <w:b/>
          <w:bCs/>
        </w:rPr>
      </w:pPr>
    </w:p>
    <w:p w14:paraId="210BE1ED" w14:textId="4C7D00F5" w:rsidR="00A15F26" w:rsidRPr="00A15F26" w:rsidRDefault="00A15F26" w:rsidP="00F062D0">
      <w:pPr>
        <w:jc w:val="center"/>
        <w:rPr>
          <w:b/>
          <w:bCs/>
        </w:rPr>
      </w:pPr>
      <w:r>
        <w:rPr>
          <w:b/>
          <w:bCs/>
        </w:rPr>
        <w:t>Presentation</w:t>
      </w:r>
      <w:r w:rsidRPr="00A15F26">
        <w:rPr>
          <w:b/>
          <w:bCs/>
        </w:rPr>
        <w:t xml:space="preserve"> by Marceline Naudi, President of the Group of Experts on Action against Violence against Women and Domestic Violence (GREVIO)</w:t>
      </w:r>
    </w:p>
    <w:p w14:paraId="5281A85D" w14:textId="77777777" w:rsidR="00A15F26" w:rsidRDefault="00A15F26" w:rsidP="00F062D0"/>
    <w:p w14:paraId="140EDCDD" w14:textId="452C6092" w:rsidR="005D20C7" w:rsidRDefault="00F062D0" w:rsidP="00F062D0">
      <w:r>
        <w:t>I am here today speaking as the President of GREVIO, but before I start, allow me to speak as myself, Marceline Naudi…</w:t>
      </w:r>
    </w:p>
    <w:p w14:paraId="193BB85E" w14:textId="77777777" w:rsidR="007B5776" w:rsidRDefault="00F062D0" w:rsidP="00F062D0">
      <w:r>
        <w:t>Social Change</w:t>
      </w:r>
      <w:r w:rsidR="007B5776">
        <w:t xml:space="preserve"> is needed as Yasmeen Hassan said</w:t>
      </w:r>
      <w:r>
        <w:t xml:space="preserve">! </w:t>
      </w:r>
    </w:p>
    <w:p w14:paraId="231CBCD3" w14:textId="77777777" w:rsidR="00F062D0" w:rsidRDefault="00F062D0" w:rsidP="00F062D0">
      <w:r>
        <w:t xml:space="preserve">As long as women are perceived/seen/considered as property – submissive, objectified, dismissed, then…  </w:t>
      </w:r>
    </w:p>
    <w:p w14:paraId="2084B9DB" w14:textId="77777777" w:rsidR="007B5776" w:rsidRDefault="007B5776" w:rsidP="00F062D0">
      <w:r>
        <w:t>We can have a model law… But if rapes are not reported, if they’re not prosecuted, if perpetrators are found ‘not guilty’ – leading to impunity plus normalisation of rape… then…</w:t>
      </w:r>
      <w:r w:rsidR="00DD6741">
        <w:t xml:space="preserve"> where will that get us</w:t>
      </w:r>
      <w:r>
        <w:t>?</w:t>
      </w:r>
    </w:p>
    <w:p w14:paraId="1EDAB9D0" w14:textId="77777777" w:rsidR="007B5776" w:rsidRDefault="007B5776" w:rsidP="00F062D0">
      <w:r>
        <w:t>BUT as Christine Chinkin said, Laws can change mindsets…</w:t>
      </w:r>
    </w:p>
    <w:p w14:paraId="48171D54" w14:textId="77777777" w:rsidR="007B5776" w:rsidRDefault="007B5776" w:rsidP="00F062D0">
      <w:r>
        <w:t>So</w:t>
      </w:r>
      <w:r w:rsidR="00DD6741">
        <w:t>, with this firmly in mind</w:t>
      </w:r>
      <w:r>
        <w:t>…</w:t>
      </w:r>
    </w:p>
    <w:p w14:paraId="39CD0545" w14:textId="77777777" w:rsidR="007B5776" w:rsidRDefault="007B5776" w:rsidP="007B5776">
      <w:pPr>
        <w:jc w:val="center"/>
      </w:pPr>
      <w:r>
        <w:t>What GREVIO Found</w:t>
      </w:r>
    </w:p>
    <w:p w14:paraId="094FF52C" w14:textId="77777777" w:rsidR="007B5776" w:rsidRDefault="007B5776" w:rsidP="007B5776">
      <w:r>
        <w:t>First of all</w:t>
      </w:r>
      <w:r w:rsidR="005C16B8">
        <w:t>,</w:t>
      </w:r>
      <w:r>
        <w:t xml:space="preserve"> I need to emphasise that the Istanbul Convention which the GREVIO monitors, is a legally binding convention</w:t>
      </w:r>
      <w:r w:rsidR="00DD6741">
        <w:t>, meaning that</w:t>
      </w:r>
      <w:r>
        <w:t xml:space="preserve"> states that have ratified are legally obliged to implement it.</w:t>
      </w:r>
    </w:p>
    <w:p w14:paraId="5B7D48F0" w14:textId="6A6B4BD2" w:rsidR="005C16B8" w:rsidRDefault="007B5776" w:rsidP="007B5776">
      <w:r>
        <w:t xml:space="preserve">GREVIO has completed the monitoring of 13 </w:t>
      </w:r>
      <w:r w:rsidR="00652389">
        <w:t xml:space="preserve">State Parties </w:t>
      </w:r>
      <w:r>
        <w:t xml:space="preserve">so far and we published a report of our activities in March </w:t>
      </w:r>
      <w:r w:rsidR="005C16B8">
        <w:t>– and we have another few</w:t>
      </w:r>
      <w:r w:rsidR="00DD6741">
        <w:t xml:space="preserve"> countries in process of being monitored, the reports of which will hopefully by published within the next few months.</w:t>
      </w:r>
    </w:p>
    <w:p w14:paraId="7064029D" w14:textId="0B894025" w:rsidR="005C16B8" w:rsidRPr="005C16B8" w:rsidRDefault="007B5776" w:rsidP="005C16B8">
      <w:r>
        <w:t xml:space="preserve"> </w:t>
      </w:r>
      <w:r w:rsidR="005C16B8">
        <w:t>I</w:t>
      </w:r>
      <w:r w:rsidR="00DD6741">
        <w:t xml:space="preserve"> will </w:t>
      </w:r>
      <w:r w:rsidR="005C16B8">
        <w:t xml:space="preserve">start with the </w:t>
      </w:r>
      <w:r w:rsidR="00DD6741">
        <w:t xml:space="preserve">most </w:t>
      </w:r>
      <w:r w:rsidR="005C16B8">
        <w:t>relevant article of the Convention</w:t>
      </w:r>
      <w:r w:rsidR="000D07AE">
        <w:t>,</w:t>
      </w:r>
      <w:r w:rsidR="005C16B8">
        <w:t xml:space="preserve"> Article 36</w:t>
      </w:r>
      <w:r w:rsidR="000D07AE">
        <w:t>,</w:t>
      </w:r>
      <w:r w:rsidR="005C16B8">
        <w:t xml:space="preserve">  which requires </w:t>
      </w:r>
      <w:r w:rsidR="005C16B8" w:rsidRPr="005C16B8">
        <w:t>Parties to criminalise all forms of non-consensual sexual acts</w:t>
      </w:r>
      <w:r w:rsidR="005C16B8">
        <w:t>,</w:t>
      </w:r>
      <w:r w:rsidR="005C16B8" w:rsidRPr="005C16B8">
        <w:t xml:space="preserve"> including rape</w:t>
      </w:r>
      <w:r w:rsidR="00DD6741">
        <w:t>.  The central element of the C</w:t>
      </w:r>
      <w:r w:rsidR="005C16B8" w:rsidRPr="005C16B8">
        <w:t>onvention’s definition of sexual violence is the lack of consent given voluntarily by the victim.</w:t>
      </w:r>
      <w:r w:rsidR="005C16B8">
        <w:t xml:space="preserve"> </w:t>
      </w:r>
      <w:r w:rsidR="005C16B8" w:rsidRPr="005C16B8">
        <w:t xml:space="preserve"> This definition </w:t>
      </w:r>
      <w:r w:rsidR="00DD6741">
        <w:t xml:space="preserve">certainly </w:t>
      </w:r>
      <w:r w:rsidR="005C16B8" w:rsidRPr="005C16B8">
        <w:t xml:space="preserve">does not emphasise the offender’s use of force or threat.  It also does not require proof of the victim’s physical or verbal resistance.  </w:t>
      </w:r>
    </w:p>
    <w:p w14:paraId="47C542A9" w14:textId="77777777" w:rsidR="007B5776" w:rsidRDefault="005C16B8" w:rsidP="005C16B8">
      <w:r w:rsidRPr="005C16B8">
        <w:t>The Istanbul Convention’s emphasis on “consent” is enriched in its Art. 36 (2) which requires that the prosecution of sexual offences shall be based on a context-sensitive assessment of the evidence in order to establish on a case-by-case basis whether or not the victim has freely consented to the sexual act.</w:t>
      </w:r>
    </w:p>
    <w:p w14:paraId="759B3086" w14:textId="77777777" w:rsidR="005C16B8" w:rsidRDefault="005C16B8" w:rsidP="005C16B8">
      <w:r w:rsidRPr="005C16B8">
        <w:t>Article 36(1) describes the types of non-consensual sexual acts that State Parties must criminalise:</w:t>
      </w:r>
    </w:p>
    <w:p w14:paraId="5DA16A6E" w14:textId="77777777" w:rsidR="00F560BB" w:rsidRPr="005C16B8" w:rsidRDefault="00483AB3" w:rsidP="005C16B8">
      <w:pPr>
        <w:numPr>
          <w:ilvl w:val="0"/>
          <w:numId w:val="1"/>
        </w:numPr>
      </w:pPr>
      <w:r w:rsidRPr="005C16B8">
        <w:rPr>
          <w:lang w:val="en-GB"/>
        </w:rPr>
        <w:t xml:space="preserve">It covers </w:t>
      </w:r>
      <w:r w:rsidRPr="005C16B8">
        <w:rPr>
          <w:bCs/>
          <w:lang w:val="en-GB"/>
        </w:rPr>
        <w:t>non-consensual vaginal, anal or oral penetrative</w:t>
      </w:r>
      <w:r w:rsidRPr="005C16B8">
        <w:rPr>
          <w:lang w:val="en-GB"/>
        </w:rPr>
        <w:t xml:space="preserve"> sexual acts with any </w:t>
      </w:r>
      <w:r w:rsidRPr="005C16B8">
        <w:rPr>
          <w:bCs/>
          <w:lang w:val="en-GB"/>
        </w:rPr>
        <w:t>bodily part or object</w:t>
      </w:r>
      <w:r w:rsidRPr="005C16B8">
        <w:rPr>
          <w:lang w:val="en-GB"/>
        </w:rPr>
        <w:t xml:space="preserve"> (Article 36(1a)). </w:t>
      </w:r>
    </w:p>
    <w:p w14:paraId="147CF194" w14:textId="77777777" w:rsidR="00F560BB" w:rsidRPr="005C16B8" w:rsidRDefault="00483AB3" w:rsidP="005C16B8">
      <w:pPr>
        <w:numPr>
          <w:ilvl w:val="0"/>
          <w:numId w:val="1"/>
        </w:numPr>
      </w:pPr>
      <w:r w:rsidRPr="005C16B8">
        <w:rPr>
          <w:lang w:val="en-GB"/>
        </w:rPr>
        <w:lastRenderedPageBreak/>
        <w:t xml:space="preserve">It also includes </w:t>
      </w:r>
      <w:r w:rsidRPr="005C16B8">
        <w:rPr>
          <w:bCs/>
          <w:lang w:val="en-GB"/>
        </w:rPr>
        <w:t>non-consensual non-penetrative sexual acts</w:t>
      </w:r>
      <w:r w:rsidRPr="005C16B8">
        <w:rPr>
          <w:lang w:val="en-GB"/>
        </w:rPr>
        <w:t xml:space="preserve"> </w:t>
      </w:r>
      <w:r w:rsidRPr="005C16B8">
        <w:rPr>
          <w:bCs/>
          <w:u w:val="single"/>
          <w:lang w:val="en-GB"/>
        </w:rPr>
        <w:t>(</w:t>
      </w:r>
      <w:r w:rsidRPr="005C16B8">
        <w:rPr>
          <w:lang w:val="en-GB"/>
        </w:rPr>
        <w:t xml:space="preserve">Article 36(1b)). </w:t>
      </w:r>
    </w:p>
    <w:p w14:paraId="184C78A9" w14:textId="77777777" w:rsidR="00F560BB" w:rsidRPr="005C16B8" w:rsidRDefault="00483AB3" w:rsidP="005C16B8">
      <w:pPr>
        <w:numPr>
          <w:ilvl w:val="0"/>
          <w:numId w:val="1"/>
        </w:numPr>
      </w:pPr>
      <w:r w:rsidRPr="005C16B8">
        <w:rPr>
          <w:lang w:val="en-GB"/>
        </w:rPr>
        <w:t>Moreover, it also covers the criminalisation of intentional conducts “</w:t>
      </w:r>
      <w:r w:rsidRPr="005C16B8">
        <w:rPr>
          <w:bCs/>
          <w:lang w:val="en-GB"/>
        </w:rPr>
        <w:t>causing another person to engage in non-consensual acts of a sexual nature with a third person”</w:t>
      </w:r>
      <w:r w:rsidRPr="005C16B8">
        <w:rPr>
          <w:lang w:val="en-GB"/>
        </w:rPr>
        <w:t xml:space="preserve"> (Article 36(1c)). </w:t>
      </w:r>
    </w:p>
    <w:p w14:paraId="48BDA038" w14:textId="77777777" w:rsidR="005C16B8" w:rsidRDefault="005C16B8" w:rsidP="005C16B8">
      <w:r>
        <w:t>This table shows the State Parties that have modified their legislation on sexual offences to get closer to what the Convention requires, and those that have not.</w:t>
      </w:r>
    </w:p>
    <w:p w14:paraId="2DB8605B" w14:textId="77777777" w:rsidR="005C16B8" w:rsidRPr="005C16B8" w:rsidRDefault="005C16B8" w:rsidP="005C16B8"/>
    <w:tbl>
      <w:tblPr>
        <w:tblStyle w:val="TableGrid"/>
        <w:tblW w:w="0" w:type="auto"/>
        <w:tblLook w:val="04A0" w:firstRow="1" w:lastRow="0" w:firstColumn="1" w:lastColumn="0" w:noHBand="0" w:noVBand="1"/>
      </w:tblPr>
      <w:tblGrid>
        <w:gridCol w:w="4675"/>
        <w:gridCol w:w="4675"/>
      </w:tblGrid>
      <w:tr w:rsidR="005C16B8" w:rsidRPr="005C16B8" w14:paraId="78BDE065" w14:textId="77777777" w:rsidTr="00EE6E79">
        <w:tc>
          <w:tcPr>
            <w:tcW w:w="4675" w:type="dxa"/>
            <w:tcBorders>
              <w:top w:val="single" w:sz="4" w:space="0" w:color="auto"/>
              <w:left w:val="single" w:sz="4" w:space="0" w:color="auto"/>
              <w:bottom w:val="single" w:sz="4" w:space="0" w:color="auto"/>
              <w:right w:val="single" w:sz="4" w:space="0" w:color="auto"/>
            </w:tcBorders>
            <w:hideMark/>
          </w:tcPr>
          <w:p w14:paraId="15555F00" w14:textId="77777777" w:rsidR="005C16B8" w:rsidRPr="005C16B8" w:rsidRDefault="005C16B8" w:rsidP="005C16B8">
            <w:pPr>
              <w:rPr>
                <w:lang w:val="en-GB"/>
              </w:rPr>
            </w:pPr>
            <w:r w:rsidRPr="005C16B8">
              <w:rPr>
                <w:lang w:val="en-GB"/>
              </w:rPr>
              <w:t xml:space="preserve">State Parties that have modified their </w:t>
            </w:r>
            <w:r w:rsidR="00652389">
              <w:rPr>
                <w:lang w:val="en-GB"/>
              </w:rPr>
              <w:t xml:space="preserve">criminal </w:t>
            </w:r>
            <w:r w:rsidRPr="005C16B8">
              <w:rPr>
                <w:lang w:val="en-GB"/>
              </w:rPr>
              <w:t>legislation on sexual offences</w:t>
            </w:r>
            <w:r w:rsidR="00652389">
              <w:rPr>
                <w:lang w:val="en-GB"/>
              </w:rPr>
              <w:t xml:space="preserve"> in an attempt</w:t>
            </w:r>
            <w:r w:rsidRPr="005C16B8">
              <w:rPr>
                <w:lang w:val="en-GB"/>
              </w:rPr>
              <w:t xml:space="preserve"> to </w:t>
            </w:r>
            <w:r w:rsidRPr="005C16B8">
              <w:rPr>
                <w:b/>
                <w:lang w:val="en-GB"/>
              </w:rPr>
              <w:t>criminalise all non-consensual sexual acts</w:t>
            </w:r>
          </w:p>
        </w:tc>
        <w:tc>
          <w:tcPr>
            <w:tcW w:w="4675" w:type="dxa"/>
            <w:tcBorders>
              <w:top w:val="single" w:sz="4" w:space="0" w:color="auto"/>
              <w:left w:val="single" w:sz="4" w:space="0" w:color="auto"/>
              <w:bottom w:val="single" w:sz="4" w:space="0" w:color="auto"/>
              <w:right w:val="single" w:sz="4" w:space="0" w:color="auto"/>
            </w:tcBorders>
            <w:hideMark/>
          </w:tcPr>
          <w:p w14:paraId="072A319C" w14:textId="77777777" w:rsidR="005C16B8" w:rsidRPr="005C16B8" w:rsidRDefault="005C16B8" w:rsidP="005C16B8">
            <w:pPr>
              <w:rPr>
                <w:lang w:val="en-GB"/>
              </w:rPr>
            </w:pPr>
            <w:r w:rsidRPr="005C16B8">
              <w:rPr>
                <w:lang w:val="en-GB"/>
              </w:rPr>
              <w:t xml:space="preserve">State Parties that did not modify their </w:t>
            </w:r>
            <w:r w:rsidR="00652389">
              <w:rPr>
                <w:lang w:val="en-GB"/>
              </w:rPr>
              <w:t xml:space="preserve">criminal </w:t>
            </w:r>
            <w:r w:rsidRPr="005C16B8">
              <w:rPr>
                <w:lang w:val="en-GB"/>
              </w:rPr>
              <w:t xml:space="preserve">legislation on sexual offences to </w:t>
            </w:r>
            <w:r w:rsidRPr="005C16B8">
              <w:rPr>
                <w:b/>
                <w:lang w:val="en-GB"/>
              </w:rPr>
              <w:t>criminalise all non-consensual sexual acts</w:t>
            </w:r>
          </w:p>
        </w:tc>
      </w:tr>
      <w:tr w:rsidR="005C16B8" w:rsidRPr="005C16B8" w14:paraId="431F2F51" w14:textId="77777777" w:rsidTr="00EE6E79">
        <w:tc>
          <w:tcPr>
            <w:tcW w:w="4675" w:type="dxa"/>
            <w:tcBorders>
              <w:top w:val="single" w:sz="4" w:space="0" w:color="auto"/>
              <w:left w:val="single" w:sz="4" w:space="0" w:color="auto"/>
              <w:bottom w:val="single" w:sz="4" w:space="0" w:color="auto"/>
              <w:right w:val="single" w:sz="4" w:space="0" w:color="auto"/>
            </w:tcBorders>
            <w:hideMark/>
          </w:tcPr>
          <w:p w14:paraId="275681C6" w14:textId="77777777" w:rsidR="005C16B8" w:rsidRPr="005C16B8" w:rsidRDefault="005C16B8" w:rsidP="005C16B8">
            <w:pPr>
              <w:rPr>
                <w:lang w:val="en-GB"/>
              </w:rPr>
            </w:pPr>
            <w:r w:rsidRPr="005C16B8">
              <w:rPr>
                <w:lang w:val="en-GB"/>
              </w:rPr>
              <w:t>Austria</w:t>
            </w:r>
            <w:r w:rsidR="00652389">
              <w:rPr>
                <w:rStyle w:val="FootnoteReference"/>
                <w:rFonts w:cs="Calibri"/>
                <w:color w:val="000000"/>
                <w:lang w:val="en-GB"/>
              </w:rPr>
              <w:footnoteReference w:id="1"/>
            </w:r>
          </w:p>
        </w:tc>
        <w:tc>
          <w:tcPr>
            <w:tcW w:w="4675" w:type="dxa"/>
            <w:tcBorders>
              <w:top w:val="single" w:sz="4" w:space="0" w:color="auto"/>
              <w:left w:val="single" w:sz="4" w:space="0" w:color="auto"/>
              <w:bottom w:val="single" w:sz="4" w:space="0" w:color="auto"/>
              <w:right w:val="single" w:sz="4" w:space="0" w:color="auto"/>
            </w:tcBorders>
            <w:hideMark/>
          </w:tcPr>
          <w:p w14:paraId="3CBD3ECE" w14:textId="77777777" w:rsidR="005C16B8" w:rsidRPr="005C16B8" w:rsidRDefault="005C16B8" w:rsidP="005C16B8">
            <w:pPr>
              <w:rPr>
                <w:lang w:val="en-GB"/>
              </w:rPr>
            </w:pPr>
            <w:r w:rsidRPr="005C16B8">
              <w:rPr>
                <w:lang w:val="en-GB"/>
              </w:rPr>
              <w:t>Albania</w:t>
            </w:r>
          </w:p>
        </w:tc>
      </w:tr>
      <w:tr w:rsidR="005C16B8" w:rsidRPr="005C16B8" w14:paraId="2F3B636A" w14:textId="77777777" w:rsidTr="00EE6E79">
        <w:tc>
          <w:tcPr>
            <w:tcW w:w="4675" w:type="dxa"/>
            <w:tcBorders>
              <w:top w:val="single" w:sz="4" w:space="0" w:color="auto"/>
              <w:left w:val="single" w:sz="4" w:space="0" w:color="auto"/>
              <w:bottom w:val="single" w:sz="4" w:space="0" w:color="auto"/>
              <w:right w:val="single" w:sz="4" w:space="0" w:color="auto"/>
            </w:tcBorders>
            <w:hideMark/>
          </w:tcPr>
          <w:p w14:paraId="1E66FF09" w14:textId="77777777" w:rsidR="005C16B8" w:rsidRPr="005C16B8" w:rsidRDefault="005C16B8" w:rsidP="005C16B8">
            <w:pPr>
              <w:rPr>
                <w:lang w:val="en-GB"/>
              </w:rPr>
            </w:pPr>
            <w:r w:rsidRPr="005C16B8">
              <w:rPr>
                <w:lang w:val="en-GB"/>
              </w:rPr>
              <w:t>Montenegro</w:t>
            </w:r>
          </w:p>
        </w:tc>
        <w:tc>
          <w:tcPr>
            <w:tcW w:w="4675" w:type="dxa"/>
            <w:tcBorders>
              <w:top w:val="single" w:sz="4" w:space="0" w:color="auto"/>
              <w:left w:val="single" w:sz="4" w:space="0" w:color="auto"/>
              <w:bottom w:val="single" w:sz="4" w:space="0" w:color="auto"/>
              <w:right w:val="single" w:sz="4" w:space="0" w:color="auto"/>
            </w:tcBorders>
            <w:hideMark/>
          </w:tcPr>
          <w:p w14:paraId="7052B01E" w14:textId="77777777" w:rsidR="005C16B8" w:rsidRPr="005C16B8" w:rsidRDefault="005C16B8" w:rsidP="005C16B8">
            <w:pPr>
              <w:rPr>
                <w:lang w:val="en-GB"/>
              </w:rPr>
            </w:pPr>
            <w:r w:rsidRPr="005C16B8">
              <w:rPr>
                <w:lang w:val="en-GB"/>
              </w:rPr>
              <w:t>Denmark</w:t>
            </w:r>
          </w:p>
        </w:tc>
      </w:tr>
      <w:tr w:rsidR="005C16B8" w:rsidRPr="005C16B8" w14:paraId="6756415D" w14:textId="77777777" w:rsidTr="00EE6E79">
        <w:tc>
          <w:tcPr>
            <w:tcW w:w="4675" w:type="dxa"/>
            <w:tcBorders>
              <w:top w:val="single" w:sz="4" w:space="0" w:color="auto"/>
              <w:left w:val="single" w:sz="4" w:space="0" w:color="auto"/>
              <w:bottom w:val="single" w:sz="4" w:space="0" w:color="auto"/>
              <w:right w:val="single" w:sz="4" w:space="0" w:color="auto"/>
            </w:tcBorders>
            <w:hideMark/>
          </w:tcPr>
          <w:p w14:paraId="14619E5F" w14:textId="77777777" w:rsidR="005C16B8" w:rsidRPr="005C16B8" w:rsidRDefault="005C16B8" w:rsidP="005C16B8">
            <w:pPr>
              <w:rPr>
                <w:lang w:val="en-GB"/>
              </w:rPr>
            </w:pPr>
            <w:r w:rsidRPr="005C16B8">
              <w:rPr>
                <w:lang w:val="en-GB"/>
              </w:rPr>
              <w:t>Portugal</w:t>
            </w:r>
            <w:r w:rsidR="00652389">
              <w:rPr>
                <w:rStyle w:val="FootnoteReference"/>
                <w:rFonts w:cs="Calibri"/>
                <w:color w:val="000000"/>
                <w:lang w:val="en-GB"/>
              </w:rPr>
              <w:footnoteReference w:id="2"/>
            </w:r>
          </w:p>
        </w:tc>
        <w:tc>
          <w:tcPr>
            <w:tcW w:w="4675" w:type="dxa"/>
            <w:tcBorders>
              <w:top w:val="single" w:sz="4" w:space="0" w:color="auto"/>
              <w:left w:val="single" w:sz="4" w:space="0" w:color="auto"/>
              <w:bottom w:val="single" w:sz="4" w:space="0" w:color="auto"/>
              <w:right w:val="single" w:sz="4" w:space="0" w:color="auto"/>
            </w:tcBorders>
            <w:hideMark/>
          </w:tcPr>
          <w:p w14:paraId="00055338" w14:textId="77777777" w:rsidR="005C16B8" w:rsidRPr="005C16B8" w:rsidRDefault="005C16B8" w:rsidP="005C16B8">
            <w:pPr>
              <w:rPr>
                <w:lang w:val="en-GB"/>
              </w:rPr>
            </w:pPr>
            <w:r w:rsidRPr="005C16B8">
              <w:rPr>
                <w:lang w:val="en-GB"/>
              </w:rPr>
              <w:t>Finland</w:t>
            </w:r>
          </w:p>
        </w:tc>
      </w:tr>
      <w:tr w:rsidR="005C16B8" w:rsidRPr="005C16B8" w14:paraId="4D3CF4AC" w14:textId="77777777" w:rsidTr="00EE6E79">
        <w:tc>
          <w:tcPr>
            <w:tcW w:w="4675" w:type="dxa"/>
            <w:tcBorders>
              <w:top w:val="single" w:sz="4" w:space="0" w:color="auto"/>
              <w:left w:val="single" w:sz="4" w:space="0" w:color="auto"/>
              <w:bottom w:val="single" w:sz="4" w:space="0" w:color="auto"/>
              <w:right w:val="single" w:sz="4" w:space="0" w:color="auto"/>
            </w:tcBorders>
            <w:hideMark/>
          </w:tcPr>
          <w:p w14:paraId="73168B90" w14:textId="77777777" w:rsidR="005C16B8" w:rsidRPr="005C16B8" w:rsidRDefault="005C16B8" w:rsidP="005C16B8">
            <w:pPr>
              <w:rPr>
                <w:lang w:val="en-GB"/>
              </w:rPr>
            </w:pPr>
            <w:r w:rsidRPr="005C16B8">
              <w:rPr>
                <w:lang w:val="en-GB"/>
              </w:rPr>
              <w:t>Sweden</w:t>
            </w:r>
          </w:p>
        </w:tc>
        <w:tc>
          <w:tcPr>
            <w:tcW w:w="4675" w:type="dxa"/>
            <w:tcBorders>
              <w:top w:val="single" w:sz="4" w:space="0" w:color="auto"/>
              <w:left w:val="single" w:sz="4" w:space="0" w:color="auto"/>
              <w:bottom w:val="single" w:sz="4" w:space="0" w:color="auto"/>
              <w:right w:val="single" w:sz="4" w:space="0" w:color="auto"/>
            </w:tcBorders>
            <w:hideMark/>
          </w:tcPr>
          <w:p w14:paraId="42F507E7" w14:textId="77777777" w:rsidR="005C16B8" w:rsidRPr="005C16B8" w:rsidRDefault="005C16B8" w:rsidP="005C16B8">
            <w:pPr>
              <w:rPr>
                <w:lang w:val="en-GB"/>
              </w:rPr>
            </w:pPr>
            <w:r w:rsidRPr="005C16B8">
              <w:rPr>
                <w:lang w:val="en-GB"/>
              </w:rPr>
              <w:t>France</w:t>
            </w:r>
          </w:p>
        </w:tc>
      </w:tr>
      <w:tr w:rsidR="005C16B8" w:rsidRPr="005C16B8" w14:paraId="7460F344" w14:textId="77777777" w:rsidTr="00EE6E79">
        <w:tc>
          <w:tcPr>
            <w:tcW w:w="4675" w:type="dxa"/>
            <w:tcBorders>
              <w:top w:val="single" w:sz="4" w:space="0" w:color="auto"/>
              <w:left w:val="single" w:sz="4" w:space="0" w:color="auto"/>
              <w:bottom w:val="single" w:sz="4" w:space="0" w:color="auto"/>
              <w:right w:val="single" w:sz="4" w:space="0" w:color="auto"/>
            </w:tcBorders>
          </w:tcPr>
          <w:p w14:paraId="36833676" w14:textId="77777777" w:rsidR="005C16B8" w:rsidRPr="005C16B8" w:rsidRDefault="005C16B8" w:rsidP="005C16B8">
            <w:pPr>
              <w:rPr>
                <w:lang w:val="en-GB"/>
              </w:rPr>
            </w:pPr>
          </w:p>
        </w:tc>
        <w:tc>
          <w:tcPr>
            <w:tcW w:w="4675" w:type="dxa"/>
            <w:tcBorders>
              <w:top w:val="single" w:sz="4" w:space="0" w:color="auto"/>
              <w:left w:val="single" w:sz="4" w:space="0" w:color="auto"/>
              <w:bottom w:val="single" w:sz="4" w:space="0" w:color="auto"/>
              <w:right w:val="single" w:sz="4" w:space="0" w:color="auto"/>
            </w:tcBorders>
            <w:hideMark/>
          </w:tcPr>
          <w:p w14:paraId="62CD2DBF" w14:textId="77777777" w:rsidR="005C16B8" w:rsidRPr="005C16B8" w:rsidRDefault="005C16B8" w:rsidP="005C16B8">
            <w:pPr>
              <w:rPr>
                <w:lang w:val="en-GB"/>
              </w:rPr>
            </w:pPr>
            <w:r w:rsidRPr="005C16B8">
              <w:rPr>
                <w:lang w:val="en-GB"/>
              </w:rPr>
              <w:t>Italy</w:t>
            </w:r>
          </w:p>
        </w:tc>
      </w:tr>
      <w:tr w:rsidR="005C16B8" w:rsidRPr="005C16B8" w14:paraId="6C95B005" w14:textId="77777777" w:rsidTr="00EE6E79">
        <w:tc>
          <w:tcPr>
            <w:tcW w:w="4675" w:type="dxa"/>
            <w:tcBorders>
              <w:top w:val="single" w:sz="4" w:space="0" w:color="auto"/>
              <w:left w:val="single" w:sz="4" w:space="0" w:color="auto"/>
              <w:bottom w:val="single" w:sz="4" w:space="0" w:color="auto"/>
              <w:right w:val="single" w:sz="4" w:space="0" w:color="auto"/>
            </w:tcBorders>
          </w:tcPr>
          <w:p w14:paraId="466173B6" w14:textId="77777777" w:rsidR="005C16B8" w:rsidRPr="005C16B8" w:rsidRDefault="005C16B8" w:rsidP="005C16B8">
            <w:pPr>
              <w:rPr>
                <w:lang w:val="en-GB"/>
              </w:rPr>
            </w:pPr>
          </w:p>
        </w:tc>
        <w:tc>
          <w:tcPr>
            <w:tcW w:w="4675" w:type="dxa"/>
            <w:tcBorders>
              <w:top w:val="single" w:sz="4" w:space="0" w:color="auto"/>
              <w:left w:val="single" w:sz="4" w:space="0" w:color="auto"/>
              <w:bottom w:val="single" w:sz="4" w:space="0" w:color="auto"/>
              <w:right w:val="single" w:sz="4" w:space="0" w:color="auto"/>
            </w:tcBorders>
            <w:hideMark/>
          </w:tcPr>
          <w:p w14:paraId="23A0D846" w14:textId="77777777" w:rsidR="005C16B8" w:rsidRPr="005C16B8" w:rsidRDefault="005C16B8" w:rsidP="005C16B8">
            <w:pPr>
              <w:rPr>
                <w:lang w:val="en-GB"/>
              </w:rPr>
            </w:pPr>
            <w:r w:rsidRPr="005C16B8">
              <w:rPr>
                <w:lang w:val="en-GB"/>
              </w:rPr>
              <w:t>Monaco</w:t>
            </w:r>
          </w:p>
        </w:tc>
      </w:tr>
      <w:tr w:rsidR="005C16B8" w:rsidRPr="005C16B8" w14:paraId="319B6B44" w14:textId="77777777" w:rsidTr="00EE6E79">
        <w:tc>
          <w:tcPr>
            <w:tcW w:w="4675" w:type="dxa"/>
            <w:tcBorders>
              <w:top w:val="single" w:sz="4" w:space="0" w:color="auto"/>
              <w:left w:val="single" w:sz="4" w:space="0" w:color="auto"/>
              <w:bottom w:val="single" w:sz="4" w:space="0" w:color="auto"/>
              <w:right w:val="single" w:sz="4" w:space="0" w:color="auto"/>
            </w:tcBorders>
          </w:tcPr>
          <w:p w14:paraId="458EB1AB" w14:textId="77777777" w:rsidR="005C16B8" w:rsidRPr="005C16B8" w:rsidRDefault="005C16B8" w:rsidP="005C16B8">
            <w:pPr>
              <w:rPr>
                <w:lang w:val="en-GB"/>
              </w:rPr>
            </w:pPr>
          </w:p>
        </w:tc>
        <w:tc>
          <w:tcPr>
            <w:tcW w:w="4675" w:type="dxa"/>
            <w:tcBorders>
              <w:top w:val="single" w:sz="4" w:space="0" w:color="auto"/>
              <w:left w:val="single" w:sz="4" w:space="0" w:color="auto"/>
              <w:bottom w:val="single" w:sz="4" w:space="0" w:color="auto"/>
              <w:right w:val="single" w:sz="4" w:space="0" w:color="auto"/>
            </w:tcBorders>
            <w:hideMark/>
          </w:tcPr>
          <w:p w14:paraId="0E42BEB9" w14:textId="034285CF" w:rsidR="005C16B8" w:rsidRPr="005C16B8" w:rsidRDefault="005C16B8" w:rsidP="005C16B8">
            <w:pPr>
              <w:rPr>
                <w:lang w:val="en-GB"/>
              </w:rPr>
            </w:pPr>
            <w:r w:rsidRPr="005C16B8">
              <w:rPr>
                <w:lang w:val="en-GB"/>
              </w:rPr>
              <w:t>Netherlands</w:t>
            </w:r>
          </w:p>
        </w:tc>
      </w:tr>
      <w:tr w:rsidR="005C16B8" w:rsidRPr="005C16B8" w14:paraId="33892CF2" w14:textId="77777777" w:rsidTr="00EE6E79">
        <w:tc>
          <w:tcPr>
            <w:tcW w:w="4675" w:type="dxa"/>
            <w:tcBorders>
              <w:top w:val="single" w:sz="4" w:space="0" w:color="auto"/>
              <w:left w:val="single" w:sz="4" w:space="0" w:color="auto"/>
              <w:bottom w:val="single" w:sz="4" w:space="0" w:color="auto"/>
              <w:right w:val="single" w:sz="4" w:space="0" w:color="auto"/>
            </w:tcBorders>
          </w:tcPr>
          <w:p w14:paraId="326EE20D" w14:textId="77777777" w:rsidR="005C16B8" w:rsidRPr="005C16B8" w:rsidRDefault="005C16B8" w:rsidP="005C16B8">
            <w:pPr>
              <w:rPr>
                <w:lang w:val="en-GB"/>
              </w:rPr>
            </w:pPr>
          </w:p>
        </w:tc>
        <w:tc>
          <w:tcPr>
            <w:tcW w:w="4675" w:type="dxa"/>
            <w:tcBorders>
              <w:top w:val="single" w:sz="4" w:space="0" w:color="auto"/>
              <w:left w:val="single" w:sz="4" w:space="0" w:color="auto"/>
              <w:bottom w:val="single" w:sz="4" w:space="0" w:color="auto"/>
              <w:right w:val="single" w:sz="4" w:space="0" w:color="auto"/>
            </w:tcBorders>
            <w:hideMark/>
          </w:tcPr>
          <w:p w14:paraId="62E2D819" w14:textId="77777777" w:rsidR="005C16B8" w:rsidRPr="005C16B8" w:rsidRDefault="005C16B8" w:rsidP="005C16B8">
            <w:pPr>
              <w:rPr>
                <w:lang w:val="en-GB"/>
              </w:rPr>
            </w:pPr>
            <w:r w:rsidRPr="005C16B8">
              <w:rPr>
                <w:lang w:val="en-GB"/>
              </w:rPr>
              <w:t>Serbia</w:t>
            </w:r>
          </w:p>
        </w:tc>
      </w:tr>
      <w:tr w:rsidR="005C16B8" w:rsidRPr="005C16B8" w14:paraId="41141C0B" w14:textId="77777777" w:rsidTr="00EE6E79">
        <w:tc>
          <w:tcPr>
            <w:tcW w:w="4675" w:type="dxa"/>
            <w:tcBorders>
              <w:top w:val="single" w:sz="4" w:space="0" w:color="auto"/>
              <w:left w:val="single" w:sz="4" w:space="0" w:color="auto"/>
              <w:bottom w:val="single" w:sz="4" w:space="0" w:color="auto"/>
              <w:right w:val="single" w:sz="4" w:space="0" w:color="auto"/>
            </w:tcBorders>
          </w:tcPr>
          <w:p w14:paraId="308E0F0A" w14:textId="77777777" w:rsidR="005C16B8" w:rsidRPr="005C16B8" w:rsidRDefault="005C16B8" w:rsidP="005C16B8">
            <w:pPr>
              <w:rPr>
                <w:lang w:val="en-GB"/>
              </w:rPr>
            </w:pPr>
          </w:p>
        </w:tc>
        <w:tc>
          <w:tcPr>
            <w:tcW w:w="4675" w:type="dxa"/>
            <w:tcBorders>
              <w:top w:val="single" w:sz="4" w:space="0" w:color="auto"/>
              <w:left w:val="single" w:sz="4" w:space="0" w:color="auto"/>
              <w:bottom w:val="single" w:sz="4" w:space="0" w:color="auto"/>
              <w:right w:val="single" w:sz="4" w:space="0" w:color="auto"/>
            </w:tcBorders>
            <w:hideMark/>
          </w:tcPr>
          <w:p w14:paraId="54E3C547" w14:textId="77777777" w:rsidR="005C16B8" w:rsidRPr="005C16B8" w:rsidRDefault="005C16B8" w:rsidP="005C16B8">
            <w:pPr>
              <w:rPr>
                <w:lang w:val="en-GB"/>
              </w:rPr>
            </w:pPr>
            <w:r w:rsidRPr="005C16B8">
              <w:rPr>
                <w:lang w:val="en-GB"/>
              </w:rPr>
              <w:t>Turkey</w:t>
            </w:r>
          </w:p>
        </w:tc>
      </w:tr>
    </w:tbl>
    <w:p w14:paraId="3B84B760" w14:textId="77777777" w:rsidR="005C16B8" w:rsidRDefault="005C16B8" w:rsidP="005C16B8"/>
    <w:p w14:paraId="6D7BAE7F" w14:textId="77777777" w:rsidR="005C16B8" w:rsidRDefault="004A7872" w:rsidP="005C16B8">
      <w:r>
        <w:t>What were the changes made?</w:t>
      </w:r>
    </w:p>
    <w:p w14:paraId="3CE2290F" w14:textId="2EF3D5F9" w:rsidR="004A7872" w:rsidRDefault="004A7872" w:rsidP="00652389">
      <w:pPr>
        <w:autoSpaceDE w:val="0"/>
        <w:autoSpaceDN w:val="0"/>
        <w:adjustRightInd w:val="0"/>
        <w:spacing w:after="0" w:line="240" w:lineRule="auto"/>
      </w:pPr>
      <w:r w:rsidRPr="004A7872">
        <w:t xml:space="preserve">In </w:t>
      </w:r>
      <w:r w:rsidRPr="004A7872">
        <w:rPr>
          <w:u w:val="single"/>
        </w:rPr>
        <w:t>Austria</w:t>
      </w:r>
      <w:r w:rsidRPr="004A7872">
        <w:t xml:space="preserve">, in addition to the criminal offence of rape which requires the use of force, deprivation of liberty or a threat to life or limb, a provision entitled “violation of sexual integrity” came </w:t>
      </w:r>
      <w:r w:rsidR="000D07AE">
        <w:t>in</w:t>
      </w:r>
      <w:r w:rsidRPr="004A7872">
        <w:t>to effect in January 2016.</w:t>
      </w:r>
      <w:r w:rsidR="005062F4">
        <w:t xml:space="preserve"> </w:t>
      </w:r>
      <w:r w:rsidRPr="004A7872">
        <w:t xml:space="preserve"> </w:t>
      </w:r>
      <w:r w:rsidR="00652389" w:rsidRPr="00652389">
        <w:t>This new provision covers instances of sexual intercourse or equivalent conduct “against the will of</w:t>
      </w:r>
      <w:r w:rsidR="00652389">
        <w:t xml:space="preserve"> </w:t>
      </w:r>
      <w:r w:rsidR="00652389" w:rsidRPr="00652389">
        <w:t>a person”, “under coercive circumstances” or “following an act of intimidation”.</w:t>
      </w:r>
      <w:r w:rsidR="00652389">
        <w:t xml:space="preserve"> </w:t>
      </w:r>
      <w:r w:rsidR="005062F4">
        <w:t xml:space="preserve"> </w:t>
      </w:r>
      <w:r w:rsidRPr="004A7872">
        <w:t xml:space="preserve">This is considered an important step towards holding rapists accountable, even when they do not use </w:t>
      </w:r>
      <w:r w:rsidR="000D07AE">
        <w:t xml:space="preserve">physical </w:t>
      </w:r>
      <w:r w:rsidRPr="004A7872">
        <w:t xml:space="preserve">violence or threat. </w:t>
      </w:r>
      <w:r w:rsidRPr="00F82560">
        <w:t>BUT</w:t>
      </w:r>
      <w:r w:rsidRPr="004A7872">
        <w:t xml:space="preserve"> </w:t>
      </w:r>
      <w:r w:rsidR="00652389">
        <w:t xml:space="preserve">GREVIO considered </w:t>
      </w:r>
      <w:r w:rsidRPr="004A7872">
        <w:t xml:space="preserve">the current Austrian legislation </w:t>
      </w:r>
      <w:r w:rsidR="005062F4">
        <w:t>a</w:t>
      </w:r>
      <w:r w:rsidRPr="004A7872">
        <w:t xml:space="preserve">s still not completely in line with the Article 36, as it may </w:t>
      </w:r>
      <w:r w:rsidR="000D07AE">
        <w:t xml:space="preserve">still </w:t>
      </w:r>
      <w:r w:rsidRPr="004A7872">
        <w:t>not allow for prosecution in cases where the victim remains passive</w:t>
      </w:r>
      <w:r>
        <w:t xml:space="preserve"> – so it may not cover situations where the victim does not say NO or does not clearly demonstrate her NO.</w:t>
      </w:r>
      <w:r w:rsidR="00652389">
        <w:rPr>
          <w:rStyle w:val="FootnoteReference"/>
        </w:rPr>
        <w:footnoteReference w:id="3"/>
      </w:r>
    </w:p>
    <w:p w14:paraId="4B4E0615" w14:textId="77777777" w:rsidR="00652389" w:rsidRPr="004A7872" w:rsidRDefault="00652389" w:rsidP="00652389">
      <w:pPr>
        <w:autoSpaceDE w:val="0"/>
        <w:autoSpaceDN w:val="0"/>
        <w:adjustRightInd w:val="0"/>
        <w:spacing w:after="0" w:line="240" w:lineRule="auto"/>
      </w:pPr>
    </w:p>
    <w:p w14:paraId="0B4C211C" w14:textId="5B647F9B" w:rsidR="004A7872" w:rsidRDefault="004A7872" w:rsidP="004A7872">
      <w:r w:rsidRPr="004A7872">
        <w:t xml:space="preserve">In </w:t>
      </w:r>
      <w:r w:rsidRPr="004A7872">
        <w:rPr>
          <w:u w:val="single"/>
        </w:rPr>
        <w:t>Montenegro</w:t>
      </w:r>
      <w:r w:rsidRPr="004A7872">
        <w:t>, the recent amendment to Article 204 has brought important changes to the criminal offence of rape with a view to aligning it with the requirement of the Istanbul Convention: the criminalisation of all non-consensual sexual acts.</w:t>
      </w:r>
      <w:r w:rsidR="000D07AE">
        <w:t xml:space="preserve"> </w:t>
      </w:r>
      <w:r w:rsidRPr="004A7872">
        <w:t xml:space="preserve"> Rape and sexual violence provisions must be based on </w:t>
      </w:r>
      <w:r w:rsidRPr="004A7872">
        <w:lastRenderedPageBreak/>
        <w:t>the notion that consent must be given voluntarily as the result of a woman’s free will and assessed in the context of the surrounding circumstances.</w:t>
      </w:r>
      <w:r w:rsidR="007E6A43">
        <w:rPr>
          <w:rStyle w:val="FootnoteReference"/>
        </w:rPr>
        <w:footnoteReference w:id="4"/>
      </w:r>
    </w:p>
    <w:p w14:paraId="182636B1" w14:textId="687FC55B" w:rsidR="005062F4" w:rsidRDefault="008C47E8" w:rsidP="005062F4">
      <w:pPr>
        <w:autoSpaceDE w:val="0"/>
        <w:autoSpaceDN w:val="0"/>
        <w:adjustRightInd w:val="0"/>
        <w:spacing w:after="0" w:line="240" w:lineRule="auto"/>
      </w:pPr>
      <w:r w:rsidRPr="008C47E8">
        <w:t xml:space="preserve">In 2015, in </w:t>
      </w:r>
      <w:r w:rsidRPr="008C47E8">
        <w:rPr>
          <w:u w:val="single"/>
        </w:rPr>
        <w:t>Portugal</w:t>
      </w:r>
      <w:r w:rsidRPr="008C47E8">
        <w:t>, the articles of the Penal Code on sexual coercion (art. 163) and rape (art. 164) were modified to cover sexual acts committed without violence or threat, and without having suppressed the victim’s ability to resist.</w:t>
      </w:r>
      <w:r w:rsidR="000D07AE">
        <w:t xml:space="preserve"> </w:t>
      </w:r>
      <w:r w:rsidRPr="008C47E8">
        <w:t xml:space="preserve"> BUT </w:t>
      </w:r>
      <w:r w:rsidR="005062F4">
        <w:t xml:space="preserve">GREVIO </w:t>
      </w:r>
      <w:r w:rsidR="000D07AE">
        <w:t xml:space="preserve">still </w:t>
      </w:r>
      <w:r w:rsidR="005062F4">
        <w:t xml:space="preserve">considered </w:t>
      </w:r>
      <w:r w:rsidRPr="008C47E8">
        <w:t xml:space="preserve">these legislative changes </w:t>
      </w:r>
      <w:r w:rsidR="005062F4">
        <w:t>as</w:t>
      </w:r>
      <w:r w:rsidR="005062F4" w:rsidRPr="008C47E8">
        <w:t xml:space="preserve"> </w:t>
      </w:r>
      <w:r w:rsidRPr="008C47E8">
        <w:t>not completely comply</w:t>
      </w:r>
      <w:r w:rsidR="005062F4">
        <w:t>ing</w:t>
      </w:r>
      <w:r w:rsidRPr="008C47E8">
        <w:t xml:space="preserve"> with the Convention</w:t>
      </w:r>
      <w:r w:rsidR="000D07AE">
        <w:t>,</w:t>
      </w:r>
      <w:r w:rsidRPr="008C47E8">
        <w:t xml:space="preserve"> </w:t>
      </w:r>
      <w:r w:rsidR="005062F4">
        <w:t>since</w:t>
      </w:r>
      <w:r w:rsidR="005062F4" w:rsidRPr="008C47E8">
        <w:t xml:space="preserve"> </w:t>
      </w:r>
      <w:r w:rsidRPr="008C47E8">
        <w:t xml:space="preserve">the term “constrain” is still used in the penal code to qualify these sexual offences. </w:t>
      </w:r>
      <w:r w:rsidR="000D07AE">
        <w:t xml:space="preserve"> </w:t>
      </w:r>
      <w:r w:rsidR="005062F4">
        <w:t>This</w:t>
      </w:r>
      <w:r w:rsidR="007E6A43" w:rsidRPr="007E6A43">
        <w:t xml:space="preserve"> wording </w:t>
      </w:r>
      <w:r w:rsidR="005062F4">
        <w:t>may well</w:t>
      </w:r>
      <w:r w:rsidR="007E6A43" w:rsidRPr="007E6A43">
        <w:t xml:space="preserve"> not </w:t>
      </w:r>
      <w:r w:rsidR="005062F4">
        <w:t xml:space="preserve">be </w:t>
      </w:r>
      <w:r w:rsidR="007E6A43" w:rsidRPr="007E6A43">
        <w:t>sufficient to definitively break away from the longstanding</w:t>
      </w:r>
      <w:r w:rsidR="005062F4">
        <w:t xml:space="preserve"> p</w:t>
      </w:r>
      <w:r w:rsidR="005062F4" w:rsidRPr="007E6A43">
        <w:t>ractice of Portuguese courts to require proof of the victim’s resistance in order</w:t>
      </w:r>
      <w:r w:rsidR="005062F4" w:rsidRPr="005062F4">
        <w:t xml:space="preserve"> </w:t>
      </w:r>
      <w:r w:rsidR="005062F4" w:rsidRPr="007E6A43">
        <w:t>to</w:t>
      </w:r>
      <w:r w:rsidR="005062F4">
        <w:t xml:space="preserve"> sentence the perpetrator.</w:t>
      </w:r>
      <w:r w:rsidR="005062F4" w:rsidRPr="005062F4">
        <w:rPr>
          <w:rStyle w:val="FootnoteReference"/>
        </w:rPr>
        <w:t xml:space="preserve"> </w:t>
      </w:r>
      <w:r w:rsidR="005062F4">
        <w:rPr>
          <w:rStyle w:val="FootnoteReference"/>
        </w:rPr>
        <w:footnoteReference w:id="5"/>
      </w:r>
    </w:p>
    <w:p w14:paraId="427F2ACA" w14:textId="77777777" w:rsidR="005062F4" w:rsidRPr="007E6A43" w:rsidRDefault="005062F4" w:rsidP="005062F4">
      <w:pPr>
        <w:autoSpaceDE w:val="0"/>
        <w:autoSpaceDN w:val="0"/>
        <w:adjustRightInd w:val="0"/>
        <w:spacing w:after="0" w:line="240" w:lineRule="auto"/>
      </w:pPr>
    </w:p>
    <w:p w14:paraId="6525FCC9" w14:textId="6421A2AA" w:rsidR="008C47E8" w:rsidRDefault="008C47E8" w:rsidP="008C47E8">
      <w:r w:rsidRPr="008C47E8">
        <w:t xml:space="preserve">In </w:t>
      </w:r>
      <w:r w:rsidRPr="008C47E8">
        <w:rPr>
          <w:u w:val="single"/>
        </w:rPr>
        <w:t>Sweden</w:t>
      </w:r>
      <w:r w:rsidRPr="008C47E8">
        <w:t xml:space="preserve">, a 2018 amendment to the Criminal Code now ensures that all non-consensual sexual acts are criminalised. </w:t>
      </w:r>
      <w:r w:rsidR="002C7506">
        <w:t xml:space="preserve"> </w:t>
      </w:r>
      <w:r w:rsidRPr="008C47E8">
        <w:t xml:space="preserve">The chapter on Sexual offences criminalises intercourse or any other sexual act with a person “who is not participating voluntarily”. </w:t>
      </w:r>
      <w:r w:rsidR="002C7506">
        <w:t xml:space="preserve"> </w:t>
      </w:r>
      <w:r w:rsidRPr="008C47E8">
        <w:t xml:space="preserve">In the Swedish </w:t>
      </w:r>
      <w:r w:rsidR="00695BA1">
        <w:t>C</w:t>
      </w:r>
      <w:r w:rsidRPr="008C47E8">
        <w:t xml:space="preserve">riminal </w:t>
      </w:r>
      <w:r w:rsidR="00695BA1">
        <w:t>C</w:t>
      </w:r>
      <w:r w:rsidRPr="008C47E8">
        <w:t>ode, passivity cannot be per se considered a sign of voluntary participation.</w:t>
      </w:r>
      <w:r w:rsidR="00695BA1">
        <w:rPr>
          <w:rStyle w:val="FootnoteReference"/>
        </w:rPr>
        <w:footnoteReference w:id="6"/>
      </w:r>
      <w:r w:rsidRPr="008C47E8">
        <w:t xml:space="preserve">  </w:t>
      </w:r>
    </w:p>
    <w:p w14:paraId="7D5F85D4" w14:textId="77777777" w:rsidR="00F82560" w:rsidRDefault="00F82560" w:rsidP="008C47E8">
      <w:r>
        <w:t>Overall, there were three approaches noted.</w:t>
      </w:r>
    </w:p>
    <w:p w14:paraId="549E1BE9" w14:textId="1B351D8F" w:rsidR="00F82560" w:rsidRPr="00F82560" w:rsidRDefault="00F82560" w:rsidP="00F82560">
      <w:r>
        <w:t xml:space="preserve">The first is the two-tiered approach. </w:t>
      </w:r>
      <w:r w:rsidR="005062F4">
        <w:t xml:space="preserve"> </w:t>
      </w:r>
      <w:r>
        <w:t>This entails</w:t>
      </w:r>
      <w:r w:rsidRPr="00F82560">
        <w:t xml:space="preserve"> keeping the rape provision that requires the use of force/threat/coercion and adding another one that is based entirely on consent. </w:t>
      </w:r>
      <w:r w:rsidR="005062F4">
        <w:t xml:space="preserve"> </w:t>
      </w:r>
      <w:r w:rsidRPr="00F82560">
        <w:t xml:space="preserve">The issue here is that the provision which requires the use of force will carry a harsher prison sentence compared to the other, which is tantamount to qualifying different types of rape more worthy of punishment than others and can be seen as promoting the idea of “real rape” vs. something else. </w:t>
      </w:r>
      <w:r>
        <w:t xml:space="preserve"> An example of this is the Austria</w:t>
      </w:r>
      <w:r w:rsidR="00695BA1">
        <w:t>n legislation</w:t>
      </w:r>
      <w:r>
        <w:t xml:space="preserve"> with its offence on rape and another on </w:t>
      </w:r>
      <w:r w:rsidR="002C7506">
        <w:t xml:space="preserve">the </w:t>
      </w:r>
      <w:r>
        <w:t>violation of sexual integrity.</w:t>
      </w:r>
    </w:p>
    <w:p w14:paraId="50A1AA43" w14:textId="25EBF39E" w:rsidR="00F82560" w:rsidRPr="00F82560" w:rsidRDefault="00F82560" w:rsidP="00F82560">
      <w:r>
        <w:t xml:space="preserve">The second is the </w:t>
      </w:r>
      <w:r w:rsidRPr="00F82560">
        <w:t>“</w:t>
      </w:r>
      <w:r>
        <w:t>no-means-no” approach.  This</w:t>
      </w:r>
      <w:r w:rsidRPr="00F82560">
        <w:t xml:space="preserve"> does not require the use of force/threat/coercion but </w:t>
      </w:r>
      <w:r>
        <w:t xml:space="preserve">rather requires </w:t>
      </w:r>
      <w:r w:rsidRPr="00F82560">
        <w:t xml:space="preserve">for sexual intercourse to have happened “against the will of a person”.  For criminal proceedings this means it must be established with certainty that the act took place “against the will of the person”. </w:t>
      </w:r>
      <w:r w:rsidR="009D5967">
        <w:t xml:space="preserve"> </w:t>
      </w:r>
      <w:r w:rsidRPr="00F82560">
        <w:t xml:space="preserve">The risk </w:t>
      </w:r>
      <w:r w:rsidR="009D5967">
        <w:t xml:space="preserve">here </w:t>
      </w:r>
      <w:r w:rsidRPr="00F82560">
        <w:t xml:space="preserve">is that criminal proceedings will focus on this as a central element, thereby placing </w:t>
      </w:r>
      <w:r w:rsidR="00695BA1">
        <w:t>undue</w:t>
      </w:r>
      <w:r w:rsidR="009D5967">
        <w:t xml:space="preserve"> </w:t>
      </w:r>
      <w:r w:rsidRPr="00F82560">
        <w:t>attention on the behaviour of the victim</w:t>
      </w:r>
      <w:r w:rsidR="002C7506">
        <w:t xml:space="preserve">, possibly resulting in non-conviction </w:t>
      </w:r>
      <w:r w:rsidR="002C7506">
        <w:t>for rape</w:t>
      </w:r>
      <w:r w:rsidR="002C7506">
        <w:t xml:space="preserve"> where </w:t>
      </w:r>
      <w:r w:rsidR="00695BA1">
        <w:t>the lack of consent cannot be clearly established.</w:t>
      </w:r>
      <w:r w:rsidR="009D5967">
        <w:t xml:space="preserve">  The Austrian law may also be seen as an example of this.</w:t>
      </w:r>
    </w:p>
    <w:p w14:paraId="650DA667" w14:textId="16B260ED" w:rsidR="00F82560" w:rsidRDefault="009D5967" w:rsidP="001A0AB6">
      <w:r>
        <w:t>The third approach is the “o</w:t>
      </w:r>
      <w:r w:rsidR="00F82560" w:rsidRPr="00F82560">
        <w:t>nly-yes-means-yes” approach</w:t>
      </w:r>
      <w:r w:rsidR="004335E4">
        <w:t>.  This is</w:t>
      </w:r>
      <w:r w:rsidR="00F82560" w:rsidRPr="00F82560">
        <w:t xml:space="preserve"> based on consent but </w:t>
      </w:r>
      <w:r w:rsidR="004335E4">
        <w:t xml:space="preserve">clearly </w:t>
      </w:r>
      <w:r w:rsidR="00F82560" w:rsidRPr="00F82560">
        <w:t>places the onus on the perpetrator</w:t>
      </w:r>
      <w:r w:rsidR="004335E4">
        <w:t xml:space="preserve"> –</w:t>
      </w:r>
      <w:r w:rsidR="00F82560" w:rsidRPr="00F82560">
        <w:t xml:space="preserve"> </w:t>
      </w:r>
      <w:r w:rsidR="004335E4">
        <w:t>i</w:t>
      </w:r>
      <w:r w:rsidR="00F82560" w:rsidRPr="00F82560">
        <w:t xml:space="preserve">t is for him to </w:t>
      </w:r>
      <w:r w:rsidR="00695BA1">
        <w:t xml:space="preserve">establish </w:t>
      </w:r>
      <w:r w:rsidR="004335E4">
        <w:t>that the act is consented to rather than</w:t>
      </w:r>
      <w:r w:rsidR="00F82560" w:rsidRPr="00F82560">
        <w:t xml:space="preserve"> for the victim to demonstrate consent</w:t>
      </w:r>
      <w:r w:rsidR="004335E4">
        <w:t xml:space="preserve"> or lack thereof</w:t>
      </w:r>
      <w:r w:rsidR="00F82560" w:rsidRPr="00F82560">
        <w:t xml:space="preserve">. </w:t>
      </w:r>
      <w:r w:rsidR="004335E4">
        <w:t xml:space="preserve"> </w:t>
      </w:r>
      <w:r w:rsidR="00F82560" w:rsidRPr="00F82560">
        <w:t>The wording is different from the “no-means-no” approach because it criminalises intercourse or any other sexual act with a person “who is not participating voluntarily”</w:t>
      </w:r>
      <w:r w:rsidR="004335E4">
        <w:t>,</w:t>
      </w:r>
      <w:r w:rsidR="00F82560" w:rsidRPr="00F82560">
        <w:t xml:space="preserve"> as opposed to “against the will of a person”. </w:t>
      </w:r>
      <w:r w:rsidR="004335E4">
        <w:t xml:space="preserve"> </w:t>
      </w:r>
      <w:r w:rsidR="00F82560" w:rsidRPr="00F82560">
        <w:t>The aim of this approach is to ensure that the criminal proceedings will focus on the behaviour of the perpetrator (What did he do to establish consent etc.) rather than that of the victim.</w:t>
      </w:r>
      <w:r w:rsidR="001A0AB6">
        <w:t xml:space="preserve">  </w:t>
      </w:r>
      <w:r w:rsidR="00EA68F7">
        <w:t xml:space="preserve"> </w:t>
      </w:r>
      <w:r w:rsidR="001A0AB6">
        <w:t xml:space="preserve">Sweden uses this approach </w:t>
      </w:r>
      <w:r w:rsidR="00E544EC">
        <w:t>and they further also</w:t>
      </w:r>
      <w:r w:rsidR="001A0AB6">
        <w:t xml:space="preserve"> </w:t>
      </w:r>
      <w:r w:rsidR="001A0AB6" w:rsidRPr="001A0AB6">
        <w:t>introduced “negligent rape”, which would allow convictions for those perpetrators who</w:t>
      </w:r>
      <w:r w:rsidR="001A0AB6">
        <w:t xml:space="preserve"> ought to have </w:t>
      </w:r>
      <w:r w:rsidR="001A0AB6">
        <w:lastRenderedPageBreak/>
        <w:t>known (but did not</w:t>
      </w:r>
      <w:r w:rsidR="001A0AB6" w:rsidRPr="001A0AB6">
        <w:t xml:space="preserve">) that the victim did not consent. </w:t>
      </w:r>
      <w:r w:rsidR="00EA68F7">
        <w:t xml:space="preserve"> </w:t>
      </w:r>
      <w:r w:rsidR="001A0AB6" w:rsidRPr="001A0AB6">
        <w:t xml:space="preserve">This means there is no more room for excuses. </w:t>
      </w:r>
      <w:r w:rsidR="00EA68F7">
        <w:t xml:space="preserve"> </w:t>
      </w:r>
      <w:r w:rsidR="001A0AB6" w:rsidRPr="001A0AB6">
        <w:t>GREVIO highly praised this approach.</w:t>
      </w:r>
      <w:r w:rsidR="00695BA1">
        <w:t xml:space="preserve"> </w:t>
      </w:r>
      <w:r w:rsidR="00FC28EA">
        <w:t xml:space="preserve"> </w:t>
      </w:r>
      <w:r w:rsidR="00695BA1">
        <w:t xml:space="preserve">It can also be considered a “one-crime model” as it offers only one definition of rape that is based on the lack of consent. </w:t>
      </w:r>
      <w:r w:rsidR="00E544EC">
        <w:t xml:space="preserve"> </w:t>
      </w:r>
      <w:r w:rsidR="00695BA1">
        <w:t xml:space="preserve">Where violence or force is used, </w:t>
      </w:r>
      <w:r w:rsidR="006E05BA">
        <w:t xml:space="preserve">aggravating circumstances may apply. </w:t>
      </w:r>
    </w:p>
    <w:p w14:paraId="57B5A3FE" w14:textId="77777777" w:rsidR="005E5A76" w:rsidRDefault="00EA68F7" w:rsidP="005E5A76">
      <w:r>
        <w:t xml:space="preserve">Another article of the Istanbul Convention </w:t>
      </w:r>
      <w:r w:rsidR="005E5A76">
        <w:t xml:space="preserve">that is relevant </w:t>
      </w:r>
      <w:r>
        <w:t xml:space="preserve">to the area we are discussing today is Article </w:t>
      </w:r>
      <w:r w:rsidR="005E5A76">
        <w:t>25 that deals with s</w:t>
      </w:r>
      <w:r w:rsidR="005E5A76" w:rsidRPr="005E5A76">
        <w:t>upport for victims of sexual violence</w:t>
      </w:r>
      <w:r w:rsidR="005E5A76">
        <w:t xml:space="preserve">.  This article requires State </w:t>
      </w:r>
      <w:r w:rsidR="005E5A76" w:rsidRPr="005E5A76">
        <w:t xml:space="preserve">Parties </w:t>
      </w:r>
      <w:r w:rsidR="005E5A76">
        <w:t>to</w:t>
      </w:r>
      <w:r w:rsidR="005E5A76" w:rsidRPr="005E5A76">
        <w:t xml:space="preserve"> take the necessary legislative or other measures</w:t>
      </w:r>
      <w:r w:rsidR="005E5A76">
        <w:t xml:space="preserve"> to provide for the setting up </w:t>
      </w:r>
      <w:r w:rsidR="005E5A76" w:rsidRPr="005E5A76">
        <w:t>of appropriate, easily accessible rape crisis or sexual violenc</w:t>
      </w:r>
      <w:r w:rsidR="00DD3216">
        <w:t xml:space="preserve">e referral centres for victims </w:t>
      </w:r>
      <w:r w:rsidR="005E5A76" w:rsidRPr="005E5A76">
        <w:t>in sufficient numbers</w:t>
      </w:r>
      <w:r w:rsidR="00DD3216">
        <w:t>,</w:t>
      </w:r>
      <w:r w:rsidR="005E5A76" w:rsidRPr="005E5A76">
        <w:t xml:space="preserve"> to </w:t>
      </w:r>
      <w:r w:rsidR="00DD3216">
        <w:t>cover</w:t>
      </w:r>
      <w:r w:rsidR="005E5A76" w:rsidRPr="005E5A76">
        <w:t xml:space="preserve"> medical and forens</w:t>
      </w:r>
      <w:r w:rsidR="00DD3216">
        <w:t xml:space="preserve">ic examination, trauma support </w:t>
      </w:r>
      <w:r w:rsidR="005E5A76" w:rsidRPr="005E5A76">
        <w:t>and counselling for victims.</w:t>
      </w:r>
    </w:p>
    <w:p w14:paraId="6E613AA9" w14:textId="77777777" w:rsidR="00DD3216" w:rsidRDefault="00DD3216" w:rsidP="005E5A76">
      <w:r>
        <w:t>In its monitoring, GREVIO found the following</w:t>
      </w:r>
      <w:r w:rsidR="00B05442">
        <w:t xml:space="preserve"> examples, and possible issues</w:t>
      </w:r>
      <w:r>
        <w:t>:</w:t>
      </w:r>
    </w:p>
    <w:p w14:paraId="23145B1C" w14:textId="77777777" w:rsidR="00F560BB" w:rsidRPr="00DD3216" w:rsidRDefault="00483AB3" w:rsidP="00DD3216">
      <w:pPr>
        <w:numPr>
          <w:ilvl w:val="0"/>
          <w:numId w:val="2"/>
        </w:numPr>
      </w:pPr>
      <w:r w:rsidRPr="00DD3216">
        <w:rPr>
          <w:lang w:val="en-GB"/>
        </w:rPr>
        <w:t xml:space="preserve">In </w:t>
      </w:r>
      <w:r w:rsidRPr="00DD3216">
        <w:rPr>
          <w:bCs/>
          <w:u w:val="single"/>
          <w:lang w:val="en-GB"/>
        </w:rPr>
        <w:t>Denmark</w:t>
      </w:r>
      <w:r w:rsidRPr="00DD3216">
        <w:rPr>
          <w:b/>
          <w:bCs/>
          <w:lang w:val="en-GB"/>
        </w:rPr>
        <w:t>,</w:t>
      </w:r>
      <w:r w:rsidRPr="00DD3216">
        <w:rPr>
          <w:lang w:val="en-GB"/>
        </w:rPr>
        <w:t xml:space="preserve"> highly professional services for rape victims are located across the country – residential and non-residential, provide medical and forensic services for all victims above the age of 15, whether they intend to report the rape or not. </w:t>
      </w:r>
      <w:r w:rsidRPr="00DD3216">
        <w:rPr>
          <w:bCs/>
          <w:lang w:val="en-GB"/>
        </w:rPr>
        <w:t>BUT</w:t>
      </w:r>
      <w:r w:rsidRPr="00DD3216">
        <w:rPr>
          <w:b/>
          <w:bCs/>
          <w:lang w:val="en-GB"/>
        </w:rPr>
        <w:t xml:space="preserve"> –</w:t>
      </w:r>
      <w:r w:rsidRPr="00DD3216">
        <w:rPr>
          <w:lang w:val="en-GB"/>
        </w:rPr>
        <w:t xml:space="preserve"> </w:t>
      </w:r>
      <w:r w:rsidR="00DD3216">
        <w:rPr>
          <w:lang w:val="en-GB"/>
        </w:rPr>
        <w:t xml:space="preserve">only </w:t>
      </w:r>
      <w:r w:rsidRPr="00DD3216">
        <w:rPr>
          <w:lang w:val="en-GB"/>
        </w:rPr>
        <w:t>a low number of psychological treatment sessions per victim</w:t>
      </w:r>
      <w:r w:rsidR="00DD3216">
        <w:rPr>
          <w:lang w:val="en-GB"/>
        </w:rPr>
        <w:t xml:space="preserve"> are offered</w:t>
      </w:r>
      <w:r w:rsidRPr="00DD3216">
        <w:rPr>
          <w:lang w:val="en-GB"/>
        </w:rPr>
        <w:t xml:space="preserve"> and long-term psychological counselling is not always available to victims of sexual offences.  </w:t>
      </w:r>
    </w:p>
    <w:p w14:paraId="5EF8026F" w14:textId="77777777" w:rsidR="00F560BB" w:rsidRPr="00DD3216" w:rsidRDefault="00483AB3" w:rsidP="00DD3216">
      <w:pPr>
        <w:numPr>
          <w:ilvl w:val="0"/>
          <w:numId w:val="2"/>
        </w:numPr>
      </w:pPr>
      <w:r w:rsidRPr="00DD3216">
        <w:rPr>
          <w:lang w:val="en-GB"/>
        </w:rPr>
        <w:t xml:space="preserve">In </w:t>
      </w:r>
      <w:r w:rsidRPr="00DD3216">
        <w:rPr>
          <w:bCs/>
          <w:u w:val="single"/>
          <w:lang w:val="en-GB"/>
        </w:rPr>
        <w:t>Turkey</w:t>
      </w:r>
      <w:r w:rsidRPr="00DD3216">
        <w:rPr>
          <w:b/>
          <w:bCs/>
          <w:lang w:val="en-GB"/>
        </w:rPr>
        <w:t>,</w:t>
      </w:r>
      <w:r w:rsidRPr="00DD3216">
        <w:rPr>
          <w:lang w:val="en-GB"/>
        </w:rPr>
        <w:t xml:space="preserve"> the authorities offer support to child victims of sexual abuse to prevent child victims’ secondary trauma, and they plan to extend the coverage of these specialist units. </w:t>
      </w:r>
      <w:r w:rsidRPr="00DD3216">
        <w:rPr>
          <w:bCs/>
          <w:lang w:val="en-GB"/>
        </w:rPr>
        <w:t>BUT</w:t>
      </w:r>
      <w:r w:rsidRPr="00DD3216">
        <w:rPr>
          <w:lang w:val="en-GB"/>
        </w:rPr>
        <w:t xml:space="preserve"> there is a gap in service provision for adult victims of sexual violence.</w:t>
      </w:r>
    </w:p>
    <w:p w14:paraId="6B823E2E" w14:textId="77777777" w:rsidR="00F560BB" w:rsidRPr="00DD3216" w:rsidRDefault="00483AB3" w:rsidP="00DD3216">
      <w:pPr>
        <w:numPr>
          <w:ilvl w:val="0"/>
          <w:numId w:val="2"/>
        </w:numPr>
      </w:pPr>
      <w:r w:rsidRPr="00DD3216">
        <w:rPr>
          <w:lang w:val="en-GB"/>
        </w:rPr>
        <w:t xml:space="preserve">In </w:t>
      </w:r>
      <w:r w:rsidRPr="00DD3216">
        <w:rPr>
          <w:bCs/>
          <w:u w:val="single"/>
          <w:lang w:val="en-GB"/>
        </w:rPr>
        <w:t>Austria</w:t>
      </w:r>
      <w:r w:rsidRPr="00DD3216">
        <w:rPr>
          <w:lang w:val="en-GB"/>
        </w:rPr>
        <w:t xml:space="preserve">, </w:t>
      </w:r>
      <w:r w:rsidR="00DD3216">
        <w:rPr>
          <w:lang w:val="en-GB"/>
        </w:rPr>
        <w:t xml:space="preserve">they have </w:t>
      </w:r>
      <w:r w:rsidRPr="00DD3216">
        <w:rPr>
          <w:lang w:val="en-GB"/>
        </w:rPr>
        <w:t xml:space="preserve">specialised counselling services for victims of rape and sexual violence </w:t>
      </w:r>
      <w:r w:rsidRPr="00DD3216">
        <w:rPr>
          <w:bCs/>
          <w:lang w:val="en-GB"/>
        </w:rPr>
        <w:t>BUT</w:t>
      </w:r>
      <w:r w:rsidRPr="00DD3216">
        <w:rPr>
          <w:lang w:val="en-GB"/>
        </w:rPr>
        <w:t xml:space="preserve"> there are some issues in </w:t>
      </w:r>
      <w:r w:rsidR="00DD3216">
        <w:rPr>
          <w:lang w:val="en-GB"/>
        </w:rPr>
        <w:t xml:space="preserve">relation to the lack of </w:t>
      </w:r>
      <w:r w:rsidRPr="00DD3216">
        <w:rPr>
          <w:lang w:val="en-GB"/>
        </w:rPr>
        <w:t>the regional spread of support services due to a lack of sufficient long-term funding.</w:t>
      </w:r>
    </w:p>
    <w:p w14:paraId="7E984D17" w14:textId="77777777" w:rsidR="00F560BB" w:rsidRPr="00DD3216" w:rsidRDefault="00483AB3" w:rsidP="00DD3216">
      <w:pPr>
        <w:numPr>
          <w:ilvl w:val="0"/>
          <w:numId w:val="2"/>
        </w:numPr>
      </w:pPr>
      <w:r w:rsidRPr="00DD3216">
        <w:rPr>
          <w:lang w:val="en-GB"/>
        </w:rPr>
        <w:t xml:space="preserve">In </w:t>
      </w:r>
      <w:r w:rsidRPr="00DD3216">
        <w:rPr>
          <w:bCs/>
          <w:u w:val="single"/>
          <w:lang w:val="en-GB"/>
        </w:rPr>
        <w:t>Sweden</w:t>
      </w:r>
      <w:r w:rsidRPr="00DD3216">
        <w:rPr>
          <w:lang w:val="en-GB"/>
        </w:rPr>
        <w:t xml:space="preserve">, sexual violence referral centres exist in some dedicated hospital settings and medical practitioners are able to administer a rape kit and collect forensic evidences, </w:t>
      </w:r>
      <w:r w:rsidRPr="00DD3216">
        <w:rPr>
          <w:bCs/>
          <w:lang w:val="en-GB"/>
        </w:rPr>
        <w:t>BUT</w:t>
      </w:r>
      <w:r w:rsidRPr="00DD3216">
        <w:rPr>
          <w:lang w:val="en-GB"/>
        </w:rPr>
        <w:t xml:space="preserve"> </w:t>
      </w:r>
      <w:r w:rsidR="00DD3216">
        <w:rPr>
          <w:lang w:val="en-GB"/>
        </w:rPr>
        <w:t xml:space="preserve">the service </w:t>
      </w:r>
      <w:r w:rsidRPr="00DD3216">
        <w:rPr>
          <w:lang w:val="en-GB"/>
        </w:rPr>
        <w:t xml:space="preserve">does not ensure the offer of supportive counselling services to victims.   </w:t>
      </w:r>
    </w:p>
    <w:p w14:paraId="33D2583A" w14:textId="77777777" w:rsidR="00F560BB" w:rsidRPr="00DD3216" w:rsidRDefault="00483AB3" w:rsidP="00DD3216">
      <w:pPr>
        <w:numPr>
          <w:ilvl w:val="0"/>
          <w:numId w:val="2"/>
        </w:numPr>
      </w:pPr>
      <w:r w:rsidRPr="00DD3216">
        <w:rPr>
          <w:lang w:val="en-GB"/>
        </w:rPr>
        <w:t xml:space="preserve">In </w:t>
      </w:r>
      <w:r w:rsidRPr="00DD3216">
        <w:rPr>
          <w:bCs/>
          <w:u w:val="single"/>
          <w:lang w:val="en-GB"/>
        </w:rPr>
        <w:t>Portugal</w:t>
      </w:r>
      <w:r w:rsidRPr="00DD3216">
        <w:rPr>
          <w:b/>
          <w:bCs/>
          <w:lang w:val="en-GB"/>
        </w:rPr>
        <w:t>,</w:t>
      </w:r>
      <w:r w:rsidRPr="00DD3216">
        <w:rPr>
          <w:lang w:val="en-GB"/>
        </w:rPr>
        <w:t xml:space="preserve"> a first centre for women and girls victims of sexual violence was inaugurated in Lisbon in 2016 and 2 more are planned </w:t>
      </w:r>
      <w:r w:rsidRPr="00DD3216">
        <w:rPr>
          <w:bCs/>
          <w:lang w:val="en-GB"/>
        </w:rPr>
        <w:t>BUT</w:t>
      </w:r>
      <w:r w:rsidRPr="00DD3216">
        <w:rPr>
          <w:lang w:val="en-GB"/>
        </w:rPr>
        <w:t xml:space="preserve"> </w:t>
      </w:r>
      <w:r w:rsidR="00DD3216">
        <w:rPr>
          <w:lang w:val="en-GB"/>
        </w:rPr>
        <w:t xml:space="preserve">there is a </w:t>
      </w:r>
      <w:r w:rsidRPr="00DD3216">
        <w:rPr>
          <w:lang w:val="en-GB"/>
        </w:rPr>
        <w:t>need to develop rape crisis centres and sexual violence referral centres in sufficient numbers, and make sure they provide both short term support (forensic examination and medical care) as well as long</w:t>
      </w:r>
      <w:r w:rsidR="00DD3216">
        <w:rPr>
          <w:lang w:val="en-GB"/>
        </w:rPr>
        <w:t>er</w:t>
      </w:r>
      <w:r w:rsidRPr="00DD3216">
        <w:rPr>
          <w:lang w:val="en-GB"/>
        </w:rPr>
        <w:t xml:space="preserve"> term </w:t>
      </w:r>
      <w:r w:rsidR="00DD3216">
        <w:rPr>
          <w:lang w:val="en-GB"/>
        </w:rPr>
        <w:t>(</w:t>
      </w:r>
      <w:r w:rsidRPr="00DD3216">
        <w:rPr>
          <w:lang w:val="en-GB"/>
        </w:rPr>
        <w:t xml:space="preserve">counselling).  </w:t>
      </w:r>
    </w:p>
    <w:p w14:paraId="278F8010" w14:textId="77777777" w:rsidR="00F560BB" w:rsidRPr="00DD3216" w:rsidRDefault="00483AB3" w:rsidP="00DD3216">
      <w:pPr>
        <w:numPr>
          <w:ilvl w:val="0"/>
          <w:numId w:val="2"/>
        </w:numPr>
      </w:pPr>
      <w:r w:rsidRPr="00DD3216">
        <w:rPr>
          <w:bCs/>
          <w:u w:val="single"/>
          <w:lang w:val="en-GB"/>
        </w:rPr>
        <w:t>Albania</w:t>
      </w:r>
      <w:r w:rsidRPr="00DD3216">
        <w:rPr>
          <w:lang w:val="en-GB"/>
        </w:rPr>
        <w:t xml:space="preserve"> and </w:t>
      </w:r>
      <w:r w:rsidRPr="00DD3216">
        <w:rPr>
          <w:bCs/>
          <w:u w:val="single"/>
          <w:lang w:val="en-GB"/>
        </w:rPr>
        <w:t>Montenegro</w:t>
      </w:r>
      <w:r w:rsidRPr="00DD3216">
        <w:rPr>
          <w:lang w:val="en-GB"/>
        </w:rPr>
        <w:t xml:space="preserve">, have no rape crises or sexual violence referral centres, medical and forensic examination are offered in hospital, </w:t>
      </w:r>
      <w:r w:rsidRPr="00DD3216">
        <w:rPr>
          <w:bCs/>
          <w:lang w:val="en-GB"/>
        </w:rPr>
        <w:t>BUT</w:t>
      </w:r>
      <w:r w:rsidRPr="00DD3216">
        <w:rPr>
          <w:lang w:val="en-GB"/>
        </w:rPr>
        <w:t xml:space="preserve"> </w:t>
      </w:r>
      <w:r w:rsidR="00DD3216">
        <w:rPr>
          <w:lang w:val="en-GB"/>
        </w:rPr>
        <w:t xml:space="preserve">one </w:t>
      </w:r>
      <w:r w:rsidRPr="00DD3216">
        <w:rPr>
          <w:lang w:val="en-GB"/>
        </w:rPr>
        <w:t>need</w:t>
      </w:r>
      <w:r w:rsidR="00DD3216">
        <w:rPr>
          <w:lang w:val="en-GB"/>
        </w:rPr>
        <w:t>s</w:t>
      </w:r>
      <w:r w:rsidRPr="00DD3216">
        <w:rPr>
          <w:lang w:val="en-GB"/>
        </w:rPr>
        <w:t xml:space="preserve"> to keep in mind the traumatic nature of sexual violence and the importance of ensuring a sensitive response by trained and specialised staff. </w:t>
      </w:r>
    </w:p>
    <w:p w14:paraId="4730BB3B" w14:textId="489B5E9B" w:rsidR="00F560BB" w:rsidRDefault="00B05442" w:rsidP="00DD6741">
      <w:pPr>
        <w:rPr>
          <w:lang w:val="en-GB"/>
        </w:rPr>
      </w:pPr>
      <w:r>
        <w:t xml:space="preserve">And the last </w:t>
      </w:r>
      <w:r w:rsidR="00DD6741">
        <w:t xml:space="preserve">relevant </w:t>
      </w:r>
      <w:r>
        <w:t>article that I will mention</w:t>
      </w:r>
      <w:r w:rsidR="00DD6741">
        <w:t>,</w:t>
      </w:r>
      <w:r>
        <w:t xml:space="preserve"> briefly </w:t>
      </w:r>
      <w:r w:rsidR="00DD6741">
        <w:t xml:space="preserve">due to time constraints, </w:t>
      </w:r>
      <w:r>
        <w:t xml:space="preserve">is Article 16 on treatment programmes for sex offenders.  In relation to this article GREVIO found some </w:t>
      </w:r>
      <w:r w:rsidR="006E05BA">
        <w:t xml:space="preserve">state parties </w:t>
      </w:r>
      <w:r>
        <w:t xml:space="preserve">with no information on treatment programmes devoted </w:t>
      </w:r>
      <w:r w:rsidRPr="00B05442">
        <w:rPr>
          <w:lang w:val="en-GB"/>
        </w:rPr>
        <w:t>specifically to sex offenders and aimed at preventing them from reoffending</w:t>
      </w:r>
      <w:r>
        <w:rPr>
          <w:lang w:val="en-GB"/>
        </w:rPr>
        <w:t xml:space="preserve"> (e.g. </w:t>
      </w:r>
      <w:r w:rsidRPr="00B05442">
        <w:rPr>
          <w:bCs/>
          <w:u w:val="single"/>
          <w:lang w:val="en-GB"/>
        </w:rPr>
        <w:t>Albania</w:t>
      </w:r>
      <w:r w:rsidRPr="00B05442">
        <w:rPr>
          <w:lang w:val="en-GB"/>
        </w:rPr>
        <w:t xml:space="preserve"> and </w:t>
      </w:r>
      <w:r w:rsidRPr="00B05442">
        <w:rPr>
          <w:bCs/>
          <w:u w:val="single"/>
          <w:lang w:val="en-GB"/>
        </w:rPr>
        <w:t>Montenegro</w:t>
      </w:r>
      <w:r>
        <w:rPr>
          <w:bCs/>
          <w:lang w:val="en-GB"/>
        </w:rPr>
        <w:t>).  Some countries run specific</w:t>
      </w:r>
      <w:r w:rsidRPr="00B05442">
        <w:rPr>
          <w:lang w:val="en-GB"/>
        </w:rPr>
        <w:t xml:space="preserve"> treatment programmes for sex offenders </w:t>
      </w:r>
      <w:r w:rsidRPr="00DD6741">
        <w:rPr>
          <w:lang w:val="en-GB"/>
        </w:rPr>
        <w:t>in prisons</w:t>
      </w:r>
      <w:r w:rsidR="00DD6741">
        <w:rPr>
          <w:lang w:val="en-GB"/>
        </w:rPr>
        <w:t xml:space="preserve"> (such a </w:t>
      </w:r>
      <w:r w:rsidR="00DD6741" w:rsidRPr="00DD6741">
        <w:rPr>
          <w:u w:val="single"/>
          <w:lang w:val="en-GB"/>
        </w:rPr>
        <w:t>Portugal</w:t>
      </w:r>
      <w:r w:rsidR="00DD6741">
        <w:rPr>
          <w:lang w:val="en-GB"/>
        </w:rPr>
        <w:t xml:space="preserve"> and </w:t>
      </w:r>
      <w:r w:rsidR="00DD6741" w:rsidRPr="00DD6741">
        <w:rPr>
          <w:u w:val="single"/>
          <w:lang w:val="en-GB"/>
        </w:rPr>
        <w:t>Turkey</w:t>
      </w:r>
      <w:r w:rsidR="00DD6741">
        <w:rPr>
          <w:lang w:val="en-GB"/>
        </w:rPr>
        <w:t xml:space="preserve">), whereas others run them as part of the probation services (e.g. </w:t>
      </w:r>
      <w:r w:rsidR="00DD6741" w:rsidRPr="00DD6741">
        <w:rPr>
          <w:u w:val="single"/>
          <w:lang w:val="en-GB"/>
        </w:rPr>
        <w:t>Austria</w:t>
      </w:r>
      <w:r w:rsidR="00DD6741">
        <w:rPr>
          <w:lang w:val="en-GB"/>
        </w:rPr>
        <w:t xml:space="preserve">).  And finally, others (e.g. </w:t>
      </w:r>
      <w:r w:rsidR="00DD6741" w:rsidRPr="00DD6741">
        <w:rPr>
          <w:u w:val="single"/>
          <w:lang w:val="en-GB"/>
        </w:rPr>
        <w:t>Sweden</w:t>
      </w:r>
      <w:r w:rsidR="00DD6741">
        <w:rPr>
          <w:lang w:val="en-GB"/>
        </w:rPr>
        <w:t xml:space="preserve"> and </w:t>
      </w:r>
      <w:r w:rsidR="00DD6741" w:rsidRPr="00DD6741">
        <w:rPr>
          <w:u w:val="single"/>
          <w:lang w:val="en-GB"/>
        </w:rPr>
        <w:t>Denmark</w:t>
      </w:r>
      <w:r w:rsidR="00DD6741">
        <w:rPr>
          <w:lang w:val="en-GB"/>
        </w:rPr>
        <w:t xml:space="preserve">) run these specific </w:t>
      </w:r>
      <w:r w:rsidR="00DD6741">
        <w:rPr>
          <w:lang w:val="en-GB"/>
        </w:rPr>
        <w:lastRenderedPageBreak/>
        <w:t>treatment programmes in both prisons and the probation services.</w:t>
      </w:r>
      <w:r w:rsidR="00483AB3" w:rsidRPr="00B05442">
        <w:rPr>
          <w:lang w:val="en-GB"/>
        </w:rPr>
        <w:t xml:space="preserve"> </w:t>
      </w:r>
      <w:r w:rsidR="00DD6741">
        <w:rPr>
          <w:lang w:val="en-GB"/>
        </w:rPr>
        <w:t xml:space="preserve"> These programmes</w:t>
      </w:r>
      <w:r w:rsidR="0044177C">
        <w:rPr>
          <w:lang w:val="en-GB"/>
        </w:rPr>
        <w:t xml:space="preserve"> </w:t>
      </w:r>
      <w:r w:rsidR="00DD6741">
        <w:rPr>
          <w:lang w:val="en-GB"/>
        </w:rPr>
        <w:t>are important since they can help towards prevention in the future.</w:t>
      </w:r>
    </w:p>
    <w:p w14:paraId="338BA2F9" w14:textId="77777777" w:rsidR="00DD6741" w:rsidRDefault="00483AB3" w:rsidP="00DD6741">
      <w:r>
        <w:t>I would like to thank the Special Rapporteur on Violence against Women and it Consequences, as well as Equality Now for giving us this opportunity to exchange information, and seek a way forward to rid our societies of rape and sexual abuse.</w:t>
      </w:r>
    </w:p>
    <w:p w14:paraId="0EF7EA73" w14:textId="77777777" w:rsidR="00483AB3" w:rsidRPr="00B05442" w:rsidRDefault="00483AB3" w:rsidP="00DD6741">
      <w:r>
        <w:t>Thank you.</w:t>
      </w:r>
    </w:p>
    <w:p w14:paraId="57E9F5E6" w14:textId="77777777" w:rsidR="00B05442" w:rsidRPr="00DD3216" w:rsidRDefault="00B05442" w:rsidP="00DD3216"/>
    <w:p w14:paraId="458B5444" w14:textId="77777777" w:rsidR="00DD3216" w:rsidRPr="00DD3216" w:rsidRDefault="00DD3216" w:rsidP="00DD3216">
      <w:pPr>
        <w:ind w:left="720"/>
      </w:pPr>
    </w:p>
    <w:p w14:paraId="0D2C9B22" w14:textId="77777777" w:rsidR="00DD3216" w:rsidRDefault="00DD3216" w:rsidP="005E5A76"/>
    <w:p w14:paraId="03482672" w14:textId="77777777" w:rsidR="00DD3216" w:rsidRPr="005E5A76" w:rsidRDefault="00DD3216" w:rsidP="005E5A76"/>
    <w:p w14:paraId="01F794A5" w14:textId="2B6E8B22" w:rsidR="00EA68F7" w:rsidRDefault="00EA68F7" w:rsidP="005E5A76"/>
    <w:p w14:paraId="4ADC59F6" w14:textId="02741E91" w:rsidR="00E544EC" w:rsidRDefault="00E544EC" w:rsidP="005E5A76"/>
    <w:p w14:paraId="3BC55F3E" w14:textId="77777777" w:rsidR="00E544EC" w:rsidRPr="005E5A76" w:rsidRDefault="00E544EC" w:rsidP="005E5A76">
      <w:bookmarkStart w:id="0" w:name="_GoBack"/>
      <w:bookmarkEnd w:id="0"/>
    </w:p>
    <w:p w14:paraId="120E3E63" w14:textId="77777777" w:rsidR="00F82560" w:rsidRPr="004A7872" w:rsidRDefault="00F82560" w:rsidP="008C47E8"/>
    <w:p w14:paraId="477C082B" w14:textId="77777777" w:rsidR="005C16B8" w:rsidRPr="005C16B8" w:rsidRDefault="005C16B8" w:rsidP="005C16B8"/>
    <w:p w14:paraId="7C523247" w14:textId="77777777" w:rsidR="007B5776" w:rsidRDefault="007B5776" w:rsidP="00F062D0"/>
    <w:sectPr w:rsidR="007B577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3C43F" w16cid:durableId="2280C3A8"/>
  <w16cid:commentId w16cid:paraId="30759EBE" w16cid:durableId="2280B788"/>
  <w16cid:commentId w16cid:paraId="2B57A36F" w16cid:durableId="2280B6D5"/>
  <w16cid:commentId w16cid:paraId="5C25ACF1" w16cid:durableId="2280BD0F"/>
  <w16cid:commentId w16cid:paraId="2C688EAA" w16cid:durableId="2280BD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AAE5" w14:textId="77777777" w:rsidR="00FC3D9B" w:rsidRDefault="00FC3D9B" w:rsidP="00652389">
      <w:pPr>
        <w:spacing w:after="0" w:line="240" w:lineRule="auto"/>
      </w:pPr>
      <w:r>
        <w:separator/>
      </w:r>
    </w:p>
  </w:endnote>
  <w:endnote w:type="continuationSeparator" w:id="0">
    <w:p w14:paraId="4409C46F" w14:textId="77777777" w:rsidR="00FC3D9B" w:rsidRDefault="00FC3D9B" w:rsidP="0065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5281" w14:textId="77777777" w:rsidR="00FC3D9B" w:rsidRDefault="00FC3D9B" w:rsidP="00652389">
      <w:pPr>
        <w:spacing w:after="0" w:line="240" w:lineRule="auto"/>
      </w:pPr>
      <w:r>
        <w:separator/>
      </w:r>
    </w:p>
  </w:footnote>
  <w:footnote w:type="continuationSeparator" w:id="0">
    <w:p w14:paraId="303B2979" w14:textId="77777777" w:rsidR="00FC3D9B" w:rsidRDefault="00FC3D9B" w:rsidP="00652389">
      <w:pPr>
        <w:spacing w:after="0" w:line="240" w:lineRule="auto"/>
      </w:pPr>
      <w:r>
        <w:continuationSeparator/>
      </w:r>
    </w:p>
  </w:footnote>
  <w:footnote w:id="1">
    <w:p w14:paraId="492123A9" w14:textId="77777777" w:rsidR="00652389" w:rsidRPr="00681E39" w:rsidRDefault="00652389" w:rsidP="00652389">
      <w:pPr>
        <w:pStyle w:val="FootnoteText"/>
        <w:rPr>
          <w:sz w:val="18"/>
          <w:lang w:val="en-GB"/>
        </w:rPr>
      </w:pPr>
      <w:r>
        <w:rPr>
          <w:rStyle w:val="FootnoteReference"/>
        </w:rPr>
        <w:footnoteRef/>
      </w:r>
      <w:r>
        <w:t xml:space="preserve"> </w:t>
      </w:r>
      <w:r w:rsidRPr="00681E39">
        <w:rPr>
          <w:sz w:val="18"/>
        </w:rPr>
        <w:t>Despite this legal change, Austrian</w:t>
      </w:r>
      <w:r>
        <w:rPr>
          <w:sz w:val="18"/>
        </w:rPr>
        <w:t xml:space="preserve"> criminal legislation</w:t>
      </w:r>
      <w:r w:rsidRPr="00681E39">
        <w:rPr>
          <w:sz w:val="18"/>
        </w:rPr>
        <w:t xml:space="preserve"> only partially compl</w:t>
      </w:r>
      <w:r>
        <w:rPr>
          <w:sz w:val="18"/>
        </w:rPr>
        <w:t>ies</w:t>
      </w:r>
      <w:r w:rsidRPr="00681E39">
        <w:rPr>
          <w:sz w:val="18"/>
        </w:rPr>
        <w:t xml:space="preserve"> with Article 36 of the Istanbul Convention, </w:t>
      </w:r>
      <w:r>
        <w:rPr>
          <w:sz w:val="18"/>
        </w:rPr>
        <w:t>because</w:t>
      </w:r>
      <w:r w:rsidRPr="00681E39">
        <w:rPr>
          <w:sz w:val="18"/>
        </w:rPr>
        <w:t xml:space="preserve"> </w:t>
      </w:r>
      <w:r>
        <w:rPr>
          <w:sz w:val="18"/>
        </w:rPr>
        <w:t>it</w:t>
      </w:r>
      <w:r w:rsidRPr="00681E39">
        <w:rPr>
          <w:sz w:val="18"/>
        </w:rPr>
        <w:t xml:space="preserve"> do</w:t>
      </w:r>
      <w:r>
        <w:rPr>
          <w:sz w:val="18"/>
        </w:rPr>
        <w:t>es</w:t>
      </w:r>
      <w:r w:rsidRPr="00681E39">
        <w:rPr>
          <w:sz w:val="18"/>
        </w:rPr>
        <w:t xml:space="preserve"> not capture all </w:t>
      </w:r>
      <w:r>
        <w:rPr>
          <w:sz w:val="18"/>
          <w:lang w:val="en-GB"/>
        </w:rPr>
        <w:t>non-consensual sexual acts.</w:t>
      </w:r>
    </w:p>
  </w:footnote>
  <w:footnote w:id="2">
    <w:p w14:paraId="1761D3E7" w14:textId="77777777" w:rsidR="00652389" w:rsidRPr="00681E39" w:rsidRDefault="00652389" w:rsidP="00652389">
      <w:pPr>
        <w:pStyle w:val="FootnoteText"/>
        <w:rPr>
          <w:lang w:val="en-GB"/>
        </w:rPr>
      </w:pPr>
      <w:r w:rsidRPr="00681E39">
        <w:rPr>
          <w:rStyle w:val="FootnoteReference"/>
          <w:sz w:val="18"/>
        </w:rPr>
        <w:footnoteRef/>
      </w:r>
      <w:r w:rsidRPr="00681E39">
        <w:rPr>
          <w:sz w:val="18"/>
        </w:rPr>
        <w:t xml:space="preserve"> Despite this legal change, Portuguese </w:t>
      </w:r>
      <w:r>
        <w:rPr>
          <w:sz w:val="18"/>
        </w:rPr>
        <w:t xml:space="preserve">criminal legislation </w:t>
      </w:r>
      <w:r w:rsidRPr="00681E39">
        <w:rPr>
          <w:sz w:val="18"/>
        </w:rPr>
        <w:t>only partially compl</w:t>
      </w:r>
      <w:r>
        <w:rPr>
          <w:sz w:val="18"/>
        </w:rPr>
        <w:t>ies</w:t>
      </w:r>
      <w:r w:rsidRPr="00681E39">
        <w:rPr>
          <w:sz w:val="18"/>
        </w:rPr>
        <w:t xml:space="preserve"> with Article 36 of the Istanbul Convention, </w:t>
      </w:r>
      <w:r>
        <w:rPr>
          <w:sz w:val="18"/>
        </w:rPr>
        <w:t xml:space="preserve">because it does not </w:t>
      </w:r>
      <w:r w:rsidRPr="00681E39">
        <w:rPr>
          <w:sz w:val="18"/>
        </w:rPr>
        <w:t xml:space="preserve">capture all </w:t>
      </w:r>
      <w:r w:rsidRPr="00681E39">
        <w:rPr>
          <w:sz w:val="18"/>
          <w:lang w:val="en-GB"/>
        </w:rPr>
        <w:t>non-consensual sexual acts.</w:t>
      </w:r>
    </w:p>
  </w:footnote>
  <w:footnote w:id="3">
    <w:p w14:paraId="1F0AFFAA" w14:textId="77777777" w:rsidR="00652389" w:rsidRPr="007E6A43" w:rsidRDefault="00652389">
      <w:pPr>
        <w:pStyle w:val="FootnoteText"/>
        <w:rPr>
          <w:lang w:val="en-GB"/>
        </w:rPr>
      </w:pPr>
      <w:r>
        <w:rPr>
          <w:rStyle w:val="FootnoteReference"/>
        </w:rPr>
        <w:footnoteRef/>
      </w:r>
      <w:r>
        <w:t xml:space="preserve"> </w:t>
      </w:r>
      <w:r w:rsidRPr="007E6A43">
        <w:rPr>
          <w:sz w:val="18"/>
        </w:rPr>
        <w:t>First Baseline Evaluation Report by GREVIO in relation to Austria, paragraph 140, available at: https://rm.coe.int/grevio-report-austria-1st-evaluation/1680759619</w:t>
      </w:r>
      <w:r w:rsidR="007E6A43">
        <w:rPr>
          <w:sz w:val="18"/>
        </w:rPr>
        <w:t>.</w:t>
      </w:r>
    </w:p>
  </w:footnote>
  <w:footnote w:id="4">
    <w:p w14:paraId="03FEDFD3" w14:textId="77777777" w:rsidR="007E6A43" w:rsidRPr="007E6A43" w:rsidRDefault="007E6A43">
      <w:pPr>
        <w:pStyle w:val="FootnoteText"/>
        <w:rPr>
          <w:lang w:val="en-GB"/>
        </w:rPr>
      </w:pPr>
      <w:r>
        <w:rPr>
          <w:rStyle w:val="FootnoteReference"/>
        </w:rPr>
        <w:footnoteRef/>
      </w:r>
      <w:r>
        <w:t xml:space="preserve"> </w:t>
      </w:r>
      <w:r w:rsidRPr="007E6A43">
        <w:rPr>
          <w:sz w:val="18"/>
        </w:rPr>
        <w:t>First Baseline Evaluation Report by GREVIO in relation to Montenegro, paragraph 179, available at: https://rm.coe.int/grevio-report-montenegro/16808e5614</w:t>
      </w:r>
      <w:r>
        <w:rPr>
          <w:sz w:val="18"/>
        </w:rPr>
        <w:t>.</w:t>
      </w:r>
    </w:p>
  </w:footnote>
  <w:footnote w:id="5">
    <w:p w14:paraId="524AD808" w14:textId="77777777" w:rsidR="005062F4" w:rsidRPr="007E6A43" w:rsidRDefault="005062F4" w:rsidP="005062F4">
      <w:pPr>
        <w:pStyle w:val="FootnoteText"/>
        <w:rPr>
          <w:lang w:val="en-GB"/>
        </w:rPr>
      </w:pPr>
      <w:r>
        <w:rPr>
          <w:rStyle w:val="FootnoteReference"/>
        </w:rPr>
        <w:footnoteRef/>
      </w:r>
      <w:r>
        <w:t xml:space="preserve"> </w:t>
      </w:r>
      <w:r w:rsidRPr="007E6A43">
        <w:rPr>
          <w:sz w:val="18"/>
        </w:rPr>
        <w:t>First Baseline Evaluation Report by GREVIO in relation to</w:t>
      </w:r>
      <w:r>
        <w:rPr>
          <w:sz w:val="18"/>
        </w:rPr>
        <w:t xml:space="preserve"> Portugal, paragraph 173, available at: </w:t>
      </w:r>
      <w:hyperlink r:id="rId1" w:history="1">
        <w:r w:rsidRPr="00B34368">
          <w:rPr>
            <w:rStyle w:val="Hyperlink"/>
            <w:sz w:val="18"/>
          </w:rPr>
          <w:t>https://rm.coe.int/grevio-reprt-on-portugal/168091f16f</w:t>
        </w:r>
      </w:hyperlink>
      <w:r>
        <w:rPr>
          <w:sz w:val="18"/>
        </w:rPr>
        <w:t xml:space="preserve">. </w:t>
      </w:r>
    </w:p>
  </w:footnote>
  <w:footnote w:id="6">
    <w:p w14:paraId="3A9C613E" w14:textId="77777777" w:rsidR="00695BA1" w:rsidRPr="00695BA1" w:rsidRDefault="00695BA1">
      <w:pPr>
        <w:pStyle w:val="FootnoteText"/>
        <w:rPr>
          <w:lang w:val="en-GB"/>
        </w:rPr>
      </w:pPr>
      <w:r>
        <w:rPr>
          <w:rStyle w:val="FootnoteReference"/>
        </w:rPr>
        <w:footnoteRef/>
      </w:r>
      <w:r>
        <w:t xml:space="preserve"> </w:t>
      </w:r>
      <w:r w:rsidRPr="007E6A43">
        <w:rPr>
          <w:sz w:val="18"/>
        </w:rPr>
        <w:t xml:space="preserve">First Baseline Evaluation Report by GREVIO in relation </w:t>
      </w:r>
      <w:r>
        <w:rPr>
          <w:sz w:val="18"/>
        </w:rPr>
        <w:t xml:space="preserve">Sweden, paragraphs 181-184, </w:t>
      </w:r>
      <w:r w:rsidRPr="00695BA1">
        <w:rPr>
          <w:sz w:val="18"/>
        </w:rPr>
        <w:t>available at https://rm.coe.int/grevio-inf-2018-15-eng-final/168091e686.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E6845"/>
    <w:multiLevelType w:val="hybridMultilevel"/>
    <w:tmpl w:val="E65CEDA0"/>
    <w:lvl w:ilvl="0" w:tplc="A8125164">
      <w:start w:val="1"/>
      <w:numFmt w:val="bullet"/>
      <w:lvlText w:val="•"/>
      <w:lvlJc w:val="left"/>
      <w:pPr>
        <w:tabs>
          <w:tab w:val="num" w:pos="720"/>
        </w:tabs>
        <w:ind w:left="720" w:hanging="360"/>
      </w:pPr>
      <w:rPr>
        <w:rFonts w:ascii="Arial" w:hAnsi="Arial" w:hint="default"/>
      </w:rPr>
    </w:lvl>
    <w:lvl w:ilvl="1" w:tplc="CDBAE2B2" w:tentative="1">
      <w:start w:val="1"/>
      <w:numFmt w:val="bullet"/>
      <w:lvlText w:val="•"/>
      <w:lvlJc w:val="left"/>
      <w:pPr>
        <w:tabs>
          <w:tab w:val="num" w:pos="1440"/>
        </w:tabs>
        <w:ind w:left="1440" w:hanging="360"/>
      </w:pPr>
      <w:rPr>
        <w:rFonts w:ascii="Arial" w:hAnsi="Arial" w:hint="default"/>
      </w:rPr>
    </w:lvl>
    <w:lvl w:ilvl="2" w:tplc="6448B0AA" w:tentative="1">
      <w:start w:val="1"/>
      <w:numFmt w:val="bullet"/>
      <w:lvlText w:val="•"/>
      <w:lvlJc w:val="left"/>
      <w:pPr>
        <w:tabs>
          <w:tab w:val="num" w:pos="2160"/>
        </w:tabs>
        <w:ind w:left="2160" w:hanging="360"/>
      </w:pPr>
      <w:rPr>
        <w:rFonts w:ascii="Arial" w:hAnsi="Arial" w:hint="default"/>
      </w:rPr>
    </w:lvl>
    <w:lvl w:ilvl="3" w:tplc="D7383F22" w:tentative="1">
      <w:start w:val="1"/>
      <w:numFmt w:val="bullet"/>
      <w:lvlText w:val="•"/>
      <w:lvlJc w:val="left"/>
      <w:pPr>
        <w:tabs>
          <w:tab w:val="num" w:pos="2880"/>
        </w:tabs>
        <w:ind w:left="2880" w:hanging="360"/>
      </w:pPr>
      <w:rPr>
        <w:rFonts w:ascii="Arial" w:hAnsi="Arial" w:hint="default"/>
      </w:rPr>
    </w:lvl>
    <w:lvl w:ilvl="4" w:tplc="90660B70" w:tentative="1">
      <w:start w:val="1"/>
      <w:numFmt w:val="bullet"/>
      <w:lvlText w:val="•"/>
      <w:lvlJc w:val="left"/>
      <w:pPr>
        <w:tabs>
          <w:tab w:val="num" w:pos="3600"/>
        </w:tabs>
        <w:ind w:left="3600" w:hanging="360"/>
      </w:pPr>
      <w:rPr>
        <w:rFonts w:ascii="Arial" w:hAnsi="Arial" w:hint="default"/>
      </w:rPr>
    </w:lvl>
    <w:lvl w:ilvl="5" w:tplc="496877C4" w:tentative="1">
      <w:start w:val="1"/>
      <w:numFmt w:val="bullet"/>
      <w:lvlText w:val="•"/>
      <w:lvlJc w:val="left"/>
      <w:pPr>
        <w:tabs>
          <w:tab w:val="num" w:pos="4320"/>
        </w:tabs>
        <w:ind w:left="4320" w:hanging="360"/>
      </w:pPr>
      <w:rPr>
        <w:rFonts w:ascii="Arial" w:hAnsi="Arial" w:hint="default"/>
      </w:rPr>
    </w:lvl>
    <w:lvl w:ilvl="6" w:tplc="364A445A" w:tentative="1">
      <w:start w:val="1"/>
      <w:numFmt w:val="bullet"/>
      <w:lvlText w:val="•"/>
      <w:lvlJc w:val="left"/>
      <w:pPr>
        <w:tabs>
          <w:tab w:val="num" w:pos="5040"/>
        </w:tabs>
        <w:ind w:left="5040" w:hanging="360"/>
      </w:pPr>
      <w:rPr>
        <w:rFonts w:ascii="Arial" w:hAnsi="Arial" w:hint="default"/>
      </w:rPr>
    </w:lvl>
    <w:lvl w:ilvl="7" w:tplc="9D3A6B24" w:tentative="1">
      <w:start w:val="1"/>
      <w:numFmt w:val="bullet"/>
      <w:lvlText w:val="•"/>
      <w:lvlJc w:val="left"/>
      <w:pPr>
        <w:tabs>
          <w:tab w:val="num" w:pos="5760"/>
        </w:tabs>
        <w:ind w:left="5760" w:hanging="360"/>
      </w:pPr>
      <w:rPr>
        <w:rFonts w:ascii="Arial" w:hAnsi="Arial" w:hint="default"/>
      </w:rPr>
    </w:lvl>
    <w:lvl w:ilvl="8" w:tplc="BA668D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D76B13"/>
    <w:multiLevelType w:val="hybridMultilevel"/>
    <w:tmpl w:val="E6DE5E24"/>
    <w:lvl w:ilvl="0" w:tplc="110E8A92">
      <w:start w:val="1"/>
      <w:numFmt w:val="bullet"/>
      <w:lvlText w:val="•"/>
      <w:lvlJc w:val="left"/>
      <w:pPr>
        <w:tabs>
          <w:tab w:val="num" w:pos="720"/>
        </w:tabs>
        <w:ind w:left="720" w:hanging="360"/>
      </w:pPr>
      <w:rPr>
        <w:rFonts w:ascii="Arial" w:hAnsi="Arial" w:hint="default"/>
      </w:rPr>
    </w:lvl>
    <w:lvl w:ilvl="1" w:tplc="6FDA56CC" w:tentative="1">
      <w:start w:val="1"/>
      <w:numFmt w:val="bullet"/>
      <w:lvlText w:val="•"/>
      <w:lvlJc w:val="left"/>
      <w:pPr>
        <w:tabs>
          <w:tab w:val="num" w:pos="1440"/>
        </w:tabs>
        <w:ind w:left="1440" w:hanging="360"/>
      </w:pPr>
      <w:rPr>
        <w:rFonts w:ascii="Arial" w:hAnsi="Arial" w:hint="default"/>
      </w:rPr>
    </w:lvl>
    <w:lvl w:ilvl="2" w:tplc="28161BC6" w:tentative="1">
      <w:start w:val="1"/>
      <w:numFmt w:val="bullet"/>
      <w:lvlText w:val="•"/>
      <w:lvlJc w:val="left"/>
      <w:pPr>
        <w:tabs>
          <w:tab w:val="num" w:pos="2160"/>
        </w:tabs>
        <w:ind w:left="2160" w:hanging="360"/>
      </w:pPr>
      <w:rPr>
        <w:rFonts w:ascii="Arial" w:hAnsi="Arial" w:hint="default"/>
      </w:rPr>
    </w:lvl>
    <w:lvl w:ilvl="3" w:tplc="EE5A9692" w:tentative="1">
      <w:start w:val="1"/>
      <w:numFmt w:val="bullet"/>
      <w:lvlText w:val="•"/>
      <w:lvlJc w:val="left"/>
      <w:pPr>
        <w:tabs>
          <w:tab w:val="num" w:pos="2880"/>
        </w:tabs>
        <w:ind w:left="2880" w:hanging="360"/>
      </w:pPr>
      <w:rPr>
        <w:rFonts w:ascii="Arial" w:hAnsi="Arial" w:hint="default"/>
      </w:rPr>
    </w:lvl>
    <w:lvl w:ilvl="4" w:tplc="E6284570" w:tentative="1">
      <w:start w:val="1"/>
      <w:numFmt w:val="bullet"/>
      <w:lvlText w:val="•"/>
      <w:lvlJc w:val="left"/>
      <w:pPr>
        <w:tabs>
          <w:tab w:val="num" w:pos="3600"/>
        </w:tabs>
        <w:ind w:left="3600" w:hanging="360"/>
      </w:pPr>
      <w:rPr>
        <w:rFonts w:ascii="Arial" w:hAnsi="Arial" w:hint="default"/>
      </w:rPr>
    </w:lvl>
    <w:lvl w:ilvl="5" w:tplc="64162300" w:tentative="1">
      <w:start w:val="1"/>
      <w:numFmt w:val="bullet"/>
      <w:lvlText w:val="•"/>
      <w:lvlJc w:val="left"/>
      <w:pPr>
        <w:tabs>
          <w:tab w:val="num" w:pos="4320"/>
        </w:tabs>
        <w:ind w:left="4320" w:hanging="360"/>
      </w:pPr>
      <w:rPr>
        <w:rFonts w:ascii="Arial" w:hAnsi="Arial" w:hint="default"/>
      </w:rPr>
    </w:lvl>
    <w:lvl w:ilvl="6" w:tplc="31A2702E" w:tentative="1">
      <w:start w:val="1"/>
      <w:numFmt w:val="bullet"/>
      <w:lvlText w:val="•"/>
      <w:lvlJc w:val="left"/>
      <w:pPr>
        <w:tabs>
          <w:tab w:val="num" w:pos="5040"/>
        </w:tabs>
        <w:ind w:left="5040" w:hanging="360"/>
      </w:pPr>
      <w:rPr>
        <w:rFonts w:ascii="Arial" w:hAnsi="Arial" w:hint="default"/>
      </w:rPr>
    </w:lvl>
    <w:lvl w:ilvl="7" w:tplc="F6B0508A" w:tentative="1">
      <w:start w:val="1"/>
      <w:numFmt w:val="bullet"/>
      <w:lvlText w:val="•"/>
      <w:lvlJc w:val="left"/>
      <w:pPr>
        <w:tabs>
          <w:tab w:val="num" w:pos="5760"/>
        </w:tabs>
        <w:ind w:left="5760" w:hanging="360"/>
      </w:pPr>
      <w:rPr>
        <w:rFonts w:ascii="Arial" w:hAnsi="Arial" w:hint="default"/>
      </w:rPr>
    </w:lvl>
    <w:lvl w:ilvl="8" w:tplc="0E7E70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5467F9"/>
    <w:multiLevelType w:val="hybridMultilevel"/>
    <w:tmpl w:val="33CC818A"/>
    <w:lvl w:ilvl="0" w:tplc="1658ADD2">
      <w:start w:val="1"/>
      <w:numFmt w:val="bullet"/>
      <w:lvlText w:val="•"/>
      <w:lvlJc w:val="left"/>
      <w:pPr>
        <w:tabs>
          <w:tab w:val="num" w:pos="720"/>
        </w:tabs>
        <w:ind w:left="720" w:hanging="360"/>
      </w:pPr>
      <w:rPr>
        <w:rFonts w:ascii="Arial" w:hAnsi="Arial" w:hint="default"/>
      </w:rPr>
    </w:lvl>
    <w:lvl w:ilvl="1" w:tplc="E446D470" w:tentative="1">
      <w:start w:val="1"/>
      <w:numFmt w:val="bullet"/>
      <w:lvlText w:val="•"/>
      <w:lvlJc w:val="left"/>
      <w:pPr>
        <w:tabs>
          <w:tab w:val="num" w:pos="1440"/>
        </w:tabs>
        <w:ind w:left="1440" w:hanging="360"/>
      </w:pPr>
      <w:rPr>
        <w:rFonts w:ascii="Arial" w:hAnsi="Arial" w:hint="default"/>
      </w:rPr>
    </w:lvl>
    <w:lvl w:ilvl="2" w:tplc="77BCE330" w:tentative="1">
      <w:start w:val="1"/>
      <w:numFmt w:val="bullet"/>
      <w:lvlText w:val="•"/>
      <w:lvlJc w:val="left"/>
      <w:pPr>
        <w:tabs>
          <w:tab w:val="num" w:pos="2160"/>
        </w:tabs>
        <w:ind w:left="2160" w:hanging="360"/>
      </w:pPr>
      <w:rPr>
        <w:rFonts w:ascii="Arial" w:hAnsi="Arial" w:hint="default"/>
      </w:rPr>
    </w:lvl>
    <w:lvl w:ilvl="3" w:tplc="3462EF54" w:tentative="1">
      <w:start w:val="1"/>
      <w:numFmt w:val="bullet"/>
      <w:lvlText w:val="•"/>
      <w:lvlJc w:val="left"/>
      <w:pPr>
        <w:tabs>
          <w:tab w:val="num" w:pos="2880"/>
        </w:tabs>
        <w:ind w:left="2880" w:hanging="360"/>
      </w:pPr>
      <w:rPr>
        <w:rFonts w:ascii="Arial" w:hAnsi="Arial" w:hint="default"/>
      </w:rPr>
    </w:lvl>
    <w:lvl w:ilvl="4" w:tplc="282EE7A6" w:tentative="1">
      <w:start w:val="1"/>
      <w:numFmt w:val="bullet"/>
      <w:lvlText w:val="•"/>
      <w:lvlJc w:val="left"/>
      <w:pPr>
        <w:tabs>
          <w:tab w:val="num" w:pos="3600"/>
        </w:tabs>
        <w:ind w:left="3600" w:hanging="360"/>
      </w:pPr>
      <w:rPr>
        <w:rFonts w:ascii="Arial" w:hAnsi="Arial" w:hint="default"/>
      </w:rPr>
    </w:lvl>
    <w:lvl w:ilvl="5" w:tplc="51489914" w:tentative="1">
      <w:start w:val="1"/>
      <w:numFmt w:val="bullet"/>
      <w:lvlText w:val="•"/>
      <w:lvlJc w:val="left"/>
      <w:pPr>
        <w:tabs>
          <w:tab w:val="num" w:pos="4320"/>
        </w:tabs>
        <w:ind w:left="4320" w:hanging="360"/>
      </w:pPr>
      <w:rPr>
        <w:rFonts w:ascii="Arial" w:hAnsi="Arial" w:hint="default"/>
      </w:rPr>
    </w:lvl>
    <w:lvl w:ilvl="6" w:tplc="24A068A4" w:tentative="1">
      <w:start w:val="1"/>
      <w:numFmt w:val="bullet"/>
      <w:lvlText w:val="•"/>
      <w:lvlJc w:val="left"/>
      <w:pPr>
        <w:tabs>
          <w:tab w:val="num" w:pos="5040"/>
        </w:tabs>
        <w:ind w:left="5040" w:hanging="360"/>
      </w:pPr>
      <w:rPr>
        <w:rFonts w:ascii="Arial" w:hAnsi="Arial" w:hint="default"/>
      </w:rPr>
    </w:lvl>
    <w:lvl w:ilvl="7" w:tplc="DDFCCB5C" w:tentative="1">
      <w:start w:val="1"/>
      <w:numFmt w:val="bullet"/>
      <w:lvlText w:val="•"/>
      <w:lvlJc w:val="left"/>
      <w:pPr>
        <w:tabs>
          <w:tab w:val="num" w:pos="5760"/>
        </w:tabs>
        <w:ind w:left="5760" w:hanging="360"/>
      </w:pPr>
      <w:rPr>
        <w:rFonts w:ascii="Arial" w:hAnsi="Arial" w:hint="default"/>
      </w:rPr>
    </w:lvl>
    <w:lvl w:ilvl="8" w:tplc="142678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2A55FF"/>
    <w:multiLevelType w:val="hybridMultilevel"/>
    <w:tmpl w:val="E0469016"/>
    <w:lvl w:ilvl="0" w:tplc="06266478">
      <w:start w:val="1"/>
      <w:numFmt w:val="bullet"/>
      <w:lvlText w:val="•"/>
      <w:lvlJc w:val="left"/>
      <w:pPr>
        <w:tabs>
          <w:tab w:val="num" w:pos="720"/>
        </w:tabs>
        <w:ind w:left="720" w:hanging="360"/>
      </w:pPr>
      <w:rPr>
        <w:rFonts w:ascii="Arial" w:hAnsi="Arial" w:hint="default"/>
      </w:rPr>
    </w:lvl>
    <w:lvl w:ilvl="1" w:tplc="AF06E4EA" w:tentative="1">
      <w:start w:val="1"/>
      <w:numFmt w:val="bullet"/>
      <w:lvlText w:val="•"/>
      <w:lvlJc w:val="left"/>
      <w:pPr>
        <w:tabs>
          <w:tab w:val="num" w:pos="1440"/>
        </w:tabs>
        <w:ind w:left="1440" w:hanging="360"/>
      </w:pPr>
      <w:rPr>
        <w:rFonts w:ascii="Arial" w:hAnsi="Arial" w:hint="default"/>
      </w:rPr>
    </w:lvl>
    <w:lvl w:ilvl="2" w:tplc="9FE6A3E2" w:tentative="1">
      <w:start w:val="1"/>
      <w:numFmt w:val="bullet"/>
      <w:lvlText w:val="•"/>
      <w:lvlJc w:val="left"/>
      <w:pPr>
        <w:tabs>
          <w:tab w:val="num" w:pos="2160"/>
        </w:tabs>
        <w:ind w:left="2160" w:hanging="360"/>
      </w:pPr>
      <w:rPr>
        <w:rFonts w:ascii="Arial" w:hAnsi="Arial" w:hint="default"/>
      </w:rPr>
    </w:lvl>
    <w:lvl w:ilvl="3" w:tplc="B246CC38" w:tentative="1">
      <w:start w:val="1"/>
      <w:numFmt w:val="bullet"/>
      <w:lvlText w:val="•"/>
      <w:lvlJc w:val="left"/>
      <w:pPr>
        <w:tabs>
          <w:tab w:val="num" w:pos="2880"/>
        </w:tabs>
        <w:ind w:left="2880" w:hanging="360"/>
      </w:pPr>
      <w:rPr>
        <w:rFonts w:ascii="Arial" w:hAnsi="Arial" w:hint="default"/>
      </w:rPr>
    </w:lvl>
    <w:lvl w:ilvl="4" w:tplc="11DCA06E" w:tentative="1">
      <w:start w:val="1"/>
      <w:numFmt w:val="bullet"/>
      <w:lvlText w:val="•"/>
      <w:lvlJc w:val="left"/>
      <w:pPr>
        <w:tabs>
          <w:tab w:val="num" w:pos="3600"/>
        </w:tabs>
        <w:ind w:left="3600" w:hanging="360"/>
      </w:pPr>
      <w:rPr>
        <w:rFonts w:ascii="Arial" w:hAnsi="Arial" w:hint="default"/>
      </w:rPr>
    </w:lvl>
    <w:lvl w:ilvl="5" w:tplc="2304D70C" w:tentative="1">
      <w:start w:val="1"/>
      <w:numFmt w:val="bullet"/>
      <w:lvlText w:val="•"/>
      <w:lvlJc w:val="left"/>
      <w:pPr>
        <w:tabs>
          <w:tab w:val="num" w:pos="4320"/>
        </w:tabs>
        <w:ind w:left="4320" w:hanging="360"/>
      </w:pPr>
      <w:rPr>
        <w:rFonts w:ascii="Arial" w:hAnsi="Arial" w:hint="default"/>
      </w:rPr>
    </w:lvl>
    <w:lvl w:ilvl="6" w:tplc="9D14B636" w:tentative="1">
      <w:start w:val="1"/>
      <w:numFmt w:val="bullet"/>
      <w:lvlText w:val="•"/>
      <w:lvlJc w:val="left"/>
      <w:pPr>
        <w:tabs>
          <w:tab w:val="num" w:pos="5040"/>
        </w:tabs>
        <w:ind w:left="5040" w:hanging="360"/>
      </w:pPr>
      <w:rPr>
        <w:rFonts w:ascii="Arial" w:hAnsi="Arial" w:hint="default"/>
      </w:rPr>
    </w:lvl>
    <w:lvl w:ilvl="7" w:tplc="C494FF18" w:tentative="1">
      <w:start w:val="1"/>
      <w:numFmt w:val="bullet"/>
      <w:lvlText w:val="•"/>
      <w:lvlJc w:val="left"/>
      <w:pPr>
        <w:tabs>
          <w:tab w:val="num" w:pos="5760"/>
        </w:tabs>
        <w:ind w:left="5760" w:hanging="360"/>
      </w:pPr>
      <w:rPr>
        <w:rFonts w:ascii="Arial" w:hAnsi="Arial" w:hint="default"/>
      </w:rPr>
    </w:lvl>
    <w:lvl w:ilvl="8" w:tplc="0706EE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D0"/>
    <w:rsid w:val="000D07AE"/>
    <w:rsid w:val="001A0AB6"/>
    <w:rsid w:val="002C7506"/>
    <w:rsid w:val="004335E4"/>
    <w:rsid w:val="004353BA"/>
    <w:rsid w:val="0044177C"/>
    <w:rsid w:val="00483AB3"/>
    <w:rsid w:val="004A7872"/>
    <w:rsid w:val="005062F4"/>
    <w:rsid w:val="005A5CFD"/>
    <w:rsid w:val="005C16B8"/>
    <w:rsid w:val="005E5A76"/>
    <w:rsid w:val="00652389"/>
    <w:rsid w:val="00695BA1"/>
    <w:rsid w:val="006E05BA"/>
    <w:rsid w:val="007B5776"/>
    <w:rsid w:val="007B6A1A"/>
    <w:rsid w:val="007E4202"/>
    <w:rsid w:val="007E6A43"/>
    <w:rsid w:val="008C47E8"/>
    <w:rsid w:val="008C578A"/>
    <w:rsid w:val="009D5967"/>
    <w:rsid w:val="00A15F26"/>
    <w:rsid w:val="00B05442"/>
    <w:rsid w:val="00DD3216"/>
    <w:rsid w:val="00DD6741"/>
    <w:rsid w:val="00DD777F"/>
    <w:rsid w:val="00E544EC"/>
    <w:rsid w:val="00EA68F7"/>
    <w:rsid w:val="00F062D0"/>
    <w:rsid w:val="00F560BB"/>
    <w:rsid w:val="00F82560"/>
    <w:rsid w:val="00FC28EA"/>
    <w:rsid w:val="00FC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2C54"/>
  <w15:chartTrackingRefBased/>
  <w15:docId w15:val="{EF8FB5C2-37F0-459D-9393-2240A894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5A7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52389"/>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652389"/>
    <w:rPr>
      <w:rFonts w:ascii="Calibri" w:hAnsi="Calibri" w:cs="Times New Roman"/>
      <w:sz w:val="20"/>
      <w:szCs w:val="20"/>
    </w:rPr>
  </w:style>
  <w:style w:type="character" w:styleId="FootnoteReference">
    <w:name w:val="footnote reference"/>
    <w:basedOn w:val="DefaultParagraphFont"/>
    <w:uiPriority w:val="99"/>
    <w:semiHidden/>
    <w:unhideWhenUsed/>
    <w:rsid w:val="00652389"/>
    <w:rPr>
      <w:vertAlign w:val="superscript"/>
    </w:rPr>
  </w:style>
  <w:style w:type="character" w:styleId="CommentReference">
    <w:name w:val="annotation reference"/>
    <w:basedOn w:val="DefaultParagraphFont"/>
    <w:uiPriority w:val="99"/>
    <w:semiHidden/>
    <w:unhideWhenUsed/>
    <w:rsid w:val="00652389"/>
    <w:rPr>
      <w:sz w:val="16"/>
      <w:szCs w:val="16"/>
    </w:rPr>
  </w:style>
  <w:style w:type="paragraph" w:styleId="CommentText">
    <w:name w:val="annotation text"/>
    <w:basedOn w:val="Normal"/>
    <w:link w:val="CommentTextChar"/>
    <w:uiPriority w:val="99"/>
    <w:semiHidden/>
    <w:unhideWhenUsed/>
    <w:rsid w:val="00652389"/>
    <w:pPr>
      <w:spacing w:line="240" w:lineRule="auto"/>
    </w:pPr>
    <w:rPr>
      <w:sz w:val="20"/>
      <w:szCs w:val="20"/>
    </w:rPr>
  </w:style>
  <w:style w:type="character" w:customStyle="1" w:styleId="CommentTextChar">
    <w:name w:val="Comment Text Char"/>
    <w:basedOn w:val="DefaultParagraphFont"/>
    <w:link w:val="CommentText"/>
    <w:uiPriority w:val="99"/>
    <w:semiHidden/>
    <w:rsid w:val="00652389"/>
    <w:rPr>
      <w:sz w:val="20"/>
      <w:szCs w:val="20"/>
    </w:rPr>
  </w:style>
  <w:style w:type="paragraph" w:styleId="CommentSubject">
    <w:name w:val="annotation subject"/>
    <w:basedOn w:val="CommentText"/>
    <w:next w:val="CommentText"/>
    <w:link w:val="CommentSubjectChar"/>
    <w:uiPriority w:val="99"/>
    <w:semiHidden/>
    <w:unhideWhenUsed/>
    <w:rsid w:val="00652389"/>
    <w:rPr>
      <w:b/>
      <w:bCs/>
    </w:rPr>
  </w:style>
  <w:style w:type="character" w:customStyle="1" w:styleId="CommentSubjectChar">
    <w:name w:val="Comment Subject Char"/>
    <w:basedOn w:val="CommentTextChar"/>
    <w:link w:val="CommentSubject"/>
    <w:uiPriority w:val="99"/>
    <w:semiHidden/>
    <w:rsid w:val="00652389"/>
    <w:rPr>
      <w:b/>
      <w:bCs/>
      <w:sz w:val="20"/>
      <w:szCs w:val="20"/>
    </w:rPr>
  </w:style>
  <w:style w:type="paragraph" w:styleId="BalloonText">
    <w:name w:val="Balloon Text"/>
    <w:basedOn w:val="Normal"/>
    <w:link w:val="BalloonTextChar"/>
    <w:uiPriority w:val="99"/>
    <w:semiHidden/>
    <w:unhideWhenUsed/>
    <w:rsid w:val="0065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89"/>
    <w:rPr>
      <w:rFonts w:ascii="Segoe UI" w:hAnsi="Segoe UI" w:cs="Segoe UI"/>
      <w:sz w:val="18"/>
      <w:szCs w:val="18"/>
    </w:rPr>
  </w:style>
  <w:style w:type="character" w:styleId="Hyperlink">
    <w:name w:val="Hyperlink"/>
    <w:basedOn w:val="DefaultParagraphFont"/>
    <w:uiPriority w:val="99"/>
    <w:unhideWhenUsed/>
    <w:rsid w:val="007E6A43"/>
    <w:rPr>
      <w:color w:val="0563C1" w:themeColor="hyperlink"/>
      <w:u w:val="single"/>
    </w:rPr>
  </w:style>
  <w:style w:type="character" w:customStyle="1" w:styleId="UnresolvedMention">
    <w:name w:val="Unresolved Mention"/>
    <w:basedOn w:val="DefaultParagraphFont"/>
    <w:uiPriority w:val="99"/>
    <w:semiHidden/>
    <w:unhideWhenUsed/>
    <w:rsid w:val="007E6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313">
      <w:bodyDiv w:val="1"/>
      <w:marLeft w:val="0"/>
      <w:marRight w:val="0"/>
      <w:marTop w:val="0"/>
      <w:marBottom w:val="0"/>
      <w:divBdr>
        <w:top w:val="none" w:sz="0" w:space="0" w:color="auto"/>
        <w:left w:val="none" w:sz="0" w:space="0" w:color="auto"/>
        <w:bottom w:val="none" w:sz="0" w:space="0" w:color="auto"/>
        <w:right w:val="none" w:sz="0" w:space="0" w:color="auto"/>
      </w:divBdr>
      <w:divsChild>
        <w:div w:id="1977299073">
          <w:marLeft w:val="360"/>
          <w:marRight w:val="0"/>
          <w:marTop w:val="200"/>
          <w:marBottom w:val="0"/>
          <w:divBdr>
            <w:top w:val="none" w:sz="0" w:space="0" w:color="auto"/>
            <w:left w:val="none" w:sz="0" w:space="0" w:color="auto"/>
            <w:bottom w:val="none" w:sz="0" w:space="0" w:color="auto"/>
            <w:right w:val="none" w:sz="0" w:space="0" w:color="auto"/>
          </w:divBdr>
        </w:div>
        <w:div w:id="421218081">
          <w:marLeft w:val="360"/>
          <w:marRight w:val="0"/>
          <w:marTop w:val="200"/>
          <w:marBottom w:val="0"/>
          <w:divBdr>
            <w:top w:val="none" w:sz="0" w:space="0" w:color="auto"/>
            <w:left w:val="none" w:sz="0" w:space="0" w:color="auto"/>
            <w:bottom w:val="none" w:sz="0" w:space="0" w:color="auto"/>
            <w:right w:val="none" w:sz="0" w:space="0" w:color="auto"/>
          </w:divBdr>
        </w:div>
        <w:div w:id="256450701">
          <w:marLeft w:val="360"/>
          <w:marRight w:val="0"/>
          <w:marTop w:val="200"/>
          <w:marBottom w:val="0"/>
          <w:divBdr>
            <w:top w:val="none" w:sz="0" w:space="0" w:color="auto"/>
            <w:left w:val="none" w:sz="0" w:space="0" w:color="auto"/>
            <w:bottom w:val="none" w:sz="0" w:space="0" w:color="auto"/>
            <w:right w:val="none" w:sz="0" w:space="0" w:color="auto"/>
          </w:divBdr>
        </w:div>
        <w:div w:id="910966835">
          <w:marLeft w:val="360"/>
          <w:marRight w:val="0"/>
          <w:marTop w:val="200"/>
          <w:marBottom w:val="0"/>
          <w:divBdr>
            <w:top w:val="none" w:sz="0" w:space="0" w:color="auto"/>
            <w:left w:val="none" w:sz="0" w:space="0" w:color="auto"/>
            <w:bottom w:val="none" w:sz="0" w:space="0" w:color="auto"/>
            <w:right w:val="none" w:sz="0" w:space="0" w:color="auto"/>
          </w:divBdr>
        </w:div>
      </w:divsChild>
    </w:div>
    <w:div w:id="482935927">
      <w:bodyDiv w:val="1"/>
      <w:marLeft w:val="0"/>
      <w:marRight w:val="0"/>
      <w:marTop w:val="0"/>
      <w:marBottom w:val="0"/>
      <w:divBdr>
        <w:top w:val="none" w:sz="0" w:space="0" w:color="auto"/>
        <w:left w:val="none" w:sz="0" w:space="0" w:color="auto"/>
        <w:bottom w:val="none" w:sz="0" w:space="0" w:color="auto"/>
        <w:right w:val="none" w:sz="0" w:space="0" w:color="auto"/>
      </w:divBdr>
      <w:divsChild>
        <w:div w:id="770275695">
          <w:marLeft w:val="360"/>
          <w:marRight w:val="0"/>
          <w:marTop w:val="200"/>
          <w:marBottom w:val="0"/>
          <w:divBdr>
            <w:top w:val="none" w:sz="0" w:space="0" w:color="auto"/>
            <w:left w:val="none" w:sz="0" w:space="0" w:color="auto"/>
            <w:bottom w:val="none" w:sz="0" w:space="0" w:color="auto"/>
            <w:right w:val="none" w:sz="0" w:space="0" w:color="auto"/>
          </w:divBdr>
        </w:div>
        <w:div w:id="2082671700">
          <w:marLeft w:val="360"/>
          <w:marRight w:val="0"/>
          <w:marTop w:val="200"/>
          <w:marBottom w:val="0"/>
          <w:divBdr>
            <w:top w:val="none" w:sz="0" w:space="0" w:color="auto"/>
            <w:left w:val="none" w:sz="0" w:space="0" w:color="auto"/>
            <w:bottom w:val="none" w:sz="0" w:space="0" w:color="auto"/>
            <w:right w:val="none" w:sz="0" w:space="0" w:color="auto"/>
          </w:divBdr>
        </w:div>
        <w:div w:id="14816805">
          <w:marLeft w:val="360"/>
          <w:marRight w:val="0"/>
          <w:marTop w:val="200"/>
          <w:marBottom w:val="0"/>
          <w:divBdr>
            <w:top w:val="none" w:sz="0" w:space="0" w:color="auto"/>
            <w:left w:val="none" w:sz="0" w:space="0" w:color="auto"/>
            <w:bottom w:val="none" w:sz="0" w:space="0" w:color="auto"/>
            <w:right w:val="none" w:sz="0" w:space="0" w:color="auto"/>
          </w:divBdr>
        </w:div>
      </w:divsChild>
    </w:div>
    <w:div w:id="1202089735">
      <w:bodyDiv w:val="1"/>
      <w:marLeft w:val="0"/>
      <w:marRight w:val="0"/>
      <w:marTop w:val="0"/>
      <w:marBottom w:val="0"/>
      <w:divBdr>
        <w:top w:val="none" w:sz="0" w:space="0" w:color="auto"/>
        <w:left w:val="none" w:sz="0" w:space="0" w:color="auto"/>
        <w:bottom w:val="none" w:sz="0" w:space="0" w:color="auto"/>
        <w:right w:val="none" w:sz="0" w:space="0" w:color="auto"/>
      </w:divBdr>
      <w:divsChild>
        <w:div w:id="204609491">
          <w:marLeft w:val="360"/>
          <w:marRight w:val="0"/>
          <w:marTop w:val="200"/>
          <w:marBottom w:val="0"/>
          <w:divBdr>
            <w:top w:val="none" w:sz="0" w:space="0" w:color="auto"/>
            <w:left w:val="none" w:sz="0" w:space="0" w:color="auto"/>
            <w:bottom w:val="none" w:sz="0" w:space="0" w:color="auto"/>
            <w:right w:val="none" w:sz="0" w:space="0" w:color="auto"/>
          </w:divBdr>
        </w:div>
        <w:div w:id="206993597">
          <w:marLeft w:val="360"/>
          <w:marRight w:val="0"/>
          <w:marTop w:val="200"/>
          <w:marBottom w:val="0"/>
          <w:divBdr>
            <w:top w:val="none" w:sz="0" w:space="0" w:color="auto"/>
            <w:left w:val="none" w:sz="0" w:space="0" w:color="auto"/>
            <w:bottom w:val="none" w:sz="0" w:space="0" w:color="auto"/>
            <w:right w:val="none" w:sz="0" w:space="0" w:color="auto"/>
          </w:divBdr>
        </w:div>
        <w:div w:id="2073917964">
          <w:marLeft w:val="360"/>
          <w:marRight w:val="0"/>
          <w:marTop w:val="200"/>
          <w:marBottom w:val="0"/>
          <w:divBdr>
            <w:top w:val="none" w:sz="0" w:space="0" w:color="auto"/>
            <w:left w:val="none" w:sz="0" w:space="0" w:color="auto"/>
            <w:bottom w:val="none" w:sz="0" w:space="0" w:color="auto"/>
            <w:right w:val="none" w:sz="0" w:space="0" w:color="auto"/>
          </w:divBdr>
        </w:div>
      </w:divsChild>
    </w:div>
    <w:div w:id="1226840413">
      <w:bodyDiv w:val="1"/>
      <w:marLeft w:val="0"/>
      <w:marRight w:val="0"/>
      <w:marTop w:val="0"/>
      <w:marBottom w:val="0"/>
      <w:divBdr>
        <w:top w:val="none" w:sz="0" w:space="0" w:color="auto"/>
        <w:left w:val="none" w:sz="0" w:space="0" w:color="auto"/>
        <w:bottom w:val="none" w:sz="0" w:space="0" w:color="auto"/>
        <w:right w:val="none" w:sz="0" w:space="0" w:color="auto"/>
      </w:divBdr>
      <w:divsChild>
        <w:div w:id="1492142439">
          <w:marLeft w:val="360"/>
          <w:marRight w:val="0"/>
          <w:marTop w:val="200"/>
          <w:marBottom w:val="0"/>
          <w:divBdr>
            <w:top w:val="none" w:sz="0" w:space="0" w:color="auto"/>
            <w:left w:val="none" w:sz="0" w:space="0" w:color="auto"/>
            <w:bottom w:val="none" w:sz="0" w:space="0" w:color="auto"/>
            <w:right w:val="none" w:sz="0" w:space="0" w:color="auto"/>
          </w:divBdr>
        </w:div>
        <w:div w:id="995109227">
          <w:marLeft w:val="360"/>
          <w:marRight w:val="0"/>
          <w:marTop w:val="200"/>
          <w:marBottom w:val="0"/>
          <w:divBdr>
            <w:top w:val="none" w:sz="0" w:space="0" w:color="auto"/>
            <w:left w:val="none" w:sz="0" w:space="0" w:color="auto"/>
            <w:bottom w:val="none" w:sz="0" w:space="0" w:color="auto"/>
            <w:right w:val="none" w:sz="0" w:space="0" w:color="auto"/>
          </w:divBdr>
        </w:div>
        <w:div w:id="291207128">
          <w:marLeft w:val="360"/>
          <w:marRight w:val="0"/>
          <w:marTop w:val="200"/>
          <w:marBottom w:val="0"/>
          <w:divBdr>
            <w:top w:val="none" w:sz="0" w:space="0" w:color="auto"/>
            <w:left w:val="none" w:sz="0" w:space="0" w:color="auto"/>
            <w:bottom w:val="none" w:sz="0" w:space="0" w:color="auto"/>
            <w:right w:val="none" w:sz="0" w:space="0" w:color="auto"/>
          </w:divBdr>
        </w:div>
      </w:divsChild>
    </w:div>
    <w:div w:id="1293366763">
      <w:bodyDiv w:val="1"/>
      <w:marLeft w:val="0"/>
      <w:marRight w:val="0"/>
      <w:marTop w:val="0"/>
      <w:marBottom w:val="0"/>
      <w:divBdr>
        <w:top w:val="none" w:sz="0" w:space="0" w:color="auto"/>
        <w:left w:val="none" w:sz="0" w:space="0" w:color="auto"/>
        <w:bottom w:val="none" w:sz="0" w:space="0" w:color="auto"/>
        <w:right w:val="none" w:sz="0" w:space="0" w:color="auto"/>
      </w:divBdr>
    </w:div>
    <w:div w:id="1426615711">
      <w:bodyDiv w:val="1"/>
      <w:marLeft w:val="0"/>
      <w:marRight w:val="0"/>
      <w:marTop w:val="0"/>
      <w:marBottom w:val="0"/>
      <w:divBdr>
        <w:top w:val="none" w:sz="0" w:space="0" w:color="auto"/>
        <w:left w:val="none" w:sz="0" w:space="0" w:color="auto"/>
        <w:bottom w:val="none" w:sz="0" w:space="0" w:color="auto"/>
        <w:right w:val="none" w:sz="0" w:space="0" w:color="auto"/>
      </w:divBdr>
    </w:div>
    <w:div w:id="2047753284">
      <w:bodyDiv w:val="1"/>
      <w:marLeft w:val="0"/>
      <w:marRight w:val="0"/>
      <w:marTop w:val="0"/>
      <w:marBottom w:val="0"/>
      <w:divBdr>
        <w:top w:val="none" w:sz="0" w:space="0" w:color="auto"/>
        <w:left w:val="none" w:sz="0" w:space="0" w:color="auto"/>
        <w:bottom w:val="none" w:sz="0" w:space="0" w:color="auto"/>
        <w:right w:val="none" w:sz="0" w:space="0" w:color="auto"/>
      </w:divBdr>
      <w:divsChild>
        <w:div w:id="908273929">
          <w:marLeft w:val="360"/>
          <w:marRight w:val="0"/>
          <w:marTop w:val="200"/>
          <w:marBottom w:val="0"/>
          <w:divBdr>
            <w:top w:val="none" w:sz="0" w:space="0" w:color="auto"/>
            <w:left w:val="none" w:sz="0" w:space="0" w:color="auto"/>
            <w:bottom w:val="none" w:sz="0" w:space="0" w:color="auto"/>
            <w:right w:val="none" w:sz="0" w:space="0" w:color="auto"/>
          </w:divBdr>
        </w:div>
        <w:div w:id="1463965333">
          <w:marLeft w:val="360"/>
          <w:marRight w:val="0"/>
          <w:marTop w:val="200"/>
          <w:marBottom w:val="0"/>
          <w:divBdr>
            <w:top w:val="none" w:sz="0" w:space="0" w:color="auto"/>
            <w:left w:val="none" w:sz="0" w:space="0" w:color="auto"/>
            <w:bottom w:val="none" w:sz="0" w:space="0" w:color="auto"/>
            <w:right w:val="none" w:sz="0" w:space="0" w:color="auto"/>
          </w:divBdr>
        </w:div>
        <w:div w:id="1102919093">
          <w:marLeft w:val="360"/>
          <w:marRight w:val="0"/>
          <w:marTop w:val="200"/>
          <w:marBottom w:val="0"/>
          <w:divBdr>
            <w:top w:val="none" w:sz="0" w:space="0" w:color="auto"/>
            <w:left w:val="none" w:sz="0" w:space="0" w:color="auto"/>
            <w:bottom w:val="none" w:sz="0" w:space="0" w:color="auto"/>
            <w:right w:val="none" w:sz="0" w:space="0" w:color="auto"/>
          </w:divBdr>
        </w:div>
      </w:divsChild>
    </w:div>
    <w:div w:id="2130202695">
      <w:bodyDiv w:val="1"/>
      <w:marLeft w:val="0"/>
      <w:marRight w:val="0"/>
      <w:marTop w:val="0"/>
      <w:marBottom w:val="0"/>
      <w:divBdr>
        <w:top w:val="none" w:sz="0" w:space="0" w:color="auto"/>
        <w:left w:val="none" w:sz="0" w:space="0" w:color="auto"/>
        <w:bottom w:val="none" w:sz="0" w:space="0" w:color="auto"/>
        <w:right w:val="none" w:sz="0" w:space="0" w:color="auto"/>
      </w:divBdr>
      <w:divsChild>
        <w:div w:id="480923907">
          <w:marLeft w:val="360"/>
          <w:marRight w:val="0"/>
          <w:marTop w:val="200"/>
          <w:marBottom w:val="0"/>
          <w:divBdr>
            <w:top w:val="none" w:sz="0" w:space="0" w:color="auto"/>
            <w:left w:val="none" w:sz="0" w:space="0" w:color="auto"/>
            <w:bottom w:val="none" w:sz="0" w:space="0" w:color="auto"/>
            <w:right w:val="none" w:sz="0" w:space="0" w:color="auto"/>
          </w:divBdr>
        </w:div>
        <w:div w:id="2306959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grevio-reprt-on-portugal/168091f1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52C503-DB64-4E40-9E93-2F9766EFFBA4}">
  <ds:schemaRefs>
    <ds:schemaRef ds:uri="http://schemas.openxmlformats.org/officeDocument/2006/bibliography"/>
  </ds:schemaRefs>
</ds:datastoreItem>
</file>

<file path=customXml/itemProps2.xml><?xml version="1.0" encoding="utf-8"?>
<ds:datastoreItem xmlns:ds="http://schemas.openxmlformats.org/officeDocument/2006/customXml" ds:itemID="{F3B80844-FFC0-4C36-97D1-B78354B2990E}"/>
</file>

<file path=customXml/itemProps3.xml><?xml version="1.0" encoding="utf-8"?>
<ds:datastoreItem xmlns:ds="http://schemas.openxmlformats.org/officeDocument/2006/customXml" ds:itemID="{D6774E50-2705-408C-9FBB-75429BF0F991}"/>
</file>

<file path=customXml/itemProps4.xml><?xml version="1.0" encoding="utf-8"?>
<ds:datastoreItem xmlns:ds="http://schemas.openxmlformats.org/officeDocument/2006/customXml" ds:itemID="{B636C589-C4F8-456B-84B5-7BC6D13126E1}"/>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dc:creator>
  <cp:keywords/>
  <dc:description/>
  <cp:lastModifiedBy>Marceline</cp:lastModifiedBy>
  <cp:revision>2</cp:revision>
  <dcterms:created xsi:type="dcterms:W3CDTF">2020-06-02T12:14:00Z</dcterms:created>
  <dcterms:modified xsi:type="dcterms:W3CDTF">2020-06-02T12:14:00Z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