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FFF510" w14:textId="77777777" w:rsidTr="0040017C">
        <w:trPr>
          <w:trHeight w:val="851"/>
        </w:trPr>
        <w:tc>
          <w:tcPr>
            <w:tcW w:w="1259" w:type="dxa"/>
            <w:tcBorders>
              <w:top w:val="nil"/>
              <w:left w:val="nil"/>
              <w:bottom w:val="single" w:sz="4" w:space="0" w:color="auto"/>
              <w:right w:val="nil"/>
            </w:tcBorders>
          </w:tcPr>
          <w:p w14:paraId="6DF87CAE"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70D403FD" w14:textId="30881BE6"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A9E697" w14:textId="77777777" w:rsidR="00E52109" w:rsidRDefault="00077879" w:rsidP="00077879">
            <w:pPr>
              <w:suppressAutoHyphens w:val="0"/>
              <w:spacing w:after="20"/>
              <w:jc w:val="right"/>
            </w:pPr>
            <w:r w:rsidRPr="00077879">
              <w:rPr>
                <w:sz w:val="40"/>
              </w:rPr>
              <w:t>A</w:t>
            </w:r>
            <w:r>
              <w:t>/HRC/44/26</w:t>
            </w:r>
          </w:p>
        </w:tc>
      </w:tr>
      <w:tr w:rsidR="00E52109" w14:paraId="5A94D827" w14:textId="77777777" w:rsidTr="0040017C">
        <w:trPr>
          <w:trHeight w:val="2835"/>
        </w:trPr>
        <w:tc>
          <w:tcPr>
            <w:tcW w:w="1259" w:type="dxa"/>
            <w:tcBorders>
              <w:top w:val="single" w:sz="4" w:space="0" w:color="auto"/>
              <w:left w:val="nil"/>
              <w:bottom w:val="single" w:sz="12" w:space="0" w:color="auto"/>
              <w:right w:val="nil"/>
            </w:tcBorders>
          </w:tcPr>
          <w:p w14:paraId="56694838" w14:textId="2FA04084"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0046B48" w14:textId="15292A20" w:rsidR="00E52109" w:rsidRDefault="0096710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49461F3" w14:textId="77777777" w:rsidR="00E52109" w:rsidRDefault="00077879" w:rsidP="00077879">
            <w:pPr>
              <w:spacing w:before="240"/>
            </w:pPr>
            <w:r>
              <w:t>Distr.: General</w:t>
            </w:r>
          </w:p>
          <w:p w14:paraId="2B7E9B58" w14:textId="190DE4F1" w:rsidR="00077879" w:rsidRDefault="00C339E2" w:rsidP="00077879">
            <w:pPr>
              <w:suppressAutoHyphens w:val="0"/>
            </w:pPr>
            <w:r>
              <w:t>15</w:t>
            </w:r>
            <w:r w:rsidR="00356B25">
              <w:t xml:space="preserve"> </w:t>
            </w:r>
            <w:r w:rsidR="00077879">
              <w:t>June 2020</w:t>
            </w:r>
          </w:p>
          <w:p w14:paraId="331A404F" w14:textId="77777777" w:rsidR="00077879" w:rsidRDefault="00077879" w:rsidP="00077879">
            <w:pPr>
              <w:suppressAutoHyphens w:val="0"/>
            </w:pPr>
          </w:p>
          <w:p w14:paraId="1121D92A" w14:textId="77777777" w:rsidR="00077879" w:rsidRDefault="00077879" w:rsidP="00077879">
            <w:pPr>
              <w:suppressAutoHyphens w:val="0"/>
            </w:pPr>
            <w:r>
              <w:t>Original: English</w:t>
            </w:r>
          </w:p>
        </w:tc>
      </w:tr>
    </w:tbl>
    <w:p w14:paraId="72D35371" w14:textId="77777777" w:rsidR="00077879" w:rsidRDefault="00077879">
      <w:pPr>
        <w:spacing w:before="120"/>
        <w:rPr>
          <w:b/>
          <w:sz w:val="24"/>
          <w:szCs w:val="24"/>
        </w:rPr>
      </w:pPr>
      <w:r>
        <w:rPr>
          <w:b/>
          <w:sz w:val="24"/>
          <w:szCs w:val="24"/>
        </w:rPr>
        <w:t>Human Rights Council</w:t>
      </w:r>
    </w:p>
    <w:p w14:paraId="38B0FAA5" w14:textId="77777777" w:rsidR="00077879" w:rsidRPr="002C38BF" w:rsidRDefault="00077879" w:rsidP="00077879">
      <w:pPr>
        <w:rPr>
          <w:b/>
          <w:color w:val="000000" w:themeColor="text1"/>
        </w:rPr>
      </w:pPr>
      <w:r w:rsidRPr="002C38BF">
        <w:rPr>
          <w:b/>
          <w:color w:val="000000" w:themeColor="text1"/>
        </w:rPr>
        <w:t>Forty-fourth session</w:t>
      </w:r>
    </w:p>
    <w:p w14:paraId="788C56B7" w14:textId="77777777" w:rsidR="00077879" w:rsidRPr="002C38BF" w:rsidRDefault="00077879" w:rsidP="00077879">
      <w:pPr>
        <w:outlineLvl w:val="0"/>
      </w:pPr>
      <w:r w:rsidRPr="002C38BF">
        <w:t>15 June–3 July 2020</w:t>
      </w:r>
    </w:p>
    <w:p w14:paraId="3AE7B553" w14:textId="77777777" w:rsidR="00077879" w:rsidRPr="002C38BF" w:rsidRDefault="00077879" w:rsidP="00077879">
      <w:pPr>
        <w:rPr>
          <w:color w:val="000000" w:themeColor="text1"/>
        </w:rPr>
      </w:pPr>
      <w:r w:rsidRPr="002C38BF">
        <w:rPr>
          <w:color w:val="000000" w:themeColor="text1"/>
        </w:rPr>
        <w:t>Agenda items 2 and 3</w:t>
      </w:r>
    </w:p>
    <w:p w14:paraId="2879711A" w14:textId="28E3DA00" w:rsidR="00077879" w:rsidRDefault="00077879" w:rsidP="00077879">
      <w:pPr>
        <w:spacing w:after="120"/>
        <w:rPr>
          <w:b/>
          <w:bCs/>
          <w:color w:val="000000" w:themeColor="text1"/>
        </w:rPr>
      </w:pPr>
      <w:r w:rsidRPr="002C38BF">
        <w:rPr>
          <w:b/>
          <w:bCs/>
          <w:color w:val="000000" w:themeColor="text1"/>
        </w:rPr>
        <w:t xml:space="preserve">Annual report of the United Nations High Commissioner </w:t>
      </w:r>
      <w:r w:rsidRPr="002C38BF">
        <w:rPr>
          <w:b/>
          <w:bCs/>
          <w:color w:val="000000" w:themeColor="text1"/>
        </w:rPr>
        <w:br/>
        <w:t>for Human Rights and reports of the Office of the</w:t>
      </w:r>
      <w:r w:rsidRPr="002C38BF">
        <w:rPr>
          <w:b/>
          <w:bCs/>
          <w:color w:val="000000" w:themeColor="text1"/>
        </w:rPr>
        <w:br/>
        <w:t>High Commissioner and the Secretary-General</w:t>
      </w:r>
    </w:p>
    <w:p w14:paraId="482EE8B3" w14:textId="0BAE2FEE" w:rsidR="00077879" w:rsidRDefault="00077879" w:rsidP="00077879">
      <w:pPr>
        <w:spacing w:after="120"/>
        <w:rPr>
          <w:b/>
        </w:rPr>
      </w:pPr>
      <w:r w:rsidRPr="002C38BF">
        <w:rPr>
          <w:b/>
        </w:rPr>
        <w:t xml:space="preserve">Promotion and protection of all human rights, </w:t>
      </w:r>
      <w:r w:rsidRPr="002C38BF">
        <w:rPr>
          <w:b/>
        </w:rPr>
        <w:br/>
        <w:t xml:space="preserve">civil, political, economic, social and cultural rights, </w:t>
      </w:r>
      <w:r w:rsidRPr="002C38BF">
        <w:rPr>
          <w:b/>
        </w:rPr>
        <w:br/>
        <w:t>including the right to development</w:t>
      </w:r>
    </w:p>
    <w:p w14:paraId="71D6E4D2" w14:textId="77777777" w:rsidR="00077879" w:rsidRPr="002C38BF" w:rsidRDefault="00077879" w:rsidP="00077879">
      <w:pPr>
        <w:pStyle w:val="HChG"/>
      </w:pPr>
      <w:r w:rsidRPr="002C38BF">
        <w:tab/>
      </w:r>
      <w:r w:rsidRPr="002C38BF">
        <w:tab/>
      </w:r>
      <w:bookmarkStart w:id="1" w:name="_Toc42595809"/>
      <w:r w:rsidRPr="002C38BF">
        <w:t xml:space="preserve">Intersection of </w:t>
      </w:r>
      <w:r>
        <w:t>r</w:t>
      </w:r>
      <w:r w:rsidRPr="002C38BF">
        <w:t xml:space="preserve">ace and </w:t>
      </w:r>
      <w:r>
        <w:t>g</w:t>
      </w:r>
      <w:r w:rsidRPr="002C38BF">
        <w:t xml:space="preserve">ender </w:t>
      </w:r>
      <w:r>
        <w:t>d</w:t>
      </w:r>
      <w:r w:rsidRPr="002C38BF">
        <w:t xml:space="preserve">iscrimination in </w:t>
      </w:r>
      <w:r>
        <w:t>s</w:t>
      </w:r>
      <w:r w:rsidRPr="002C38BF">
        <w:t>port</w:t>
      </w:r>
      <w:bookmarkEnd w:id="1"/>
    </w:p>
    <w:p w14:paraId="3471750F" w14:textId="3B4F37D2" w:rsidR="00077879" w:rsidRDefault="00077879" w:rsidP="00077879">
      <w:pPr>
        <w:pStyle w:val="H1G"/>
      </w:pPr>
      <w:r>
        <w:tab/>
      </w:r>
      <w:r>
        <w:tab/>
      </w:r>
      <w:bookmarkStart w:id="2" w:name="_Toc42595810"/>
      <w:r w:rsidRPr="002C38BF">
        <w:t>Report of the United Nations High Commissioner for Human Rights</w:t>
      </w:r>
      <w:r w:rsidRPr="00077879">
        <w:rPr>
          <w:b w:val="0"/>
          <w:bCs/>
          <w:sz w:val="20"/>
        </w:rPr>
        <w:footnoteReference w:customMarkFollows="1" w:id="2"/>
        <w:t>*</w:t>
      </w:r>
      <w:bookmarkEnd w:id="2"/>
    </w:p>
    <w:tbl>
      <w:tblPr>
        <w:tblStyle w:val="TableGrid"/>
        <w:tblW w:w="0" w:type="auto"/>
        <w:jc w:val="center"/>
        <w:tblLook w:val="05E0" w:firstRow="1" w:lastRow="1" w:firstColumn="1" w:lastColumn="1" w:noHBand="0" w:noVBand="1"/>
      </w:tblPr>
      <w:tblGrid>
        <w:gridCol w:w="9629"/>
      </w:tblGrid>
      <w:tr w:rsidR="00077879" w14:paraId="0870588D" w14:textId="77777777" w:rsidTr="00077879">
        <w:trPr>
          <w:jc w:val="center"/>
        </w:trPr>
        <w:tc>
          <w:tcPr>
            <w:tcW w:w="9637" w:type="dxa"/>
            <w:tcBorders>
              <w:bottom w:val="nil"/>
            </w:tcBorders>
          </w:tcPr>
          <w:p w14:paraId="5E9B5748" w14:textId="131753D2" w:rsidR="00077879" w:rsidRPr="00077879" w:rsidRDefault="00077879" w:rsidP="00077879">
            <w:pPr>
              <w:tabs>
                <w:tab w:val="left" w:pos="255"/>
              </w:tabs>
              <w:suppressAutoHyphens w:val="0"/>
              <w:spacing w:before="240" w:after="120"/>
              <w:rPr>
                <w:sz w:val="24"/>
              </w:rPr>
            </w:pPr>
            <w:r>
              <w:tab/>
            </w:r>
            <w:r>
              <w:rPr>
                <w:i/>
                <w:sz w:val="24"/>
              </w:rPr>
              <w:t>Summary</w:t>
            </w:r>
          </w:p>
        </w:tc>
      </w:tr>
      <w:tr w:rsidR="00077879" w14:paraId="338452CE" w14:textId="77777777" w:rsidTr="00077879">
        <w:trPr>
          <w:jc w:val="center"/>
        </w:trPr>
        <w:tc>
          <w:tcPr>
            <w:tcW w:w="9637" w:type="dxa"/>
            <w:tcBorders>
              <w:top w:val="nil"/>
              <w:bottom w:val="nil"/>
            </w:tcBorders>
            <w:shd w:val="clear" w:color="auto" w:fill="auto"/>
          </w:tcPr>
          <w:p w14:paraId="5901C235" w14:textId="6C4BAB8C" w:rsidR="00077879" w:rsidRDefault="00077879" w:rsidP="00077879">
            <w:pPr>
              <w:pStyle w:val="SingleTxtG"/>
            </w:pPr>
            <w:r>
              <w:tab/>
            </w:r>
            <w:r w:rsidRPr="00077879">
              <w:t xml:space="preserve">The present report is submitted pursuant to Human Rights Council resolution 40/5 on the elimination of discrimination against women and girls in sport. In her report, the United </w:t>
            </w:r>
            <w:r w:rsidRPr="00077879">
              <w:lastRenderedPageBreak/>
              <w:t>Nations High Commissioner for Human Rights elaborates on relevant international human rights norms and standards and the corresponding obligations of States and the responsibilities of sporting bodies towards women and girl athletes, identifies possible gaps in the protection of the human rights of women and girls in sports and provides conclusions and recommendations aimed at enhancing such protection.</w:t>
            </w:r>
          </w:p>
        </w:tc>
      </w:tr>
      <w:tr w:rsidR="00077879" w14:paraId="48EF36B5" w14:textId="77777777" w:rsidTr="00077879">
        <w:trPr>
          <w:jc w:val="center"/>
        </w:trPr>
        <w:tc>
          <w:tcPr>
            <w:tcW w:w="9637" w:type="dxa"/>
            <w:tcBorders>
              <w:top w:val="nil"/>
            </w:tcBorders>
          </w:tcPr>
          <w:p w14:paraId="766983B9" w14:textId="77777777" w:rsidR="00077879" w:rsidRDefault="00077879" w:rsidP="00077879">
            <w:pPr>
              <w:suppressAutoHyphens w:val="0"/>
            </w:pPr>
          </w:p>
        </w:tc>
      </w:tr>
    </w:tbl>
    <w:p w14:paraId="647EFF08" w14:textId="77777777" w:rsidR="00077879" w:rsidRDefault="00077879" w:rsidP="00077879">
      <w:r>
        <w:br w:type="page"/>
      </w:r>
    </w:p>
    <w:p w14:paraId="3B514E1E" w14:textId="77777777" w:rsidR="0012136D" w:rsidRPr="002C38BF" w:rsidRDefault="0012136D" w:rsidP="0012136D">
      <w:pPr>
        <w:pStyle w:val="HChG"/>
      </w:pPr>
      <w:r w:rsidRPr="002C38BF">
        <w:lastRenderedPageBreak/>
        <w:tab/>
      </w:r>
      <w:bookmarkStart w:id="3" w:name="_Toc42595811"/>
      <w:r w:rsidRPr="002C38BF">
        <w:t>I.</w:t>
      </w:r>
      <w:r w:rsidRPr="002C38BF">
        <w:tab/>
        <w:t>Introduction</w:t>
      </w:r>
      <w:bookmarkEnd w:id="3"/>
    </w:p>
    <w:p w14:paraId="392EB389" w14:textId="77777777" w:rsidR="0012136D" w:rsidRPr="002C38BF" w:rsidRDefault="0012136D" w:rsidP="0012136D">
      <w:pPr>
        <w:pStyle w:val="SingleTxtG"/>
        <w:rPr>
          <w:rFonts w:eastAsia="Calibri"/>
        </w:rPr>
      </w:pPr>
      <w:r w:rsidRPr="002C38BF">
        <w:rPr>
          <w:rFonts w:eastAsia="Calibri"/>
        </w:rPr>
        <w:t>1.</w:t>
      </w:r>
      <w:r w:rsidRPr="002C38BF">
        <w:rPr>
          <w:rFonts w:eastAsia="Calibri"/>
        </w:rPr>
        <w:tab/>
        <w:t xml:space="preserve">The present report is submitted pursuant to Human Rights Council resolution 40/5, </w:t>
      </w:r>
      <w:r>
        <w:rPr>
          <w:rFonts w:eastAsia="Calibri"/>
        </w:rPr>
        <w:t>in which the Council</w:t>
      </w:r>
      <w:r w:rsidRPr="002C38BF">
        <w:rPr>
          <w:rFonts w:eastAsia="Calibri"/>
        </w:rPr>
        <w:t xml:space="preserve"> request</w:t>
      </w:r>
      <w:r>
        <w:rPr>
          <w:rFonts w:eastAsia="Calibri"/>
        </w:rPr>
        <w:t>ed</w:t>
      </w:r>
      <w:r w:rsidRPr="002C38BF">
        <w:rPr>
          <w:rFonts w:eastAsia="Calibri"/>
        </w:rPr>
        <w:t xml:space="preserve"> the United Nations High Commissioner for Human Rights to prepare a report on the intersection of race and gender discrimination in sport, including in policies, regulations and practices of sporting bodies, and elaborating on relevant international human rights norms and standards</w:t>
      </w:r>
      <w:r>
        <w:rPr>
          <w:rFonts w:eastAsia="Calibri"/>
        </w:rPr>
        <w:t>,</w:t>
      </w:r>
      <w:r w:rsidRPr="002C38BF">
        <w:rPr>
          <w:rFonts w:eastAsia="Calibri"/>
        </w:rPr>
        <w:t xml:space="preserve"> and to present the report to the Council at its forty-fourth session.</w:t>
      </w:r>
    </w:p>
    <w:p w14:paraId="4FAA520E" w14:textId="77777777" w:rsidR="0012136D" w:rsidRPr="002C38BF" w:rsidRDefault="0012136D" w:rsidP="0012136D">
      <w:pPr>
        <w:pStyle w:val="SingleTxtG"/>
        <w:rPr>
          <w:rFonts w:eastAsia="Calibri"/>
        </w:rPr>
      </w:pPr>
      <w:r w:rsidRPr="002C38BF">
        <w:rPr>
          <w:rFonts w:eastAsia="Calibri"/>
        </w:rPr>
        <w:t>2.</w:t>
      </w:r>
      <w:r w:rsidRPr="002C38BF">
        <w:rPr>
          <w:rFonts w:eastAsia="Calibri"/>
        </w:rPr>
        <w:tab/>
        <w:t xml:space="preserve">A call for submissions for the present report was issued in November 2019. </w:t>
      </w:r>
      <w:r>
        <w:rPr>
          <w:rFonts w:eastAsia="Calibri"/>
        </w:rPr>
        <w:t xml:space="preserve">Twenty-one </w:t>
      </w:r>
      <w:r w:rsidRPr="002C38BF">
        <w:rPr>
          <w:rFonts w:eastAsia="Calibri"/>
        </w:rPr>
        <w:t>submissions were received from Member States,</w:t>
      </w:r>
      <w:r w:rsidRPr="0012136D">
        <w:rPr>
          <w:rStyle w:val="FootnoteReference"/>
        </w:rPr>
        <w:footnoteReference w:id="3"/>
      </w:r>
      <w:r w:rsidRPr="002C38BF">
        <w:rPr>
          <w:rFonts w:eastAsia="Calibri"/>
        </w:rPr>
        <w:t xml:space="preserve"> civil society organizations</w:t>
      </w:r>
      <w:r w:rsidRPr="0012136D">
        <w:rPr>
          <w:rStyle w:val="FootnoteReference"/>
        </w:rPr>
        <w:footnoteReference w:id="4"/>
      </w:r>
      <w:r w:rsidRPr="002C38BF">
        <w:rPr>
          <w:rFonts w:eastAsia="Calibri"/>
        </w:rPr>
        <w:t xml:space="preserve"> and other</w:t>
      </w:r>
      <w:r>
        <w:rPr>
          <w:rFonts w:eastAsia="Calibri"/>
        </w:rPr>
        <w:t>s</w:t>
      </w:r>
      <w:r w:rsidRPr="002C38BF">
        <w:rPr>
          <w:rFonts w:eastAsia="Calibri"/>
        </w:rPr>
        <w:t>.</w:t>
      </w:r>
      <w:r w:rsidRPr="0012136D">
        <w:rPr>
          <w:rStyle w:val="FootnoteReference"/>
        </w:rPr>
        <w:footnoteReference w:id="5"/>
      </w:r>
      <w:r w:rsidRPr="002C38BF">
        <w:rPr>
          <w:rFonts w:eastAsia="Calibri"/>
          <w:vertAlign w:val="superscript"/>
        </w:rPr>
        <w:t xml:space="preserve"> </w:t>
      </w:r>
      <w:r w:rsidRPr="002C38BF">
        <w:rPr>
          <w:rFonts w:eastAsia="Calibri"/>
        </w:rPr>
        <w:t xml:space="preserve">The </w:t>
      </w:r>
      <w:r w:rsidRPr="002C38BF">
        <w:rPr>
          <w:rFonts w:eastAsia="Calibri"/>
        </w:rPr>
        <w:lastRenderedPageBreak/>
        <w:t xml:space="preserve">report draws on these submissions </w:t>
      </w:r>
      <w:r>
        <w:rPr>
          <w:rFonts w:eastAsia="Calibri"/>
        </w:rPr>
        <w:t xml:space="preserve">and on </w:t>
      </w:r>
      <w:r w:rsidRPr="002C38BF">
        <w:rPr>
          <w:rFonts w:eastAsia="Calibri"/>
        </w:rPr>
        <w:t>recent findings of United Nations agencies and human rights bodies, regional organizations, non-governmental organizations and academic research</w:t>
      </w:r>
      <w:r>
        <w:rPr>
          <w:rFonts w:eastAsia="Calibri"/>
        </w:rPr>
        <w:t xml:space="preserve"> institutes</w:t>
      </w:r>
      <w:r w:rsidRPr="002C38BF">
        <w:rPr>
          <w:rFonts w:eastAsia="Calibri"/>
        </w:rPr>
        <w:t>.</w:t>
      </w:r>
    </w:p>
    <w:p w14:paraId="541AC145" w14:textId="77777777" w:rsidR="0012136D" w:rsidRPr="002C38BF" w:rsidRDefault="0012136D" w:rsidP="0012136D">
      <w:pPr>
        <w:pStyle w:val="SingleTxtG"/>
        <w:rPr>
          <w:rFonts w:eastAsia="Calibri"/>
        </w:rPr>
      </w:pPr>
      <w:r w:rsidRPr="002C38BF">
        <w:rPr>
          <w:rFonts w:eastAsia="Calibri"/>
        </w:rPr>
        <w:t>3.</w:t>
      </w:r>
      <w:r w:rsidRPr="002C38BF">
        <w:rPr>
          <w:rFonts w:eastAsia="Calibri"/>
        </w:rPr>
        <w:tab/>
      </w:r>
      <w:r>
        <w:rPr>
          <w:rFonts w:eastAsia="Calibri"/>
        </w:rPr>
        <w:t xml:space="preserve">Chapter </w:t>
      </w:r>
      <w:r w:rsidRPr="002C38BF">
        <w:rPr>
          <w:rFonts w:eastAsia="Calibri"/>
        </w:rPr>
        <w:t xml:space="preserve">II of the report provides background on the intersection of race and gender discrimination in sport. </w:t>
      </w:r>
      <w:r>
        <w:rPr>
          <w:rFonts w:eastAsia="Calibri"/>
        </w:rPr>
        <w:t xml:space="preserve">Chapter </w:t>
      </w:r>
      <w:r w:rsidRPr="002C38BF">
        <w:rPr>
          <w:rFonts w:eastAsia="Calibri"/>
        </w:rPr>
        <w:t xml:space="preserve">III </w:t>
      </w:r>
      <w:r>
        <w:rPr>
          <w:rFonts w:eastAsia="Calibri"/>
        </w:rPr>
        <w:t xml:space="preserve">gives an overview of </w:t>
      </w:r>
      <w:r w:rsidRPr="002C38BF">
        <w:rPr>
          <w:rFonts w:eastAsia="Calibri"/>
        </w:rPr>
        <w:t>relevant international human rights norms and standards</w:t>
      </w:r>
      <w:r>
        <w:rPr>
          <w:rFonts w:eastAsia="Calibri"/>
        </w:rPr>
        <w:t>,</w:t>
      </w:r>
      <w:r w:rsidRPr="002C38BF">
        <w:rPr>
          <w:rFonts w:eastAsia="Calibri"/>
        </w:rPr>
        <w:t xml:space="preserve"> and the corresponding obligations of States and responsibilities of sporting bodies </w:t>
      </w:r>
      <w:r>
        <w:rPr>
          <w:rFonts w:eastAsia="Calibri"/>
        </w:rPr>
        <w:t>towards</w:t>
      </w:r>
      <w:r w:rsidRPr="002C38BF">
        <w:rPr>
          <w:rFonts w:eastAsia="Calibri"/>
        </w:rPr>
        <w:t xml:space="preserve"> women and girl athletes. </w:t>
      </w:r>
      <w:r>
        <w:rPr>
          <w:rFonts w:eastAsia="Calibri"/>
        </w:rPr>
        <w:t xml:space="preserve">Chapter </w:t>
      </w:r>
      <w:r w:rsidRPr="002C38BF">
        <w:rPr>
          <w:rFonts w:eastAsia="Calibri"/>
        </w:rPr>
        <w:t xml:space="preserve">IV </w:t>
      </w:r>
      <w:r>
        <w:rPr>
          <w:rFonts w:eastAsia="Calibri"/>
        </w:rPr>
        <w:t xml:space="preserve">focuses on </w:t>
      </w:r>
      <w:r w:rsidRPr="002C38BF">
        <w:rPr>
          <w:rFonts w:eastAsia="Calibri"/>
        </w:rPr>
        <w:t xml:space="preserve">the impact of female eligibility regulations on the enjoyment of human rights. </w:t>
      </w:r>
      <w:r>
        <w:rPr>
          <w:rFonts w:eastAsia="Calibri"/>
        </w:rPr>
        <w:t xml:space="preserve">Chapter </w:t>
      </w:r>
      <w:r w:rsidRPr="002C38BF">
        <w:rPr>
          <w:rFonts w:eastAsia="Calibri"/>
        </w:rPr>
        <w:t xml:space="preserve">V identifies possible gaps in the protection of </w:t>
      </w:r>
      <w:r>
        <w:rPr>
          <w:rFonts w:eastAsia="Calibri"/>
        </w:rPr>
        <w:t xml:space="preserve">the </w:t>
      </w:r>
      <w:r w:rsidRPr="002C38BF">
        <w:rPr>
          <w:rFonts w:eastAsia="Calibri"/>
        </w:rPr>
        <w:t xml:space="preserve">human rights of women and girls in sport. </w:t>
      </w:r>
      <w:r>
        <w:rPr>
          <w:rFonts w:eastAsia="Calibri"/>
        </w:rPr>
        <w:t xml:space="preserve">Chapter </w:t>
      </w:r>
      <w:r w:rsidRPr="002C38BF">
        <w:rPr>
          <w:rFonts w:eastAsia="Calibri"/>
        </w:rPr>
        <w:t xml:space="preserve">VI </w:t>
      </w:r>
      <w:r>
        <w:rPr>
          <w:rFonts w:eastAsia="Calibri"/>
        </w:rPr>
        <w:t xml:space="preserve">presents </w:t>
      </w:r>
      <w:r w:rsidRPr="002C38BF">
        <w:rPr>
          <w:rFonts w:eastAsia="Calibri"/>
        </w:rPr>
        <w:t>conclusions and recommendations aimed at enhancing such protection.</w:t>
      </w:r>
    </w:p>
    <w:p w14:paraId="21755A45" w14:textId="77777777" w:rsidR="0012136D" w:rsidRPr="002C38BF" w:rsidRDefault="0012136D" w:rsidP="0012136D">
      <w:pPr>
        <w:pStyle w:val="SingleTxtG"/>
        <w:rPr>
          <w:rFonts w:eastAsia="Calibri"/>
        </w:rPr>
      </w:pPr>
      <w:r w:rsidRPr="002C38BF">
        <w:rPr>
          <w:rFonts w:eastAsia="Calibri"/>
        </w:rPr>
        <w:t>4.</w:t>
      </w:r>
      <w:r w:rsidRPr="002C38BF">
        <w:rPr>
          <w:rFonts w:eastAsia="Calibri"/>
        </w:rPr>
        <w:tab/>
        <w:t xml:space="preserve">Taking into account the concerns raised in </w:t>
      </w:r>
      <w:r>
        <w:rPr>
          <w:rFonts w:eastAsia="Calibri"/>
        </w:rPr>
        <w:t xml:space="preserve">Human Rights Council </w:t>
      </w:r>
      <w:r w:rsidRPr="002C38BF">
        <w:rPr>
          <w:rFonts w:eastAsia="Calibri"/>
        </w:rPr>
        <w:t>resolution</w:t>
      </w:r>
      <w:r>
        <w:rPr>
          <w:rFonts w:eastAsia="Calibri"/>
        </w:rPr>
        <w:t xml:space="preserve"> 40/5</w:t>
      </w:r>
      <w:r w:rsidRPr="002C38BF">
        <w:rPr>
          <w:rFonts w:eastAsia="Calibri"/>
        </w:rPr>
        <w:t xml:space="preserve">, </w:t>
      </w:r>
      <w:r>
        <w:rPr>
          <w:rFonts w:eastAsia="Calibri"/>
        </w:rPr>
        <w:t xml:space="preserve">the present report provides an analysis of </w:t>
      </w:r>
      <w:r w:rsidRPr="002C38BF">
        <w:rPr>
          <w:rFonts w:eastAsia="Calibri"/>
        </w:rPr>
        <w:t xml:space="preserve">the human rights impact of sports regulations and practices that require women and girl athletes with so-called </w:t>
      </w:r>
      <w:r>
        <w:rPr>
          <w:rFonts w:eastAsia="Calibri"/>
        </w:rPr>
        <w:t>d</w:t>
      </w:r>
      <w:r w:rsidRPr="002C38BF">
        <w:rPr>
          <w:rFonts w:eastAsia="Calibri"/>
        </w:rPr>
        <w:t xml:space="preserve">ifferences </w:t>
      </w:r>
      <w:r>
        <w:rPr>
          <w:rFonts w:eastAsia="Calibri"/>
        </w:rPr>
        <w:t>in s</w:t>
      </w:r>
      <w:r w:rsidRPr="002C38BF">
        <w:rPr>
          <w:rFonts w:eastAsia="Calibri"/>
        </w:rPr>
        <w:t xml:space="preserve">ex </w:t>
      </w:r>
      <w:r>
        <w:rPr>
          <w:rFonts w:eastAsia="Calibri"/>
        </w:rPr>
        <w:t>d</w:t>
      </w:r>
      <w:r w:rsidRPr="002C38BF">
        <w:rPr>
          <w:rFonts w:eastAsia="Calibri"/>
        </w:rPr>
        <w:t>evelop</w:t>
      </w:r>
      <w:r w:rsidRPr="002C38BF">
        <w:rPr>
          <w:rFonts w:eastAsia="Calibri"/>
        </w:rPr>
        <w:lastRenderedPageBreak/>
        <w:t>ment</w:t>
      </w:r>
      <w:r>
        <w:rPr>
          <w:rFonts w:eastAsia="Calibri"/>
        </w:rPr>
        <w:t xml:space="preserve"> – </w:t>
      </w:r>
      <w:r w:rsidRPr="002C38BF">
        <w:rPr>
          <w:rFonts w:eastAsia="Calibri"/>
        </w:rPr>
        <w:t>meaning variations in sex characteristics</w:t>
      </w:r>
      <w:r w:rsidRPr="0012136D">
        <w:rPr>
          <w:rStyle w:val="FootnoteReference"/>
        </w:rPr>
        <w:footnoteReference w:id="6"/>
      </w:r>
      <w:r>
        <w:rPr>
          <w:rFonts w:eastAsia="Calibri"/>
        </w:rPr>
        <w:t xml:space="preserve"> – </w:t>
      </w:r>
      <w:r w:rsidRPr="002C38BF">
        <w:rPr>
          <w:rFonts w:eastAsia="Calibri"/>
        </w:rPr>
        <w:t>whose bodies produce specified (higher-than-typical) levels of endogenous testosterone and are sensitive to androgens, to medically reduce their testosterone levels.</w:t>
      </w:r>
    </w:p>
    <w:p w14:paraId="2E14D99E" w14:textId="77777777" w:rsidR="0012136D" w:rsidRPr="002C38BF" w:rsidRDefault="0012136D" w:rsidP="0012136D">
      <w:pPr>
        <w:pStyle w:val="HChG"/>
      </w:pPr>
      <w:r w:rsidRPr="002C38BF">
        <w:tab/>
      </w:r>
      <w:bookmarkStart w:id="4" w:name="_Toc42595812"/>
      <w:r w:rsidRPr="002C38BF">
        <w:t>II.</w:t>
      </w:r>
      <w:r w:rsidRPr="002C38BF">
        <w:tab/>
      </w:r>
      <w:r>
        <w:t>I</w:t>
      </w:r>
      <w:r w:rsidRPr="002C38BF">
        <w:t>ntersection of race and gender discrimination in sport</w:t>
      </w:r>
      <w:bookmarkEnd w:id="4"/>
    </w:p>
    <w:p w14:paraId="70ED3FFD" w14:textId="77777777" w:rsidR="0012136D" w:rsidRPr="002C38BF" w:rsidRDefault="0012136D" w:rsidP="0012136D">
      <w:pPr>
        <w:pStyle w:val="SingleTxtG"/>
        <w:rPr>
          <w:rFonts w:eastAsia="Calibri"/>
        </w:rPr>
      </w:pPr>
      <w:r w:rsidRPr="002C38BF">
        <w:rPr>
          <w:rFonts w:eastAsia="Calibri"/>
        </w:rPr>
        <w:t>5.</w:t>
      </w:r>
      <w:r w:rsidRPr="002C38BF">
        <w:rPr>
          <w:rFonts w:eastAsia="Calibri"/>
        </w:rPr>
        <w:tab/>
        <w:t xml:space="preserve">There is strong evidence </w:t>
      </w:r>
      <w:r>
        <w:rPr>
          <w:rFonts w:eastAsia="Calibri"/>
        </w:rPr>
        <w:t xml:space="preserve">of </w:t>
      </w:r>
      <w:r w:rsidRPr="002C38BF">
        <w:rPr>
          <w:rFonts w:eastAsia="Calibri"/>
        </w:rPr>
        <w:t xml:space="preserve">the benefits of sport for health and well-being, </w:t>
      </w:r>
      <w:r>
        <w:rPr>
          <w:rFonts w:eastAsia="Calibri"/>
        </w:rPr>
        <w:t xml:space="preserve">and also </w:t>
      </w:r>
      <w:r w:rsidRPr="002C38BF">
        <w:rPr>
          <w:rFonts w:eastAsia="Calibri"/>
        </w:rPr>
        <w:t>for building leadership, teamwork, perseverance and other essential skills.</w:t>
      </w:r>
      <w:r>
        <w:rPr>
          <w:rFonts w:eastAsia="Calibri"/>
        </w:rPr>
        <w:t xml:space="preserve"> G</w:t>
      </w:r>
      <w:r w:rsidRPr="002C38BF">
        <w:rPr>
          <w:rFonts w:eastAsia="Calibri"/>
        </w:rPr>
        <w:t xml:space="preserve">lobally, </w:t>
      </w:r>
      <w:r>
        <w:rPr>
          <w:rFonts w:eastAsia="Calibri"/>
        </w:rPr>
        <w:t xml:space="preserve">however, </w:t>
      </w:r>
      <w:r w:rsidRPr="002C38BF">
        <w:rPr>
          <w:rFonts w:eastAsia="Calibri"/>
        </w:rPr>
        <w:t xml:space="preserve">the </w:t>
      </w:r>
      <w:r>
        <w:rPr>
          <w:rFonts w:eastAsia="Calibri"/>
        </w:rPr>
        <w:t xml:space="preserve">level of </w:t>
      </w:r>
      <w:r w:rsidRPr="002C38BF">
        <w:rPr>
          <w:rFonts w:eastAsia="Calibri"/>
        </w:rPr>
        <w:t>participation of women and girls in sport remains lower than that of men and boys.</w:t>
      </w:r>
    </w:p>
    <w:p w14:paraId="58BCB296" w14:textId="77777777" w:rsidR="0012136D" w:rsidRPr="002C38BF" w:rsidRDefault="0012136D" w:rsidP="0012136D">
      <w:pPr>
        <w:pStyle w:val="SingleTxtG"/>
        <w:rPr>
          <w:rFonts w:ascii="Calibri" w:hAnsi="Calibri" w:cs="Calibri"/>
          <w:sz w:val="22"/>
          <w:szCs w:val="22"/>
        </w:rPr>
      </w:pPr>
      <w:r w:rsidRPr="002C38BF">
        <w:t>6.</w:t>
      </w:r>
      <w:r w:rsidRPr="002C38BF">
        <w:tab/>
        <w:t xml:space="preserve">Numerous studies point to the factors linked to the lower participation rates of women and </w:t>
      </w:r>
      <w:r w:rsidRPr="0012136D">
        <w:t>girls</w:t>
      </w:r>
      <w:r w:rsidRPr="002C38BF">
        <w:t xml:space="preserve"> in both amateur and professional sport. Those factors can be both external to sport, </w:t>
      </w:r>
      <w:r w:rsidRPr="002C38BF">
        <w:lastRenderedPageBreak/>
        <w:t>such as discriminatory social norms</w:t>
      </w:r>
      <w:r>
        <w:t xml:space="preserve"> or</w:t>
      </w:r>
      <w:r w:rsidRPr="002C38BF">
        <w:t xml:space="preserve"> obstacles </w:t>
      </w:r>
      <w:r>
        <w:t>to</w:t>
      </w:r>
      <w:r w:rsidRPr="002C38BF">
        <w:t xml:space="preserve"> reconciling the burden</w:t>
      </w:r>
      <w:r>
        <w:t>s</w:t>
      </w:r>
      <w:r w:rsidRPr="002C38BF">
        <w:t xml:space="preserve"> of care</w:t>
      </w:r>
      <w:r>
        <w:t>,</w:t>
      </w:r>
      <w:r w:rsidRPr="002C38BF">
        <w:t xml:space="preserve"> work</w:t>
      </w:r>
      <w:r>
        <w:t xml:space="preserve"> and </w:t>
      </w:r>
      <w:r w:rsidRPr="002C38BF">
        <w:t xml:space="preserve">sport, and internal to sport, </w:t>
      </w:r>
      <w:r>
        <w:t xml:space="preserve">including </w:t>
      </w:r>
      <w:r w:rsidRPr="002C38BF">
        <w:t>the lack of programmes to create a gender-sensitive</w:t>
      </w:r>
      <w:r w:rsidRPr="002C38BF">
        <w:rPr>
          <w:rFonts w:ascii="Calibri" w:hAnsi="Calibri" w:cs="Calibri"/>
          <w:sz w:val="22"/>
          <w:szCs w:val="22"/>
        </w:rPr>
        <w:t xml:space="preserve"> </w:t>
      </w:r>
      <w:r w:rsidRPr="002C38BF">
        <w:t>and safe sport</w:t>
      </w:r>
      <w:r>
        <w:t>ing</w:t>
      </w:r>
      <w:r w:rsidRPr="002C38BF">
        <w:t xml:space="preserve"> environment or to address harassment and other forms of gender-based violence in sport, including sexual exploitation and abuse.</w:t>
      </w:r>
      <w:r w:rsidRPr="0012136D">
        <w:rPr>
          <w:rStyle w:val="FootnoteReference"/>
        </w:rPr>
        <w:footnoteReference w:id="7"/>
      </w:r>
    </w:p>
    <w:p w14:paraId="5A1C1110" w14:textId="77777777" w:rsidR="0012136D" w:rsidRPr="002C38BF" w:rsidRDefault="0012136D" w:rsidP="0012136D">
      <w:pPr>
        <w:pStyle w:val="SingleTxtG"/>
        <w:rPr>
          <w:rFonts w:eastAsia="Calibri"/>
        </w:rPr>
      </w:pPr>
      <w:r w:rsidRPr="002C38BF">
        <w:rPr>
          <w:rFonts w:eastAsia="Calibri"/>
        </w:rPr>
        <w:t>7.</w:t>
      </w:r>
      <w:r w:rsidRPr="002C38BF">
        <w:rPr>
          <w:rFonts w:eastAsia="Calibri"/>
        </w:rPr>
        <w:tab/>
        <w:t>As noted in some submissions, discrimination faced by women and girls in competitive and non-competitive sport cannot be divorced from the discrimination they face in society more broadly.</w:t>
      </w:r>
      <w:r w:rsidRPr="0012136D">
        <w:rPr>
          <w:rStyle w:val="FootnoteReference"/>
        </w:rPr>
        <w:footnoteReference w:id="8"/>
      </w:r>
      <w:r w:rsidRPr="002C38BF">
        <w:rPr>
          <w:rFonts w:eastAsia="Calibri"/>
        </w:rPr>
        <w:t xml:space="preserve"> For instance, broader sociocultural norms and more direct discriminatory actions, such as prohibitions on certain attire worn by women, have hindered women and girls </w:t>
      </w:r>
      <w:r>
        <w:rPr>
          <w:rFonts w:eastAsia="Calibri"/>
        </w:rPr>
        <w:t xml:space="preserve">from </w:t>
      </w:r>
      <w:r w:rsidRPr="002C38BF">
        <w:rPr>
          <w:rFonts w:eastAsia="Calibri"/>
        </w:rPr>
        <w:t>participating in sport and public life.</w:t>
      </w:r>
      <w:r w:rsidRPr="0012136D">
        <w:rPr>
          <w:rStyle w:val="FootnoteReference"/>
        </w:rPr>
        <w:footnoteReference w:id="9"/>
      </w:r>
      <w:r w:rsidRPr="002C38BF">
        <w:rPr>
          <w:rFonts w:eastAsia="Calibri"/>
        </w:rPr>
        <w:t xml:space="preserve"> Women and girls who do participate in sport, particularly those who do not conform to community-</w:t>
      </w:r>
      <w:r w:rsidRPr="002C38BF">
        <w:rPr>
          <w:rFonts w:eastAsia="Calibri"/>
        </w:rPr>
        <w:lastRenderedPageBreak/>
        <w:t>based gender norms related to style of hair or dress, sexual orientation or participation in particular sports</w:t>
      </w:r>
      <w:r>
        <w:rPr>
          <w:rFonts w:eastAsia="Calibri"/>
        </w:rPr>
        <w:t>,</w:t>
      </w:r>
      <w:r w:rsidRPr="002C38BF">
        <w:rPr>
          <w:rFonts w:eastAsia="Calibri"/>
        </w:rPr>
        <w:t xml:space="preserve"> may be subjected to harassment and exclusion by their families or communities.</w:t>
      </w:r>
      <w:r w:rsidRPr="0012136D">
        <w:rPr>
          <w:rStyle w:val="FootnoteReference"/>
        </w:rPr>
        <w:footnoteReference w:id="10"/>
      </w:r>
    </w:p>
    <w:p w14:paraId="01C77439" w14:textId="77777777" w:rsidR="0012136D" w:rsidRPr="002C38BF" w:rsidRDefault="0012136D" w:rsidP="0012136D">
      <w:pPr>
        <w:pStyle w:val="SingleTxtG"/>
        <w:rPr>
          <w:rFonts w:eastAsia="Calibri"/>
        </w:rPr>
      </w:pPr>
      <w:r w:rsidRPr="002C38BF">
        <w:rPr>
          <w:rFonts w:eastAsia="Calibri"/>
        </w:rPr>
        <w:t>8.</w:t>
      </w:r>
      <w:r w:rsidRPr="002C38BF">
        <w:rPr>
          <w:rFonts w:eastAsia="Calibri"/>
        </w:rPr>
        <w:tab/>
        <w:t xml:space="preserve">Retention of women and girls in sport is also </w:t>
      </w:r>
      <w:r>
        <w:rPr>
          <w:rFonts w:eastAsia="Calibri"/>
        </w:rPr>
        <w:t>a</w:t>
      </w:r>
      <w:r w:rsidRPr="002C38BF">
        <w:rPr>
          <w:rFonts w:eastAsia="Calibri"/>
        </w:rPr>
        <w:t xml:space="preserve"> prevalent issue. Recent studies in North America have revealed increased dropout rates and persistent barriers to the continued participation of women and girls in sport and physical activity.</w:t>
      </w:r>
      <w:r w:rsidRPr="0012136D">
        <w:rPr>
          <w:rStyle w:val="FootnoteReference"/>
        </w:rPr>
        <w:footnoteReference w:id="11"/>
      </w:r>
      <w:r w:rsidRPr="002C38BF">
        <w:rPr>
          <w:rFonts w:eastAsia="Calibri"/>
        </w:rPr>
        <w:t xml:space="preserve"> These barriers include lack of access to opportunities, safety and transportation issues, social stigma, </w:t>
      </w:r>
      <w:r>
        <w:rPr>
          <w:rFonts w:eastAsia="Calibri"/>
        </w:rPr>
        <w:t>expense</w:t>
      </w:r>
      <w:r w:rsidRPr="002C38BF">
        <w:rPr>
          <w:rFonts w:eastAsia="Calibri"/>
        </w:rPr>
        <w:t xml:space="preserve"> and lack of positive role models, as well as myths around menstruation and sexuality.</w:t>
      </w:r>
      <w:r w:rsidRPr="0012136D">
        <w:rPr>
          <w:rStyle w:val="FootnoteReference"/>
        </w:rPr>
        <w:footnoteReference w:id="12"/>
      </w:r>
      <w:r w:rsidRPr="002C38BF">
        <w:rPr>
          <w:rFonts w:eastAsia="Calibri"/>
        </w:rPr>
        <w:t xml:space="preserve"> Migrant and refugee girls and women athletes face additional barriers, including racism and xenophobia.</w:t>
      </w:r>
      <w:r w:rsidRPr="0012136D">
        <w:rPr>
          <w:rStyle w:val="FootnoteReference"/>
        </w:rPr>
        <w:footnoteReference w:id="13"/>
      </w:r>
    </w:p>
    <w:p w14:paraId="5BC26747" w14:textId="177EDA50" w:rsidR="0012136D" w:rsidRPr="002C38BF" w:rsidRDefault="0012136D" w:rsidP="0012136D">
      <w:pPr>
        <w:pStyle w:val="SingleTxtG"/>
        <w:rPr>
          <w:rFonts w:eastAsia="Calibri"/>
        </w:rPr>
      </w:pPr>
      <w:r w:rsidRPr="002C38BF">
        <w:rPr>
          <w:rFonts w:eastAsia="Calibri"/>
        </w:rPr>
        <w:t>9.</w:t>
      </w:r>
      <w:r w:rsidRPr="002C38BF">
        <w:rPr>
          <w:rFonts w:eastAsia="Calibri"/>
        </w:rPr>
        <w:tab/>
        <w:t xml:space="preserve">Global awareness of and attention to sexual harassment and abuse in </w:t>
      </w:r>
      <w:r w:rsidRPr="002C38BF">
        <w:rPr>
          <w:rFonts w:eastAsia="Calibri"/>
        </w:rPr>
        <w:lastRenderedPageBreak/>
        <w:t>sport</w:t>
      </w:r>
      <w:r>
        <w:rPr>
          <w:rFonts w:eastAsia="Calibri"/>
        </w:rPr>
        <w:t>s</w:t>
      </w:r>
      <w:r w:rsidRPr="002C38BF">
        <w:rPr>
          <w:rFonts w:eastAsia="Calibri"/>
        </w:rPr>
        <w:t xml:space="preserve"> have recently intensified.</w:t>
      </w:r>
      <w:r w:rsidRPr="0012136D">
        <w:rPr>
          <w:rStyle w:val="FootnoteReference"/>
        </w:rPr>
        <w:footnoteReference w:id="14"/>
      </w:r>
      <w:r w:rsidRPr="002C38BF">
        <w:rPr>
          <w:rFonts w:eastAsia="Calibri"/>
          <w:vertAlign w:val="superscript"/>
        </w:rPr>
        <w:t xml:space="preserve"> </w:t>
      </w:r>
      <w:r w:rsidRPr="002C38BF">
        <w:rPr>
          <w:rFonts w:eastAsia="Calibri"/>
        </w:rPr>
        <w:t>Yet</w:t>
      </w:r>
      <w:r>
        <w:rPr>
          <w:rFonts w:eastAsia="Calibri"/>
        </w:rPr>
        <w:t>,</w:t>
      </w:r>
      <w:r w:rsidRPr="002C38BF">
        <w:rPr>
          <w:rFonts w:eastAsia="Calibri"/>
        </w:rPr>
        <w:t xml:space="preserve"> as survivors</w:t>
      </w:r>
      <w:r w:rsidR="00356B25">
        <w:rPr>
          <w:rFonts w:eastAsia="Calibri"/>
        </w:rPr>
        <w:t>’</w:t>
      </w:r>
      <w:r w:rsidRPr="002C38BF">
        <w:rPr>
          <w:rFonts w:eastAsia="Calibri"/>
        </w:rPr>
        <w:t xml:space="preserve"> testimony makes clear, informed, comprehensive, effective and rights-based responses to abuse, both preventative and remedial, are not yet in place at any level.</w:t>
      </w:r>
      <w:r w:rsidRPr="0012136D">
        <w:rPr>
          <w:rStyle w:val="FootnoteReference"/>
        </w:rPr>
        <w:footnoteReference w:id="15"/>
      </w:r>
      <w:r w:rsidRPr="002C38BF">
        <w:rPr>
          <w:rFonts w:eastAsia="Calibri"/>
        </w:rPr>
        <w:t xml:space="preserve"> The Special Rapporteur on the sale and sexual exploitation of children</w:t>
      </w:r>
      <w:r w:rsidRPr="00075132">
        <w:rPr>
          <w:rFonts w:eastAsia="Calibri"/>
        </w:rPr>
        <w:t>, including child prostitution, child pornography and other child sexual abuse material</w:t>
      </w:r>
      <w:r>
        <w:rPr>
          <w:rFonts w:eastAsia="Calibri"/>
        </w:rPr>
        <w:t>,</w:t>
      </w:r>
      <w:r w:rsidRPr="002C38BF" w:rsidDel="005A061C">
        <w:rPr>
          <w:rFonts w:eastAsia="Calibri"/>
        </w:rPr>
        <w:t xml:space="preserve"> </w:t>
      </w:r>
      <w:r w:rsidRPr="002C38BF">
        <w:rPr>
          <w:rFonts w:eastAsia="Calibri"/>
        </w:rPr>
        <w:t xml:space="preserve">has specifically called for attention to </w:t>
      </w:r>
      <w:r>
        <w:rPr>
          <w:rFonts w:eastAsia="Calibri"/>
        </w:rPr>
        <w:t xml:space="preserve">be paid to </w:t>
      </w:r>
      <w:r w:rsidRPr="002C38BF">
        <w:rPr>
          <w:rFonts w:eastAsia="Calibri"/>
        </w:rPr>
        <w:t>the sexual exploitation of children in sport</w:t>
      </w:r>
      <w:r>
        <w:rPr>
          <w:rFonts w:eastAsia="Calibri"/>
        </w:rPr>
        <w:t>s</w:t>
      </w:r>
      <w:r w:rsidRPr="002C38BF">
        <w:rPr>
          <w:rFonts w:eastAsia="Calibri"/>
        </w:rPr>
        <w:t>, characterized as rife, pervasive and widespread, and unchecked.</w:t>
      </w:r>
      <w:r w:rsidRPr="0012136D">
        <w:rPr>
          <w:rStyle w:val="FootnoteReference"/>
        </w:rPr>
        <w:footnoteReference w:id="16"/>
      </w:r>
      <w:r w:rsidRPr="002C38BF">
        <w:rPr>
          <w:rFonts w:eastAsia="Calibri"/>
        </w:rPr>
        <w:t xml:space="preserve"> Research on the role that race, socioeconomic status and geopolitical location play in risk and access to remedy and prevention is also needed.</w:t>
      </w:r>
    </w:p>
    <w:p w14:paraId="4C00EDF4" w14:textId="0C6CF73B" w:rsidR="0012136D" w:rsidRPr="002C38BF" w:rsidRDefault="0012136D" w:rsidP="0012136D">
      <w:pPr>
        <w:pStyle w:val="SingleTxtG"/>
        <w:rPr>
          <w:rFonts w:eastAsia="Calibri"/>
        </w:rPr>
      </w:pPr>
      <w:r w:rsidRPr="002C38BF">
        <w:rPr>
          <w:rFonts w:eastAsia="Calibri"/>
        </w:rPr>
        <w:t>10.</w:t>
      </w:r>
      <w:r w:rsidRPr="002C38BF">
        <w:rPr>
          <w:rFonts w:eastAsia="Calibri"/>
        </w:rPr>
        <w:tab/>
        <w:t xml:space="preserve">The intersection between discrimination based on race and on gender lead to even greater obstacles for </w:t>
      </w:r>
      <w:r w:rsidRPr="002C38BF">
        <w:rPr>
          <w:rFonts w:eastAsia="Calibri"/>
        </w:rPr>
        <w:lastRenderedPageBreak/>
        <w:t>specific groups of women and girls</w:t>
      </w:r>
      <w:r>
        <w:rPr>
          <w:rFonts w:eastAsia="Calibri"/>
        </w:rPr>
        <w:t>,</w:t>
      </w:r>
      <w:r w:rsidRPr="002C38BF">
        <w:rPr>
          <w:rFonts w:eastAsia="Calibri"/>
        </w:rPr>
        <w:t xml:space="preserve"> including racial and ethnic minorities. Available data on women</w:t>
      </w:r>
      <w:r w:rsidR="00356B25">
        <w:rPr>
          <w:rFonts w:eastAsia="Calibri"/>
        </w:rPr>
        <w:t>’</w:t>
      </w:r>
      <w:r>
        <w:rPr>
          <w:rFonts w:eastAsia="Calibri"/>
        </w:rPr>
        <w:t>s</w:t>
      </w:r>
      <w:r w:rsidRPr="002C38BF">
        <w:rPr>
          <w:rFonts w:eastAsia="Calibri"/>
        </w:rPr>
        <w:t xml:space="preserve"> and girls</w:t>
      </w:r>
      <w:r w:rsidR="00356B25">
        <w:rPr>
          <w:rFonts w:eastAsia="Calibri"/>
        </w:rPr>
        <w:t>’</w:t>
      </w:r>
      <w:r w:rsidRPr="002C38BF">
        <w:rPr>
          <w:rFonts w:eastAsia="Calibri"/>
        </w:rPr>
        <w:t xml:space="preserve"> participation in sport mostly focus on developed countries or elite </w:t>
      </w:r>
      <w:r>
        <w:rPr>
          <w:rFonts w:eastAsia="Calibri"/>
        </w:rPr>
        <w:t>athletes</w:t>
      </w:r>
      <w:r w:rsidRPr="002C38BF">
        <w:rPr>
          <w:rFonts w:eastAsia="Calibri"/>
        </w:rPr>
        <w:t xml:space="preserve">. The existing data do not show much </w:t>
      </w:r>
      <w:r>
        <w:rPr>
          <w:rFonts w:eastAsia="Calibri"/>
        </w:rPr>
        <w:t>about</w:t>
      </w:r>
      <w:r w:rsidRPr="002C38BF">
        <w:rPr>
          <w:rFonts w:eastAsia="Calibri"/>
        </w:rPr>
        <w:t xml:space="preserve"> the intersection between gender and race discrimination in sport, global and local resource inequities and exclusionary community practices.</w:t>
      </w:r>
      <w:r w:rsidRPr="0012136D">
        <w:rPr>
          <w:rStyle w:val="FootnoteReference"/>
        </w:rPr>
        <w:footnoteReference w:id="17"/>
      </w:r>
      <w:r w:rsidRPr="002C38BF">
        <w:rPr>
          <w:rFonts w:eastAsia="Calibri"/>
        </w:rPr>
        <w:t xml:space="preserve"> However, some scholarship is beginning to address these issues.</w:t>
      </w:r>
      <w:r w:rsidRPr="0012136D">
        <w:rPr>
          <w:rStyle w:val="FootnoteReference"/>
        </w:rPr>
        <w:footnoteReference w:id="18"/>
      </w:r>
    </w:p>
    <w:p w14:paraId="5AB58E58" w14:textId="77777777" w:rsidR="0012136D" w:rsidRPr="002C38BF" w:rsidRDefault="0012136D" w:rsidP="0012136D">
      <w:pPr>
        <w:pStyle w:val="SingleTxtG"/>
        <w:rPr>
          <w:rFonts w:eastAsia="Calibri"/>
        </w:rPr>
      </w:pPr>
      <w:r w:rsidRPr="002C38BF">
        <w:rPr>
          <w:rFonts w:eastAsia="Calibri"/>
        </w:rPr>
        <w:t>11.</w:t>
      </w:r>
      <w:r w:rsidRPr="002C38BF">
        <w:rPr>
          <w:rFonts w:eastAsia="Calibri"/>
        </w:rPr>
        <w:tab/>
        <w:t>Some studies indicate that contemporary gender</w:t>
      </w:r>
      <w:r>
        <w:rPr>
          <w:rFonts w:eastAsia="Calibri"/>
        </w:rPr>
        <w:t>-</w:t>
      </w:r>
      <w:r w:rsidRPr="002C38BF">
        <w:rPr>
          <w:rFonts w:eastAsia="Calibri"/>
        </w:rPr>
        <w:t xml:space="preserve"> and race-based discrimination in sport can be traced back to the late </w:t>
      </w:r>
      <w:r>
        <w:rPr>
          <w:rFonts w:eastAsia="Calibri"/>
        </w:rPr>
        <w:t xml:space="preserve">nineteenth </w:t>
      </w:r>
      <w:r w:rsidRPr="002C38BF">
        <w:rPr>
          <w:rFonts w:eastAsia="Calibri"/>
        </w:rPr>
        <w:t xml:space="preserve">and early </w:t>
      </w:r>
      <w:r>
        <w:rPr>
          <w:rFonts w:eastAsia="Calibri"/>
        </w:rPr>
        <w:t xml:space="preserve">twentieth </w:t>
      </w:r>
      <w:r w:rsidRPr="002C38BF">
        <w:rPr>
          <w:rFonts w:eastAsia="Calibri"/>
        </w:rPr>
        <w:t>centur</w:t>
      </w:r>
      <w:r>
        <w:rPr>
          <w:rFonts w:eastAsia="Calibri"/>
        </w:rPr>
        <w:t>ies</w:t>
      </w:r>
      <w:r w:rsidRPr="002C38BF">
        <w:rPr>
          <w:rFonts w:eastAsia="Calibri"/>
        </w:rPr>
        <w:t xml:space="preserve">, when the structure of modern international sport emerged through the founding of sporting associations around the globe and then their organization into an international </w:t>
      </w:r>
      <w:r w:rsidRPr="002C38BF">
        <w:rPr>
          <w:rFonts w:eastAsia="Calibri"/>
        </w:rPr>
        <w:lastRenderedPageBreak/>
        <w:t>system. This period witnessed the organiz</w:t>
      </w:r>
      <w:r>
        <w:rPr>
          <w:rFonts w:eastAsia="Calibri"/>
        </w:rPr>
        <w:t>ation</w:t>
      </w:r>
      <w:r w:rsidRPr="002C38BF">
        <w:rPr>
          <w:rFonts w:eastAsia="Calibri"/>
        </w:rPr>
        <w:t xml:space="preserve"> of sport to further a racialized masculine ideal in contrast to a racialized feminine ideal.</w:t>
      </w:r>
      <w:r w:rsidRPr="0012136D">
        <w:rPr>
          <w:rStyle w:val="FootnoteReference"/>
        </w:rPr>
        <w:footnoteReference w:id="19"/>
      </w:r>
    </w:p>
    <w:p w14:paraId="0222A49B" w14:textId="0DB62ADA" w:rsidR="0012136D" w:rsidRPr="002C38BF" w:rsidRDefault="0012136D" w:rsidP="0012136D">
      <w:pPr>
        <w:pStyle w:val="SingleTxtG"/>
        <w:rPr>
          <w:rFonts w:eastAsia="Calibri"/>
        </w:rPr>
      </w:pPr>
      <w:r w:rsidRPr="002C38BF">
        <w:rPr>
          <w:rFonts w:eastAsia="Calibri"/>
        </w:rPr>
        <w:t>12.</w:t>
      </w:r>
      <w:r w:rsidRPr="002C38BF">
        <w:rPr>
          <w:rFonts w:eastAsia="Calibri"/>
        </w:rPr>
        <w:tab/>
        <w:t>The Special Rapporteur on contemporary forms of racism, racial discrimination, xenophobia and related intolerance has identified race as a gatekeeper for elite sport.</w:t>
      </w:r>
      <w:r w:rsidRPr="0012136D">
        <w:rPr>
          <w:rStyle w:val="FootnoteReference"/>
        </w:rPr>
        <w:footnoteReference w:id="20"/>
      </w:r>
      <w:r w:rsidRPr="002C38BF">
        <w:rPr>
          <w:rFonts w:eastAsia="Calibri"/>
        </w:rPr>
        <w:t xml:space="preserve"> While women</w:t>
      </w:r>
      <w:r w:rsidR="00356B25">
        <w:rPr>
          <w:rFonts w:eastAsia="Calibri"/>
        </w:rPr>
        <w:t>’</w:t>
      </w:r>
      <w:r w:rsidRPr="002C38BF">
        <w:rPr>
          <w:rFonts w:eastAsia="Calibri"/>
        </w:rPr>
        <w:t>s participation rates in the Olympics in some sports approach those of men,</w:t>
      </w:r>
      <w:r w:rsidRPr="0012136D">
        <w:rPr>
          <w:rStyle w:val="FootnoteReference"/>
        </w:rPr>
        <w:footnoteReference w:id="21"/>
      </w:r>
      <w:r w:rsidRPr="002C38BF">
        <w:rPr>
          <w:rFonts w:eastAsia="Calibri"/>
        </w:rPr>
        <w:t xml:space="preserve"> available data do not parse differences across race, ethnicity and other characteristics, within and across nations.</w:t>
      </w:r>
      <w:r w:rsidRPr="0012136D">
        <w:rPr>
          <w:rStyle w:val="FootnoteReference"/>
        </w:rPr>
        <w:footnoteReference w:id="22"/>
      </w:r>
      <w:r w:rsidRPr="002C38BF">
        <w:rPr>
          <w:rFonts w:eastAsia="Calibri"/>
        </w:rPr>
        <w:t xml:space="preserve"> Opportunities to participate in sport at the local level, which vary in large part based on access to resources, greatly influence </w:t>
      </w:r>
      <w:r w:rsidRPr="002C38BF">
        <w:rPr>
          <w:rFonts w:eastAsia="Calibri"/>
        </w:rPr>
        <w:lastRenderedPageBreak/>
        <w:t>women</w:t>
      </w:r>
      <w:r w:rsidR="00356B25">
        <w:rPr>
          <w:rFonts w:eastAsia="Calibri"/>
        </w:rPr>
        <w:t>’</w:t>
      </w:r>
      <w:r w:rsidRPr="002C38BF">
        <w:rPr>
          <w:rFonts w:eastAsia="Calibri"/>
        </w:rPr>
        <w:t>s participation in elite or professional sport.</w:t>
      </w:r>
      <w:r w:rsidRPr="0012136D">
        <w:rPr>
          <w:rStyle w:val="FootnoteReference"/>
        </w:rPr>
        <w:footnoteReference w:id="23"/>
      </w:r>
    </w:p>
    <w:p w14:paraId="06119199" w14:textId="77777777" w:rsidR="0012136D" w:rsidRPr="002C38BF" w:rsidRDefault="0012136D" w:rsidP="0012136D">
      <w:pPr>
        <w:pStyle w:val="SingleTxtG"/>
        <w:rPr>
          <w:rFonts w:eastAsia="Calibri"/>
        </w:rPr>
      </w:pPr>
      <w:r w:rsidRPr="002C38BF">
        <w:rPr>
          <w:rFonts w:eastAsia="Calibri"/>
        </w:rPr>
        <w:t>13.</w:t>
      </w:r>
      <w:r w:rsidRPr="002C38BF">
        <w:rPr>
          <w:rFonts w:eastAsia="Calibri"/>
        </w:rPr>
        <w:tab/>
        <w:t>Access is also uneven across different sports, some of which require costly facilities.</w:t>
      </w:r>
      <w:r w:rsidRPr="0012136D">
        <w:rPr>
          <w:rStyle w:val="FootnoteReference"/>
        </w:rPr>
        <w:footnoteReference w:id="24"/>
      </w:r>
      <w:r w:rsidRPr="002C38BF">
        <w:rPr>
          <w:rFonts w:eastAsia="Calibri"/>
        </w:rPr>
        <w:t xml:space="preserve"> </w:t>
      </w:r>
      <w:r>
        <w:rPr>
          <w:rFonts w:eastAsia="Calibri"/>
        </w:rPr>
        <w:t>W</w:t>
      </w:r>
      <w:r w:rsidRPr="002C38BF">
        <w:rPr>
          <w:rFonts w:eastAsia="Calibri"/>
        </w:rPr>
        <w:t xml:space="preserve">omen and girls </w:t>
      </w:r>
      <w:r>
        <w:rPr>
          <w:rFonts w:eastAsia="Calibri"/>
        </w:rPr>
        <w:t xml:space="preserve">from low-income households </w:t>
      </w:r>
      <w:r w:rsidRPr="002C38BF">
        <w:rPr>
          <w:rFonts w:eastAsia="Calibri"/>
        </w:rPr>
        <w:t>therefore face particular barriers in accessing the necessary facilities and equipment, as well as barriers arising from the uneven distribution of home and family obligations.</w:t>
      </w:r>
      <w:r w:rsidRPr="0012136D">
        <w:rPr>
          <w:rStyle w:val="FootnoteReference"/>
        </w:rPr>
        <w:footnoteReference w:id="25"/>
      </w:r>
      <w:r w:rsidRPr="002C38BF">
        <w:rPr>
          <w:rFonts w:eastAsia="Calibri"/>
        </w:rPr>
        <w:t xml:space="preserve"> These burdens fall disproportionately on women and girls belonging to marginalized groups, including those living in poverty, women from racial and ethnic minority groups, and migrant women.</w:t>
      </w:r>
    </w:p>
    <w:p w14:paraId="6B0B5267" w14:textId="77777777" w:rsidR="0012136D" w:rsidRPr="002C38BF" w:rsidRDefault="0012136D" w:rsidP="0012136D">
      <w:pPr>
        <w:pStyle w:val="SingleTxtG"/>
        <w:rPr>
          <w:rFonts w:eastAsia="Calibri"/>
        </w:rPr>
      </w:pPr>
      <w:r w:rsidRPr="002C38BF">
        <w:rPr>
          <w:rFonts w:eastAsia="Calibri"/>
        </w:rPr>
        <w:t>14.</w:t>
      </w:r>
      <w:r w:rsidRPr="002C38BF">
        <w:rPr>
          <w:rFonts w:eastAsia="Calibri"/>
        </w:rPr>
        <w:tab/>
        <w:t xml:space="preserve">Discrimination against women and girls in sport extends to unequal </w:t>
      </w:r>
      <w:r w:rsidRPr="002C38BF">
        <w:rPr>
          <w:rFonts w:eastAsia="Calibri"/>
        </w:rPr>
        <w:lastRenderedPageBreak/>
        <w:t>pay</w:t>
      </w:r>
      <w:r w:rsidRPr="0012136D">
        <w:rPr>
          <w:rStyle w:val="FootnoteReference"/>
        </w:rPr>
        <w:footnoteReference w:id="26"/>
      </w:r>
      <w:r w:rsidRPr="002C38BF">
        <w:rPr>
          <w:rFonts w:eastAsia="Calibri"/>
        </w:rPr>
        <w:t xml:space="preserve"> and underrepresentation in leadership positions in sport.</w:t>
      </w:r>
      <w:r w:rsidRPr="0012136D">
        <w:rPr>
          <w:rStyle w:val="FootnoteReference"/>
        </w:rPr>
        <w:footnoteReference w:id="27"/>
      </w:r>
      <w:r w:rsidRPr="002C38BF">
        <w:rPr>
          <w:rFonts w:eastAsia="Calibri"/>
        </w:rPr>
        <w:t xml:space="preserve"> The impact of the commercialization of sport</w:t>
      </w:r>
      <w:r>
        <w:rPr>
          <w:rFonts w:eastAsia="Calibri"/>
        </w:rPr>
        <w:t>s</w:t>
      </w:r>
      <w:r w:rsidRPr="002C38BF">
        <w:rPr>
          <w:rFonts w:eastAsia="Calibri"/>
        </w:rPr>
        <w:t xml:space="preserve"> on gender equality ha</w:t>
      </w:r>
      <w:r>
        <w:rPr>
          <w:rFonts w:eastAsia="Calibri"/>
        </w:rPr>
        <w:t>s</w:t>
      </w:r>
      <w:r w:rsidRPr="002C38BF">
        <w:rPr>
          <w:rFonts w:eastAsia="Calibri"/>
        </w:rPr>
        <w:t xml:space="preserve"> begun to be </w:t>
      </w:r>
      <w:r>
        <w:rPr>
          <w:rFonts w:eastAsia="Calibri"/>
        </w:rPr>
        <w:t>examined</w:t>
      </w:r>
      <w:r w:rsidRPr="002C38BF">
        <w:rPr>
          <w:rFonts w:eastAsia="Calibri"/>
        </w:rPr>
        <w:t xml:space="preserve">, but much more work is needed to understand the discriminatory effects of financial and marketing practices across race and gender, in light of the changing nature of both the athletes and </w:t>
      </w:r>
      <w:r>
        <w:rPr>
          <w:rFonts w:eastAsia="Calibri"/>
        </w:rPr>
        <w:t xml:space="preserve">the </w:t>
      </w:r>
      <w:r w:rsidRPr="002C38BF">
        <w:rPr>
          <w:rFonts w:eastAsia="Calibri"/>
        </w:rPr>
        <w:t>audience</w:t>
      </w:r>
      <w:r>
        <w:rPr>
          <w:rFonts w:eastAsia="Calibri"/>
        </w:rPr>
        <w:t>s</w:t>
      </w:r>
      <w:r w:rsidRPr="002C38BF">
        <w:rPr>
          <w:rFonts w:eastAsia="Calibri"/>
        </w:rPr>
        <w:t>.</w:t>
      </w:r>
      <w:r w:rsidRPr="0012136D">
        <w:rPr>
          <w:rStyle w:val="FootnoteReference"/>
        </w:rPr>
        <w:footnoteReference w:id="28"/>
      </w:r>
    </w:p>
    <w:p w14:paraId="2C65369E" w14:textId="5D4582FA" w:rsidR="0012136D" w:rsidRPr="002C38BF" w:rsidRDefault="0012136D" w:rsidP="0012136D">
      <w:pPr>
        <w:pStyle w:val="SingleTxtG"/>
        <w:rPr>
          <w:rFonts w:eastAsia="Calibri"/>
        </w:rPr>
      </w:pPr>
      <w:r w:rsidRPr="002C38BF">
        <w:rPr>
          <w:rFonts w:eastAsia="Calibri"/>
        </w:rPr>
        <w:t>15.</w:t>
      </w:r>
      <w:r w:rsidRPr="002C38BF">
        <w:rPr>
          <w:rFonts w:eastAsia="Calibri"/>
        </w:rPr>
        <w:tab/>
        <w:t xml:space="preserve">The media play a vital role in </w:t>
      </w:r>
      <w:r>
        <w:rPr>
          <w:rFonts w:eastAsia="Calibri"/>
        </w:rPr>
        <w:t xml:space="preserve">drawing </w:t>
      </w:r>
      <w:r w:rsidRPr="002C38BF">
        <w:rPr>
          <w:rFonts w:eastAsia="Calibri"/>
        </w:rPr>
        <w:t xml:space="preserve">attention to and </w:t>
      </w:r>
      <w:r>
        <w:rPr>
          <w:rFonts w:eastAsia="Calibri"/>
        </w:rPr>
        <w:t xml:space="preserve">increasing </w:t>
      </w:r>
      <w:r w:rsidRPr="002C38BF">
        <w:rPr>
          <w:rFonts w:eastAsia="Calibri"/>
        </w:rPr>
        <w:t xml:space="preserve">support for the participation of women and girls in sport, yet a study by </w:t>
      </w:r>
      <w:r>
        <w:rPr>
          <w:rFonts w:eastAsia="Calibri"/>
        </w:rPr>
        <w:t>the United Nations Educational, Scientific and Cultural Organization (</w:t>
      </w:r>
      <w:r w:rsidRPr="002C38BF">
        <w:rPr>
          <w:rFonts w:eastAsia="Calibri"/>
        </w:rPr>
        <w:t>UNESCO</w:t>
      </w:r>
      <w:r>
        <w:rPr>
          <w:rFonts w:eastAsia="Calibri"/>
        </w:rPr>
        <w:t>)</w:t>
      </w:r>
      <w:r w:rsidRPr="002C38BF">
        <w:rPr>
          <w:rFonts w:eastAsia="Calibri"/>
        </w:rPr>
        <w:t xml:space="preserve"> </w:t>
      </w:r>
      <w:r w:rsidRPr="002C38BF">
        <w:rPr>
          <w:rFonts w:eastAsia="Calibri"/>
        </w:rPr>
        <w:lastRenderedPageBreak/>
        <w:t>found that only 4</w:t>
      </w:r>
      <w:r>
        <w:rPr>
          <w:rFonts w:eastAsia="Calibri"/>
        </w:rPr>
        <w:t xml:space="preserve"> per cent </w:t>
      </w:r>
      <w:r w:rsidRPr="002C38BF">
        <w:rPr>
          <w:rFonts w:eastAsia="Calibri"/>
        </w:rPr>
        <w:t>of sports media content is dedicated to women</w:t>
      </w:r>
      <w:r w:rsidR="00356B25">
        <w:rPr>
          <w:rFonts w:eastAsia="Calibri"/>
        </w:rPr>
        <w:t>’</w:t>
      </w:r>
      <w:r w:rsidRPr="002C38BF">
        <w:rPr>
          <w:rFonts w:eastAsia="Calibri"/>
        </w:rPr>
        <w:t>s sport.</w:t>
      </w:r>
      <w:r w:rsidRPr="0012136D">
        <w:rPr>
          <w:rStyle w:val="FootnoteReference"/>
        </w:rPr>
        <w:footnoteReference w:id="29"/>
      </w:r>
      <w:r w:rsidRPr="002C38BF">
        <w:rPr>
          <w:rFonts w:eastAsia="Calibri"/>
        </w:rPr>
        <w:t xml:space="preserve"> Media representations frequently propagate gender and racial stereotypes </w:t>
      </w:r>
      <w:r>
        <w:rPr>
          <w:rFonts w:eastAsia="Calibri"/>
        </w:rPr>
        <w:t xml:space="preserve">that </w:t>
      </w:r>
      <w:r w:rsidRPr="002C38BF">
        <w:rPr>
          <w:rFonts w:eastAsia="Calibri"/>
        </w:rPr>
        <w:t>denigrat</w:t>
      </w:r>
      <w:r>
        <w:rPr>
          <w:rFonts w:eastAsia="Calibri"/>
        </w:rPr>
        <w:t>e</w:t>
      </w:r>
      <w:r w:rsidRPr="002C38BF">
        <w:rPr>
          <w:rFonts w:eastAsia="Calibri"/>
        </w:rPr>
        <w:t xml:space="preserve"> ethnic and racial minority women in particular.</w:t>
      </w:r>
      <w:r w:rsidRPr="0012136D">
        <w:rPr>
          <w:rStyle w:val="FootnoteReference"/>
        </w:rPr>
        <w:footnoteReference w:id="30"/>
      </w:r>
      <w:r w:rsidRPr="002C38BF">
        <w:rPr>
          <w:rFonts w:eastAsia="Calibri"/>
        </w:rPr>
        <w:t xml:space="preserve"> Reporting often references women</w:t>
      </w:r>
      <w:r w:rsidR="00356B25">
        <w:rPr>
          <w:rFonts w:eastAsia="Calibri"/>
        </w:rPr>
        <w:t>’</w:t>
      </w:r>
      <w:r w:rsidRPr="002C38BF">
        <w:rPr>
          <w:rFonts w:eastAsia="Calibri"/>
        </w:rPr>
        <w:t>s physical appearance, age and personal lives, rather than their athletic abilities.</w:t>
      </w:r>
      <w:r w:rsidRPr="0012136D">
        <w:rPr>
          <w:rStyle w:val="FootnoteReference"/>
        </w:rPr>
        <w:footnoteReference w:id="31"/>
      </w:r>
    </w:p>
    <w:p w14:paraId="41ED03AB" w14:textId="009AB2E5" w:rsidR="0012136D" w:rsidRPr="002C38BF" w:rsidRDefault="0012136D" w:rsidP="0012136D">
      <w:pPr>
        <w:pStyle w:val="SingleTxtG"/>
        <w:rPr>
          <w:rFonts w:ascii="Calibri" w:eastAsia="Calibri" w:hAnsi="Calibri" w:cs="Calibri"/>
          <w:sz w:val="22"/>
          <w:szCs w:val="22"/>
        </w:rPr>
      </w:pPr>
      <w:r w:rsidRPr="002C38BF">
        <w:rPr>
          <w:rFonts w:eastAsia="Calibri"/>
        </w:rPr>
        <w:t>16.</w:t>
      </w:r>
      <w:r w:rsidRPr="002C38BF">
        <w:rPr>
          <w:rFonts w:eastAsia="Calibri"/>
        </w:rPr>
        <w:tab/>
        <w:t xml:space="preserve">Researchers have also documented the implicit bias and stereotypes operating in </w:t>
      </w:r>
      <w:r>
        <w:rPr>
          <w:rFonts w:eastAsia="Calibri"/>
        </w:rPr>
        <w:t xml:space="preserve">the </w:t>
      </w:r>
      <w:r w:rsidRPr="002C38BF">
        <w:rPr>
          <w:rFonts w:eastAsia="Calibri"/>
        </w:rPr>
        <w:t xml:space="preserve">coverage of women athletes in the media, and some </w:t>
      </w:r>
      <w:r w:rsidRPr="002C38BF">
        <w:rPr>
          <w:rFonts w:eastAsia="Calibri"/>
        </w:rPr>
        <w:lastRenderedPageBreak/>
        <w:t xml:space="preserve">evidence shows bias has increased in the </w:t>
      </w:r>
      <w:r>
        <w:rPr>
          <w:rFonts w:eastAsia="Calibri"/>
        </w:rPr>
        <w:t>p</w:t>
      </w:r>
      <w:r w:rsidRPr="002C38BF">
        <w:rPr>
          <w:rFonts w:eastAsia="Calibri"/>
        </w:rPr>
        <w:t>ast decade.</w:t>
      </w:r>
      <w:r w:rsidRPr="0012136D">
        <w:rPr>
          <w:rStyle w:val="FootnoteReference"/>
        </w:rPr>
        <w:footnoteReference w:id="32"/>
      </w:r>
      <w:r w:rsidRPr="002C38BF">
        <w:rPr>
          <w:rFonts w:eastAsia="Calibri"/>
        </w:rPr>
        <w:t xml:space="preserve"> Coverage of women</w:t>
      </w:r>
      <w:r w:rsidR="00356B25">
        <w:rPr>
          <w:rFonts w:eastAsia="Calibri"/>
        </w:rPr>
        <w:t>’</w:t>
      </w:r>
      <w:r w:rsidRPr="002C38BF">
        <w:rPr>
          <w:rFonts w:eastAsia="Calibri"/>
        </w:rPr>
        <w:t>s participation in sport</w:t>
      </w:r>
      <w:r>
        <w:rPr>
          <w:rFonts w:eastAsia="Calibri"/>
        </w:rPr>
        <w:t>s</w:t>
      </w:r>
      <w:r w:rsidRPr="002C38BF">
        <w:rPr>
          <w:rFonts w:eastAsia="Calibri"/>
        </w:rPr>
        <w:t xml:space="preserve"> considered to be more </w:t>
      </w:r>
      <w:r w:rsidR="00356B25">
        <w:rPr>
          <w:rFonts w:eastAsia="Calibri"/>
        </w:rPr>
        <w:t>“</w:t>
      </w:r>
      <w:r w:rsidRPr="002C38BF">
        <w:rPr>
          <w:rFonts w:eastAsia="Calibri"/>
        </w:rPr>
        <w:t>masculine</w:t>
      </w:r>
      <w:r w:rsidR="00356B25">
        <w:rPr>
          <w:rFonts w:eastAsia="Calibri"/>
        </w:rPr>
        <w:t>”</w:t>
      </w:r>
      <w:r>
        <w:rPr>
          <w:rFonts w:eastAsia="Calibri"/>
        </w:rPr>
        <w:t xml:space="preserve"> – </w:t>
      </w:r>
      <w:r w:rsidRPr="002C38BF">
        <w:rPr>
          <w:rFonts w:eastAsia="Calibri"/>
        </w:rPr>
        <w:t>such as basketball, weightlifting and boxing</w:t>
      </w:r>
      <w:r>
        <w:rPr>
          <w:rFonts w:eastAsia="Calibri"/>
        </w:rPr>
        <w:t xml:space="preserve"> – </w:t>
      </w:r>
      <w:r w:rsidRPr="002C38BF">
        <w:rPr>
          <w:rFonts w:eastAsia="Calibri"/>
        </w:rPr>
        <w:t>is more likely to be accompanied with examples of interconnected racist and gendered commentary.</w:t>
      </w:r>
      <w:r w:rsidRPr="0012136D">
        <w:rPr>
          <w:rStyle w:val="FootnoteReference"/>
        </w:rPr>
        <w:footnoteReference w:id="33"/>
      </w:r>
    </w:p>
    <w:p w14:paraId="3CB2A0C5" w14:textId="77777777" w:rsidR="0012136D" w:rsidRPr="002C38BF" w:rsidRDefault="0012136D" w:rsidP="0012136D">
      <w:pPr>
        <w:pStyle w:val="HChG"/>
        <w:rPr>
          <w:rFonts w:ascii="Calibri" w:eastAsia="Calibri" w:hAnsi="Calibri" w:cs="Calibri"/>
          <w:sz w:val="22"/>
          <w:szCs w:val="22"/>
        </w:rPr>
      </w:pPr>
      <w:r w:rsidRPr="002C38BF">
        <w:tab/>
      </w:r>
      <w:bookmarkStart w:id="5" w:name="_Toc42595813"/>
      <w:r w:rsidRPr="002C38BF">
        <w:t>III.</w:t>
      </w:r>
      <w:r w:rsidRPr="002C38BF">
        <w:tab/>
        <w:t xml:space="preserve">International </w:t>
      </w:r>
      <w:r>
        <w:t>h</w:t>
      </w:r>
      <w:r w:rsidRPr="002C38BF">
        <w:t xml:space="preserve">uman </w:t>
      </w:r>
      <w:r>
        <w:t>r</w:t>
      </w:r>
      <w:r w:rsidRPr="002C38BF">
        <w:t xml:space="preserve">ights </w:t>
      </w:r>
      <w:r>
        <w:t>f</w:t>
      </w:r>
      <w:r w:rsidRPr="002C38BF">
        <w:t>ramework</w:t>
      </w:r>
      <w:bookmarkEnd w:id="5"/>
    </w:p>
    <w:p w14:paraId="2BCE83C1" w14:textId="58167844" w:rsidR="0012136D" w:rsidRPr="002C38BF" w:rsidRDefault="0012136D" w:rsidP="0012136D">
      <w:pPr>
        <w:pStyle w:val="SingleTxtG"/>
        <w:rPr>
          <w:rFonts w:eastAsia="Calibri"/>
        </w:rPr>
      </w:pPr>
      <w:r w:rsidRPr="002C38BF">
        <w:rPr>
          <w:rFonts w:eastAsia="Calibri"/>
        </w:rPr>
        <w:t>17.</w:t>
      </w:r>
      <w:r w:rsidRPr="002C38BF">
        <w:rPr>
          <w:rFonts w:eastAsia="Calibri"/>
        </w:rPr>
        <w:tab/>
        <w:t xml:space="preserve">International human rights norms and standards place obligations on States to prevent and provide redress for discrimination. These include specific treaty provisions regarding </w:t>
      </w:r>
      <w:r>
        <w:rPr>
          <w:rFonts w:eastAsia="Calibri"/>
        </w:rPr>
        <w:t>S</w:t>
      </w:r>
      <w:r w:rsidRPr="002C38BF">
        <w:rPr>
          <w:rFonts w:eastAsia="Calibri"/>
        </w:rPr>
        <w:t xml:space="preserve">tate obligations of non-discrimination on the basis of sex, race and gender, </w:t>
      </w:r>
      <w:r>
        <w:rPr>
          <w:rFonts w:eastAsia="Calibri"/>
        </w:rPr>
        <w:t xml:space="preserve">in </w:t>
      </w:r>
      <w:r w:rsidRPr="002C38BF">
        <w:rPr>
          <w:rFonts w:eastAsia="Calibri"/>
        </w:rPr>
        <w:t>particular</w:t>
      </w:r>
      <w:r>
        <w:rPr>
          <w:rFonts w:eastAsia="Calibri"/>
        </w:rPr>
        <w:t xml:space="preserve"> those </w:t>
      </w:r>
      <w:r w:rsidRPr="002C38BF">
        <w:rPr>
          <w:rFonts w:eastAsia="Calibri"/>
        </w:rPr>
        <w:t>enshrined in the International Covenant on Economic</w:t>
      </w:r>
      <w:r>
        <w:rPr>
          <w:rFonts w:eastAsia="Calibri"/>
        </w:rPr>
        <w:t>,</w:t>
      </w:r>
      <w:r w:rsidRPr="002C38BF">
        <w:rPr>
          <w:rFonts w:eastAsia="Calibri"/>
        </w:rPr>
        <w:t xml:space="preserve"> Social and Cultural Rights,</w:t>
      </w:r>
      <w:r w:rsidRPr="0012136D">
        <w:rPr>
          <w:rStyle w:val="FootnoteReference"/>
        </w:rPr>
        <w:footnoteReference w:id="34"/>
      </w:r>
      <w:r w:rsidRPr="002C38BF">
        <w:rPr>
          <w:rFonts w:eastAsia="Calibri"/>
        </w:rPr>
        <w:t xml:space="preserve"> </w:t>
      </w:r>
      <w:r>
        <w:rPr>
          <w:rFonts w:eastAsia="Calibri"/>
        </w:rPr>
        <w:t xml:space="preserve">the </w:t>
      </w:r>
      <w:r w:rsidRPr="002C38BF">
        <w:rPr>
          <w:rFonts w:eastAsia="Calibri"/>
        </w:rPr>
        <w:t>Inter</w:t>
      </w:r>
      <w:r w:rsidRPr="002C38BF">
        <w:rPr>
          <w:rFonts w:eastAsia="Calibri"/>
        </w:rPr>
        <w:lastRenderedPageBreak/>
        <w:t>national Covenant on Civil and Political Rights,</w:t>
      </w:r>
      <w:r w:rsidRPr="0012136D">
        <w:rPr>
          <w:rStyle w:val="FootnoteReference"/>
        </w:rPr>
        <w:footnoteReference w:id="35"/>
      </w:r>
      <w:r>
        <w:rPr>
          <w:rFonts w:eastAsia="Calibri"/>
        </w:rPr>
        <w:t xml:space="preserve"> </w:t>
      </w:r>
      <w:r w:rsidRPr="002C38BF">
        <w:rPr>
          <w:rFonts w:eastAsia="Calibri"/>
        </w:rPr>
        <w:t xml:space="preserve">the International Convention on the Elimination of </w:t>
      </w:r>
      <w:r w:rsidR="00D252DC" w:rsidRPr="002C38BF">
        <w:rPr>
          <w:rFonts w:eastAsia="Calibri"/>
        </w:rPr>
        <w:t xml:space="preserve">All </w:t>
      </w:r>
      <w:r w:rsidRPr="002C38BF">
        <w:rPr>
          <w:rFonts w:eastAsia="Calibri"/>
        </w:rPr>
        <w:t>Forms of Rac</w:t>
      </w:r>
      <w:r>
        <w:rPr>
          <w:rFonts w:eastAsia="Calibri"/>
        </w:rPr>
        <w:t>ial</w:t>
      </w:r>
      <w:r w:rsidRPr="002C38BF">
        <w:rPr>
          <w:rFonts w:eastAsia="Calibri"/>
        </w:rPr>
        <w:t xml:space="preserve"> Discrimination and the Convention on the Elimination of All Forms of Discrimination against Women, and </w:t>
      </w:r>
      <w:r>
        <w:rPr>
          <w:rFonts w:eastAsia="Calibri"/>
        </w:rPr>
        <w:t xml:space="preserve">in </w:t>
      </w:r>
      <w:r w:rsidRPr="002C38BF">
        <w:rPr>
          <w:rFonts w:eastAsia="Calibri"/>
        </w:rPr>
        <w:t>the jurisprudence</w:t>
      </w:r>
      <w:r>
        <w:rPr>
          <w:rFonts w:eastAsia="Calibri"/>
        </w:rPr>
        <w:t xml:space="preserve"> </w:t>
      </w:r>
      <w:r w:rsidRPr="00D73892">
        <w:rPr>
          <w:rFonts w:eastAsia="Calibri"/>
        </w:rPr>
        <w:t xml:space="preserve">emanating from the </w:t>
      </w:r>
      <w:r>
        <w:rPr>
          <w:rFonts w:eastAsia="Calibri"/>
        </w:rPr>
        <w:t>related treaty bodies</w:t>
      </w:r>
      <w:r w:rsidRPr="002C38BF">
        <w:rPr>
          <w:rFonts w:eastAsia="Calibri"/>
        </w:rPr>
        <w:t>. The Convention on the Rights of the Child also guarantees the right to equal participation of girls in sport and the protection of the rights of athletes under the age of 18.</w:t>
      </w:r>
    </w:p>
    <w:p w14:paraId="2CA142F4" w14:textId="77777777" w:rsidR="0012136D" w:rsidRPr="002C38BF" w:rsidRDefault="0012136D" w:rsidP="0012136D">
      <w:pPr>
        <w:pStyle w:val="SingleTxtG"/>
        <w:rPr>
          <w:rFonts w:eastAsia="Calibri"/>
        </w:rPr>
      </w:pPr>
      <w:r w:rsidRPr="002C38BF">
        <w:rPr>
          <w:rFonts w:eastAsia="Calibri"/>
        </w:rPr>
        <w:t>18.</w:t>
      </w:r>
      <w:r w:rsidRPr="002C38BF">
        <w:rPr>
          <w:rFonts w:eastAsia="Calibri"/>
        </w:rPr>
        <w:tab/>
      </w:r>
      <w:r>
        <w:rPr>
          <w:rFonts w:eastAsia="Calibri"/>
        </w:rPr>
        <w:t>The Convention on the Elimination of All Forms of Discrimination against Women</w:t>
      </w:r>
      <w:r w:rsidRPr="002C38BF">
        <w:rPr>
          <w:rFonts w:eastAsia="Calibri"/>
        </w:rPr>
        <w:t xml:space="preserve"> requires </w:t>
      </w:r>
      <w:r>
        <w:rPr>
          <w:rFonts w:eastAsia="Calibri"/>
        </w:rPr>
        <w:t>S</w:t>
      </w:r>
      <w:r w:rsidRPr="002C38BF">
        <w:rPr>
          <w:rFonts w:eastAsia="Calibri"/>
        </w:rPr>
        <w:t>tates to ensure that women have the same opportunities to participate actively in sports and to take all appropriate measures to this end.</w:t>
      </w:r>
      <w:r w:rsidRPr="0012136D">
        <w:rPr>
          <w:rStyle w:val="FootnoteReference"/>
        </w:rPr>
        <w:footnoteReference w:id="36"/>
      </w:r>
      <w:r w:rsidRPr="002C38BF">
        <w:rPr>
          <w:rFonts w:eastAsia="Calibri"/>
        </w:rPr>
        <w:t xml:space="preserve"> </w:t>
      </w:r>
      <w:r>
        <w:rPr>
          <w:rFonts w:eastAsia="Calibri"/>
        </w:rPr>
        <w:t xml:space="preserve">The Committee on the Elimination of Discrimination against Women </w:t>
      </w:r>
      <w:r w:rsidRPr="002C38BF">
        <w:rPr>
          <w:rFonts w:eastAsia="Calibri"/>
        </w:rPr>
        <w:t>has also raised concerns that women and girls, in particular those with disabilities, do not fully participate in sports, owing to discriminatory stereotypes and prejudices.</w:t>
      </w:r>
      <w:r w:rsidRPr="0012136D">
        <w:rPr>
          <w:rStyle w:val="FootnoteReference"/>
        </w:rPr>
        <w:footnoteReference w:id="37"/>
      </w:r>
      <w:r w:rsidRPr="002C38BF">
        <w:rPr>
          <w:rFonts w:eastAsia="Calibri"/>
        </w:rPr>
        <w:t xml:space="preserve"> The Committee on the Rights of Persons with Disabilities has also expressed concerns about the limited participation of women and girls with disabilities in physical education in schools, and in national tournaments and sports leagues.</w:t>
      </w:r>
      <w:r w:rsidRPr="0012136D">
        <w:rPr>
          <w:rStyle w:val="FootnoteReference"/>
        </w:rPr>
        <w:footnoteReference w:id="38"/>
      </w:r>
      <w:r w:rsidRPr="002C38BF">
        <w:rPr>
          <w:rFonts w:eastAsia="Calibri"/>
        </w:rPr>
        <w:t xml:space="preserve"> States have also committed, in the Beijing Declaration and Platform for Action, to support</w:t>
      </w:r>
      <w:r>
        <w:rPr>
          <w:rFonts w:eastAsia="Calibri"/>
        </w:rPr>
        <w:t>ing</w:t>
      </w:r>
      <w:r w:rsidRPr="002C38BF">
        <w:rPr>
          <w:rFonts w:eastAsia="Calibri"/>
        </w:rPr>
        <w:t xml:space="preserve"> the advancement of women in all areas of athletics</w:t>
      </w:r>
      <w:r>
        <w:rPr>
          <w:rFonts w:eastAsia="Calibri"/>
        </w:rPr>
        <w:t>,</w:t>
      </w:r>
      <w:r w:rsidRPr="002C38BF">
        <w:rPr>
          <w:rFonts w:eastAsia="Calibri"/>
        </w:rPr>
        <w:t xml:space="preserve"> including coaching, training and administration, and as participants at the national, regional and international levels.</w:t>
      </w:r>
      <w:r w:rsidRPr="0012136D">
        <w:rPr>
          <w:rStyle w:val="FootnoteReference"/>
        </w:rPr>
        <w:footnoteReference w:id="39"/>
      </w:r>
      <w:r>
        <w:rPr>
          <w:rFonts w:eastAsia="Calibri"/>
        </w:rPr>
        <w:t xml:space="preserve"> In 2018, t</w:t>
      </w:r>
      <w:r w:rsidRPr="002C38BF">
        <w:rPr>
          <w:rFonts w:eastAsia="Calibri"/>
        </w:rPr>
        <w:t>he General Assembly</w:t>
      </w:r>
      <w:r>
        <w:rPr>
          <w:rFonts w:eastAsia="Calibri"/>
        </w:rPr>
        <w:t xml:space="preserve">, in its </w:t>
      </w:r>
      <w:r w:rsidRPr="002C38BF">
        <w:rPr>
          <w:rFonts w:eastAsia="Calibri"/>
        </w:rPr>
        <w:t xml:space="preserve">resolution </w:t>
      </w:r>
      <w:r w:rsidRPr="00950046">
        <w:rPr>
          <w:rFonts w:eastAsia="Calibri"/>
        </w:rPr>
        <w:t xml:space="preserve">73/24 </w:t>
      </w:r>
      <w:r w:rsidRPr="002C38BF">
        <w:rPr>
          <w:rFonts w:eastAsia="Calibri"/>
        </w:rPr>
        <w:t xml:space="preserve">on </w:t>
      </w:r>
      <w:r>
        <w:rPr>
          <w:rFonts w:eastAsia="Calibri"/>
        </w:rPr>
        <w:t>s</w:t>
      </w:r>
      <w:r w:rsidRPr="002C38BF">
        <w:rPr>
          <w:rFonts w:eastAsia="Calibri"/>
        </w:rPr>
        <w:t xml:space="preserve">port as an </w:t>
      </w:r>
      <w:r>
        <w:rPr>
          <w:rFonts w:eastAsia="Calibri"/>
        </w:rPr>
        <w:t>e</w:t>
      </w:r>
      <w:r w:rsidRPr="002C38BF">
        <w:rPr>
          <w:rFonts w:eastAsia="Calibri"/>
        </w:rPr>
        <w:t xml:space="preserve">nabler of </w:t>
      </w:r>
      <w:r>
        <w:rPr>
          <w:rFonts w:eastAsia="Calibri"/>
        </w:rPr>
        <w:t>s</w:t>
      </w:r>
      <w:r w:rsidRPr="002C38BF">
        <w:rPr>
          <w:rFonts w:eastAsia="Calibri"/>
        </w:rPr>
        <w:t xml:space="preserve">ustainable </w:t>
      </w:r>
      <w:r>
        <w:rPr>
          <w:rFonts w:eastAsia="Calibri"/>
        </w:rPr>
        <w:t>d</w:t>
      </w:r>
      <w:r w:rsidRPr="002C38BF">
        <w:rPr>
          <w:rFonts w:eastAsia="Calibri"/>
        </w:rPr>
        <w:t>evelopment</w:t>
      </w:r>
      <w:r>
        <w:rPr>
          <w:rFonts w:eastAsia="Calibri"/>
        </w:rPr>
        <w:t>,</w:t>
      </w:r>
      <w:r w:rsidRPr="002C38BF">
        <w:rPr>
          <w:rFonts w:eastAsia="Calibri"/>
        </w:rPr>
        <w:t xml:space="preserve"> call</w:t>
      </w:r>
      <w:r>
        <w:rPr>
          <w:rFonts w:eastAsia="Calibri"/>
        </w:rPr>
        <w:t>ed</w:t>
      </w:r>
      <w:r w:rsidRPr="002C38BF">
        <w:rPr>
          <w:rFonts w:eastAsia="Calibri"/>
        </w:rPr>
        <w:t xml:space="preserve"> for attention to gender equality and the promotion of human rights in sport.</w:t>
      </w:r>
    </w:p>
    <w:p w14:paraId="41925B30" w14:textId="77777777" w:rsidR="0012136D" w:rsidRPr="002C38BF" w:rsidRDefault="0012136D" w:rsidP="0012136D">
      <w:pPr>
        <w:pStyle w:val="SingleTxtG"/>
        <w:rPr>
          <w:rFonts w:eastAsia="Calibri"/>
        </w:rPr>
      </w:pPr>
      <w:r w:rsidRPr="003D3404">
        <w:rPr>
          <w:rFonts w:eastAsia="Calibri"/>
        </w:rPr>
        <w:t>19.</w:t>
      </w:r>
      <w:r w:rsidRPr="003D3404">
        <w:rPr>
          <w:rFonts w:eastAsia="Calibri"/>
        </w:rPr>
        <w:tab/>
        <w:t>Fulfilling these legal obligations requires an understanding of how rac</w:t>
      </w:r>
      <w:r w:rsidRPr="00BF2B66">
        <w:rPr>
          <w:rFonts w:eastAsia="Calibri"/>
        </w:rPr>
        <w:t xml:space="preserve">e </w:t>
      </w:r>
      <w:r>
        <w:rPr>
          <w:rFonts w:eastAsia="Calibri"/>
        </w:rPr>
        <w:t xml:space="preserve">and gender </w:t>
      </w:r>
      <w:r w:rsidRPr="00BF2B66">
        <w:rPr>
          <w:rFonts w:eastAsia="Calibri"/>
        </w:rPr>
        <w:t xml:space="preserve">discrimination intersect in sport and in society more broadly. As noted by the </w:t>
      </w:r>
      <w:r w:rsidRPr="003D3404">
        <w:rPr>
          <w:rFonts w:eastAsia="Calibri"/>
        </w:rPr>
        <w:t xml:space="preserve">United Nations High Commissioner for Human Rights in </w:t>
      </w:r>
      <w:r>
        <w:rPr>
          <w:rFonts w:eastAsia="Calibri"/>
        </w:rPr>
        <w:t xml:space="preserve">a </w:t>
      </w:r>
      <w:r w:rsidRPr="003D3404">
        <w:rPr>
          <w:rFonts w:eastAsia="Calibri"/>
        </w:rPr>
        <w:t>2017</w:t>
      </w:r>
      <w:r>
        <w:rPr>
          <w:rFonts w:eastAsia="Calibri"/>
        </w:rPr>
        <w:t xml:space="preserve"> report</w:t>
      </w:r>
      <w:r w:rsidRPr="003D3404">
        <w:rPr>
          <w:rFonts w:eastAsia="Calibri"/>
        </w:rPr>
        <w:t>, several international instruments and</w:t>
      </w:r>
      <w:r w:rsidRPr="002C38BF">
        <w:rPr>
          <w:rFonts w:eastAsia="Calibri"/>
        </w:rPr>
        <w:t xml:space="preserve"> human rights mechanisms explicitly recognize the impact of intersecting forms of discrimination on the enjoyment of human rights by women and girls, including intersections with race, ethnicity, religion, nationality and migration status.</w:t>
      </w:r>
      <w:r w:rsidRPr="0012136D">
        <w:rPr>
          <w:rStyle w:val="FootnoteReference"/>
        </w:rPr>
        <w:footnoteReference w:id="40"/>
      </w:r>
      <w:r>
        <w:rPr>
          <w:rFonts w:eastAsia="Calibri"/>
        </w:rPr>
        <w:t xml:space="preserve"> In t</w:t>
      </w:r>
      <w:r w:rsidRPr="002C38BF">
        <w:rPr>
          <w:rFonts w:eastAsia="Calibri"/>
        </w:rPr>
        <w:t>hat report</w:t>
      </w:r>
      <w:r>
        <w:rPr>
          <w:rFonts w:eastAsia="Calibri"/>
        </w:rPr>
        <w:t>, the High Commissioner also</w:t>
      </w:r>
      <w:r w:rsidRPr="002C38BF">
        <w:rPr>
          <w:rFonts w:eastAsia="Calibri"/>
        </w:rPr>
        <w:t xml:space="preserve"> explained that the concept of intersectionality captures the consequences of two or more combined systems of discrimination, and addresses the manner in which they contribute to create layers of inequality.</w:t>
      </w:r>
      <w:r w:rsidRPr="0012136D">
        <w:rPr>
          <w:rStyle w:val="FootnoteReference"/>
        </w:rPr>
        <w:footnoteReference w:id="41"/>
      </w:r>
    </w:p>
    <w:p w14:paraId="26C12465" w14:textId="77777777" w:rsidR="0012136D" w:rsidRPr="002C38BF" w:rsidRDefault="0012136D" w:rsidP="0012136D">
      <w:pPr>
        <w:pStyle w:val="SingleTxtG"/>
        <w:rPr>
          <w:rFonts w:eastAsia="Calibri"/>
        </w:rPr>
      </w:pPr>
      <w:r w:rsidRPr="002C38BF">
        <w:rPr>
          <w:rFonts w:eastAsia="Calibri"/>
        </w:rPr>
        <w:t>20.</w:t>
      </w:r>
      <w:r w:rsidRPr="002C38BF">
        <w:rPr>
          <w:rFonts w:eastAsia="Calibri"/>
        </w:rPr>
        <w:tab/>
      </w:r>
      <w:r>
        <w:rPr>
          <w:rFonts w:eastAsia="Calibri"/>
        </w:rPr>
        <w:t>The Committee on the Elimination of Discrimination against Women</w:t>
      </w:r>
      <w:r w:rsidRPr="002C38BF">
        <w:rPr>
          <w:rFonts w:eastAsia="Calibri"/>
        </w:rPr>
        <w:t xml:space="preserve"> has identified intersectional analysis as essential to understanding the scope of the general obligations of State</w:t>
      </w:r>
      <w:r>
        <w:rPr>
          <w:rFonts w:eastAsia="Calibri"/>
        </w:rPr>
        <w:t>s</w:t>
      </w:r>
      <w:r w:rsidRPr="002C38BF">
        <w:rPr>
          <w:rFonts w:eastAsia="Calibri"/>
        </w:rPr>
        <w:t xml:space="preserve"> parties</w:t>
      </w:r>
      <w:r>
        <w:rPr>
          <w:rFonts w:eastAsia="Calibri"/>
        </w:rPr>
        <w:t>,</w:t>
      </w:r>
      <w:r w:rsidRPr="002C38BF">
        <w:rPr>
          <w:rFonts w:eastAsia="Calibri"/>
        </w:rPr>
        <w:t xml:space="preserve"> and has called upon them to legally recognize such intersecting forms of discrimination and to adopt and pursue policies and programmes to eliminate them, including, where appropriate, temporary special measures, and </w:t>
      </w:r>
      <w:r>
        <w:rPr>
          <w:rFonts w:eastAsia="Calibri"/>
        </w:rPr>
        <w:t xml:space="preserve">to </w:t>
      </w:r>
      <w:r w:rsidRPr="002C38BF">
        <w:rPr>
          <w:rFonts w:eastAsia="Calibri"/>
        </w:rPr>
        <w:t>provide adequate measures of prevention and redress.</w:t>
      </w:r>
      <w:r w:rsidRPr="0012136D">
        <w:rPr>
          <w:rStyle w:val="FootnoteReference"/>
        </w:rPr>
        <w:footnoteReference w:id="42"/>
      </w:r>
      <w:r w:rsidRPr="002C38BF">
        <w:rPr>
          <w:rFonts w:eastAsia="Calibri"/>
        </w:rPr>
        <w:t xml:space="preserve"> </w:t>
      </w:r>
      <w:r>
        <w:rPr>
          <w:rFonts w:eastAsia="Calibri"/>
        </w:rPr>
        <w:t xml:space="preserve">The </w:t>
      </w:r>
      <w:r w:rsidRPr="006A0E42">
        <w:rPr>
          <w:rFonts w:eastAsia="Calibri"/>
        </w:rPr>
        <w:t>Committee on the Elimination of Racial Discrimination</w:t>
      </w:r>
      <w:r>
        <w:rPr>
          <w:rFonts w:eastAsia="Calibri"/>
        </w:rPr>
        <w:t xml:space="preserve"> </w:t>
      </w:r>
      <w:r w:rsidRPr="002C38BF">
        <w:rPr>
          <w:rFonts w:eastAsia="Calibri"/>
        </w:rPr>
        <w:t xml:space="preserve">has also elaborated </w:t>
      </w:r>
      <w:r>
        <w:rPr>
          <w:rFonts w:eastAsia="Calibri"/>
        </w:rPr>
        <w:t xml:space="preserve">on </w:t>
      </w:r>
      <w:r w:rsidRPr="002C38BF">
        <w:rPr>
          <w:rFonts w:eastAsia="Calibri"/>
        </w:rPr>
        <w:t xml:space="preserve">the gender-related dimensions of racial discrimination and focused on the intersectionality of race and gender in its work, </w:t>
      </w:r>
      <w:r w:rsidRPr="002C38BF">
        <w:rPr>
          <w:rFonts w:cstheme="minorHAnsi"/>
        </w:rPr>
        <w:t>noting that racial discrimination will often escape detection if there is no explicit recognition or acknowledgement of the different life experiences of women and men, in areas of both public and private life</w:t>
      </w:r>
      <w:r w:rsidRPr="002C38BF">
        <w:rPr>
          <w:rFonts w:eastAsia="Calibri"/>
        </w:rPr>
        <w:t>.</w:t>
      </w:r>
      <w:r w:rsidRPr="0012136D">
        <w:rPr>
          <w:rStyle w:val="FootnoteReference"/>
        </w:rPr>
        <w:footnoteReference w:id="43"/>
      </w:r>
      <w:r w:rsidRPr="002C38BF">
        <w:rPr>
          <w:rFonts w:eastAsia="Calibri"/>
        </w:rPr>
        <w:t xml:space="preserve"> </w:t>
      </w:r>
      <w:r>
        <w:rPr>
          <w:rFonts w:eastAsia="Calibri"/>
        </w:rPr>
        <w:t xml:space="preserve">The </w:t>
      </w:r>
      <w:r w:rsidRPr="006A0E42">
        <w:rPr>
          <w:rFonts w:eastAsia="Calibri"/>
        </w:rPr>
        <w:t xml:space="preserve">United Nations Entity for Gender Equality and the Empowerment of Women </w:t>
      </w:r>
      <w:r>
        <w:rPr>
          <w:rFonts w:eastAsia="Calibri"/>
        </w:rPr>
        <w:t>(</w:t>
      </w:r>
      <w:r w:rsidRPr="002C38BF">
        <w:rPr>
          <w:rFonts w:eastAsia="Calibri"/>
        </w:rPr>
        <w:t>UN</w:t>
      </w:r>
      <w:r>
        <w:rPr>
          <w:rFonts w:eastAsia="Calibri"/>
        </w:rPr>
        <w:t>-</w:t>
      </w:r>
      <w:r w:rsidRPr="002C38BF">
        <w:rPr>
          <w:rFonts w:eastAsia="Calibri"/>
        </w:rPr>
        <w:t>Women</w:t>
      </w:r>
      <w:r>
        <w:rPr>
          <w:rFonts w:eastAsia="Calibri"/>
        </w:rPr>
        <w:t>)</w:t>
      </w:r>
      <w:r w:rsidRPr="002C38BF">
        <w:rPr>
          <w:rFonts w:eastAsia="Calibri"/>
        </w:rPr>
        <w:t xml:space="preserve"> has provided guidance on collecting data on intersectional discrimination to monitor equality in, </w:t>
      </w:r>
      <w:r w:rsidRPr="007911D0">
        <w:rPr>
          <w:rFonts w:eastAsia="Calibri"/>
          <w:iCs/>
        </w:rPr>
        <w:t>among other things</w:t>
      </w:r>
      <w:r w:rsidRPr="002C38BF">
        <w:rPr>
          <w:rFonts w:eastAsia="Calibri"/>
        </w:rPr>
        <w:t>, sports.</w:t>
      </w:r>
      <w:r w:rsidRPr="0012136D">
        <w:rPr>
          <w:rStyle w:val="FootnoteReference"/>
        </w:rPr>
        <w:footnoteReference w:id="44"/>
      </w:r>
    </w:p>
    <w:p w14:paraId="5A9DF601" w14:textId="234A49E3" w:rsidR="0012136D" w:rsidRPr="002C38BF" w:rsidRDefault="0012136D" w:rsidP="0012136D">
      <w:pPr>
        <w:pStyle w:val="SingleTxtG"/>
        <w:rPr>
          <w:rFonts w:eastAsia="Calibri"/>
        </w:rPr>
      </w:pPr>
      <w:r w:rsidRPr="002C38BF">
        <w:rPr>
          <w:rFonts w:eastAsia="Calibri"/>
        </w:rPr>
        <w:t>21.</w:t>
      </w:r>
      <w:r w:rsidRPr="002C38BF">
        <w:rPr>
          <w:rFonts w:eastAsia="Calibri"/>
        </w:rPr>
        <w:tab/>
      </w:r>
      <w:r>
        <w:rPr>
          <w:rFonts w:eastAsia="Calibri"/>
        </w:rPr>
        <w:t>The Convention on the Elimination of All Forms of Discrimination against Women</w:t>
      </w:r>
      <w:r w:rsidRPr="002C38BF">
        <w:rPr>
          <w:rFonts w:eastAsia="Calibri"/>
        </w:rPr>
        <w:t xml:space="preserve"> also requires States to modify sociocultural patterns and practices based on the idea of the inferiority or the superiority of either </w:t>
      </w:r>
      <w:r>
        <w:rPr>
          <w:rFonts w:eastAsia="Calibri"/>
        </w:rPr>
        <w:t xml:space="preserve">of the </w:t>
      </w:r>
      <w:r w:rsidRPr="002C38BF">
        <w:rPr>
          <w:rFonts w:eastAsia="Calibri"/>
        </w:rPr>
        <w:t>sexes or on stereotyped roles for men and women.</w:t>
      </w:r>
      <w:r w:rsidRPr="0012136D">
        <w:rPr>
          <w:rStyle w:val="FootnoteReference"/>
        </w:rPr>
        <w:footnoteReference w:id="45"/>
      </w:r>
      <w:r w:rsidRPr="002C38BF">
        <w:rPr>
          <w:rFonts w:eastAsia="Calibri"/>
        </w:rPr>
        <w:t xml:space="preserve"> </w:t>
      </w:r>
      <w:r w:rsidR="00356B25">
        <w:rPr>
          <w:rFonts w:eastAsia="Calibri"/>
        </w:rPr>
        <w:t>“</w:t>
      </w:r>
      <w:r w:rsidRPr="002C38BF">
        <w:rPr>
          <w:rFonts w:eastAsia="Calibri"/>
        </w:rPr>
        <w:t>Gender stereotyping</w:t>
      </w:r>
      <w:r w:rsidR="00356B25">
        <w:rPr>
          <w:rFonts w:eastAsia="Calibri"/>
        </w:rPr>
        <w:t>”</w:t>
      </w:r>
      <w:r w:rsidRPr="002C38BF">
        <w:rPr>
          <w:rFonts w:eastAsia="Calibri"/>
        </w:rPr>
        <w:t xml:space="preserve"> refers to the practice of ascribing to an individual specific attributes, characteristics or roles by sole reason of membership in the social group of women or men.</w:t>
      </w:r>
      <w:r w:rsidRPr="0012136D">
        <w:rPr>
          <w:rStyle w:val="FootnoteReference"/>
        </w:rPr>
        <w:footnoteReference w:id="46"/>
      </w:r>
      <w:r w:rsidRPr="002C38BF">
        <w:rPr>
          <w:rFonts w:eastAsia="Calibri"/>
        </w:rPr>
        <w:t xml:space="preserve"> Applying the concept of intersectionality to gender stereotyping implies analysing the ways that beliefs about race and gender together </w:t>
      </w:r>
      <w:r w:rsidRPr="002C38BF">
        <w:rPr>
          <w:rFonts w:eastAsia="Calibri"/>
          <w:bCs/>
        </w:rPr>
        <w:t>exacerbate harm in all aspects of public and private life, and erect barriers to rights protection.</w:t>
      </w:r>
      <w:r w:rsidRPr="0012136D">
        <w:rPr>
          <w:rStyle w:val="FootnoteReference"/>
        </w:rPr>
        <w:footnoteReference w:id="47"/>
      </w:r>
      <w:r w:rsidRPr="002C38BF">
        <w:rPr>
          <w:rFonts w:eastAsia="Calibri"/>
          <w:bCs/>
        </w:rPr>
        <w:t xml:space="preserve"> It is therefore imperative </w:t>
      </w:r>
      <w:r>
        <w:rPr>
          <w:rFonts w:eastAsia="Calibri"/>
          <w:bCs/>
        </w:rPr>
        <w:t xml:space="preserve">to address </w:t>
      </w:r>
      <w:r w:rsidRPr="002C38BF">
        <w:rPr>
          <w:rFonts w:eastAsia="Calibri"/>
          <w:bCs/>
        </w:rPr>
        <w:t>social norms that restrict the participation of women and girls in sport based on both race and gender stereotypes to ensure their equal participation.</w:t>
      </w:r>
    </w:p>
    <w:p w14:paraId="78F370DB" w14:textId="26C99DD9" w:rsidR="0012136D" w:rsidRPr="002C38BF" w:rsidRDefault="0012136D" w:rsidP="0012136D">
      <w:pPr>
        <w:pStyle w:val="SingleTxtG"/>
        <w:rPr>
          <w:rFonts w:eastAsia="Calibri"/>
        </w:rPr>
      </w:pPr>
      <w:r w:rsidRPr="002C38BF">
        <w:rPr>
          <w:rFonts w:eastAsia="Calibri"/>
        </w:rPr>
        <w:t>22.</w:t>
      </w:r>
      <w:r w:rsidRPr="002C38BF">
        <w:rPr>
          <w:rFonts w:eastAsia="Calibri"/>
        </w:rPr>
        <w:tab/>
      </w:r>
      <w:r>
        <w:rPr>
          <w:rFonts w:eastAsia="Calibri"/>
        </w:rPr>
        <w:t>In t</w:t>
      </w:r>
      <w:r w:rsidRPr="002C38BF">
        <w:rPr>
          <w:rFonts w:eastAsia="Calibri"/>
        </w:rPr>
        <w:t>he Durban Declaration and Programme of Action</w:t>
      </w:r>
      <w:r>
        <w:rPr>
          <w:rFonts w:eastAsia="Calibri"/>
        </w:rPr>
        <w:t>,</w:t>
      </w:r>
      <w:r w:rsidRPr="0012136D">
        <w:rPr>
          <w:rStyle w:val="FootnoteReference"/>
        </w:rPr>
        <w:footnoteReference w:id="48"/>
      </w:r>
      <w:r>
        <w:rPr>
          <w:rFonts w:eastAsia="Calibri"/>
        </w:rPr>
        <w:t xml:space="preserve"> </w:t>
      </w:r>
      <w:r w:rsidRPr="002C38BF">
        <w:rPr>
          <w:rFonts w:eastAsia="Calibri"/>
        </w:rPr>
        <w:t>the intersectionality of discrimination, including in sports</w:t>
      </w:r>
      <w:r>
        <w:rPr>
          <w:rFonts w:eastAsia="Calibri"/>
        </w:rPr>
        <w:t>,</w:t>
      </w:r>
      <w:r w:rsidRPr="002C38BF">
        <w:rPr>
          <w:rFonts w:eastAsia="Calibri"/>
        </w:rPr>
        <w:t xml:space="preserve"> and the role of sports in addressing such discrimination</w:t>
      </w:r>
      <w:r>
        <w:rPr>
          <w:rFonts w:eastAsia="Calibri"/>
        </w:rPr>
        <w:t xml:space="preserve"> is emphasized</w:t>
      </w:r>
      <w:r w:rsidRPr="002C38BF">
        <w:rPr>
          <w:rFonts w:eastAsia="Calibri"/>
        </w:rPr>
        <w:t xml:space="preserve">. </w:t>
      </w:r>
      <w:r>
        <w:rPr>
          <w:rFonts w:eastAsia="Calibri"/>
        </w:rPr>
        <w:t xml:space="preserve">States are </w:t>
      </w:r>
      <w:r w:rsidRPr="002C38BF">
        <w:rPr>
          <w:rFonts w:eastAsia="Calibri"/>
        </w:rPr>
        <w:t>call</w:t>
      </w:r>
      <w:r>
        <w:rPr>
          <w:rFonts w:eastAsia="Calibri"/>
        </w:rPr>
        <w:t>ed</w:t>
      </w:r>
      <w:r w:rsidRPr="002C38BF">
        <w:rPr>
          <w:rFonts w:eastAsia="Calibri"/>
        </w:rPr>
        <w:t xml:space="preserve"> upon to combat the negative influence of racist ideologies</w:t>
      </w:r>
      <w:r>
        <w:rPr>
          <w:rFonts w:eastAsia="Calibri"/>
        </w:rPr>
        <w:t>,</w:t>
      </w:r>
      <w:r w:rsidRPr="002C38BF">
        <w:rPr>
          <w:rFonts w:eastAsia="Calibri"/>
        </w:rPr>
        <w:t xml:space="preserve"> especially on young people</w:t>
      </w:r>
      <w:r>
        <w:rPr>
          <w:rFonts w:eastAsia="Calibri"/>
        </w:rPr>
        <w:t>,</w:t>
      </w:r>
      <w:r w:rsidRPr="002C38BF">
        <w:rPr>
          <w:rFonts w:eastAsia="Calibri"/>
        </w:rPr>
        <w:t xml:space="preserve"> through formal and informal education, the media and sport</w:t>
      </w:r>
      <w:r>
        <w:rPr>
          <w:rFonts w:eastAsia="Calibri"/>
        </w:rPr>
        <w:t>s</w:t>
      </w:r>
      <w:r w:rsidRPr="002C38BF">
        <w:rPr>
          <w:rFonts w:eastAsia="Calibri"/>
        </w:rPr>
        <w:t>.</w:t>
      </w:r>
      <w:r w:rsidR="00335A27">
        <w:rPr>
          <w:rFonts w:eastAsia="Calibri"/>
        </w:rPr>
        <w:t xml:space="preserve"> </w:t>
      </w:r>
      <w:r w:rsidRPr="002C38BF">
        <w:rPr>
          <w:rFonts w:eastAsia="Calibri"/>
        </w:rPr>
        <w:t>In particular, States</w:t>
      </w:r>
      <w:r>
        <w:rPr>
          <w:rFonts w:eastAsia="Calibri"/>
        </w:rPr>
        <w:t xml:space="preserve"> are urged</w:t>
      </w:r>
      <w:r w:rsidRPr="002C38BF">
        <w:rPr>
          <w:rFonts w:eastAsia="Calibri"/>
        </w:rPr>
        <w:t>, in cooperation with intergovernmental organizations, the International Olympic Committee (IOC) and international and regional sports federations, to intensify the fight against racism in sport by, among other things, educating the youth of the world through sport practised without discrimination of any kind.</w:t>
      </w:r>
    </w:p>
    <w:p w14:paraId="2E3D825D" w14:textId="37CB60F0" w:rsidR="0012136D" w:rsidRPr="002C38BF" w:rsidRDefault="0012136D" w:rsidP="0012136D">
      <w:pPr>
        <w:pStyle w:val="SingleTxtG"/>
        <w:rPr>
          <w:rFonts w:eastAsia="Calibri"/>
        </w:rPr>
      </w:pPr>
      <w:r w:rsidRPr="002C38BF">
        <w:rPr>
          <w:rFonts w:eastAsia="Calibri"/>
        </w:rPr>
        <w:t>23.</w:t>
      </w:r>
      <w:r w:rsidRPr="002C38BF">
        <w:rPr>
          <w:rFonts w:eastAsia="Calibri"/>
        </w:rPr>
        <w:tab/>
        <w:t>Other relevant analys</w:t>
      </w:r>
      <w:r>
        <w:rPr>
          <w:rFonts w:eastAsia="Calibri"/>
        </w:rPr>
        <w:t>e</w:t>
      </w:r>
      <w:r w:rsidRPr="002C38BF">
        <w:rPr>
          <w:rFonts w:eastAsia="Calibri"/>
        </w:rPr>
        <w:t xml:space="preserve">s of rights </w:t>
      </w:r>
      <w:r>
        <w:rPr>
          <w:rFonts w:eastAsia="Calibri"/>
        </w:rPr>
        <w:t xml:space="preserve">focus on </w:t>
      </w:r>
      <w:r w:rsidRPr="002C38BF">
        <w:rPr>
          <w:rFonts w:eastAsia="Calibri"/>
        </w:rPr>
        <w:t>norms protecting specific populations of athletes</w:t>
      </w:r>
      <w:r>
        <w:rPr>
          <w:rFonts w:eastAsia="Calibri"/>
        </w:rPr>
        <w:t>,</w:t>
      </w:r>
      <w:r w:rsidRPr="002C38BF">
        <w:rPr>
          <w:rFonts w:eastAsia="Calibri"/>
        </w:rPr>
        <w:t xml:space="preserve"> such as persons under 18,</w:t>
      </w:r>
      <w:r w:rsidRPr="0012136D">
        <w:rPr>
          <w:rStyle w:val="FootnoteReference"/>
        </w:rPr>
        <w:footnoteReference w:id="49"/>
      </w:r>
      <w:r w:rsidRPr="002C38BF">
        <w:rPr>
          <w:rFonts w:eastAsia="Calibri"/>
        </w:rPr>
        <w:t xml:space="preserve"> athletes with disabilities</w:t>
      </w:r>
      <w:r w:rsidRPr="0012136D">
        <w:rPr>
          <w:rStyle w:val="FootnoteReference"/>
        </w:rPr>
        <w:footnoteReference w:id="50"/>
      </w:r>
      <w:r w:rsidRPr="002C38BF">
        <w:rPr>
          <w:rFonts w:eastAsia="Calibri"/>
        </w:rPr>
        <w:t xml:space="preserve"> and athletes with variations in sex characteristics.</w:t>
      </w:r>
      <w:r w:rsidRPr="0012136D">
        <w:rPr>
          <w:rStyle w:val="FootnoteReference"/>
        </w:rPr>
        <w:footnoteReference w:id="51"/>
      </w:r>
    </w:p>
    <w:p w14:paraId="08BEE68E" w14:textId="77777777" w:rsidR="0012136D" w:rsidRPr="002C38BF" w:rsidRDefault="0012136D" w:rsidP="0012136D">
      <w:pPr>
        <w:pStyle w:val="HChG"/>
        <w:rPr>
          <w:rFonts w:ascii="Calibri" w:eastAsia="Calibri" w:hAnsi="Calibri" w:cs="Calibri"/>
          <w:sz w:val="22"/>
          <w:szCs w:val="22"/>
        </w:rPr>
      </w:pPr>
      <w:r w:rsidRPr="002C38BF">
        <w:tab/>
      </w:r>
      <w:bookmarkStart w:id="6" w:name="_Toc42595814"/>
      <w:r w:rsidRPr="002C38BF">
        <w:t>IV.</w:t>
      </w:r>
      <w:r w:rsidRPr="002C38BF">
        <w:tab/>
      </w:r>
      <w:r>
        <w:t>I</w:t>
      </w:r>
      <w:r w:rsidRPr="002C38BF">
        <w:t>mpact of female eligibility regulations on the enjoyment of human rights</w:t>
      </w:r>
      <w:bookmarkEnd w:id="6"/>
    </w:p>
    <w:p w14:paraId="1E9F94FA" w14:textId="38050372" w:rsidR="0012136D" w:rsidRPr="002C38BF" w:rsidRDefault="0012136D" w:rsidP="0012136D">
      <w:pPr>
        <w:pStyle w:val="SingleTxtG"/>
        <w:rPr>
          <w:rFonts w:eastAsia="Calibri"/>
        </w:rPr>
      </w:pPr>
      <w:r w:rsidRPr="002C38BF">
        <w:rPr>
          <w:rFonts w:eastAsia="Calibri"/>
        </w:rPr>
        <w:t>24.</w:t>
      </w:r>
      <w:r w:rsidRPr="002C38BF">
        <w:rPr>
          <w:rFonts w:eastAsia="Calibri"/>
        </w:rPr>
        <w:tab/>
        <w:t xml:space="preserve">Women began participating in elite sport in the early </w:t>
      </w:r>
      <w:r>
        <w:rPr>
          <w:rFonts w:eastAsia="Calibri"/>
        </w:rPr>
        <w:t xml:space="preserve">twentieth </w:t>
      </w:r>
      <w:r w:rsidRPr="002C38BF">
        <w:rPr>
          <w:rFonts w:eastAsia="Calibri"/>
        </w:rPr>
        <w:t>century, but their inclusion was hindered by cultural ideologies about women</w:t>
      </w:r>
      <w:r w:rsidR="00356B25">
        <w:rPr>
          <w:rFonts w:eastAsia="Calibri"/>
        </w:rPr>
        <w:t>’</w:t>
      </w:r>
      <w:r w:rsidRPr="002C38BF">
        <w:rPr>
          <w:rFonts w:eastAsia="Calibri"/>
        </w:rPr>
        <w:t>s bodies, including concerns about the public exhibition of the female body, and exposure to physical exertion and risk.</w:t>
      </w:r>
      <w:r w:rsidRPr="0012136D">
        <w:rPr>
          <w:rStyle w:val="FootnoteReference"/>
        </w:rPr>
        <w:footnoteReference w:id="52"/>
      </w:r>
      <w:r w:rsidRPr="002C38BF">
        <w:rPr>
          <w:rFonts w:eastAsia="Calibri"/>
        </w:rPr>
        <w:t xml:space="preserve"> Because women</w:t>
      </w:r>
      <w:r w:rsidR="00356B25">
        <w:rPr>
          <w:rFonts w:eastAsia="Calibri"/>
        </w:rPr>
        <w:t>’</w:t>
      </w:r>
      <w:r w:rsidRPr="002C38BF">
        <w:rPr>
          <w:rFonts w:eastAsia="Calibri"/>
        </w:rPr>
        <w:t>s participation in sport</w:t>
      </w:r>
      <w:r>
        <w:rPr>
          <w:rFonts w:eastAsia="Calibri"/>
        </w:rPr>
        <w:t>s</w:t>
      </w:r>
      <w:r w:rsidRPr="002C38BF">
        <w:rPr>
          <w:rFonts w:eastAsia="Calibri"/>
        </w:rPr>
        <w:t xml:space="preserve"> was managed according to a strict two-sex categorical division, concern for who belonged in the women</w:t>
      </w:r>
      <w:r w:rsidR="00356B25">
        <w:rPr>
          <w:rFonts w:eastAsia="Calibri"/>
        </w:rPr>
        <w:t>’</w:t>
      </w:r>
      <w:r w:rsidRPr="002C38BF">
        <w:rPr>
          <w:rFonts w:eastAsia="Calibri"/>
        </w:rPr>
        <w:t>s category arose almost immediately, giving rise to female eligibility criteria, which remain in place.</w:t>
      </w:r>
    </w:p>
    <w:p w14:paraId="6B2307EB" w14:textId="37E164E5" w:rsidR="0012136D" w:rsidRPr="002C38BF" w:rsidRDefault="0012136D" w:rsidP="0012136D">
      <w:pPr>
        <w:pStyle w:val="SingleTxtG"/>
        <w:rPr>
          <w:rFonts w:eastAsia="Calibri"/>
        </w:rPr>
      </w:pPr>
      <w:r w:rsidRPr="002C38BF">
        <w:rPr>
          <w:rFonts w:eastAsia="Calibri"/>
        </w:rPr>
        <w:t>25.</w:t>
      </w:r>
      <w:r w:rsidRPr="002C38BF">
        <w:rPr>
          <w:rFonts w:eastAsia="Calibri"/>
        </w:rPr>
        <w:tab/>
        <w:t xml:space="preserve">So-called sex testing (also called femininity testing or gender verification) began in the 1930s as ad hoc, suspicion-driven testing </w:t>
      </w:r>
      <w:r>
        <w:rPr>
          <w:rFonts w:eastAsia="Calibri"/>
        </w:rPr>
        <w:t xml:space="preserve">of women athletes </w:t>
      </w:r>
      <w:r w:rsidRPr="002C38BF">
        <w:rPr>
          <w:rFonts w:eastAsia="Calibri"/>
        </w:rPr>
        <w:t xml:space="preserve">based on </w:t>
      </w:r>
      <w:r>
        <w:rPr>
          <w:rFonts w:eastAsia="Calibri"/>
        </w:rPr>
        <w:t>their</w:t>
      </w:r>
      <w:r w:rsidRPr="002C38BF">
        <w:rPr>
          <w:rFonts w:eastAsia="Calibri"/>
        </w:rPr>
        <w:t xml:space="preserve"> physical appearance</w:t>
      </w:r>
      <w:r>
        <w:rPr>
          <w:rFonts w:eastAsia="Calibri"/>
        </w:rPr>
        <w:t>. I</w:t>
      </w:r>
      <w:r w:rsidRPr="002C38BF">
        <w:rPr>
          <w:rFonts w:eastAsia="Calibri"/>
        </w:rPr>
        <w:t>n the 1960s</w:t>
      </w:r>
      <w:r>
        <w:rPr>
          <w:rFonts w:eastAsia="Calibri"/>
        </w:rPr>
        <w:t>, this practice</w:t>
      </w:r>
      <w:r w:rsidRPr="002C38BF">
        <w:rPr>
          <w:rFonts w:eastAsia="Calibri"/>
        </w:rPr>
        <w:t xml:space="preserve"> evolved into mandatory universal certification of all women athletes seeking to compete in international competitions governed by the International Association of Athletics Federations (IAAF)</w:t>
      </w:r>
      <w:r w:rsidRPr="0012136D">
        <w:rPr>
          <w:rStyle w:val="FootnoteReference"/>
        </w:rPr>
        <w:footnoteReference w:id="53"/>
      </w:r>
      <w:r w:rsidRPr="008A2521">
        <w:rPr>
          <w:rFonts w:eastAsia="Calibri"/>
        </w:rPr>
        <w:t xml:space="preserve"> </w:t>
      </w:r>
      <w:r w:rsidRPr="002C38BF">
        <w:rPr>
          <w:rFonts w:eastAsia="Calibri"/>
        </w:rPr>
        <w:t>and/or IOC.</w:t>
      </w:r>
    </w:p>
    <w:p w14:paraId="39F3BF0D" w14:textId="77777777" w:rsidR="0012136D" w:rsidRPr="002C38BF" w:rsidRDefault="0012136D" w:rsidP="0012136D">
      <w:pPr>
        <w:pStyle w:val="SingleTxtG"/>
        <w:rPr>
          <w:rFonts w:eastAsia="Calibri"/>
        </w:rPr>
      </w:pPr>
      <w:r w:rsidRPr="002C38BF">
        <w:rPr>
          <w:rFonts w:eastAsia="Calibri"/>
        </w:rPr>
        <w:t>26.</w:t>
      </w:r>
      <w:r w:rsidRPr="002C38BF">
        <w:rPr>
          <w:rFonts w:eastAsia="Calibri"/>
        </w:rPr>
        <w:tab/>
        <w:t>The process</w:t>
      </w:r>
      <w:r>
        <w:rPr>
          <w:rFonts w:eastAsia="Calibri"/>
        </w:rPr>
        <w:t>es</w:t>
      </w:r>
      <w:r w:rsidRPr="002C38BF">
        <w:rPr>
          <w:rFonts w:eastAsia="Calibri"/>
        </w:rPr>
        <w:t>, methods and criteria for determining sex have shifted over time, from physical inspections to biological sampling</w:t>
      </w:r>
      <w:r>
        <w:rPr>
          <w:rFonts w:eastAsia="Calibri"/>
        </w:rPr>
        <w:t>,</w:t>
      </w:r>
      <w:r w:rsidRPr="002C38BF">
        <w:rPr>
          <w:rFonts w:eastAsia="Calibri"/>
        </w:rPr>
        <w:t xml:space="preserve"> </w:t>
      </w:r>
      <w:r>
        <w:rPr>
          <w:rFonts w:eastAsia="Calibri"/>
        </w:rPr>
        <w:t xml:space="preserve">at </w:t>
      </w:r>
      <w:r w:rsidRPr="002C38BF">
        <w:rPr>
          <w:rFonts w:eastAsia="Calibri"/>
        </w:rPr>
        <w:t>first for chromosomal karyotype and specific genes and more recently for endogenous testosterone levels.</w:t>
      </w:r>
      <w:r w:rsidRPr="0012136D">
        <w:rPr>
          <w:rStyle w:val="FootnoteReference"/>
        </w:rPr>
        <w:footnoteReference w:id="54"/>
      </w:r>
      <w:r w:rsidRPr="002C38BF">
        <w:rPr>
          <w:rFonts w:eastAsia="Calibri"/>
        </w:rPr>
        <w:t xml:space="preserve"> While most individuals have innate sex characteristics that fit typical expectations for female or male bodies, this is not true of everyone and no single marker is determinative of male or female sex.</w:t>
      </w:r>
      <w:r w:rsidRPr="0012136D">
        <w:rPr>
          <w:rStyle w:val="FootnoteReference"/>
        </w:rPr>
        <w:footnoteReference w:id="55"/>
      </w:r>
    </w:p>
    <w:p w14:paraId="56F53927" w14:textId="23F52748" w:rsidR="0012136D" w:rsidRPr="002C38BF" w:rsidRDefault="0012136D" w:rsidP="0012136D">
      <w:pPr>
        <w:pStyle w:val="SingleTxtG"/>
        <w:rPr>
          <w:rFonts w:eastAsia="Calibri"/>
        </w:rPr>
      </w:pPr>
      <w:r w:rsidRPr="002C38BF">
        <w:rPr>
          <w:rFonts w:eastAsia="Calibri"/>
        </w:rPr>
        <w:t>27.</w:t>
      </w:r>
      <w:r w:rsidRPr="002C38BF">
        <w:rPr>
          <w:rFonts w:eastAsia="Calibri"/>
        </w:rPr>
        <w:tab/>
        <w:t xml:space="preserve">In the 1990s, under pressure from its own policymakers, medical professional organizations and athletes, IAAF and then IOC stopped the practice of mandatory sex testing of all women and reverted to suspicion-driven testing that targeted women whose bodies were perceived as </w:t>
      </w:r>
      <w:r w:rsidR="00356B25">
        <w:rPr>
          <w:rFonts w:eastAsia="Calibri"/>
        </w:rPr>
        <w:t>“</w:t>
      </w:r>
      <w:r w:rsidRPr="002C38BF">
        <w:rPr>
          <w:rFonts w:eastAsia="Calibri"/>
        </w:rPr>
        <w:t>masculine</w:t>
      </w:r>
      <w:r w:rsidR="00356B25">
        <w:rPr>
          <w:rFonts w:eastAsia="Calibri"/>
        </w:rPr>
        <w:t>”</w:t>
      </w:r>
      <w:r w:rsidRPr="002C38BF">
        <w:rPr>
          <w:rFonts w:eastAsia="Calibri"/>
        </w:rPr>
        <w:t>.</w:t>
      </w:r>
      <w:r w:rsidRPr="0012136D">
        <w:rPr>
          <w:rStyle w:val="FootnoteReference"/>
        </w:rPr>
        <w:footnoteReference w:id="56"/>
      </w:r>
    </w:p>
    <w:p w14:paraId="189E686F" w14:textId="6B3999B9" w:rsidR="0012136D" w:rsidRPr="002C38BF" w:rsidRDefault="0012136D" w:rsidP="0012136D">
      <w:pPr>
        <w:pStyle w:val="SingleTxtG"/>
        <w:rPr>
          <w:rFonts w:eastAsia="Calibri"/>
        </w:rPr>
      </w:pPr>
      <w:r w:rsidRPr="002C38BF">
        <w:rPr>
          <w:rFonts w:eastAsia="Calibri"/>
        </w:rPr>
        <w:t>28.</w:t>
      </w:r>
      <w:r w:rsidRPr="002C38BF">
        <w:rPr>
          <w:rFonts w:eastAsia="Calibri"/>
        </w:rPr>
        <w:tab/>
        <w:t xml:space="preserve">In 2011, IAAF (in consultation with IOC) released new regulations governing </w:t>
      </w:r>
      <w:r>
        <w:rPr>
          <w:rFonts w:eastAsia="Calibri"/>
        </w:rPr>
        <w:t xml:space="preserve">the </w:t>
      </w:r>
      <w:r w:rsidRPr="002C38BF">
        <w:rPr>
          <w:rFonts w:eastAsia="Calibri"/>
        </w:rPr>
        <w:t xml:space="preserve">eligibility of women with </w:t>
      </w:r>
      <w:r w:rsidR="00356B25">
        <w:rPr>
          <w:rFonts w:eastAsia="Calibri"/>
        </w:rPr>
        <w:t>“</w:t>
      </w:r>
      <w:r w:rsidRPr="002C38BF">
        <w:rPr>
          <w:rFonts w:eastAsia="Calibri"/>
        </w:rPr>
        <w:t>hyperandrogenism</w:t>
      </w:r>
      <w:r w:rsidR="00356B25">
        <w:rPr>
          <w:rFonts w:eastAsia="Calibri"/>
        </w:rPr>
        <w:t>”</w:t>
      </w:r>
      <w:r w:rsidRPr="002C38BF">
        <w:rPr>
          <w:rFonts w:eastAsia="Calibri"/>
        </w:rPr>
        <w:t xml:space="preserve"> to compete internationally. These regulations restricted the permissible amount of naturally</w:t>
      </w:r>
      <w:r>
        <w:rPr>
          <w:rFonts w:eastAsia="Calibri"/>
        </w:rPr>
        <w:t xml:space="preserve"> </w:t>
      </w:r>
      <w:r w:rsidRPr="002C38BF">
        <w:rPr>
          <w:rFonts w:eastAsia="Calibri"/>
        </w:rPr>
        <w:t xml:space="preserve">occurring testosterone </w:t>
      </w:r>
      <w:r>
        <w:rPr>
          <w:rFonts w:eastAsia="Calibri"/>
        </w:rPr>
        <w:t xml:space="preserve">in </w:t>
      </w:r>
      <w:r w:rsidRPr="002C38BF">
        <w:rPr>
          <w:rFonts w:eastAsia="Calibri"/>
        </w:rPr>
        <w:t>female athletes and required them to undergo interventions to lower their testosterone to specified levels in order to compete.</w:t>
      </w:r>
      <w:r w:rsidRPr="0012136D">
        <w:rPr>
          <w:rStyle w:val="FootnoteReference"/>
        </w:rPr>
        <w:footnoteReference w:id="57"/>
      </w:r>
      <w:r w:rsidRPr="002C38BF">
        <w:rPr>
          <w:rFonts w:eastAsia="Calibri"/>
        </w:rPr>
        <w:t xml:space="preserve"> IOC has </w:t>
      </w:r>
      <w:r>
        <w:rPr>
          <w:rFonts w:eastAsia="Calibri"/>
        </w:rPr>
        <w:t>issued</w:t>
      </w:r>
      <w:r w:rsidRPr="002C38BF">
        <w:rPr>
          <w:rFonts w:eastAsia="Calibri"/>
        </w:rPr>
        <w:t xml:space="preserve"> its own version of such regulations.</w:t>
      </w:r>
      <w:r w:rsidRPr="0012136D">
        <w:rPr>
          <w:rStyle w:val="FootnoteReference"/>
        </w:rPr>
        <w:footnoteReference w:id="58"/>
      </w:r>
    </w:p>
    <w:p w14:paraId="101926F2" w14:textId="7051E6C9" w:rsidR="0012136D" w:rsidRPr="002C38BF" w:rsidRDefault="0012136D" w:rsidP="0012136D">
      <w:pPr>
        <w:pStyle w:val="SingleTxtG"/>
        <w:rPr>
          <w:rFonts w:eastAsia="Calibri"/>
        </w:rPr>
      </w:pPr>
      <w:r w:rsidRPr="002C38BF">
        <w:rPr>
          <w:rFonts w:eastAsia="Calibri"/>
        </w:rPr>
        <w:t>29.</w:t>
      </w:r>
      <w:r w:rsidRPr="002C38BF">
        <w:rPr>
          <w:rFonts w:eastAsia="Calibri"/>
        </w:rPr>
        <w:tab/>
        <w:t xml:space="preserve">These regulations </w:t>
      </w:r>
      <w:r>
        <w:rPr>
          <w:rFonts w:eastAsia="Calibri"/>
        </w:rPr>
        <w:t xml:space="preserve">have </w:t>
      </w:r>
      <w:r w:rsidRPr="002C38BF">
        <w:rPr>
          <w:rFonts w:eastAsia="Calibri"/>
        </w:rPr>
        <w:t>c</w:t>
      </w:r>
      <w:r>
        <w:rPr>
          <w:rFonts w:eastAsia="Calibri"/>
        </w:rPr>
        <w:t>o</w:t>
      </w:r>
      <w:r w:rsidRPr="002C38BF">
        <w:rPr>
          <w:rFonts w:eastAsia="Calibri"/>
        </w:rPr>
        <w:t>me under scrutiny for their impact on athletes</w:t>
      </w:r>
      <w:r w:rsidR="00356B25">
        <w:rPr>
          <w:rFonts w:eastAsia="Calibri"/>
        </w:rPr>
        <w:t>’</w:t>
      </w:r>
      <w:r w:rsidRPr="002C38BF">
        <w:rPr>
          <w:rFonts w:eastAsia="Calibri"/>
        </w:rPr>
        <w:t xml:space="preserve"> rights to non-discrimination, as well as the continued use of a single biological marker for determining sex. Questions </w:t>
      </w:r>
      <w:r>
        <w:rPr>
          <w:rFonts w:eastAsia="Calibri"/>
        </w:rPr>
        <w:t>have</w:t>
      </w:r>
      <w:r w:rsidRPr="002C38BF">
        <w:rPr>
          <w:rFonts w:eastAsia="Calibri"/>
        </w:rPr>
        <w:t xml:space="preserve"> also</w:t>
      </w:r>
      <w:r>
        <w:rPr>
          <w:rFonts w:eastAsia="Calibri"/>
        </w:rPr>
        <w:t xml:space="preserve"> been</w:t>
      </w:r>
      <w:r w:rsidRPr="002C38BF">
        <w:rPr>
          <w:rFonts w:eastAsia="Calibri"/>
        </w:rPr>
        <w:t xml:space="preserve"> raised regarding the selective use of scientific evidence, as the underlying claim that higher natural testosterone provides some women with a competitive advantage over other women, and the magnitude of any performance difference, remains unsettled in the scientific literature.</w:t>
      </w:r>
      <w:r w:rsidRPr="0012136D">
        <w:rPr>
          <w:rStyle w:val="FootnoteReference"/>
        </w:rPr>
        <w:footnoteReference w:id="59"/>
      </w:r>
    </w:p>
    <w:p w14:paraId="2FF7C35E" w14:textId="6A3CC780" w:rsidR="0012136D" w:rsidRPr="002C38BF" w:rsidRDefault="0012136D" w:rsidP="0012136D">
      <w:pPr>
        <w:pStyle w:val="SingleTxtG"/>
        <w:rPr>
          <w:rFonts w:eastAsia="Calibri"/>
        </w:rPr>
      </w:pPr>
      <w:r w:rsidRPr="002C38BF">
        <w:rPr>
          <w:rFonts w:eastAsia="Calibri"/>
        </w:rPr>
        <w:t>30.</w:t>
      </w:r>
      <w:r w:rsidRPr="002C38BF">
        <w:rPr>
          <w:rFonts w:eastAsia="Calibri"/>
        </w:rPr>
        <w:tab/>
        <w:t>In 2015, the Court of Arbitration for Sport suspended the IAAF hyperandrogenism regulations on the basis that they were unjustifiably discriminatory</w:t>
      </w:r>
      <w:r>
        <w:rPr>
          <w:rFonts w:eastAsia="Calibri"/>
        </w:rPr>
        <w:t>:</w:t>
      </w:r>
      <w:r w:rsidRPr="002C38BF">
        <w:rPr>
          <w:rFonts w:eastAsia="Calibri"/>
        </w:rPr>
        <w:t xml:space="preserve"> the evidence did not establish that </w:t>
      </w:r>
      <w:r w:rsidR="00356B25">
        <w:rPr>
          <w:rFonts w:eastAsia="Calibri"/>
        </w:rPr>
        <w:t>“</w:t>
      </w:r>
      <w:r w:rsidRPr="002C38BF">
        <w:rPr>
          <w:rFonts w:eastAsia="Calibri"/>
        </w:rPr>
        <w:t>hyperandrogenic</w:t>
      </w:r>
      <w:r w:rsidR="00356B25">
        <w:rPr>
          <w:rFonts w:eastAsia="Calibri"/>
        </w:rPr>
        <w:t>”</w:t>
      </w:r>
      <w:r w:rsidRPr="002C38BF">
        <w:rPr>
          <w:rFonts w:eastAsia="Calibri"/>
        </w:rPr>
        <w:t xml:space="preserve"> females enjoy a performance advantage over their peers sufficient to justify their exclusion from the female category of competition.</w:t>
      </w:r>
      <w:r w:rsidRPr="0012136D">
        <w:rPr>
          <w:rStyle w:val="FootnoteReference"/>
        </w:rPr>
        <w:footnoteReference w:id="60"/>
      </w:r>
      <w:r w:rsidRPr="002C38BF">
        <w:rPr>
          <w:rFonts w:eastAsia="Calibri"/>
        </w:rPr>
        <w:t xml:space="preserve"> The Court granted IAAF two years to provide additional evidence, failing which the regulations would become void.</w:t>
      </w:r>
    </w:p>
    <w:p w14:paraId="4F0EC27E" w14:textId="77777777" w:rsidR="0012136D" w:rsidRPr="002C38BF" w:rsidRDefault="0012136D" w:rsidP="0012136D">
      <w:pPr>
        <w:pStyle w:val="SingleTxtG"/>
        <w:rPr>
          <w:rFonts w:eastAsia="Calibri"/>
        </w:rPr>
      </w:pPr>
      <w:r w:rsidRPr="002C38BF">
        <w:rPr>
          <w:rFonts w:eastAsia="Calibri"/>
        </w:rPr>
        <w:t>31.</w:t>
      </w:r>
      <w:r w:rsidRPr="002C38BF">
        <w:rPr>
          <w:rFonts w:eastAsia="Calibri"/>
        </w:rPr>
        <w:tab/>
        <w:t>In 2018, IAAF issued new eligibility regulations for the female classification, which apply only to women with particular variations in sex characteristics.</w:t>
      </w:r>
      <w:r w:rsidRPr="0012136D">
        <w:rPr>
          <w:rStyle w:val="FootnoteReference"/>
        </w:rPr>
        <w:footnoteReference w:id="61"/>
      </w:r>
      <w:r w:rsidRPr="002C38BF">
        <w:rPr>
          <w:rFonts w:eastAsia="Calibri"/>
        </w:rPr>
        <w:t xml:space="preserve"> These regulations set eligibility criteria which</w:t>
      </w:r>
      <w:r w:rsidRPr="002C38BF">
        <w:rPr>
          <w:rFonts w:eastAsia="Calibri"/>
          <w:i/>
        </w:rPr>
        <w:t xml:space="preserve">, </w:t>
      </w:r>
      <w:r w:rsidRPr="007911D0">
        <w:rPr>
          <w:rFonts w:eastAsia="Calibri"/>
          <w:iCs/>
        </w:rPr>
        <w:t>inter alia</w:t>
      </w:r>
      <w:r w:rsidRPr="002C38BF">
        <w:rPr>
          <w:rFonts w:eastAsia="Calibri"/>
        </w:rPr>
        <w:t>, require women athletes with variations in sex characteristics to reduce their blood testosterone to a specified level so as to maintain eligibility to compete in the female category.</w:t>
      </w:r>
    </w:p>
    <w:p w14:paraId="04483158" w14:textId="77777777" w:rsidR="0012136D" w:rsidRPr="002C38BF" w:rsidRDefault="0012136D" w:rsidP="0012136D">
      <w:pPr>
        <w:pStyle w:val="SingleTxtG"/>
        <w:rPr>
          <w:rFonts w:eastAsia="Calibri"/>
        </w:rPr>
      </w:pPr>
      <w:r w:rsidRPr="002C38BF">
        <w:rPr>
          <w:rFonts w:eastAsia="Calibri"/>
        </w:rPr>
        <w:t>32.</w:t>
      </w:r>
      <w:r w:rsidRPr="002C38BF">
        <w:rPr>
          <w:rFonts w:eastAsia="Calibri"/>
        </w:rPr>
        <w:tab/>
        <w:t>Various athletes from around the world have been affected by these sex testing regulations</w:t>
      </w:r>
      <w:r>
        <w:rPr>
          <w:rFonts w:eastAsia="Calibri"/>
        </w:rPr>
        <w:t>,</w:t>
      </w:r>
      <w:r w:rsidRPr="002C38BF">
        <w:rPr>
          <w:rFonts w:eastAsia="Calibri"/>
        </w:rPr>
        <w:t xml:space="preserve"> including María José Martínez-Patiño (Spain) and Ewa Klobukowska (Poland).</w:t>
      </w:r>
      <w:r w:rsidRPr="0012136D">
        <w:rPr>
          <w:rStyle w:val="FootnoteReference"/>
        </w:rPr>
        <w:footnoteReference w:id="62"/>
      </w:r>
      <w:r>
        <w:rPr>
          <w:rFonts w:eastAsia="Calibri"/>
        </w:rPr>
        <w:t>The most well-</w:t>
      </w:r>
      <w:r w:rsidRPr="002C38BF">
        <w:rPr>
          <w:rFonts w:eastAsia="Calibri"/>
        </w:rPr>
        <w:t>known women affected in the last decade</w:t>
      </w:r>
      <w:r>
        <w:rPr>
          <w:rFonts w:eastAsia="Calibri"/>
        </w:rPr>
        <w:t>, however,</w:t>
      </w:r>
      <w:r w:rsidRPr="002C38BF">
        <w:rPr>
          <w:rFonts w:eastAsia="Calibri"/>
        </w:rPr>
        <w:t xml:space="preserve"> have been from sub-Saharan Africa and South Asia, including Santhi Soundarajan and Dutee Chand (India), Caster Semenya (South Africa), Annet Negesa (Uganda), Margaret Wambui (Kenya) and Francine Niyonsaba (Burundi). Reports of these and other athletes from the same regions undergoing investigations and/or medically unnecessary and potentially harmful procedures are being published and investigated, as well as challenged by the women themselves.</w:t>
      </w:r>
      <w:r w:rsidRPr="0012136D">
        <w:rPr>
          <w:rStyle w:val="FootnoteReference"/>
        </w:rPr>
        <w:footnoteReference w:id="63"/>
      </w:r>
      <w:r w:rsidRPr="002C38BF">
        <w:rPr>
          <w:rFonts w:eastAsia="Calibri"/>
          <w:vertAlign w:val="superscript"/>
        </w:rPr>
        <w:t xml:space="preserve"> </w:t>
      </w:r>
    </w:p>
    <w:p w14:paraId="6099C114" w14:textId="462F8F8B" w:rsidR="0012136D" w:rsidRPr="002C38BF" w:rsidRDefault="0012136D" w:rsidP="0012136D">
      <w:pPr>
        <w:pStyle w:val="SingleTxtG"/>
        <w:rPr>
          <w:rFonts w:ascii="Calibri" w:eastAsia="Calibri" w:hAnsi="Calibri" w:cs="Calibri"/>
          <w:sz w:val="22"/>
          <w:szCs w:val="22"/>
        </w:rPr>
      </w:pPr>
      <w:r w:rsidRPr="00A5301B">
        <w:rPr>
          <w:rFonts w:eastAsia="Calibri"/>
        </w:rPr>
        <w:t>33.</w:t>
      </w:r>
      <w:r w:rsidRPr="00A5301B">
        <w:rPr>
          <w:rFonts w:eastAsia="Calibri"/>
        </w:rPr>
        <w:tab/>
        <w:t>In a letter to the Court of Arbitration for Sport</w:t>
      </w:r>
      <w:r w:rsidRPr="00A5301B" w:rsidDel="003E4B11">
        <w:rPr>
          <w:rFonts w:eastAsia="Calibri"/>
        </w:rPr>
        <w:t xml:space="preserve"> </w:t>
      </w:r>
      <w:r w:rsidRPr="00A5301B">
        <w:rPr>
          <w:rFonts w:eastAsia="Calibri"/>
        </w:rPr>
        <w:t>regarding the 2018 IAAF regulations, three</w:t>
      </w:r>
      <w:r w:rsidRPr="002C38BF">
        <w:rPr>
          <w:rFonts w:eastAsia="Calibri"/>
        </w:rPr>
        <w:t xml:space="preserve"> </w:t>
      </w:r>
      <w:r>
        <w:rPr>
          <w:rFonts w:eastAsia="Calibri"/>
        </w:rPr>
        <w:t>United Nations</w:t>
      </w:r>
      <w:r w:rsidRPr="002C38BF">
        <w:rPr>
          <w:rFonts w:eastAsia="Calibri"/>
        </w:rPr>
        <w:t xml:space="preserve"> human rights experts raised concerns that the regulations effectively legitimize the surveillance of all women athletes based on stereotypes of femininity, </w:t>
      </w:r>
      <w:r>
        <w:rPr>
          <w:rFonts w:eastAsia="Calibri"/>
        </w:rPr>
        <w:t>adding</w:t>
      </w:r>
      <w:r w:rsidRPr="002C38BF">
        <w:rPr>
          <w:rFonts w:eastAsia="Calibri"/>
        </w:rPr>
        <w:t xml:space="preserve"> that the regulations would in effect single out a group of women athletes, putting them at risk of repercussions far beyond the inability to compete</w:t>
      </w:r>
      <w:r>
        <w:rPr>
          <w:rFonts w:eastAsia="Calibri"/>
        </w:rPr>
        <w:t xml:space="preserve"> while also</w:t>
      </w:r>
      <w:r w:rsidRPr="002C38BF">
        <w:rPr>
          <w:rFonts w:eastAsia="Calibri"/>
        </w:rPr>
        <w:t xml:space="preserve"> subjecting them to shame, ridicule and intrusion upon their personal and private li</w:t>
      </w:r>
      <w:r>
        <w:rPr>
          <w:rFonts w:eastAsia="Calibri"/>
        </w:rPr>
        <w:t>ves</w:t>
      </w:r>
      <w:r w:rsidRPr="002C38BF">
        <w:rPr>
          <w:rFonts w:eastAsia="Calibri"/>
        </w:rPr>
        <w:t>. Additional harms stem</w:t>
      </w:r>
      <w:r>
        <w:rPr>
          <w:rFonts w:eastAsia="Calibri"/>
        </w:rPr>
        <w:t>med</w:t>
      </w:r>
      <w:r w:rsidRPr="002C38BF">
        <w:rPr>
          <w:rFonts w:eastAsia="Calibri"/>
        </w:rPr>
        <w:t xml:space="preserve"> from the implication that the women need to be </w:t>
      </w:r>
      <w:r w:rsidR="00356B25">
        <w:rPr>
          <w:rFonts w:eastAsia="Calibri"/>
        </w:rPr>
        <w:t>“</w:t>
      </w:r>
      <w:r w:rsidRPr="002C38BF">
        <w:rPr>
          <w:rFonts w:eastAsia="Calibri"/>
        </w:rPr>
        <w:t>fixed</w:t>
      </w:r>
      <w:r w:rsidR="00356B25">
        <w:rPr>
          <w:rFonts w:eastAsia="Calibri"/>
        </w:rPr>
        <w:t>”</w:t>
      </w:r>
      <w:r w:rsidRPr="002C38BF">
        <w:rPr>
          <w:rFonts w:eastAsia="Calibri"/>
        </w:rPr>
        <w:t xml:space="preserve"> through medically unnecessary interventions with negative health impacts.</w:t>
      </w:r>
      <w:r w:rsidRPr="0012136D">
        <w:rPr>
          <w:rStyle w:val="FootnoteReference"/>
        </w:rPr>
        <w:footnoteReference w:id="64"/>
      </w:r>
      <w:r w:rsidRPr="002C38BF">
        <w:rPr>
          <w:rFonts w:eastAsia="Calibri"/>
        </w:rPr>
        <w:t xml:space="preserve"> As Caster Semenya has stated, </w:t>
      </w:r>
      <w:r w:rsidR="00356B25">
        <w:rPr>
          <w:rFonts w:eastAsia="Calibri"/>
        </w:rPr>
        <w:t>“</w:t>
      </w:r>
      <w:r w:rsidRPr="002C38BF">
        <w:rPr>
          <w:rFonts w:eastAsia="Calibri"/>
        </w:rPr>
        <w:t>I have been subjected to unwarranted and invasive scrutiny of the most intimate and private details of my being</w:t>
      </w:r>
      <w:r w:rsidR="00356B25">
        <w:rPr>
          <w:rFonts w:eastAsia="Calibri"/>
        </w:rPr>
        <w:t>”</w:t>
      </w:r>
      <w:r w:rsidRPr="002C38BF">
        <w:rPr>
          <w:rFonts w:eastAsia="Calibri"/>
        </w:rPr>
        <w:t>.</w:t>
      </w:r>
      <w:r w:rsidRPr="0012136D">
        <w:rPr>
          <w:rStyle w:val="FootnoteReference"/>
        </w:rPr>
        <w:footnoteReference w:id="65"/>
      </w:r>
    </w:p>
    <w:p w14:paraId="0590FA61" w14:textId="218C346C" w:rsidR="0012136D" w:rsidRPr="002C38BF" w:rsidRDefault="0012136D" w:rsidP="0012136D">
      <w:pPr>
        <w:pStyle w:val="SingleTxtG"/>
        <w:rPr>
          <w:rFonts w:eastAsia="Calibri"/>
        </w:rPr>
      </w:pPr>
      <w:r w:rsidRPr="002C38BF">
        <w:rPr>
          <w:rFonts w:eastAsia="Calibri"/>
        </w:rPr>
        <w:t>34.</w:t>
      </w:r>
      <w:r w:rsidRPr="002C38BF">
        <w:rPr>
          <w:rFonts w:eastAsia="Calibri"/>
        </w:rPr>
        <w:tab/>
        <w:t xml:space="preserve">The implementation of female eligibility regulations denies athletes with variations in sex characteristics </w:t>
      </w:r>
      <w:r>
        <w:rPr>
          <w:rFonts w:eastAsia="Calibri"/>
        </w:rPr>
        <w:t>an</w:t>
      </w:r>
      <w:r w:rsidRPr="002C38BF">
        <w:rPr>
          <w:rFonts w:eastAsia="Calibri"/>
        </w:rPr>
        <w:t xml:space="preserve"> equal right to participate in sport</w:t>
      </w:r>
      <w:r>
        <w:rPr>
          <w:rFonts w:eastAsia="Calibri"/>
        </w:rPr>
        <w:t>s and</w:t>
      </w:r>
      <w:r w:rsidRPr="002C38BF">
        <w:rPr>
          <w:rFonts w:eastAsia="Calibri"/>
        </w:rPr>
        <w:t xml:space="preserve"> violates the right to non-discrimination more broadly. </w:t>
      </w:r>
      <w:r>
        <w:rPr>
          <w:rFonts w:eastAsia="Calibri"/>
        </w:rPr>
        <w:t>Other</w:t>
      </w:r>
      <w:r w:rsidRPr="002C38BF">
        <w:rPr>
          <w:rFonts w:eastAsia="Calibri"/>
        </w:rPr>
        <w:t xml:space="preserve"> current approaches to regulating female eligibility may have a negative impact </w:t>
      </w:r>
      <w:r>
        <w:rPr>
          <w:rFonts w:eastAsia="Calibri"/>
        </w:rPr>
        <w:t>o</w:t>
      </w:r>
      <w:r w:rsidRPr="002C38BF">
        <w:rPr>
          <w:rFonts w:eastAsia="Calibri"/>
        </w:rPr>
        <w:t>n athletes</w:t>
      </w:r>
      <w:r w:rsidR="00356B25">
        <w:rPr>
          <w:rFonts w:eastAsia="Calibri"/>
        </w:rPr>
        <w:t>’</w:t>
      </w:r>
      <w:r w:rsidRPr="002C38BF">
        <w:rPr>
          <w:rFonts w:eastAsia="Calibri"/>
        </w:rPr>
        <w:t xml:space="preserve"> enjoyment of their human rights and may</w:t>
      </w:r>
      <w:r>
        <w:rPr>
          <w:rFonts w:eastAsia="Calibri"/>
        </w:rPr>
        <w:t xml:space="preserve"> </w:t>
      </w:r>
      <w:r w:rsidRPr="002C38BF">
        <w:rPr>
          <w:rFonts w:eastAsia="Calibri"/>
        </w:rPr>
        <w:t>amount to violation</w:t>
      </w:r>
      <w:r>
        <w:rPr>
          <w:rFonts w:eastAsia="Calibri"/>
        </w:rPr>
        <w:t>s</w:t>
      </w:r>
      <w:r w:rsidRPr="002C38BF">
        <w:rPr>
          <w:rFonts w:eastAsia="Calibri"/>
        </w:rPr>
        <w:t xml:space="preserve"> of</w:t>
      </w:r>
      <w:r>
        <w:rPr>
          <w:rFonts w:eastAsia="Calibri"/>
        </w:rPr>
        <w:t xml:space="preserve"> the following rights</w:t>
      </w:r>
      <w:r w:rsidRPr="002C38BF">
        <w:rPr>
          <w:rFonts w:eastAsia="Calibri"/>
        </w:rPr>
        <w:t>:</w:t>
      </w:r>
    </w:p>
    <w:p w14:paraId="25E2141C" w14:textId="5CFFB751" w:rsidR="0012136D" w:rsidRPr="002C38BF" w:rsidRDefault="00974A88" w:rsidP="00974A88">
      <w:pPr>
        <w:pStyle w:val="SingleTxtG"/>
        <w:rPr>
          <w:rFonts w:eastAsia="Calibri"/>
        </w:rPr>
      </w:pPr>
      <w:r>
        <w:rPr>
          <w:rFonts w:eastAsia="Calibri"/>
        </w:rPr>
        <w:tab/>
      </w:r>
      <w:r w:rsidR="0012136D" w:rsidRPr="002C38BF">
        <w:rPr>
          <w:rFonts w:eastAsia="Calibri"/>
        </w:rPr>
        <w:t>(a)</w:t>
      </w:r>
      <w:r w:rsidR="0012136D" w:rsidRPr="002C38BF">
        <w:rPr>
          <w:rFonts w:eastAsia="Calibri"/>
        </w:rPr>
        <w:tab/>
      </w:r>
      <w:r w:rsidR="0012136D" w:rsidRPr="007911D0">
        <w:rPr>
          <w:rFonts w:eastAsia="Calibri"/>
          <w:iCs/>
        </w:rPr>
        <w:t xml:space="preserve">The right to freedom from </w:t>
      </w:r>
      <w:r w:rsidR="0012136D">
        <w:rPr>
          <w:rFonts w:eastAsia="Calibri"/>
          <w:iCs/>
        </w:rPr>
        <w:t xml:space="preserve">torture and other </w:t>
      </w:r>
      <w:r w:rsidR="0012136D" w:rsidRPr="007911D0">
        <w:rPr>
          <w:rFonts w:eastAsia="Calibri"/>
          <w:iCs/>
        </w:rPr>
        <w:t>cruel, inhuman or degrading treatment or punishment</w:t>
      </w:r>
      <w:r w:rsidR="0012136D">
        <w:rPr>
          <w:rFonts w:eastAsia="Calibri"/>
          <w:iCs/>
        </w:rPr>
        <w:t>.</w:t>
      </w:r>
      <w:r w:rsidR="0012136D" w:rsidRPr="002C38BF">
        <w:rPr>
          <w:rFonts w:eastAsia="Calibri"/>
        </w:rPr>
        <w:t xml:space="preserve"> The Special Rapporteur on </w:t>
      </w:r>
      <w:r w:rsidR="0012136D">
        <w:rPr>
          <w:rFonts w:eastAsia="Calibri"/>
        </w:rPr>
        <w:t>t</w:t>
      </w:r>
      <w:r w:rsidR="0012136D" w:rsidRPr="002C38BF">
        <w:rPr>
          <w:rFonts w:eastAsia="Calibri"/>
        </w:rPr>
        <w:t>orture</w:t>
      </w:r>
      <w:r w:rsidR="0012136D" w:rsidRPr="00D908FF">
        <w:rPr>
          <w:rFonts w:eastAsia="Calibri"/>
          <w:iCs/>
        </w:rPr>
        <w:t xml:space="preserve"> </w:t>
      </w:r>
      <w:r w:rsidR="0012136D">
        <w:rPr>
          <w:rFonts w:eastAsia="Calibri"/>
          <w:iCs/>
        </w:rPr>
        <w:t xml:space="preserve">and other </w:t>
      </w:r>
      <w:r w:rsidR="0012136D" w:rsidRPr="005A7270">
        <w:rPr>
          <w:rFonts w:eastAsia="Calibri"/>
          <w:iCs/>
        </w:rPr>
        <w:t>cruel, inhuman or degrading treatment or punishment</w:t>
      </w:r>
      <w:r w:rsidR="0012136D">
        <w:rPr>
          <w:rFonts w:eastAsia="Calibri"/>
          <w:iCs/>
        </w:rPr>
        <w:t>,</w:t>
      </w:r>
      <w:r w:rsidR="0012136D" w:rsidRPr="002C38BF">
        <w:rPr>
          <w:rFonts w:eastAsia="Calibri"/>
        </w:rPr>
        <w:t xml:space="preserve"> alongside other mandate holders, has emphasized </w:t>
      </w:r>
      <w:r w:rsidR="0012136D" w:rsidRPr="002C38BF">
        <w:rPr>
          <w:rFonts w:cstheme="minorHAnsi"/>
        </w:rPr>
        <w:t xml:space="preserve">that </w:t>
      </w:r>
      <w:r w:rsidR="0012136D" w:rsidRPr="002C38BF">
        <w:t xml:space="preserve">while the 2018 IAAF regulations </w:t>
      </w:r>
      <w:r w:rsidR="0012136D">
        <w:t>do</w:t>
      </w:r>
      <w:r w:rsidR="0012136D" w:rsidRPr="002C38BF">
        <w:t xml:space="preserve"> not force</w:t>
      </w:r>
      <w:r w:rsidR="0012136D">
        <w:t xml:space="preserve"> athletes</w:t>
      </w:r>
      <w:r w:rsidR="0012136D" w:rsidRPr="002C38BF">
        <w:t xml:space="preserve"> to undergo any assessment or treatment, they leave athlete</w:t>
      </w:r>
      <w:r w:rsidR="0012136D">
        <w:t>s with the choice of either</w:t>
      </w:r>
      <w:r w:rsidR="0012136D" w:rsidRPr="002C38BF">
        <w:t xml:space="preserve"> undergoing these intrusive medically unnecessary assessments </w:t>
      </w:r>
      <w:r w:rsidR="0012136D">
        <w:t xml:space="preserve">or being subjected to </w:t>
      </w:r>
      <w:r w:rsidR="0012136D" w:rsidRPr="002C38BF">
        <w:t>treatments with negative impacts on their health and well</w:t>
      </w:r>
      <w:r w:rsidR="0012136D">
        <w:t>-</w:t>
      </w:r>
      <w:r w:rsidR="0012136D" w:rsidRPr="002C38BF">
        <w:t xml:space="preserve">being. </w:t>
      </w:r>
      <w:r w:rsidR="0012136D">
        <w:t xml:space="preserve">Such treatments </w:t>
      </w:r>
      <w:r w:rsidR="0012136D" w:rsidRPr="002C38BF">
        <w:t xml:space="preserve">also </w:t>
      </w:r>
      <w:r w:rsidR="0012136D" w:rsidRPr="002C38BF">
        <w:rPr>
          <w:rFonts w:cstheme="minorHAnsi"/>
        </w:rPr>
        <w:t>entail</w:t>
      </w:r>
      <w:r w:rsidR="0012136D" w:rsidRPr="002C38BF">
        <w:rPr>
          <w:rFonts w:eastAsia="Calibri"/>
        </w:rPr>
        <w:t xml:space="preserve"> the risk of harm to physical and bodily integrity</w:t>
      </w:r>
      <w:r w:rsidR="0012136D">
        <w:rPr>
          <w:rFonts w:eastAsia="Calibri"/>
        </w:rPr>
        <w:t xml:space="preserve"> that </w:t>
      </w:r>
      <w:r w:rsidR="0012136D" w:rsidRPr="002C38BF">
        <w:rPr>
          <w:rFonts w:eastAsia="Calibri"/>
        </w:rPr>
        <w:t>may amount to violations of the right to be free from cruel, inhuman or degrading treatment or punishment and even torture</w:t>
      </w:r>
      <w:r w:rsidR="0012136D">
        <w:rPr>
          <w:rFonts w:eastAsia="Calibri"/>
        </w:rPr>
        <w:t>;</w:t>
      </w:r>
      <w:r w:rsidR="0012136D" w:rsidRPr="0012136D">
        <w:rPr>
          <w:rStyle w:val="FootnoteReference"/>
        </w:rPr>
        <w:footnoteReference w:id="66"/>
      </w:r>
    </w:p>
    <w:p w14:paraId="6D2A4AD7" w14:textId="65741139" w:rsidR="0012136D" w:rsidRPr="002C38BF" w:rsidRDefault="00974A88" w:rsidP="00974A88">
      <w:pPr>
        <w:pStyle w:val="SingleTxtG"/>
        <w:rPr>
          <w:rFonts w:eastAsia="Calibri"/>
        </w:rPr>
      </w:pPr>
      <w:r>
        <w:rPr>
          <w:rFonts w:eastAsia="Calibri"/>
        </w:rPr>
        <w:tab/>
      </w:r>
      <w:r w:rsidR="0012136D" w:rsidRPr="002C38BF">
        <w:rPr>
          <w:rFonts w:eastAsia="Calibri"/>
        </w:rPr>
        <w:t>(b)</w:t>
      </w:r>
      <w:r w:rsidR="0012136D" w:rsidRPr="002C38BF">
        <w:rPr>
          <w:rFonts w:eastAsia="Calibri"/>
          <w:i/>
          <w:iCs/>
        </w:rPr>
        <w:tab/>
      </w:r>
      <w:r w:rsidR="0012136D" w:rsidRPr="007911D0">
        <w:rPr>
          <w:rFonts w:eastAsia="Calibri"/>
        </w:rPr>
        <w:t>The right to work and to the enjoyment of just and favourable conditions of work</w:t>
      </w:r>
      <w:r w:rsidR="0012136D">
        <w:rPr>
          <w:rFonts w:eastAsia="Calibri"/>
        </w:rPr>
        <w:t>.</w:t>
      </w:r>
      <w:r w:rsidR="0012136D" w:rsidRPr="002C38BF">
        <w:rPr>
          <w:rFonts w:eastAsia="Calibri"/>
          <w:i/>
          <w:iCs/>
        </w:rPr>
        <w:t xml:space="preserve"> </w:t>
      </w:r>
      <w:r w:rsidR="0012136D" w:rsidRPr="002C38BF">
        <w:rPr>
          <w:rFonts w:cstheme="minorHAnsi"/>
          <w:bCs/>
        </w:rPr>
        <w:t>Female eligibility regulations may be contrary to the right to work since, in practice, they may constitute a barrier limiting disproportionally equal access to work for athletes with variations in sex characteristics. Further</w:t>
      </w:r>
      <w:r w:rsidR="0012136D">
        <w:rPr>
          <w:rFonts w:cstheme="minorHAnsi"/>
          <w:bCs/>
        </w:rPr>
        <w:t>more</w:t>
      </w:r>
      <w:r w:rsidR="0012136D" w:rsidRPr="002C38BF">
        <w:rPr>
          <w:rFonts w:cstheme="minorHAnsi"/>
          <w:bCs/>
        </w:rPr>
        <w:t>,</w:t>
      </w:r>
      <w:r w:rsidR="0012136D" w:rsidRPr="002C38BF">
        <w:rPr>
          <w:rFonts w:eastAsia="Calibri"/>
          <w:i/>
          <w:iCs/>
        </w:rPr>
        <w:t xml:space="preserve"> </w:t>
      </w:r>
      <w:r w:rsidR="0012136D" w:rsidRPr="002C38BF">
        <w:rPr>
          <w:rFonts w:eastAsia="Calibri"/>
        </w:rPr>
        <w:t>they may require unnecessary physical alteration</w:t>
      </w:r>
      <w:r w:rsidR="0012136D">
        <w:rPr>
          <w:rFonts w:eastAsia="Calibri"/>
        </w:rPr>
        <w:t>s</w:t>
      </w:r>
      <w:r w:rsidR="0012136D" w:rsidRPr="002C38BF">
        <w:rPr>
          <w:rFonts w:eastAsia="Calibri"/>
        </w:rPr>
        <w:t xml:space="preserve"> of one</w:t>
      </w:r>
      <w:r w:rsidR="00356B25">
        <w:rPr>
          <w:rFonts w:eastAsia="Calibri"/>
        </w:rPr>
        <w:t>’</w:t>
      </w:r>
      <w:r w:rsidR="0012136D" w:rsidRPr="002C38BF">
        <w:rPr>
          <w:rFonts w:eastAsia="Calibri"/>
        </w:rPr>
        <w:t>s body as a precondition to working as an athlete and continuous invasive monitoring as an ongoing condition of work</w:t>
      </w:r>
      <w:r w:rsidR="0012136D">
        <w:rPr>
          <w:rFonts w:eastAsia="Calibri"/>
        </w:rPr>
        <w:t>;</w:t>
      </w:r>
      <w:r w:rsidR="0012136D" w:rsidRPr="0012136D">
        <w:rPr>
          <w:rStyle w:val="FootnoteReference"/>
        </w:rPr>
        <w:footnoteReference w:id="67"/>
      </w:r>
    </w:p>
    <w:p w14:paraId="0A85FDB0" w14:textId="27C0219F" w:rsidR="0012136D" w:rsidRPr="002C38BF" w:rsidRDefault="00974A88" w:rsidP="00974A88">
      <w:pPr>
        <w:pStyle w:val="SingleTxtG"/>
        <w:rPr>
          <w:rFonts w:eastAsia="Calibri"/>
        </w:rPr>
      </w:pPr>
      <w:r>
        <w:rPr>
          <w:rFonts w:eastAsia="Calibri"/>
        </w:rPr>
        <w:tab/>
      </w:r>
      <w:r w:rsidR="0012136D" w:rsidRPr="002C38BF">
        <w:rPr>
          <w:rFonts w:eastAsia="Calibri"/>
        </w:rPr>
        <w:t>(c)</w:t>
      </w:r>
      <w:r w:rsidR="0012136D" w:rsidRPr="002C38BF">
        <w:rPr>
          <w:rFonts w:eastAsia="Calibri"/>
          <w:i/>
        </w:rPr>
        <w:tab/>
      </w:r>
      <w:r w:rsidR="0012136D" w:rsidRPr="007911D0">
        <w:rPr>
          <w:rFonts w:eastAsia="Calibri"/>
          <w:iCs/>
        </w:rPr>
        <w:t>The right to the highest attainable standard of physical and mental health</w:t>
      </w:r>
      <w:r w:rsidR="0012136D">
        <w:rPr>
          <w:rFonts w:eastAsia="Calibri"/>
          <w:iCs/>
        </w:rPr>
        <w:t>.</w:t>
      </w:r>
      <w:r w:rsidR="0012136D" w:rsidRPr="002C38BF">
        <w:rPr>
          <w:rFonts w:eastAsia="Calibri"/>
          <w:i/>
        </w:rPr>
        <w:t xml:space="preserve"> </w:t>
      </w:r>
      <w:r w:rsidR="0012136D" w:rsidRPr="002C38BF">
        <w:rPr>
          <w:rFonts w:eastAsia="Calibri"/>
        </w:rPr>
        <w:t xml:space="preserve">The enjoyment of this right may be put at risk when athletes are pressured </w:t>
      </w:r>
      <w:r w:rsidR="0012136D">
        <w:rPr>
          <w:rFonts w:eastAsia="Calibri"/>
        </w:rPr>
        <w:t>in</w:t>
      </w:r>
      <w:r w:rsidR="0012136D" w:rsidRPr="002C38BF">
        <w:rPr>
          <w:rFonts w:eastAsia="Calibri"/>
        </w:rPr>
        <w:t>to mak</w:t>
      </w:r>
      <w:r w:rsidR="0012136D">
        <w:rPr>
          <w:rFonts w:eastAsia="Calibri"/>
        </w:rPr>
        <w:t>ing</w:t>
      </w:r>
      <w:r w:rsidR="0012136D" w:rsidRPr="002C38BF">
        <w:rPr>
          <w:rFonts w:eastAsia="Calibri"/>
        </w:rPr>
        <w:t xml:space="preserve"> critical decisions based on concerns of sport eligibility rather than health and well</w:t>
      </w:r>
      <w:r w:rsidR="0012136D">
        <w:rPr>
          <w:rFonts w:eastAsia="Calibri"/>
        </w:rPr>
        <w:t>-</w:t>
      </w:r>
      <w:r w:rsidR="0012136D" w:rsidRPr="002C38BF">
        <w:rPr>
          <w:rFonts w:eastAsia="Calibri"/>
        </w:rPr>
        <w:t xml:space="preserve">being. Female eligibility regulations </w:t>
      </w:r>
      <w:r w:rsidR="0012136D">
        <w:rPr>
          <w:rFonts w:eastAsia="Calibri"/>
        </w:rPr>
        <w:t>may push some athletes to undergo</w:t>
      </w:r>
      <w:r w:rsidR="0012136D" w:rsidRPr="003312B8">
        <w:rPr>
          <w:rFonts w:eastAsia="Calibri"/>
        </w:rPr>
        <w:t xml:space="preserve"> </w:t>
      </w:r>
      <w:r w:rsidR="0012136D" w:rsidRPr="002C38BF">
        <w:rPr>
          <w:rFonts w:eastAsia="Calibri"/>
        </w:rPr>
        <w:t>investigation</w:t>
      </w:r>
      <w:r w:rsidR="0012136D">
        <w:rPr>
          <w:rFonts w:eastAsia="Calibri"/>
        </w:rPr>
        <w:t>s,</w:t>
      </w:r>
      <w:r w:rsidR="0012136D" w:rsidRPr="002C38BF">
        <w:rPr>
          <w:rFonts w:eastAsia="Calibri"/>
        </w:rPr>
        <w:t xml:space="preserve"> test</w:t>
      </w:r>
      <w:r w:rsidR="0012136D">
        <w:rPr>
          <w:rFonts w:eastAsia="Calibri"/>
        </w:rPr>
        <w:t xml:space="preserve">s and </w:t>
      </w:r>
      <w:r w:rsidR="0012136D" w:rsidRPr="002C38BF">
        <w:rPr>
          <w:rFonts w:eastAsia="Calibri"/>
        </w:rPr>
        <w:t>interventions</w:t>
      </w:r>
      <w:r w:rsidR="0012136D">
        <w:rPr>
          <w:rFonts w:eastAsia="Calibri"/>
        </w:rPr>
        <w:t>, for example</w:t>
      </w:r>
      <w:r w:rsidR="0012136D" w:rsidRPr="002C38BF">
        <w:rPr>
          <w:rFonts w:eastAsia="Calibri"/>
        </w:rPr>
        <w:t xml:space="preserve"> to lower testosterone</w:t>
      </w:r>
      <w:r w:rsidR="0012136D">
        <w:rPr>
          <w:rFonts w:eastAsia="Calibri"/>
        </w:rPr>
        <w:t xml:space="preserve"> levels, which may have negative physical and</w:t>
      </w:r>
      <w:r w:rsidR="0012136D" w:rsidRPr="002C38BF">
        <w:rPr>
          <w:rFonts w:eastAsia="Calibri"/>
        </w:rPr>
        <w:t xml:space="preserve"> mental health impacts. The </w:t>
      </w:r>
      <w:r w:rsidR="0012136D">
        <w:rPr>
          <w:rFonts w:eastAsia="Calibri"/>
        </w:rPr>
        <w:t xml:space="preserve">panel of the </w:t>
      </w:r>
      <w:r w:rsidR="0012136D" w:rsidRPr="002C38BF">
        <w:rPr>
          <w:rFonts w:eastAsia="Calibri"/>
        </w:rPr>
        <w:t xml:space="preserve">Court of Arbitration for Sport reviewing </w:t>
      </w:r>
      <w:r w:rsidR="0012136D">
        <w:rPr>
          <w:rFonts w:eastAsia="Calibri"/>
        </w:rPr>
        <w:t>Ms.</w:t>
      </w:r>
      <w:r w:rsidR="0012136D" w:rsidRPr="002C38BF">
        <w:rPr>
          <w:rFonts w:eastAsia="Calibri"/>
        </w:rPr>
        <w:t xml:space="preserve"> Semenya</w:t>
      </w:r>
      <w:r w:rsidR="00356B25">
        <w:rPr>
          <w:rFonts w:eastAsia="Calibri"/>
        </w:rPr>
        <w:t>’</w:t>
      </w:r>
      <w:r w:rsidR="0012136D" w:rsidRPr="002C38BF">
        <w:rPr>
          <w:rFonts w:eastAsia="Calibri"/>
        </w:rPr>
        <w:t>s case agreed that the requirement to undergo intimate examination</w:t>
      </w:r>
      <w:r w:rsidR="0012136D">
        <w:rPr>
          <w:rFonts w:eastAsia="Calibri"/>
        </w:rPr>
        <w:t>s</w:t>
      </w:r>
      <w:r w:rsidR="0012136D" w:rsidRPr="002C38BF">
        <w:rPr>
          <w:rFonts w:eastAsia="Calibri"/>
        </w:rPr>
        <w:t xml:space="preserve"> to determine the extent of </w:t>
      </w:r>
      <w:r w:rsidR="0012136D">
        <w:rPr>
          <w:rFonts w:eastAsia="Calibri"/>
        </w:rPr>
        <w:t xml:space="preserve">her </w:t>
      </w:r>
      <w:r w:rsidR="00356B25">
        <w:rPr>
          <w:rFonts w:eastAsia="Calibri"/>
        </w:rPr>
        <w:t>“</w:t>
      </w:r>
      <w:r w:rsidR="0012136D" w:rsidRPr="002C38BF">
        <w:rPr>
          <w:rFonts w:eastAsia="Calibri"/>
        </w:rPr>
        <w:t>virili</w:t>
      </w:r>
      <w:r w:rsidR="0012136D">
        <w:rPr>
          <w:rFonts w:eastAsia="Calibri"/>
        </w:rPr>
        <w:t>z</w:t>
      </w:r>
      <w:r w:rsidR="0012136D" w:rsidRPr="002C38BF">
        <w:rPr>
          <w:rFonts w:eastAsia="Calibri"/>
        </w:rPr>
        <w:t>ation</w:t>
      </w:r>
      <w:r w:rsidR="00356B25">
        <w:rPr>
          <w:rFonts w:eastAsia="Calibri"/>
        </w:rPr>
        <w:t>”</w:t>
      </w:r>
      <w:r w:rsidR="0012136D" w:rsidRPr="002C38BF">
        <w:rPr>
          <w:rFonts w:eastAsia="Calibri"/>
        </w:rPr>
        <w:t xml:space="preserve"> was </w:t>
      </w:r>
      <w:r w:rsidR="00356B25">
        <w:rPr>
          <w:rFonts w:eastAsia="Calibri"/>
        </w:rPr>
        <w:t>“</w:t>
      </w:r>
      <w:r w:rsidR="0012136D" w:rsidRPr="002C38BF">
        <w:rPr>
          <w:rFonts w:eastAsia="Calibri"/>
        </w:rPr>
        <w:t>highly intrusive and could result in psychological harm</w:t>
      </w:r>
      <w:r w:rsidR="00356B25">
        <w:rPr>
          <w:rFonts w:eastAsia="Calibri"/>
        </w:rPr>
        <w:t>”</w:t>
      </w:r>
      <w:r w:rsidR="0012136D">
        <w:rPr>
          <w:rFonts w:eastAsia="Calibri"/>
        </w:rPr>
        <w:t>.</w:t>
      </w:r>
      <w:r w:rsidR="0012136D" w:rsidRPr="0012136D">
        <w:rPr>
          <w:rStyle w:val="FootnoteReference"/>
        </w:rPr>
        <w:footnoteReference w:id="68"/>
      </w:r>
      <w:r w:rsidR="0012136D" w:rsidRPr="002C38BF">
        <w:rPr>
          <w:rFonts w:eastAsia="Calibri"/>
        </w:rPr>
        <w:t xml:space="preserve"> </w:t>
      </w:r>
      <w:r w:rsidR="0012136D" w:rsidRPr="00EA1656">
        <w:rPr>
          <w:rFonts w:eastAsia="Calibri"/>
        </w:rPr>
        <w:t xml:space="preserve">The </w:t>
      </w:r>
      <w:r w:rsidR="0012136D" w:rsidRPr="00EA1656">
        <w:rPr>
          <w:rFonts w:eastAsia="Calibri"/>
          <w:color w:val="000000"/>
        </w:rPr>
        <w:t xml:space="preserve">regulations also create the risk of unethical medical practice, particularly </w:t>
      </w:r>
      <w:r w:rsidR="0012136D">
        <w:rPr>
          <w:rFonts w:eastAsia="Calibri"/>
          <w:color w:val="000000"/>
        </w:rPr>
        <w:t xml:space="preserve">when the </w:t>
      </w:r>
      <w:r w:rsidR="0012136D" w:rsidRPr="00EA1656">
        <w:rPr>
          <w:rFonts w:eastAsia="Calibri"/>
          <w:color w:val="000000"/>
        </w:rPr>
        <w:t>informed consent</w:t>
      </w:r>
      <w:r w:rsidR="0012136D">
        <w:rPr>
          <w:rFonts w:eastAsia="Calibri"/>
          <w:color w:val="000000"/>
        </w:rPr>
        <w:t xml:space="preserve"> of the person concerned is not required,</w:t>
      </w:r>
      <w:r w:rsidR="0012136D" w:rsidRPr="00EA1656">
        <w:rPr>
          <w:rFonts w:eastAsia="Calibri"/>
          <w:color w:val="000000"/>
        </w:rPr>
        <w:t xml:space="preserve"> and violations of the general prohibition on medically unnecessary procedures.</w:t>
      </w:r>
      <w:r w:rsidR="0012136D" w:rsidRPr="0012136D">
        <w:rPr>
          <w:rStyle w:val="FootnoteReference"/>
        </w:rPr>
        <w:footnoteReference w:id="69"/>
      </w:r>
      <w:r w:rsidR="0012136D" w:rsidRPr="00EA1656">
        <w:rPr>
          <w:rFonts w:eastAsia="Calibri"/>
        </w:rPr>
        <w:t xml:space="preserve"> The </w:t>
      </w:r>
      <w:r w:rsidR="0012136D">
        <w:rPr>
          <w:rFonts w:eastAsia="Calibri"/>
        </w:rPr>
        <w:t xml:space="preserve">Special </w:t>
      </w:r>
      <w:r w:rsidR="0012136D" w:rsidRPr="00EA1656">
        <w:rPr>
          <w:rFonts w:eastAsia="Calibri"/>
        </w:rPr>
        <w:t xml:space="preserve">Rapporteur on the right </w:t>
      </w:r>
      <w:r w:rsidR="0012136D">
        <w:rPr>
          <w:rFonts w:eastAsia="Calibri"/>
        </w:rPr>
        <w:t xml:space="preserve">of everyone </w:t>
      </w:r>
      <w:r w:rsidR="0012136D" w:rsidRPr="00EA1656">
        <w:rPr>
          <w:rFonts w:eastAsia="Calibri"/>
        </w:rPr>
        <w:t>to</w:t>
      </w:r>
      <w:r w:rsidR="0012136D">
        <w:rPr>
          <w:rFonts w:eastAsia="Calibri"/>
        </w:rPr>
        <w:t xml:space="preserve"> the enjoyment of the highest attainable standard of physical and mental</w:t>
      </w:r>
      <w:r w:rsidR="0012136D" w:rsidRPr="00EA1656">
        <w:rPr>
          <w:rFonts w:eastAsia="Calibri"/>
        </w:rPr>
        <w:t xml:space="preserve"> health has stressed that informed consent to any medical</w:t>
      </w:r>
      <w:r w:rsidR="0012136D" w:rsidRPr="002C38BF">
        <w:rPr>
          <w:rFonts w:eastAsia="Calibri"/>
        </w:rPr>
        <w:t xml:space="preserve"> intervention goes beyond mere acceptance and must be voluntary and sufficiently informed in order to protect human dignity and autonomy. Particular care is required where there are power imbalances resulting from inequalities in knowledge, experience and trust between health-care provider</w:t>
      </w:r>
      <w:r w:rsidR="0012136D">
        <w:rPr>
          <w:rFonts w:eastAsia="Calibri"/>
        </w:rPr>
        <w:t>s</w:t>
      </w:r>
      <w:r w:rsidR="0012136D" w:rsidRPr="002C38BF">
        <w:rPr>
          <w:rFonts w:eastAsia="Calibri"/>
        </w:rPr>
        <w:t xml:space="preserve"> and individual</w:t>
      </w:r>
      <w:r w:rsidR="0012136D">
        <w:rPr>
          <w:rFonts w:eastAsia="Calibri"/>
        </w:rPr>
        <w:t>s</w:t>
      </w:r>
      <w:r w:rsidR="0012136D" w:rsidRPr="002C38BF">
        <w:rPr>
          <w:rFonts w:eastAsia="Calibri"/>
        </w:rPr>
        <w:t>, particularly those from vulnerable groups.</w:t>
      </w:r>
      <w:r w:rsidR="0012136D" w:rsidRPr="0012136D">
        <w:rPr>
          <w:rStyle w:val="FootnoteReference"/>
        </w:rPr>
        <w:footnoteReference w:id="70"/>
      </w:r>
      <w:r w:rsidR="0012136D" w:rsidRPr="002C38BF">
        <w:rPr>
          <w:rFonts w:eastAsia="Calibri"/>
        </w:rPr>
        <w:t xml:space="preserve"> In sport, such power imbalances are compounded by athletes</w:t>
      </w:r>
      <w:r w:rsidR="00356B25">
        <w:rPr>
          <w:rFonts w:eastAsia="Calibri"/>
        </w:rPr>
        <w:t>’</w:t>
      </w:r>
      <w:r w:rsidR="0012136D" w:rsidRPr="002C38BF">
        <w:rPr>
          <w:rFonts w:eastAsia="Calibri"/>
        </w:rPr>
        <w:t xml:space="preserve"> dependency on the sport</w:t>
      </w:r>
      <w:r w:rsidR="0012136D">
        <w:rPr>
          <w:rFonts w:eastAsia="Calibri"/>
        </w:rPr>
        <w:t>s</w:t>
      </w:r>
      <w:r w:rsidR="0012136D" w:rsidRPr="002C38BF">
        <w:rPr>
          <w:rFonts w:eastAsia="Calibri"/>
        </w:rPr>
        <w:t xml:space="preserve"> federations requiring such medical interventions and the frequent absence of adequate and holistic support during the decision-making process</w:t>
      </w:r>
      <w:r w:rsidR="0012136D">
        <w:rPr>
          <w:rFonts w:eastAsia="Calibri"/>
        </w:rPr>
        <w:t>;</w:t>
      </w:r>
    </w:p>
    <w:p w14:paraId="51620BD9" w14:textId="1FED523C" w:rsidR="0012136D" w:rsidRPr="002C38BF" w:rsidRDefault="00974A88" w:rsidP="00974A88">
      <w:pPr>
        <w:pStyle w:val="SingleTxtG"/>
        <w:rPr>
          <w:rFonts w:eastAsia="Calibri"/>
        </w:rPr>
      </w:pPr>
      <w:r>
        <w:rPr>
          <w:rFonts w:eastAsia="Calibri"/>
        </w:rPr>
        <w:tab/>
      </w:r>
      <w:r w:rsidR="0012136D" w:rsidRPr="002C38BF">
        <w:rPr>
          <w:rFonts w:eastAsia="Calibri"/>
        </w:rPr>
        <w:t>(d)</w:t>
      </w:r>
      <w:r w:rsidR="0012136D" w:rsidRPr="002C38BF">
        <w:rPr>
          <w:rFonts w:eastAsia="Calibri"/>
          <w:i/>
        </w:rPr>
        <w:tab/>
      </w:r>
      <w:r w:rsidR="0012136D" w:rsidRPr="007911D0">
        <w:rPr>
          <w:rFonts w:eastAsia="Calibri"/>
          <w:iCs/>
        </w:rPr>
        <w:t>The right to sexual and reproductive health</w:t>
      </w:r>
      <w:r w:rsidR="0012136D">
        <w:rPr>
          <w:rFonts w:eastAsia="Calibri"/>
          <w:iCs/>
        </w:rPr>
        <w:t>.</w:t>
      </w:r>
      <w:r w:rsidR="0012136D" w:rsidRPr="002C38BF">
        <w:rPr>
          <w:rFonts w:eastAsia="Calibri"/>
          <w:i/>
        </w:rPr>
        <w:t xml:space="preserve"> </w:t>
      </w:r>
      <w:r w:rsidR="0012136D" w:rsidRPr="002C38BF">
        <w:rPr>
          <w:rFonts w:eastAsia="Calibri"/>
        </w:rPr>
        <w:t>This right may be put</w:t>
      </w:r>
      <w:r w:rsidR="0012136D" w:rsidRPr="002C38BF">
        <w:rPr>
          <w:rFonts w:eastAsia="Calibri"/>
          <w:i/>
        </w:rPr>
        <w:t xml:space="preserve"> </w:t>
      </w:r>
      <w:r w:rsidR="0012136D" w:rsidRPr="002C38BF">
        <w:rPr>
          <w:rFonts w:eastAsia="Calibri"/>
        </w:rPr>
        <w:t>particularly at risk by unnecessary medical intervention</w:t>
      </w:r>
      <w:r w:rsidR="0012136D" w:rsidRPr="00356B25">
        <w:rPr>
          <w:rFonts w:eastAsia="Calibri"/>
          <w:iCs/>
        </w:rPr>
        <w:t>s</w:t>
      </w:r>
      <w:r w:rsidR="0012136D" w:rsidRPr="002C38BF">
        <w:rPr>
          <w:rFonts w:eastAsia="Calibri"/>
          <w:i/>
        </w:rPr>
        <w:t xml:space="preserve"> </w:t>
      </w:r>
      <w:r w:rsidR="0012136D" w:rsidRPr="002C38BF">
        <w:rPr>
          <w:rFonts w:eastAsia="Calibri"/>
        </w:rPr>
        <w:t>that affect hormones and reproductive anatomy and capacity</w:t>
      </w:r>
      <w:r w:rsidR="0012136D">
        <w:rPr>
          <w:rFonts w:eastAsia="Calibri"/>
        </w:rPr>
        <w:t>;</w:t>
      </w:r>
      <w:r w:rsidR="0012136D" w:rsidRPr="0012136D">
        <w:rPr>
          <w:rStyle w:val="FootnoteReference"/>
        </w:rPr>
        <w:footnoteReference w:id="71"/>
      </w:r>
    </w:p>
    <w:p w14:paraId="396D658A" w14:textId="160E0B1D" w:rsidR="0012136D" w:rsidRPr="002C38BF" w:rsidRDefault="00974A88" w:rsidP="00974A88">
      <w:pPr>
        <w:pStyle w:val="SingleTxtG"/>
        <w:rPr>
          <w:rFonts w:eastAsia="Calibri"/>
        </w:rPr>
      </w:pPr>
      <w:r>
        <w:rPr>
          <w:rFonts w:eastAsia="Calibri"/>
        </w:rPr>
        <w:tab/>
      </w:r>
      <w:r w:rsidR="0012136D" w:rsidRPr="002C38BF">
        <w:rPr>
          <w:rFonts w:eastAsia="Calibri"/>
        </w:rPr>
        <w:t>(e)</w:t>
      </w:r>
      <w:r w:rsidR="0012136D" w:rsidRPr="002C38BF">
        <w:rPr>
          <w:rFonts w:eastAsia="Calibri"/>
        </w:rPr>
        <w:tab/>
      </w:r>
      <w:r w:rsidR="0012136D" w:rsidRPr="007911D0">
        <w:rPr>
          <w:rFonts w:eastAsia="Calibri"/>
          <w:iCs/>
        </w:rPr>
        <w:t>The right of everyone to be free from arbitrary interference with their privacy</w:t>
      </w:r>
      <w:r w:rsidR="0012136D">
        <w:rPr>
          <w:rFonts w:eastAsia="Calibri"/>
          <w:iCs/>
        </w:rPr>
        <w:t>.</w:t>
      </w:r>
      <w:r w:rsidR="0012136D" w:rsidRPr="002C38BF">
        <w:rPr>
          <w:rFonts w:eastAsia="Calibri"/>
          <w:i/>
        </w:rPr>
        <w:t xml:space="preserve"> </w:t>
      </w:r>
      <w:r w:rsidR="0012136D">
        <w:rPr>
          <w:rFonts w:eastAsia="Calibri"/>
        </w:rPr>
        <w:t>T</w:t>
      </w:r>
      <w:r w:rsidR="0012136D" w:rsidRPr="002C38BF">
        <w:rPr>
          <w:rFonts w:eastAsia="Calibri"/>
        </w:rPr>
        <w:t>his right is at</w:t>
      </w:r>
      <w:r w:rsidR="0012136D" w:rsidRPr="002C38BF">
        <w:rPr>
          <w:rFonts w:eastAsia="Calibri"/>
          <w:i/>
        </w:rPr>
        <w:t xml:space="preserve"> </w:t>
      </w:r>
      <w:r w:rsidR="0012136D" w:rsidRPr="002C38BF">
        <w:rPr>
          <w:rFonts w:eastAsia="Calibri"/>
        </w:rPr>
        <w:t xml:space="preserve">risk of </w:t>
      </w:r>
      <w:r w:rsidR="0012136D">
        <w:rPr>
          <w:rFonts w:eastAsia="Calibri"/>
        </w:rPr>
        <w:t xml:space="preserve">being </w:t>
      </w:r>
      <w:r w:rsidR="0012136D" w:rsidRPr="002C38BF">
        <w:rPr>
          <w:rFonts w:eastAsia="Calibri"/>
        </w:rPr>
        <w:t>violat</w:t>
      </w:r>
      <w:r w:rsidR="0012136D">
        <w:rPr>
          <w:rFonts w:eastAsia="Calibri"/>
        </w:rPr>
        <w:t>ed</w:t>
      </w:r>
      <w:r w:rsidR="0012136D" w:rsidRPr="002C38BF">
        <w:rPr>
          <w:rFonts w:eastAsia="Calibri"/>
        </w:rPr>
        <w:t xml:space="preserve"> when women</w:t>
      </w:r>
      <w:r w:rsidR="00356B25">
        <w:rPr>
          <w:rFonts w:eastAsia="Calibri"/>
        </w:rPr>
        <w:t>’</w:t>
      </w:r>
      <w:r w:rsidR="0012136D" w:rsidRPr="002C38BF">
        <w:rPr>
          <w:rFonts w:eastAsia="Calibri"/>
        </w:rPr>
        <w:t xml:space="preserve">s names and personal details are made public and/or are shared in the media. History demonstrates that, because these regulations are applied in hundreds of countries, among many actors, it is impossible to guarantee privacy. The </w:t>
      </w:r>
      <w:r w:rsidR="0012136D">
        <w:rPr>
          <w:rFonts w:eastAsia="Calibri"/>
        </w:rPr>
        <w:t xml:space="preserve">panel of the </w:t>
      </w:r>
      <w:r w:rsidR="0012136D" w:rsidRPr="002C38BF">
        <w:rPr>
          <w:rFonts w:eastAsia="Calibri"/>
        </w:rPr>
        <w:t>Court of Arbitration for Spor</w:t>
      </w:r>
      <w:r w:rsidR="0012136D">
        <w:rPr>
          <w:rFonts w:eastAsia="Calibri"/>
        </w:rPr>
        <w:t>t</w:t>
      </w:r>
      <w:r w:rsidR="0012136D" w:rsidRPr="002C38BF">
        <w:rPr>
          <w:rFonts w:eastAsia="Calibri"/>
        </w:rPr>
        <w:t xml:space="preserve"> </w:t>
      </w:r>
      <w:r w:rsidR="0012136D">
        <w:rPr>
          <w:rFonts w:eastAsia="Calibri"/>
        </w:rPr>
        <w:t xml:space="preserve">has </w:t>
      </w:r>
      <w:r w:rsidR="0012136D" w:rsidRPr="002C38BF">
        <w:rPr>
          <w:rFonts w:eastAsia="Calibri"/>
        </w:rPr>
        <w:t xml:space="preserve">acknowledged that foreseeable circumstances (such as the absence of certain athletes in restricted events in international competitions for which they have qualified in national championships) </w:t>
      </w:r>
      <w:r w:rsidR="00356B25">
        <w:rPr>
          <w:rFonts w:eastAsia="Calibri"/>
        </w:rPr>
        <w:t>“</w:t>
      </w:r>
      <w:r w:rsidR="0012136D" w:rsidRPr="002C38BF">
        <w:rPr>
          <w:rFonts w:eastAsia="Calibri"/>
        </w:rPr>
        <w:t>would be likely to render confidentiality meaningless in some cases</w:t>
      </w:r>
      <w:r w:rsidR="00356B25">
        <w:rPr>
          <w:rFonts w:eastAsia="Calibri"/>
        </w:rPr>
        <w:t>”</w:t>
      </w:r>
      <w:r w:rsidR="0012136D">
        <w:rPr>
          <w:rFonts w:eastAsia="Calibri"/>
        </w:rPr>
        <w:t>;</w:t>
      </w:r>
      <w:r w:rsidR="0012136D" w:rsidRPr="0012136D">
        <w:rPr>
          <w:rStyle w:val="FootnoteReference"/>
        </w:rPr>
        <w:footnoteReference w:id="72"/>
      </w:r>
    </w:p>
    <w:p w14:paraId="34DD3394" w14:textId="5B886B22" w:rsidR="0012136D" w:rsidRPr="002C38BF" w:rsidRDefault="00974A88" w:rsidP="00974A88">
      <w:pPr>
        <w:pStyle w:val="SingleTxtG"/>
        <w:rPr>
          <w:rFonts w:eastAsia="Calibri"/>
        </w:rPr>
      </w:pPr>
      <w:r>
        <w:rPr>
          <w:rFonts w:eastAsia="Calibri"/>
          <w:bCs/>
          <w:iCs/>
        </w:rPr>
        <w:tab/>
      </w:r>
      <w:r w:rsidR="0012136D" w:rsidRPr="002C38BF">
        <w:rPr>
          <w:rFonts w:eastAsia="Calibri"/>
          <w:bCs/>
          <w:iCs/>
        </w:rPr>
        <w:t>(f)</w:t>
      </w:r>
      <w:r w:rsidR="0012136D" w:rsidRPr="002C38BF">
        <w:rPr>
          <w:rFonts w:eastAsia="Calibri"/>
          <w:bCs/>
          <w:iCs/>
        </w:rPr>
        <w:tab/>
      </w:r>
      <w:r w:rsidR="0012136D" w:rsidRPr="007911D0">
        <w:rPr>
          <w:rFonts w:eastAsia="Calibri"/>
          <w:bCs/>
        </w:rPr>
        <w:t>T</w:t>
      </w:r>
      <w:r w:rsidR="0012136D" w:rsidRPr="007911D0">
        <w:rPr>
          <w:rFonts w:eastAsia="Calibri"/>
        </w:rPr>
        <w:t>he right to respect for the dignity, bodily integrity and bodily autonomy of the person</w:t>
      </w:r>
      <w:r w:rsidR="0012136D">
        <w:rPr>
          <w:rFonts w:eastAsia="Calibri"/>
        </w:rPr>
        <w:t>.</w:t>
      </w:r>
      <w:r w:rsidR="0012136D" w:rsidRPr="00D3754C">
        <w:rPr>
          <w:rFonts w:eastAsia="Calibri"/>
        </w:rPr>
        <w:t xml:space="preserve"> </w:t>
      </w:r>
      <w:r w:rsidR="0012136D" w:rsidRPr="002C38BF">
        <w:rPr>
          <w:rFonts w:eastAsia="Calibri"/>
          <w:iCs/>
        </w:rPr>
        <w:t>This right</w:t>
      </w:r>
      <w:r w:rsidR="0012136D" w:rsidRPr="002C38BF">
        <w:rPr>
          <w:rFonts w:eastAsia="Calibri"/>
        </w:rPr>
        <w:t xml:space="preserve"> includes the ability to make fundamental decisions about one</w:t>
      </w:r>
      <w:r w:rsidR="00356B25">
        <w:rPr>
          <w:rFonts w:eastAsia="Calibri"/>
        </w:rPr>
        <w:t>’</w:t>
      </w:r>
      <w:r w:rsidR="0012136D" w:rsidRPr="002C38BF">
        <w:rPr>
          <w:rFonts w:eastAsia="Calibri"/>
        </w:rPr>
        <w:t>s life and health. Meaningful decision-making relies not just on formal legal capacity but on the material conditions, social support and freedom from harm or coercion</w:t>
      </w:r>
      <w:r w:rsidR="0012136D">
        <w:rPr>
          <w:rFonts w:eastAsia="Calibri"/>
        </w:rPr>
        <w:t>.</w:t>
      </w:r>
      <w:r w:rsidR="0012136D" w:rsidRPr="0012136D">
        <w:rPr>
          <w:rStyle w:val="FootnoteReference"/>
        </w:rPr>
        <w:footnoteReference w:id="73"/>
      </w:r>
      <w:r w:rsidR="0012136D" w:rsidRPr="002C38BF">
        <w:rPr>
          <w:rFonts w:eastAsia="Calibri"/>
        </w:rPr>
        <w:t xml:space="preserve"> Female eligibility regulations may therefore take away the ability of athletes to control their bodies and the trajectory of their sporting and post-sport</w:t>
      </w:r>
      <w:r w:rsidR="0012136D">
        <w:rPr>
          <w:rFonts w:eastAsia="Calibri"/>
        </w:rPr>
        <w:t>ing</w:t>
      </w:r>
      <w:r w:rsidR="0012136D" w:rsidRPr="002C38BF">
        <w:rPr>
          <w:rFonts w:eastAsia="Calibri"/>
        </w:rPr>
        <w:t xml:space="preserve"> life.</w:t>
      </w:r>
      <w:r w:rsidR="0012136D" w:rsidRPr="0012136D">
        <w:rPr>
          <w:rStyle w:val="FootnoteReference"/>
        </w:rPr>
        <w:footnoteReference w:id="74"/>
      </w:r>
    </w:p>
    <w:p w14:paraId="25108371" w14:textId="0543EF1B" w:rsidR="0012136D" w:rsidRPr="002C38BF" w:rsidRDefault="0012136D" w:rsidP="0012136D">
      <w:pPr>
        <w:pStyle w:val="SingleTxtG"/>
        <w:rPr>
          <w:rFonts w:eastAsia="Calibri"/>
        </w:rPr>
      </w:pPr>
      <w:r w:rsidRPr="002C38BF">
        <w:rPr>
          <w:rFonts w:eastAsia="Calibri"/>
        </w:rPr>
        <w:t>35.</w:t>
      </w:r>
      <w:r w:rsidRPr="002C38BF">
        <w:rPr>
          <w:rFonts w:eastAsia="Calibri"/>
        </w:rPr>
        <w:tab/>
        <w:t>States</w:t>
      </w:r>
      <w:r w:rsidR="00356B25">
        <w:rPr>
          <w:rFonts w:eastAsia="Calibri"/>
        </w:rPr>
        <w:t>’</w:t>
      </w:r>
      <w:r w:rsidRPr="002C38BF">
        <w:rPr>
          <w:rFonts w:eastAsia="Calibri"/>
        </w:rPr>
        <w:t xml:space="preserve"> human rights obligations include the application of the principle of due diligence enshrined </w:t>
      </w:r>
      <w:r>
        <w:rPr>
          <w:rFonts w:eastAsia="Calibri"/>
        </w:rPr>
        <w:t>in</w:t>
      </w:r>
      <w:r w:rsidRPr="002C38BF">
        <w:rPr>
          <w:rFonts w:eastAsia="Calibri"/>
        </w:rPr>
        <w:t xml:space="preserve"> multiple human rights treaties, pursuant to which they must prevent, investigate and redress human rights abuses committed by others.</w:t>
      </w:r>
      <w:r w:rsidRPr="0012136D">
        <w:rPr>
          <w:rStyle w:val="FootnoteReference"/>
        </w:rPr>
        <w:footnoteReference w:id="75"/>
      </w:r>
    </w:p>
    <w:p w14:paraId="058F5541" w14:textId="140BEBDD" w:rsidR="0012136D" w:rsidRPr="002C38BF" w:rsidRDefault="0012136D" w:rsidP="0012136D">
      <w:pPr>
        <w:pStyle w:val="SingleTxtG"/>
        <w:rPr>
          <w:rFonts w:eastAsia="Calibri"/>
          <w:bCs/>
        </w:rPr>
      </w:pPr>
      <w:r w:rsidRPr="002C38BF">
        <w:rPr>
          <w:rFonts w:eastAsia="Calibri"/>
        </w:rPr>
        <w:t>36.</w:t>
      </w:r>
      <w:r w:rsidRPr="002C38BF">
        <w:rPr>
          <w:rFonts w:eastAsia="Calibri"/>
        </w:rPr>
        <w:tab/>
        <w:t xml:space="preserve">The Guiding Principles on Business and Human Rights are a key framework for understanding the nature and scope of State obligations and non-State actor responsibilities with respect to human rights, including in sport. Endorsed by the Human Rights Council </w:t>
      </w:r>
      <w:r>
        <w:rPr>
          <w:rFonts w:eastAsia="Calibri"/>
        </w:rPr>
        <w:t xml:space="preserve">in its resolution 17/4, </w:t>
      </w:r>
      <w:r w:rsidRPr="002C38BF">
        <w:rPr>
          <w:rFonts w:eastAsia="Calibri"/>
        </w:rPr>
        <w:t xml:space="preserve">in 2011, the Guiding Principles </w:t>
      </w:r>
      <w:r>
        <w:rPr>
          <w:rFonts w:eastAsia="Calibri"/>
        </w:rPr>
        <w:t>aim to promote the implementation of</w:t>
      </w:r>
      <w:r w:rsidRPr="002C38BF">
        <w:rPr>
          <w:rFonts w:eastAsia="Calibri"/>
        </w:rPr>
        <w:t xml:space="preserve"> the </w:t>
      </w:r>
      <w:r>
        <w:rPr>
          <w:rFonts w:eastAsia="Calibri"/>
        </w:rPr>
        <w:t xml:space="preserve">United Nations </w:t>
      </w:r>
      <w:r w:rsidR="00356B25">
        <w:rPr>
          <w:rFonts w:eastAsia="Calibri"/>
        </w:rPr>
        <w:t>“</w:t>
      </w:r>
      <w:r w:rsidRPr="002C38BF">
        <w:rPr>
          <w:rFonts w:eastAsia="Calibri"/>
        </w:rPr>
        <w:t>Protect, Respect and Remedy</w:t>
      </w:r>
      <w:r w:rsidR="00356B25">
        <w:rPr>
          <w:rFonts w:eastAsia="Calibri"/>
        </w:rPr>
        <w:t>”</w:t>
      </w:r>
      <w:r w:rsidRPr="002C38BF">
        <w:rPr>
          <w:rFonts w:eastAsia="Calibri"/>
        </w:rPr>
        <w:t xml:space="preserve"> </w:t>
      </w:r>
      <w:r>
        <w:rPr>
          <w:rFonts w:eastAsia="Calibri"/>
        </w:rPr>
        <w:t>F</w:t>
      </w:r>
      <w:r w:rsidRPr="002C38BF">
        <w:rPr>
          <w:rFonts w:eastAsia="Calibri"/>
        </w:rPr>
        <w:t xml:space="preserve">ramework, according to which States have a duty to protect human rights (through policies, regulation, legislation and effective enforcement; </w:t>
      </w:r>
      <w:r>
        <w:rPr>
          <w:rFonts w:eastAsia="Calibri"/>
        </w:rPr>
        <w:t>e</w:t>
      </w:r>
      <w:r w:rsidRPr="002C38BF">
        <w:rPr>
          <w:rFonts w:eastAsia="Calibri"/>
        </w:rPr>
        <w:t>nterprises have a responsibility to respect human rights</w:t>
      </w:r>
      <w:r>
        <w:rPr>
          <w:rFonts w:eastAsia="Calibri"/>
        </w:rPr>
        <w:t>, which means that they should</w:t>
      </w:r>
      <w:r w:rsidRPr="002C38BF">
        <w:rPr>
          <w:rFonts w:eastAsia="Calibri"/>
        </w:rPr>
        <w:t xml:space="preserve"> take steps to avoid </w:t>
      </w:r>
      <w:r>
        <w:rPr>
          <w:rFonts w:eastAsia="Calibri"/>
        </w:rPr>
        <w:t>infringing on the</w:t>
      </w:r>
      <w:r w:rsidRPr="002C38BF">
        <w:rPr>
          <w:rFonts w:eastAsia="Calibri"/>
        </w:rPr>
        <w:t xml:space="preserve"> rights</w:t>
      </w:r>
      <w:r>
        <w:rPr>
          <w:rFonts w:eastAsia="Calibri"/>
        </w:rPr>
        <w:t xml:space="preserve"> of others</w:t>
      </w:r>
      <w:r w:rsidRPr="002C38BF">
        <w:rPr>
          <w:rFonts w:eastAsia="Calibri"/>
        </w:rPr>
        <w:t xml:space="preserve"> through their activities or business relationships; and</w:t>
      </w:r>
      <w:r>
        <w:rPr>
          <w:rFonts w:eastAsia="Calibri"/>
        </w:rPr>
        <w:t>, w</w:t>
      </w:r>
      <w:r w:rsidRPr="002C38BF">
        <w:rPr>
          <w:rFonts w:eastAsia="Calibri"/>
        </w:rPr>
        <w:t xml:space="preserve">here rights are harmed, both States and enterprises have a role to play in enabling access </w:t>
      </w:r>
      <w:r>
        <w:rPr>
          <w:rFonts w:eastAsia="Calibri"/>
        </w:rPr>
        <w:t xml:space="preserve">to </w:t>
      </w:r>
      <w:r w:rsidRPr="002C38BF">
        <w:rPr>
          <w:rFonts w:eastAsia="Calibri"/>
        </w:rPr>
        <w:t xml:space="preserve">and effective remedy through court systems or other appropriate non-judicial or administrative means. Fulfilling these responsibilities requires </w:t>
      </w:r>
      <w:r>
        <w:rPr>
          <w:rFonts w:eastAsia="Calibri"/>
        </w:rPr>
        <w:t xml:space="preserve">enterprises to take </w:t>
      </w:r>
      <w:r w:rsidRPr="002C38BF">
        <w:rPr>
          <w:rFonts w:eastAsia="Calibri"/>
        </w:rPr>
        <w:t>specific steps</w:t>
      </w:r>
      <w:r>
        <w:rPr>
          <w:rFonts w:eastAsia="Calibri"/>
        </w:rPr>
        <w:t xml:space="preserve"> to</w:t>
      </w:r>
      <w:r w:rsidRPr="002C38BF">
        <w:rPr>
          <w:rFonts w:eastAsia="Calibri"/>
        </w:rPr>
        <w:t xml:space="preserve"> publicly incorporat</w:t>
      </w:r>
      <w:r>
        <w:rPr>
          <w:rFonts w:eastAsia="Calibri"/>
        </w:rPr>
        <w:t>e</w:t>
      </w:r>
      <w:r w:rsidRPr="002C38BF">
        <w:rPr>
          <w:rFonts w:eastAsia="Calibri"/>
        </w:rPr>
        <w:t xml:space="preserve"> this commitment and put in place due diligence monitoring capacity (</w:t>
      </w:r>
      <w:r w:rsidR="00356B25">
        <w:rPr>
          <w:rFonts w:eastAsia="Calibri"/>
        </w:rPr>
        <w:t>“</w:t>
      </w:r>
      <w:r w:rsidRPr="002C38BF">
        <w:rPr>
          <w:rFonts w:eastAsia="Calibri"/>
        </w:rPr>
        <w:t>know and show</w:t>
      </w:r>
      <w:r w:rsidR="00356B25">
        <w:rPr>
          <w:rFonts w:eastAsia="Calibri"/>
        </w:rPr>
        <w:t>”</w:t>
      </w:r>
      <w:r w:rsidRPr="002C38BF">
        <w:rPr>
          <w:rFonts w:eastAsia="Calibri"/>
        </w:rPr>
        <w:t xml:space="preserve"> duties).</w:t>
      </w:r>
    </w:p>
    <w:p w14:paraId="66C651DD" w14:textId="068A751E" w:rsidR="0012136D" w:rsidRPr="002C38BF" w:rsidRDefault="0012136D" w:rsidP="0012136D">
      <w:pPr>
        <w:pStyle w:val="SingleTxtG"/>
        <w:rPr>
          <w:rFonts w:eastAsia="Calibri" w:cs="Calibri"/>
          <w:bCs/>
        </w:rPr>
      </w:pPr>
      <w:r w:rsidRPr="002C38BF">
        <w:rPr>
          <w:rFonts w:eastAsia="Calibri" w:cs="Calibri"/>
        </w:rPr>
        <w:t>37.</w:t>
      </w:r>
      <w:r w:rsidRPr="002C38BF">
        <w:rPr>
          <w:rFonts w:eastAsia="Calibri" w:cs="Calibri"/>
        </w:rPr>
        <w:tab/>
        <w:t>Some sporting bodies</w:t>
      </w:r>
      <w:r>
        <w:rPr>
          <w:rFonts w:eastAsia="Calibri" w:cs="Calibri"/>
        </w:rPr>
        <w:t>,</w:t>
      </w:r>
      <w:r w:rsidRPr="002C38BF">
        <w:rPr>
          <w:rFonts w:eastAsia="Calibri" w:cs="Calibri"/>
        </w:rPr>
        <w:t xml:space="preserve"> </w:t>
      </w:r>
      <w:r>
        <w:rPr>
          <w:rFonts w:eastAsia="Calibri" w:cs="Calibri"/>
        </w:rPr>
        <w:t>including</w:t>
      </w:r>
      <w:r w:rsidRPr="002C38BF">
        <w:rPr>
          <w:rFonts w:eastAsia="Calibri" w:cs="Calibri"/>
        </w:rPr>
        <w:t xml:space="preserve"> FIFA</w:t>
      </w:r>
      <w:r>
        <w:rPr>
          <w:rFonts w:eastAsia="Calibri" w:cs="Calibri"/>
        </w:rPr>
        <w:t>,</w:t>
      </w:r>
      <w:r w:rsidRPr="002C38BF">
        <w:rPr>
          <w:rFonts w:eastAsia="Calibri" w:cs="Calibri"/>
        </w:rPr>
        <w:t xml:space="preserve"> have begun </w:t>
      </w:r>
      <w:r w:rsidRPr="00DD697F">
        <w:rPr>
          <w:rFonts w:eastAsia="Calibri" w:cs="Calibri"/>
        </w:rPr>
        <w:t>to engage with</w:t>
      </w:r>
      <w:r w:rsidRPr="002C38BF">
        <w:rPr>
          <w:rFonts w:eastAsia="Calibri" w:cs="Calibri"/>
        </w:rPr>
        <w:t xml:space="preserve"> human rights norms.</w:t>
      </w:r>
      <w:r w:rsidRPr="002C38BF">
        <w:rPr>
          <w:rFonts w:cstheme="minorHAnsi"/>
        </w:rPr>
        <w:t xml:space="preserve"> Article 3 of the FIFA Statutes reflects </w:t>
      </w:r>
      <w:r>
        <w:rPr>
          <w:rFonts w:cstheme="minorHAnsi"/>
        </w:rPr>
        <w:t>the Federation</w:t>
      </w:r>
      <w:r w:rsidR="00356B25">
        <w:rPr>
          <w:rFonts w:cstheme="minorHAnsi"/>
        </w:rPr>
        <w:t>’</w:t>
      </w:r>
      <w:r>
        <w:rPr>
          <w:rFonts w:cstheme="minorHAnsi"/>
        </w:rPr>
        <w:t>s commitment to implementing the</w:t>
      </w:r>
      <w:r w:rsidRPr="002C38BF">
        <w:rPr>
          <w:rFonts w:cstheme="minorHAnsi"/>
        </w:rPr>
        <w:t xml:space="preserve"> </w:t>
      </w:r>
      <w:r>
        <w:rPr>
          <w:rFonts w:cstheme="minorHAnsi"/>
        </w:rPr>
        <w:t>G</w:t>
      </w:r>
      <w:r w:rsidRPr="002C38BF">
        <w:rPr>
          <w:rFonts w:eastAsia="Calibri"/>
        </w:rPr>
        <w:t xml:space="preserve">uiding </w:t>
      </w:r>
      <w:r>
        <w:rPr>
          <w:rFonts w:eastAsia="Calibri"/>
        </w:rPr>
        <w:t>P</w:t>
      </w:r>
      <w:r w:rsidRPr="002C38BF">
        <w:rPr>
          <w:rFonts w:eastAsia="Calibri"/>
        </w:rPr>
        <w:t xml:space="preserve">rinciples on </w:t>
      </w:r>
      <w:r>
        <w:rPr>
          <w:rFonts w:eastAsia="Calibri"/>
        </w:rPr>
        <w:t>B</w:t>
      </w:r>
      <w:r w:rsidRPr="002C38BF">
        <w:rPr>
          <w:rFonts w:eastAsia="Calibri"/>
        </w:rPr>
        <w:t xml:space="preserve">usiness and </w:t>
      </w:r>
      <w:r>
        <w:rPr>
          <w:rFonts w:eastAsia="Calibri"/>
        </w:rPr>
        <w:t>H</w:t>
      </w:r>
      <w:r w:rsidRPr="002C38BF">
        <w:rPr>
          <w:rFonts w:eastAsia="Calibri"/>
        </w:rPr>
        <w:t xml:space="preserve">uman </w:t>
      </w:r>
      <w:r>
        <w:rPr>
          <w:rFonts w:eastAsia="Calibri"/>
        </w:rPr>
        <w:t>R</w:t>
      </w:r>
      <w:r w:rsidRPr="002C38BF">
        <w:rPr>
          <w:rFonts w:eastAsia="Calibri"/>
        </w:rPr>
        <w:t>ights</w:t>
      </w:r>
      <w:r w:rsidRPr="002C38BF" w:rsidDel="00666059">
        <w:rPr>
          <w:rFonts w:cstheme="minorHAnsi"/>
        </w:rPr>
        <w:t xml:space="preserve"> </w:t>
      </w:r>
      <w:r w:rsidRPr="002C38BF">
        <w:rPr>
          <w:rFonts w:cstheme="minorHAnsi"/>
        </w:rPr>
        <w:t>and to respect</w:t>
      </w:r>
      <w:r>
        <w:rPr>
          <w:rFonts w:cstheme="minorHAnsi"/>
        </w:rPr>
        <w:t>ing</w:t>
      </w:r>
      <w:r w:rsidRPr="002C38BF">
        <w:rPr>
          <w:rFonts w:cstheme="minorHAnsi"/>
        </w:rPr>
        <w:t xml:space="preserve"> all internationally recogni</w:t>
      </w:r>
      <w:r>
        <w:rPr>
          <w:rFonts w:cstheme="minorHAnsi"/>
        </w:rPr>
        <w:t>z</w:t>
      </w:r>
      <w:r w:rsidRPr="002C38BF">
        <w:rPr>
          <w:rFonts w:cstheme="minorHAnsi"/>
        </w:rPr>
        <w:t>ed human rights.</w:t>
      </w:r>
      <w:r w:rsidRPr="002C38BF">
        <w:rPr>
          <w:rFonts w:eastAsia="Calibri"/>
        </w:rPr>
        <w:t xml:space="preserve"> Furthermore, </w:t>
      </w:r>
      <w:r>
        <w:rPr>
          <w:rFonts w:eastAsia="Calibri"/>
        </w:rPr>
        <w:t>in its Hu</w:t>
      </w:r>
      <w:r w:rsidRPr="002C38BF">
        <w:rPr>
          <w:rFonts w:eastAsia="Calibri"/>
        </w:rPr>
        <w:t>man Rights Policy</w:t>
      </w:r>
      <w:r>
        <w:rPr>
          <w:rFonts w:eastAsia="Calibri"/>
        </w:rPr>
        <w:t>, FIFA</w:t>
      </w:r>
      <w:r w:rsidRPr="002C38BF">
        <w:rPr>
          <w:rFonts w:eastAsia="Calibri"/>
        </w:rPr>
        <w:t xml:space="preserve"> states that it places particular emphasis on identifying and addressing differential impacts based on gender and on promoting gender equality and preventing all forms of harassment, including sexual harassment.</w:t>
      </w:r>
      <w:r w:rsidRPr="0012136D">
        <w:rPr>
          <w:rStyle w:val="FootnoteReference"/>
        </w:rPr>
        <w:footnoteReference w:id="76"/>
      </w:r>
      <w:r w:rsidRPr="002C38BF">
        <w:rPr>
          <w:rFonts w:eastAsia="Calibri"/>
        </w:rPr>
        <w:t xml:space="preserve"> </w:t>
      </w:r>
      <w:r w:rsidRPr="002C38BF">
        <w:rPr>
          <w:rFonts w:eastAsia="Calibri" w:cs="Calibri"/>
        </w:rPr>
        <w:t>Nevertheless, the evolution and application of other voluntary norms for sport</w:t>
      </w:r>
      <w:r>
        <w:rPr>
          <w:rFonts w:eastAsia="Calibri" w:cs="Calibri"/>
        </w:rPr>
        <w:t>s</w:t>
      </w:r>
      <w:r w:rsidRPr="002C38BF">
        <w:rPr>
          <w:rFonts w:eastAsia="Calibri" w:cs="Calibri"/>
        </w:rPr>
        <w:t xml:space="preserve"> to non-</w:t>
      </w:r>
      <w:r>
        <w:rPr>
          <w:rFonts w:eastAsia="Calibri" w:cs="Calibri"/>
        </w:rPr>
        <w:t>S</w:t>
      </w:r>
      <w:r w:rsidRPr="002C38BF">
        <w:rPr>
          <w:rFonts w:eastAsia="Calibri" w:cs="Calibri"/>
        </w:rPr>
        <w:t>tate actors is still a work in progress.</w:t>
      </w:r>
      <w:r w:rsidRPr="0012136D">
        <w:rPr>
          <w:rStyle w:val="FootnoteReference"/>
        </w:rPr>
        <w:footnoteReference w:id="77"/>
      </w:r>
      <w:r w:rsidRPr="002C38BF">
        <w:rPr>
          <w:rFonts w:eastAsia="Calibri" w:cs="Calibri"/>
        </w:rPr>
        <w:t xml:space="preserve"> While the </w:t>
      </w:r>
      <w:r>
        <w:rPr>
          <w:rFonts w:eastAsia="Calibri" w:cs="Calibri"/>
        </w:rPr>
        <w:t>United Nations</w:t>
      </w:r>
      <w:r w:rsidRPr="002C38BF">
        <w:rPr>
          <w:rFonts w:eastAsia="Calibri" w:cs="Calibri"/>
        </w:rPr>
        <w:t xml:space="preserve"> granted IOC observer status in 2009, recognizing the importance of </w:t>
      </w:r>
      <w:r>
        <w:rPr>
          <w:rFonts w:eastAsia="Calibri" w:cs="Calibri"/>
        </w:rPr>
        <w:t xml:space="preserve">the </w:t>
      </w:r>
      <w:r w:rsidRPr="002C38BF">
        <w:rPr>
          <w:rFonts w:eastAsia="Calibri" w:cs="Calibri"/>
        </w:rPr>
        <w:t>autonomy of sport</w:t>
      </w:r>
      <w:r>
        <w:rPr>
          <w:rFonts w:eastAsia="Calibri" w:cs="Calibri"/>
        </w:rPr>
        <w:t>s</w:t>
      </w:r>
      <w:r w:rsidRPr="002C38BF">
        <w:rPr>
          <w:rFonts w:eastAsia="Calibri" w:cs="Calibri"/>
        </w:rPr>
        <w:t xml:space="preserve"> and the role of IOC in leading the Olympic movement,</w:t>
      </w:r>
      <w:r w:rsidRPr="0012136D">
        <w:rPr>
          <w:rStyle w:val="FootnoteReference"/>
        </w:rPr>
        <w:footnoteReference w:id="78"/>
      </w:r>
      <w:r w:rsidRPr="002C38BF">
        <w:rPr>
          <w:rFonts w:eastAsia="Calibri" w:cs="Calibri"/>
        </w:rPr>
        <w:t xml:space="preserve"> the General Assembly has subsequently encouraged relevant entities </w:t>
      </w:r>
      <w:r>
        <w:rPr>
          <w:rFonts w:eastAsia="Calibri" w:cs="Calibri"/>
        </w:rPr>
        <w:t>delivering mega</w:t>
      </w:r>
      <w:r w:rsidRPr="002C38BF">
        <w:rPr>
          <w:rFonts w:eastAsia="Calibri" w:cs="Calibri"/>
        </w:rPr>
        <w:t xml:space="preserve"> sport</w:t>
      </w:r>
      <w:r>
        <w:rPr>
          <w:rFonts w:eastAsia="Calibri" w:cs="Calibri"/>
        </w:rPr>
        <w:t xml:space="preserve"> events</w:t>
      </w:r>
      <w:r w:rsidRPr="002C38BF">
        <w:rPr>
          <w:rFonts w:eastAsia="Calibri" w:cs="Calibri"/>
        </w:rPr>
        <w:t xml:space="preserve"> to respect applicable laws and international principles, </w:t>
      </w:r>
      <w:r>
        <w:rPr>
          <w:rFonts w:eastAsia="Calibri" w:cs="Calibri"/>
        </w:rPr>
        <w:t>including</w:t>
      </w:r>
      <w:r w:rsidRPr="002C38BF">
        <w:rPr>
          <w:rFonts w:eastAsia="Calibri" w:cs="Calibri"/>
        </w:rPr>
        <w:t xml:space="preserve"> the </w:t>
      </w:r>
      <w:r>
        <w:rPr>
          <w:rFonts w:eastAsia="Calibri" w:cs="Calibri"/>
        </w:rPr>
        <w:t>G</w:t>
      </w:r>
      <w:r w:rsidRPr="002C38BF">
        <w:rPr>
          <w:rFonts w:eastAsia="Calibri"/>
        </w:rPr>
        <w:t xml:space="preserve">uiding </w:t>
      </w:r>
      <w:r>
        <w:rPr>
          <w:rFonts w:eastAsia="Calibri"/>
        </w:rPr>
        <w:t>P</w:t>
      </w:r>
      <w:r w:rsidRPr="002C38BF">
        <w:rPr>
          <w:rFonts w:eastAsia="Calibri"/>
        </w:rPr>
        <w:t xml:space="preserve">rinciples on </w:t>
      </w:r>
      <w:r>
        <w:rPr>
          <w:rFonts w:eastAsia="Calibri"/>
        </w:rPr>
        <w:t>B</w:t>
      </w:r>
      <w:r w:rsidRPr="002C38BF">
        <w:rPr>
          <w:rFonts w:eastAsia="Calibri"/>
        </w:rPr>
        <w:t xml:space="preserve">usiness and </w:t>
      </w:r>
      <w:r>
        <w:rPr>
          <w:rFonts w:eastAsia="Calibri"/>
        </w:rPr>
        <w:t>H</w:t>
      </w:r>
      <w:r w:rsidRPr="002C38BF">
        <w:rPr>
          <w:rFonts w:eastAsia="Calibri"/>
        </w:rPr>
        <w:t xml:space="preserve">uman </w:t>
      </w:r>
      <w:r>
        <w:rPr>
          <w:rFonts w:eastAsia="Calibri"/>
        </w:rPr>
        <w:t>R</w:t>
      </w:r>
      <w:r w:rsidRPr="002C38BF">
        <w:rPr>
          <w:rFonts w:eastAsia="Calibri"/>
        </w:rPr>
        <w:t>ights</w:t>
      </w:r>
      <w:r w:rsidRPr="002C38BF">
        <w:rPr>
          <w:rFonts w:eastAsia="Calibri" w:cs="Calibri"/>
        </w:rPr>
        <w:t>.</w:t>
      </w:r>
      <w:r w:rsidRPr="0012136D">
        <w:rPr>
          <w:rStyle w:val="FootnoteReference"/>
        </w:rPr>
        <w:footnoteReference w:id="79"/>
      </w:r>
      <w:r w:rsidRPr="002C38BF">
        <w:rPr>
          <w:rFonts w:eastAsia="Calibri" w:cs="Calibri"/>
        </w:rPr>
        <w:t xml:space="preserve"> </w:t>
      </w:r>
      <w:r>
        <w:rPr>
          <w:rFonts w:eastAsia="Calibri" w:cs="Calibri"/>
        </w:rPr>
        <w:t>I</w:t>
      </w:r>
      <w:r w:rsidRPr="002C38BF">
        <w:rPr>
          <w:rFonts w:eastAsia="Calibri" w:cs="Calibri"/>
        </w:rPr>
        <w:t>n the Kazan Action Plan</w:t>
      </w:r>
      <w:r>
        <w:rPr>
          <w:rFonts w:eastAsia="Calibri" w:cs="Calibri"/>
        </w:rPr>
        <w:t>, adopted at the Sixth</w:t>
      </w:r>
      <w:r w:rsidRPr="002C38BF">
        <w:rPr>
          <w:rFonts w:eastAsia="Calibri" w:cs="Calibri"/>
        </w:rPr>
        <w:t xml:space="preserve"> International Conference of Ministers and Senior Officials Responsible for Physical Education and Sport, </w:t>
      </w:r>
      <w:r>
        <w:rPr>
          <w:rFonts w:eastAsia="Calibri" w:cs="Calibri"/>
        </w:rPr>
        <w:t>UNESCO too</w:t>
      </w:r>
      <w:r w:rsidRPr="002C38BF">
        <w:rPr>
          <w:rFonts w:eastAsia="Calibri" w:cs="Calibri"/>
        </w:rPr>
        <w:t xml:space="preserve"> </w:t>
      </w:r>
      <w:r w:rsidRPr="00DD697F">
        <w:rPr>
          <w:rFonts w:eastAsia="Calibri" w:cs="Calibri"/>
        </w:rPr>
        <w:t>stated</w:t>
      </w:r>
      <w:r w:rsidRPr="002C38BF">
        <w:rPr>
          <w:rFonts w:eastAsia="Calibri" w:cs="Calibri"/>
        </w:rPr>
        <w:t xml:space="preserve"> that the human rights of everyone involved in sport must be protected, respected and fulfilled in accordance with the </w:t>
      </w:r>
      <w:r>
        <w:rPr>
          <w:rFonts w:eastAsia="Calibri" w:cs="Calibri"/>
        </w:rPr>
        <w:t>G</w:t>
      </w:r>
      <w:r w:rsidRPr="002C38BF">
        <w:rPr>
          <w:rFonts w:eastAsia="Calibri"/>
        </w:rPr>
        <w:t xml:space="preserve">uiding </w:t>
      </w:r>
      <w:r>
        <w:rPr>
          <w:rFonts w:eastAsia="Calibri"/>
        </w:rPr>
        <w:t>P</w:t>
      </w:r>
      <w:r w:rsidRPr="002C38BF">
        <w:rPr>
          <w:rFonts w:eastAsia="Calibri"/>
        </w:rPr>
        <w:t>rinciples</w:t>
      </w:r>
      <w:r w:rsidRPr="002C38BF">
        <w:rPr>
          <w:rFonts w:eastAsia="Calibri" w:cs="Calibri"/>
        </w:rPr>
        <w:t>.</w:t>
      </w:r>
    </w:p>
    <w:p w14:paraId="613F6E6A" w14:textId="10AAF79C" w:rsidR="0012136D" w:rsidRPr="002C38BF" w:rsidRDefault="0012136D" w:rsidP="0012136D">
      <w:pPr>
        <w:pStyle w:val="SingleTxtG"/>
        <w:rPr>
          <w:rFonts w:ascii="Calibri" w:eastAsia="Calibri" w:hAnsi="Calibri" w:cs="Calibri"/>
          <w:sz w:val="22"/>
          <w:szCs w:val="22"/>
        </w:rPr>
      </w:pPr>
      <w:r w:rsidRPr="002C38BF">
        <w:rPr>
          <w:rFonts w:eastAsia="Calibri"/>
        </w:rPr>
        <w:t>38.</w:t>
      </w:r>
      <w:r w:rsidRPr="002C38BF">
        <w:rPr>
          <w:rFonts w:eastAsia="Calibri"/>
        </w:rPr>
        <w:tab/>
        <w:t xml:space="preserve">IOC and many other sport governing bodies are signatories to the Brighton </w:t>
      </w:r>
      <w:r>
        <w:rPr>
          <w:rFonts w:eastAsia="Calibri"/>
        </w:rPr>
        <w:t xml:space="preserve">plus Helsinki 2014 </w:t>
      </w:r>
      <w:r w:rsidRPr="002C38BF">
        <w:rPr>
          <w:rFonts w:eastAsia="Calibri"/>
        </w:rPr>
        <w:t xml:space="preserve">Declaration on Women and Sport, </w:t>
      </w:r>
      <w:r>
        <w:rPr>
          <w:rFonts w:eastAsia="Calibri"/>
        </w:rPr>
        <w:t xml:space="preserve">in </w:t>
      </w:r>
      <w:r w:rsidRPr="002C38BF">
        <w:rPr>
          <w:rFonts w:eastAsia="Calibri"/>
        </w:rPr>
        <w:t xml:space="preserve">which </w:t>
      </w:r>
      <w:r>
        <w:rPr>
          <w:rFonts w:eastAsia="Calibri"/>
        </w:rPr>
        <w:t xml:space="preserve">it is </w:t>
      </w:r>
      <w:r w:rsidRPr="002C38BF">
        <w:rPr>
          <w:rFonts w:eastAsia="Calibri"/>
        </w:rPr>
        <w:t>state</w:t>
      </w:r>
      <w:r>
        <w:rPr>
          <w:rFonts w:eastAsia="Calibri"/>
        </w:rPr>
        <w:t>d</w:t>
      </w:r>
      <w:r w:rsidRPr="002C38BF">
        <w:rPr>
          <w:rFonts w:eastAsia="Calibri"/>
        </w:rPr>
        <w:t xml:space="preserve"> that Governments and sport organi</w:t>
      </w:r>
      <w:r>
        <w:rPr>
          <w:rFonts w:eastAsia="Calibri"/>
        </w:rPr>
        <w:t>z</w:t>
      </w:r>
      <w:r w:rsidRPr="002C38BF">
        <w:rPr>
          <w:rFonts w:eastAsia="Calibri"/>
        </w:rPr>
        <w:t>ations should provide equal opportunities for women to reach their sports performance potential.</w:t>
      </w:r>
      <w:r w:rsidRPr="0012136D">
        <w:rPr>
          <w:rStyle w:val="FootnoteReference"/>
        </w:rPr>
        <w:footnoteReference w:id="80"/>
      </w:r>
      <w:r w:rsidRPr="002C38BF">
        <w:rPr>
          <w:rFonts w:eastAsia="Calibri"/>
        </w:rPr>
        <w:t xml:space="preserve"> </w:t>
      </w:r>
      <w:r>
        <w:rPr>
          <w:rFonts w:eastAsia="Calibri"/>
        </w:rPr>
        <w:t>Moreover, t</w:t>
      </w:r>
      <w:r w:rsidRPr="002C38BF">
        <w:rPr>
          <w:rFonts w:eastAsia="Calibri"/>
        </w:rPr>
        <w:t>hose supporting elite and/or professional athletes should ensure that competition opportunities, rewards, incentives, recognition, sponsorship, promotion and other forms of support are provided fairly and equitably for both women and men.</w:t>
      </w:r>
      <w:r w:rsidRPr="0012136D">
        <w:rPr>
          <w:rStyle w:val="FootnoteReference"/>
        </w:rPr>
        <w:footnoteReference w:id="81"/>
      </w:r>
      <w:r w:rsidRPr="002C38BF">
        <w:rPr>
          <w:rFonts w:eastAsia="Calibri"/>
        </w:rPr>
        <w:t xml:space="preserve"> There is global consensus that</w:t>
      </w:r>
      <w:r w:rsidR="00CE1F63">
        <w:rPr>
          <w:rFonts w:eastAsia="Calibri"/>
        </w:rPr>
        <w:t xml:space="preserve"> </w:t>
      </w:r>
      <w:r w:rsidRPr="002C38BF">
        <w:rPr>
          <w:rFonts w:eastAsia="Calibri"/>
        </w:rPr>
        <w:t>non-</w:t>
      </w:r>
      <w:r>
        <w:rPr>
          <w:rFonts w:eastAsia="Calibri"/>
        </w:rPr>
        <w:t>S</w:t>
      </w:r>
      <w:r w:rsidRPr="002C38BF">
        <w:rPr>
          <w:rFonts w:eastAsia="Calibri"/>
        </w:rPr>
        <w:t xml:space="preserve">tate actors </w:t>
      </w:r>
      <w:r>
        <w:rPr>
          <w:rFonts w:eastAsia="Calibri"/>
        </w:rPr>
        <w:t>must exercise due diligence</w:t>
      </w:r>
      <w:r w:rsidRPr="002C38BF">
        <w:rPr>
          <w:rFonts w:eastAsia="Calibri"/>
        </w:rPr>
        <w:t xml:space="preserve"> with respect to decisions about sport, along with explicit commitments to integrating human rights</w:t>
      </w:r>
      <w:r>
        <w:rPr>
          <w:rFonts w:eastAsia="Calibri"/>
        </w:rPr>
        <w:t>-</w:t>
      </w:r>
      <w:r w:rsidRPr="002C38BF">
        <w:rPr>
          <w:rFonts w:eastAsia="Calibri"/>
        </w:rPr>
        <w:t xml:space="preserve">based approaches into </w:t>
      </w:r>
      <w:r>
        <w:rPr>
          <w:rFonts w:eastAsia="Calibri"/>
        </w:rPr>
        <w:t xml:space="preserve">the operations of </w:t>
      </w:r>
      <w:r w:rsidRPr="002C38BF">
        <w:rPr>
          <w:rFonts w:eastAsia="Calibri"/>
        </w:rPr>
        <w:t>sport governing bodies.</w:t>
      </w:r>
      <w:r w:rsidRPr="0012136D">
        <w:rPr>
          <w:rStyle w:val="FootnoteReference"/>
        </w:rPr>
        <w:footnoteReference w:id="82"/>
      </w:r>
    </w:p>
    <w:p w14:paraId="597BBE42" w14:textId="77777777" w:rsidR="0012136D" w:rsidRPr="002C38BF" w:rsidRDefault="0012136D" w:rsidP="0012136D">
      <w:pPr>
        <w:pStyle w:val="HChG"/>
        <w:rPr>
          <w:rFonts w:eastAsia="Calibri"/>
        </w:rPr>
      </w:pPr>
      <w:r w:rsidRPr="002C38BF">
        <w:rPr>
          <w:rFonts w:eastAsia="Calibri"/>
        </w:rPr>
        <w:tab/>
      </w:r>
      <w:bookmarkStart w:id="7" w:name="_Toc42595815"/>
      <w:r w:rsidRPr="002C38BF">
        <w:rPr>
          <w:rFonts w:eastAsia="Calibri"/>
        </w:rPr>
        <w:t>V.</w:t>
      </w:r>
      <w:r w:rsidRPr="002C38BF">
        <w:rPr>
          <w:rFonts w:eastAsia="Calibri"/>
        </w:rPr>
        <w:tab/>
        <w:t xml:space="preserve">Gaps in the </w:t>
      </w:r>
      <w:r>
        <w:rPr>
          <w:rFonts w:eastAsia="Calibri"/>
        </w:rPr>
        <w:t>p</w:t>
      </w:r>
      <w:r w:rsidRPr="002C38BF">
        <w:rPr>
          <w:rFonts w:eastAsia="Calibri"/>
        </w:rPr>
        <w:t xml:space="preserve">rotection of </w:t>
      </w:r>
      <w:r>
        <w:rPr>
          <w:rFonts w:eastAsia="Calibri"/>
        </w:rPr>
        <w:t>h</w:t>
      </w:r>
      <w:r w:rsidRPr="002C38BF">
        <w:rPr>
          <w:rFonts w:eastAsia="Calibri"/>
        </w:rPr>
        <w:t xml:space="preserve">uman </w:t>
      </w:r>
      <w:r>
        <w:rPr>
          <w:rFonts w:eastAsia="Calibri"/>
        </w:rPr>
        <w:t>r</w:t>
      </w:r>
      <w:r w:rsidRPr="002C38BF">
        <w:rPr>
          <w:rFonts w:eastAsia="Calibri"/>
        </w:rPr>
        <w:t xml:space="preserve">ights in </w:t>
      </w:r>
      <w:r>
        <w:rPr>
          <w:rFonts w:eastAsia="Calibri"/>
        </w:rPr>
        <w:t>p</w:t>
      </w:r>
      <w:r w:rsidRPr="002C38BF">
        <w:rPr>
          <w:rFonts w:eastAsia="Calibri"/>
        </w:rPr>
        <w:t xml:space="preserve">rofessional </w:t>
      </w:r>
      <w:r>
        <w:rPr>
          <w:rFonts w:eastAsia="Calibri"/>
        </w:rPr>
        <w:t>s</w:t>
      </w:r>
      <w:r w:rsidRPr="002C38BF">
        <w:rPr>
          <w:rFonts w:eastAsia="Calibri"/>
        </w:rPr>
        <w:t xml:space="preserve">port: </w:t>
      </w:r>
      <w:r>
        <w:rPr>
          <w:rFonts w:eastAsia="Calibri"/>
        </w:rPr>
        <w:t>a</w:t>
      </w:r>
      <w:r w:rsidRPr="002C38BF">
        <w:rPr>
          <w:rFonts w:eastAsia="Calibri"/>
        </w:rPr>
        <w:t xml:space="preserve">ccountability and </w:t>
      </w:r>
      <w:r>
        <w:rPr>
          <w:rFonts w:eastAsia="Calibri"/>
        </w:rPr>
        <w:t>a</w:t>
      </w:r>
      <w:r w:rsidRPr="002C38BF">
        <w:rPr>
          <w:rFonts w:eastAsia="Calibri"/>
        </w:rPr>
        <w:t xml:space="preserve">ccess to </w:t>
      </w:r>
      <w:r>
        <w:rPr>
          <w:rFonts w:eastAsia="Calibri"/>
        </w:rPr>
        <w:t>j</w:t>
      </w:r>
      <w:r w:rsidRPr="002C38BF">
        <w:rPr>
          <w:rFonts w:eastAsia="Calibri"/>
        </w:rPr>
        <w:t>ustice</w:t>
      </w:r>
      <w:bookmarkEnd w:id="7"/>
    </w:p>
    <w:p w14:paraId="7B3EDD70" w14:textId="77777777" w:rsidR="0012136D" w:rsidRPr="002C38BF" w:rsidRDefault="0012136D" w:rsidP="0012136D">
      <w:pPr>
        <w:pStyle w:val="SingleTxtG"/>
        <w:rPr>
          <w:rFonts w:eastAsia="Calibri"/>
        </w:rPr>
      </w:pPr>
      <w:r w:rsidRPr="002C38BF">
        <w:rPr>
          <w:rFonts w:eastAsia="Calibri"/>
        </w:rPr>
        <w:t>39.</w:t>
      </w:r>
      <w:r w:rsidRPr="002C38BF">
        <w:rPr>
          <w:rFonts w:eastAsia="Calibri"/>
        </w:rPr>
        <w:tab/>
        <w:t xml:space="preserve">States are obliged to ensure not only </w:t>
      </w:r>
      <w:r>
        <w:rPr>
          <w:rFonts w:eastAsia="Calibri"/>
        </w:rPr>
        <w:t xml:space="preserve">the </w:t>
      </w:r>
      <w:r w:rsidRPr="002C38BF">
        <w:rPr>
          <w:rFonts w:eastAsia="Calibri"/>
        </w:rPr>
        <w:t>prevention</w:t>
      </w:r>
      <w:r>
        <w:rPr>
          <w:rFonts w:eastAsia="Calibri"/>
        </w:rPr>
        <w:t xml:space="preserve"> of</w:t>
      </w:r>
      <w:r w:rsidRPr="002C38BF">
        <w:rPr>
          <w:rFonts w:eastAsia="Calibri"/>
        </w:rPr>
        <w:t xml:space="preserve"> </w:t>
      </w:r>
      <w:r>
        <w:rPr>
          <w:rFonts w:eastAsia="Calibri"/>
        </w:rPr>
        <w:t xml:space="preserve">violations and the </w:t>
      </w:r>
      <w:r w:rsidRPr="002C38BF">
        <w:rPr>
          <w:rFonts w:eastAsia="Calibri"/>
        </w:rPr>
        <w:t>protection</w:t>
      </w:r>
      <w:r>
        <w:rPr>
          <w:rFonts w:eastAsia="Calibri"/>
        </w:rPr>
        <w:t xml:space="preserve"> </w:t>
      </w:r>
      <w:r w:rsidRPr="002C38BF">
        <w:rPr>
          <w:rFonts w:eastAsia="Calibri"/>
        </w:rPr>
        <w:t xml:space="preserve">and promotion of human rights, but also access to appropriate and effective remedies when </w:t>
      </w:r>
      <w:r>
        <w:rPr>
          <w:rFonts w:eastAsia="Calibri"/>
        </w:rPr>
        <w:t>rights have been</w:t>
      </w:r>
      <w:r w:rsidRPr="002C38BF">
        <w:rPr>
          <w:rFonts w:eastAsia="Calibri"/>
        </w:rPr>
        <w:t xml:space="preserve"> breached. There is currently no global consensus </w:t>
      </w:r>
      <w:r>
        <w:rPr>
          <w:rFonts w:eastAsia="Calibri"/>
        </w:rPr>
        <w:t>on</w:t>
      </w:r>
      <w:r w:rsidRPr="002C38BF">
        <w:rPr>
          <w:rFonts w:eastAsia="Calibri"/>
        </w:rPr>
        <w:t xml:space="preserve"> a consistent and comprehensive approach to the remediation of human rights abuses in sport, </w:t>
      </w:r>
      <w:r>
        <w:rPr>
          <w:rFonts w:eastAsia="Calibri"/>
        </w:rPr>
        <w:t xml:space="preserve">neither in general nor in terms of </w:t>
      </w:r>
      <w:r w:rsidRPr="002C38BF">
        <w:rPr>
          <w:rFonts w:eastAsia="Calibri"/>
        </w:rPr>
        <w:t xml:space="preserve">the equal rights of women and girl athletes specifically. </w:t>
      </w:r>
      <w:r>
        <w:rPr>
          <w:rFonts w:eastAsia="Calibri"/>
        </w:rPr>
        <w:t xml:space="preserve">Many </w:t>
      </w:r>
      <w:r>
        <w:rPr>
          <w:rFonts w:cstheme="minorHAnsi"/>
        </w:rPr>
        <w:t>a</w:t>
      </w:r>
      <w:r w:rsidRPr="002C38BF">
        <w:rPr>
          <w:rFonts w:cstheme="minorHAnsi"/>
        </w:rPr>
        <w:t xml:space="preserve">thletes face obstacles </w:t>
      </w:r>
      <w:r>
        <w:rPr>
          <w:rFonts w:cstheme="minorHAnsi"/>
        </w:rPr>
        <w:t>in</w:t>
      </w:r>
      <w:r w:rsidRPr="002C38BF">
        <w:rPr>
          <w:rFonts w:cstheme="minorHAnsi"/>
        </w:rPr>
        <w:t xml:space="preserve"> access</w:t>
      </w:r>
      <w:r>
        <w:rPr>
          <w:rFonts w:cstheme="minorHAnsi"/>
        </w:rPr>
        <w:t>ing</w:t>
      </w:r>
      <w:r w:rsidRPr="002C38BF">
        <w:rPr>
          <w:rFonts w:cstheme="minorHAnsi"/>
        </w:rPr>
        <w:t xml:space="preserve"> effective remedies and </w:t>
      </w:r>
      <w:r>
        <w:rPr>
          <w:rFonts w:cstheme="minorHAnsi"/>
        </w:rPr>
        <w:t>obtaining</w:t>
      </w:r>
      <w:r w:rsidRPr="002C38BF">
        <w:rPr>
          <w:rFonts w:cstheme="minorHAnsi"/>
        </w:rPr>
        <w:t xml:space="preserve"> full redress </w:t>
      </w:r>
      <w:r>
        <w:rPr>
          <w:rFonts w:cstheme="minorHAnsi"/>
        </w:rPr>
        <w:t>for</w:t>
      </w:r>
      <w:r w:rsidRPr="002C38BF">
        <w:rPr>
          <w:rFonts w:cstheme="minorHAnsi"/>
        </w:rPr>
        <w:t xml:space="preserve"> violation</w:t>
      </w:r>
      <w:r>
        <w:rPr>
          <w:rFonts w:cstheme="minorHAnsi"/>
        </w:rPr>
        <w:t>s</w:t>
      </w:r>
      <w:r w:rsidRPr="002C38BF">
        <w:rPr>
          <w:rFonts w:cstheme="minorHAnsi"/>
        </w:rPr>
        <w:t xml:space="preserve"> of their human rights in sport, since most disputes related to professional sport are </w:t>
      </w:r>
      <w:r>
        <w:rPr>
          <w:rFonts w:cstheme="minorHAnsi"/>
        </w:rPr>
        <w:t>adjudicated by</w:t>
      </w:r>
      <w:r w:rsidRPr="002C38BF">
        <w:rPr>
          <w:rFonts w:cstheme="minorHAnsi"/>
        </w:rPr>
        <w:t xml:space="preserve"> private dispute resolution</w:t>
      </w:r>
      <w:r>
        <w:rPr>
          <w:rFonts w:cstheme="minorHAnsi"/>
        </w:rPr>
        <w:t xml:space="preserve"> mechanisms</w:t>
      </w:r>
      <w:r w:rsidRPr="002C38BF">
        <w:rPr>
          <w:rFonts w:cstheme="minorHAnsi"/>
        </w:rPr>
        <w:t xml:space="preserve"> that </w:t>
      </w:r>
      <w:r>
        <w:rPr>
          <w:rFonts w:cstheme="minorHAnsi"/>
        </w:rPr>
        <w:t>are</w:t>
      </w:r>
      <w:r w:rsidRPr="002C38BF">
        <w:rPr>
          <w:rFonts w:cstheme="minorHAnsi"/>
        </w:rPr>
        <w:t xml:space="preserve"> not designed to fully address human rights complaints.</w:t>
      </w:r>
    </w:p>
    <w:p w14:paraId="35C20E5E" w14:textId="4EBD68A0" w:rsidR="0012136D" w:rsidRPr="002C38BF" w:rsidRDefault="0012136D" w:rsidP="0012136D">
      <w:pPr>
        <w:pStyle w:val="SingleTxtG"/>
        <w:rPr>
          <w:rFonts w:eastAsia="Calibri"/>
        </w:rPr>
      </w:pPr>
      <w:r w:rsidRPr="002C38BF">
        <w:rPr>
          <w:rFonts w:eastAsia="Calibri"/>
        </w:rPr>
        <w:t>40.</w:t>
      </w:r>
      <w:r w:rsidRPr="002C38BF">
        <w:rPr>
          <w:rFonts w:eastAsia="Calibri"/>
        </w:rPr>
        <w:tab/>
        <w:t>The globalization of sport has shifted regulatory control increasingly toward</w:t>
      </w:r>
      <w:r>
        <w:rPr>
          <w:rFonts w:eastAsia="Calibri"/>
        </w:rPr>
        <w:t>s</w:t>
      </w:r>
      <w:r w:rsidRPr="002C38BF">
        <w:rPr>
          <w:rFonts w:eastAsia="Calibri"/>
        </w:rPr>
        <w:t xml:space="preserve"> private, non-profit and transnational sport governing bodies.</w:t>
      </w:r>
      <w:r w:rsidRPr="0012136D">
        <w:rPr>
          <w:rStyle w:val="FootnoteReference"/>
        </w:rPr>
        <w:footnoteReference w:id="83"/>
      </w:r>
      <w:r w:rsidRPr="002C38BF">
        <w:rPr>
          <w:rFonts w:eastAsia="Calibri"/>
        </w:rPr>
        <w:t xml:space="preserve"> Through a series of contractual relationships, the rules and regulations developed by these bodies are implemented worldwide. For instance, pursuant to the Olympic Charter, IOC exercises </w:t>
      </w:r>
      <w:r w:rsidR="00356B25">
        <w:rPr>
          <w:rFonts w:eastAsia="Calibri"/>
        </w:rPr>
        <w:t>“</w:t>
      </w:r>
      <w:r w:rsidRPr="002C38BF">
        <w:rPr>
          <w:rFonts w:eastAsia="Calibri"/>
        </w:rPr>
        <w:t>supreme authority</w:t>
      </w:r>
      <w:r w:rsidR="00356B25">
        <w:rPr>
          <w:rFonts w:eastAsia="Calibri"/>
        </w:rPr>
        <w:t>”</w:t>
      </w:r>
      <w:r w:rsidRPr="002C38BF">
        <w:rPr>
          <w:rFonts w:eastAsia="Calibri"/>
        </w:rPr>
        <w:t xml:space="preserve"> over </w:t>
      </w:r>
      <w:r>
        <w:rPr>
          <w:rFonts w:eastAsia="Calibri"/>
        </w:rPr>
        <w:t>i</w:t>
      </w:r>
      <w:r w:rsidRPr="002C38BF">
        <w:rPr>
          <w:rFonts w:eastAsia="Calibri"/>
        </w:rPr>
        <w:t xml:space="preserve">nternational </w:t>
      </w:r>
      <w:r>
        <w:rPr>
          <w:rFonts w:eastAsia="Calibri"/>
        </w:rPr>
        <w:t>f</w:t>
      </w:r>
      <w:r w:rsidRPr="002C38BF">
        <w:rPr>
          <w:rFonts w:eastAsia="Calibri"/>
        </w:rPr>
        <w:t xml:space="preserve">ederations, </w:t>
      </w:r>
      <w:r w:rsidRPr="00D40882">
        <w:rPr>
          <w:rFonts w:eastAsia="Calibri"/>
        </w:rPr>
        <w:t>national Olympic</w:t>
      </w:r>
      <w:r w:rsidRPr="002C38BF">
        <w:rPr>
          <w:rFonts w:eastAsia="Calibri"/>
        </w:rPr>
        <w:t xml:space="preserve"> </w:t>
      </w:r>
      <w:r>
        <w:rPr>
          <w:rFonts w:eastAsia="Calibri"/>
        </w:rPr>
        <w:t>c</w:t>
      </w:r>
      <w:r w:rsidRPr="002C38BF">
        <w:rPr>
          <w:rFonts w:eastAsia="Calibri"/>
        </w:rPr>
        <w:t xml:space="preserve">ommittees and </w:t>
      </w:r>
      <w:r>
        <w:rPr>
          <w:rFonts w:eastAsia="Calibri"/>
        </w:rPr>
        <w:t>o</w:t>
      </w:r>
      <w:r w:rsidRPr="002C38BF">
        <w:rPr>
          <w:rFonts w:eastAsia="Calibri"/>
        </w:rPr>
        <w:t>rgani</w:t>
      </w:r>
      <w:r>
        <w:rPr>
          <w:rFonts w:eastAsia="Calibri"/>
        </w:rPr>
        <w:t>z</w:t>
      </w:r>
      <w:r w:rsidRPr="002C38BF">
        <w:rPr>
          <w:rFonts w:eastAsia="Calibri"/>
        </w:rPr>
        <w:t xml:space="preserve">ing </w:t>
      </w:r>
      <w:r>
        <w:rPr>
          <w:rFonts w:eastAsia="Calibri"/>
        </w:rPr>
        <w:t>c</w:t>
      </w:r>
      <w:r w:rsidRPr="002C38BF">
        <w:rPr>
          <w:rFonts w:eastAsia="Calibri"/>
        </w:rPr>
        <w:t xml:space="preserve">ommittees of the Olympic Games. Likewise, the statute of each </w:t>
      </w:r>
      <w:r>
        <w:rPr>
          <w:rFonts w:eastAsia="Calibri"/>
        </w:rPr>
        <w:t>i</w:t>
      </w:r>
      <w:r w:rsidRPr="002C38BF">
        <w:rPr>
          <w:rFonts w:eastAsia="Calibri"/>
        </w:rPr>
        <w:t xml:space="preserve">nternational </w:t>
      </w:r>
      <w:r>
        <w:rPr>
          <w:rFonts w:eastAsia="Calibri"/>
        </w:rPr>
        <w:t>f</w:t>
      </w:r>
      <w:r w:rsidRPr="002C38BF">
        <w:rPr>
          <w:rFonts w:eastAsia="Calibri"/>
        </w:rPr>
        <w:t>ederation</w:t>
      </w:r>
      <w:r>
        <w:rPr>
          <w:rFonts w:eastAsia="Calibri"/>
        </w:rPr>
        <w:t xml:space="preserve"> </w:t>
      </w:r>
      <w:r w:rsidRPr="002C38BF">
        <w:rPr>
          <w:rFonts w:eastAsia="Calibri"/>
        </w:rPr>
        <w:t>make</w:t>
      </w:r>
      <w:r>
        <w:rPr>
          <w:rFonts w:eastAsia="Calibri"/>
        </w:rPr>
        <w:t>s</w:t>
      </w:r>
      <w:r w:rsidRPr="002C38BF">
        <w:rPr>
          <w:rFonts w:eastAsia="Calibri"/>
        </w:rPr>
        <w:t xml:space="preserve"> the rules and regulations binding on </w:t>
      </w:r>
      <w:r>
        <w:rPr>
          <w:rFonts w:eastAsia="Calibri"/>
        </w:rPr>
        <w:t>n</w:t>
      </w:r>
      <w:r w:rsidRPr="002C38BF">
        <w:rPr>
          <w:rFonts w:eastAsia="Calibri"/>
        </w:rPr>
        <w:t xml:space="preserve">ational </w:t>
      </w:r>
      <w:r>
        <w:rPr>
          <w:rFonts w:eastAsia="Calibri"/>
        </w:rPr>
        <w:t>f</w:t>
      </w:r>
      <w:r w:rsidRPr="002C38BF">
        <w:rPr>
          <w:rFonts w:eastAsia="Calibri"/>
        </w:rPr>
        <w:t xml:space="preserve">ederations. Failure by a </w:t>
      </w:r>
      <w:r>
        <w:rPr>
          <w:rFonts w:eastAsia="Calibri"/>
        </w:rPr>
        <w:t>national federation</w:t>
      </w:r>
      <w:r w:rsidRPr="002C38BF">
        <w:rPr>
          <w:rFonts w:eastAsia="Calibri"/>
        </w:rPr>
        <w:t xml:space="preserve"> or a </w:t>
      </w:r>
      <w:r>
        <w:rPr>
          <w:rFonts w:eastAsia="Calibri"/>
        </w:rPr>
        <w:t>national Olympic committee</w:t>
      </w:r>
      <w:r w:rsidRPr="002C38BF">
        <w:rPr>
          <w:rFonts w:eastAsia="Calibri"/>
        </w:rPr>
        <w:t xml:space="preserve"> to comply with and </w:t>
      </w:r>
      <w:r>
        <w:rPr>
          <w:rFonts w:eastAsia="Calibri"/>
        </w:rPr>
        <w:t xml:space="preserve">enforce </w:t>
      </w:r>
      <w:r w:rsidRPr="002C38BF">
        <w:rPr>
          <w:rFonts w:eastAsia="Calibri"/>
        </w:rPr>
        <w:t xml:space="preserve">domestically the rules of the relevant </w:t>
      </w:r>
      <w:r>
        <w:rPr>
          <w:rFonts w:eastAsia="Calibri"/>
        </w:rPr>
        <w:t>international federation</w:t>
      </w:r>
      <w:r w:rsidRPr="002C38BF">
        <w:rPr>
          <w:rFonts w:eastAsia="Calibri"/>
        </w:rPr>
        <w:t xml:space="preserve"> or IOC jeopardizes its participation in international competition</w:t>
      </w:r>
      <w:r>
        <w:rPr>
          <w:rFonts w:eastAsia="Calibri"/>
        </w:rPr>
        <w:t>s</w:t>
      </w:r>
      <w:r w:rsidRPr="002C38BF">
        <w:rPr>
          <w:rFonts w:eastAsia="Calibri"/>
        </w:rPr>
        <w:t>.</w:t>
      </w:r>
    </w:p>
    <w:p w14:paraId="70AE0F93" w14:textId="741267F0" w:rsidR="0012136D" w:rsidRPr="002C38BF" w:rsidRDefault="0012136D" w:rsidP="0012136D">
      <w:pPr>
        <w:pStyle w:val="SingleTxtG"/>
        <w:rPr>
          <w:rFonts w:eastAsia="Calibri"/>
        </w:rPr>
      </w:pPr>
      <w:r w:rsidRPr="002C38BF">
        <w:rPr>
          <w:rFonts w:eastAsia="Calibri"/>
        </w:rPr>
        <w:t>41.</w:t>
      </w:r>
      <w:r w:rsidRPr="002C38BF">
        <w:rPr>
          <w:rFonts w:eastAsia="Calibri"/>
        </w:rPr>
        <w:tab/>
        <w:t>Given the</w:t>
      </w:r>
      <w:r>
        <w:rPr>
          <w:rFonts w:eastAsia="Calibri"/>
        </w:rPr>
        <w:t>ir</w:t>
      </w:r>
      <w:r w:rsidRPr="002C38BF">
        <w:rPr>
          <w:rFonts w:eastAsia="Calibri"/>
        </w:rPr>
        <w:t xml:space="preserve"> interest in having their athletes compete on the international stage, </w:t>
      </w:r>
      <w:r>
        <w:rPr>
          <w:rFonts w:eastAsia="Calibri"/>
        </w:rPr>
        <w:t>States</w:t>
      </w:r>
      <w:r w:rsidRPr="002C38BF">
        <w:rPr>
          <w:rFonts w:eastAsia="Calibri"/>
        </w:rPr>
        <w:t xml:space="preserve"> largely acquiesce to the regulatory </w:t>
      </w:r>
      <w:r w:rsidR="00356B25">
        <w:rPr>
          <w:rFonts w:eastAsia="Calibri"/>
        </w:rPr>
        <w:t>“</w:t>
      </w:r>
      <w:r w:rsidRPr="002C38BF">
        <w:rPr>
          <w:rFonts w:eastAsia="Calibri"/>
        </w:rPr>
        <w:t>autonomy of sport</w:t>
      </w:r>
      <w:r w:rsidR="00356B25">
        <w:rPr>
          <w:rFonts w:eastAsia="Calibri"/>
        </w:rPr>
        <w:t>”</w:t>
      </w:r>
      <w:r w:rsidRPr="002C38BF">
        <w:rPr>
          <w:rFonts w:eastAsia="Calibri"/>
        </w:rPr>
        <w:t>,</w:t>
      </w:r>
      <w:r w:rsidRPr="0012136D">
        <w:rPr>
          <w:rStyle w:val="FootnoteReference"/>
        </w:rPr>
        <w:footnoteReference w:id="84"/>
      </w:r>
      <w:r w:rsidRPr="002C38BF">
        <w:rPr>
          <w:rFonts w:eastAsia="Calibri"/>
        </w:rPr>
        <w:t xml:space="preserve"> which has been acquired after decades of uninterrupted and consistent operation as the leaders of world sport.</w:t>
      </w:r>
      <w:r w:rsidRPr="0012136D">
        <w:rPr>
          <w:rStyle w:val="FootnoteReference"/>
        </w:rPr>
        <w:footnoteReference w:id="85"/>
      </w:r>
      <w:r w:rsidRPr="002C38BF">
        <w:rPr>
          <w:rFonts w:eastAsia="Calibri"/>
        </w:rPr>
        <w:t xml:space="preserve"> In some States, such acquiescence is evidenced by the absence of legislation governing </w:t>
      </w:r>
      <w:r>
        <w:rPr>
          <w:rFonts w:eastAsia="Calibri"/>
        </w:rPr>
        <w:t>national federation</w:t>
      </w:r>
      <w:r w:rsidRPr="002C38BF">
        <w:rPr>
          <w:rFonts w:eastAsia="Calibri"/>
        </w:rPr>
        <w:t xml:space="preserve">s, while in others it is evidenced by the adoption of legislation that explicitly recognizes the authority of international sport governing bodies to govern </w:t>
      </w:r>
      <w:r>
        <w:rPr>
          <w:rFonts w:eastAsia="Calibri"/>
        </w:rPr>
        <w:t>national federations</w:t>
      </w:r>
      <w:r w:rsidRPr="002C38BF">
        <w:rPr>
          <w:rFonts w:eastAsia="Calibri"/>
        </w:rPr>
        <w:t xml:space="preserve"> and </w:t>
      </w:r>
      <w:r>
        <w:rPr>
          <w:rFonts w:eastAsia="Calibri"/>
        </w:rPr>
        <w:t>national Olympic committees</w:t>
      </w:r>
      <w:r w:rsidRPr="002C38BF">
        <w:rPr>
          <w:rFonts w:eastAsia="Calibri"/>
        </w:rPr>
        <w:t>, which in some case trumps existing legal provisions.</w:t>
      </w:r>
      <w:bookmarkStart w:id="8" w:name="_Ref31149150"/>
      <w:r w:rsidRPr="0012136D">
        <w:rPr>
          <w:rStyle w:val="FootnoteReference"/>
        </w:rPr>
        <w:footnoteReference w:id="86"/>
      </w:r>
      <w:bookmarkEnd w:id="8"/>
    </w:p>
    <w:p w14:paraId="60987C07" w14:textId="379605CB" w:rsidR="0012136D" w:rsidRPr="002C38BF" w:rsidRDefault="0012136D" w:rsidP="0012136D">
      <w:pPr>
        <w:pStyle w:val="SingleTxtG"/>
        <w:rPr>
          <w:rFonts w:eastAsia="Calibri"/>
        </w:rPr>
      </w:pPr>
      <w:r w:rsidRPr="002C38BF">
        <w:rPr>
          <w:rFonts w:eastAsia="Calibri"/>
        </w:rPr>
        <w:t>42.</w:t>
      </w:r>
      <w:r w:rsidRPr="002C38BF">
        <w:rPr>
          <w:rFonts w:eastAsia="Calibri"/>
        </w:rPr>
        <w:tab/>
        <w:t>While athletes may sometimes be able to make human rights</w:t>
      </w:r>
      <w:r>
        <w:rPr>
          <w:rFonts w:eastAsia="Calibri"/>
        </w:rPr>
        <w:t>-related</w:t>
      </w:r>
      <w:r w:rsidRPr="002C38BF">
        <w:rPr>
          <w:rFonts w:eastAsia="Calibri"/>
        </w:rPr>
        <w:t xml:space="preserve"> claims against sport governing bodies before domestic courts, these courts generally only have jurisdiction over their respective </w:t>
      </w:r>
      <w:r>
        <w:rPr>
          <w:rFonts w:eastAsia="Calibri"/>
        </w:rPr>
        <w:t>national federations</w:t>
      </w:r>
      <w:r w:rsidRPr="002C38BF">
        <w:rPr>
          <w:rFonts w:eastAsia="Calibri"/>
        </w:rPr>
        <w:t xml:space="preserve"> and </w:t>
      </w:r>
      <w:r>
        <w:rPr>
          <w:rFonts w:eastAsia="Calibri"/>
        </w:rPr>
        <w:t>national Olympic committees</w:t>
      </w:r>
      <w:r w:rsidRPr="002C38BF">
        <w:rPr>
          <w:rFonts w:eastAsia="Calibri"/>
        </w:rPr>
        <w:t xml:space="preserve">, not over </w:t>
      </w:r>
      <w:r>
        <w:rPr>
          <w:rFonts w:eastAsia="Calibri"/>
        </w:rPr>
        <w:t>international federations</w:t>
      </w:r>
      <w:r w:rsidRPr="002C38BF">
        <w:rPr>
          <w:rFonts w:eastAsia="Calibri"/>
        </w:rPr>
        <w:t xml:space="preserve"> and IOC, where many decisions that may negatively impact or violate human rights originate.</w:t>
      </w:r>
      <w:r w:rsidRPr="0012136D">
        <w:rPr>
          <w:rStyle w:val="FootnoteReference"/>
        </w:rPr>
        <w:footnoteReference w:id="87"/>
      </w:r>
      <w:r w:rsidRPr="002C38BF">
        <w:rPr>
          <w:rFonts w:eastAsia="Calibri"/>
        </w:rPr>
        <w:t xml:space="preserve"> Domestic courts may provide domestic remedies, such as prohibiting the application of discriminatory international rules at national competitions, but this can put national sport in </w:t>
      </w:r>
      <w:r w:rsidR="00356B25">
        <w:rPr>
          <w:rFonts w:eastAsia="Calibri"/>
        </w:rPr>
        <w:t>“</w:t>
      </w:r>
      <w:r w:rsidRPr="002C38BF">
        <w:rPr>
          <w:rFonts w:eastAsia="Calibri"/>
        </w:rPr>
        <w:t>an untenable position between two seemingly intractable forces</w:t>
      </w:r>
      <w:r w:rsidR="00356B25">
        <w:rPr>
          <w:rFonts w:eastAsia="Calibri"/>
        </w:rPr>
        <w:t>”</w:t>
      </w:r>
      <w:r>
        <w:rPr>
          <w:rFonts w:eastAsia="Calibri"/>
        </w:rPr>
        <w:t>, in other words</w:t>
      </w:r>
      <w:r w:rsidRPr="002C38BF">
        <w:rPr>
          <w:rFonts w:eastAsia="Calibri"/>
        </w:rPr>
        <w:t xml:space="preserve"> the order of a domestic court and </w:t>
      </w:r>
      <w:r>
        <w:rPr>
          <w:rFonts w:eastAsia="Calibri"/>
        </w:rPr>
        <w:t>the</w:t>
      </w:r>
      <w:r w:rsidRPr="002C38BF">
        <w:rPr>
          <w:rFonts w:eastAsia="Calibri"/>
        </w:rPr>
        <w:t xml:space="preserve"> directive</w:t>
      </w:r>
      <w:r>
        <w:rPr>
          <w:rFonts w:eastAsia="Calibri"/>
        </w:rPr>
        <w:t xml:space="preserve"> of an international federation</w:t>
      </w:r>
      <w:r w:rsidRPr="002C38BF">
        <w:rPr>
          <w:rFonts w:eastAsia="Calibri"/>
        </w:rPr>
        <w:t>,</w:t>
      </w:r>
      <w:r w:rsidRPr="0012136D">
        <w:rPr>
          <w:rStyle w:val="FootnoteReference"/>
        </w:rPr>
        <w:footnoteReference w:id="88"/>
      </w:r>
      <w:r w:rsidRPr="002C38BF">
        <w:rPr>
          <w:rFonts w:eastAsia="Calibri"/>
        </w:rPr>
        <w:t xml:space="preserve"> and jeopardize the ability of athletes to compete internationally.</w:t>
      </w:r>
    </w:p>
    <w:p w14:paraId="54DAFBAC" w14:textId="77777777" w:rsidR="0012136D" w:rsidRPr="002C38BF" w:rsidRDefault="0012136D" w:rsidP="0012136D">
      <w:pPr>
        <w:pStyle w:val="SingleTxtG"/>
        <w:rPr>
          <w:rFonts w:eastAsia="Calibri"/>
        </w:rPr>
      </w:pPr>
      <w:r w:rsidRPr="002C38BF">
        <w:rPr>
          <w:rFonts w:eastAsia="Calibri"/>
        </w:rPr>
        <w:t>43.</w:t>
      </w:r>
      <w:r w:rsidRPr="002C38BF">
        <w:rPr>
          <w:rFonts w:eastAsia="Calibri"/>
        </w:rPr>
        <w:tab/>
        <w:t xml:space="preserve">International sport governing bodies seek to </w:t>
      </w:r>
      <w:r>
        <w:rPr>
          <w:rFonts w:eastAsia="Calibri"/>
        </w:rPr>
        <w:t>avoid</w:t>
      </w:r>
      <w:r w:rsidRPr="002C38BF">
        <w:rPr>
          <w:rFonts w:eastAsia="Calibri"/>
        </w:rPr>
        <w:t xml:space="preserve"> this dilemma by excluding the jurisdiction of national courts over sporting disputes. The Olympic Charter and the statutes of most </w:t>
      </w:r>
      <w:r>
        <w:rPr>
          <w:rFonts w:eastAsia="Calibri"/>
        </w:rPr>
        <w:t>international federations</w:t>
      </w:r>
      <w:r w:rsidRPr="002C38BF">
        <w:rPr>
          <w:rFonts w:eastAsia="Calibri"/>
        </w:rPr>
        <w:t xml:space="preserve"> provide for the internal resolution of disputes, with appeals permitted exclusively to the </w:t>
      </w:r>
      <w:r>
        <w:rPr>
          <w:rFonts w:eastAsia="Calibri"/>
        </w:rPr>
        <w:t>Court of Arbitration for Sport</w:t>
      </w:r>
      <w:r w:rsidRPr="002C38BF">
        <w:rPr>
          <w:rFonts w:eastAsia="Calibri"/>
        </w:rPr>
        <w:t xml:space="preserve">. Therefore, if </w:t>
      </w:r>
      <w:r>
        <w:rPr>
          <w:rFonts w:eastAsia="Calibri"/>
        </w:rPr>
        <w:t>national federations</w:t>
      </w:r>
      <w:r w:rsidRPr="002C38BF">
        <w:rPr>
          <w:rFonts w:eastAsia="Calibri"/>
        </w:rPr>
        <w:t xml:space="preserve"> and their athletes, among others, wish to be recognized participants in their respective sport, they must generally agree to forego recourse to national courts in favour of private arbitration before </w:t>
      </w:r>
      <w:r>
        <w:rPr>
          <w:rFonts w:eastAsia="Calibri"/>
        </w:rPr>
        <w:t xml:space="preserve">that </w:t>
      </w:r>
      <w:r w:rsidRPr="002C38BF">
        <w:rPr>
          <w:rFonts w:eastAsia="Calibri"/>
        </w:rPr>
        <w:t>Court. Such mandatory arbitration shields the global sport</w:t>
      </w:r>
      <w:r>
        <w:rPr>
          <w:rFonts w:eastAsia="Calibri"/>
        </w:rPr>
        <w:t>s</w:t>
      </w:r>
      <w:r w:rsidRPr="002C38BF">
        <w:rPr>
          <w:rFonts w:eastAsia="Calibri"/>
        </w:rPr>
        <w:t xml:space="preserve"> system from regulation by national legal systems, wh</w:t>
      </w:r>
      <w:r>
        <w:rPr>
          <w:rFonts w:eastAsia="Calibri"/>
        </w:rPr>
        <w:t>ich is wh</w:t>
      </w:r>
      <w:r w:rsidRPr="002C38BF">
        <w:rPr>
          <w:rFonts w:eastAsia="Calibri"/>
        </w:rPr>
        <w:t xml:space="preserve">ere human rights are typically </w:t>
      </w:r>
      <w:r>
        <w:rPr>
          <w:rFonts w:eastAsia="Calibri"/>
        </w:rPr>
        <w:t>protected</w:t>
      </w:r>
      <w:r w:rsidRPr="002C38BF">
        <w:rPr>
          <w:rFonts w:eastAsia="Calibri"/>
        </w:rPr>
        <w:t>.</w:t>
      </w:r>
      <w:r w:rsidRPr="0012136D">
        <w:rPr>
          <w:rStyle w:val="FootnoteReference"/>
        </w:rPr>
        <w:footnoteReference w:id="89"/>
      </w:r>
    </w:p>
    <w:p w14:paraId="6FF5DB3C" w14:textId="77777777" w:rsidR="0012136D" w:rsidRPr="002C38BF" w:rsidRDefault="0012136D" w:rsidP="0012136D">
      <w:pPr>
        <w:pStyle w:val="SingleTxtG"/>
        <w:rPr>
          <w:rFonts w:eastAsia="Calibri"/>
        </w:rPr>
      </w:pPr>
      <w:r w:rsidRPr="002C38BF">
        <w:rPr>
          <w:rFonts w:eastAsia="Calibri"/>
        </w:rPr>
        <w:t>44.</w:t>
      </w:r>
      <w:r w:rsidRPr="002C38BF">
        <w:rPr>
          <w:rFonts w:eastAsia="Calibri"/>
        </w:rPr>
        <w:tab/>
        <w:t>Instead, the primary default rules applied in appeals to the Court of Arbitration for Sport</w:t>
      </w:r>
      <w:r w:rsidRPr="002C38BF" w:rsidDel="003E4B11">
        <w:rPr>
          <w:rFonts w:eastAsia="Calibri"/>
        </w:rPr>
        <w:t xml:space="preserve"> </w:t>
      </w:r>
      <w:r w:rsidRPr="002C38BF">
        <w:rPr>
          <w:rFonts w:eastAsia="Calibri"/>
        </w:rPr>
        <w:t>are the relevant sport regulations.</w:t>
      </w:r>
      <w:r w:rsidRPr="0012136D">
        <w:rPr>
          <w:rStyle w:val="FootnoteReference"/>
        </w:rPr>
        <w:footnoteReference w:id="90"/>
      </w:r>
      <w:r w:rsidRPr="002C38BF">
        <w:rPr>
          <w:rFonts w:eastAsia="Calibri"/>
        </w:rPr>
        <w:t xml:space="preserve"> Neither these regulations nor the statutes of sport governing bodies include human rights norms and standards as binding sources of law for adjudication. While the Olympic Charter and the statutes of many </w:t>
      </w:r>
      <w:r>
        <w:rPr>
          <w:rFonts w:eastAsia="Calibri"/>
        </w:rPr>
        <w:t>international federations</w:t>
      </w:r>
      <w:r w:rsidRPr="002C38BF">
        <w:rPr>
          <w:rFonts w:eastAsia="Calibri"/>
        </w:rPr>
        <w:t xml:space="preserve"> contain a commitment to non-discrimination,</w:t>
      </w:r>
      <w:r w:rsidRPr="0012136D">
        <w:rPr>
          <w:rStyle w:val="FootnoteReference"/>
        </w:rPr>
        <w:footnoteReference w:id="91"/>
      </w:r>
      <w:r w:rsidRPr="002C38BF">
        <w:rPr>
          <w:rFonts w:eastAsia="Calibri"/>
        </w:rPr>
        <w:t xml:space="preserve"> most do not contain a broader commitment to respect</w:t>
      </w:r>
      <w:r>
        <w:rPr>
          <w:rFonts w:eastAsia="Calibri"/>
        </w:rPr>
        <w:t>ing</w:t>
      </w:r>
      <w:r w:rsidRPr="002C38BF">
        <w:rPr>
          <w:rFonts w:eastAsia="Calibri"/>
        </w:rPr>
        <w:t xml:space="preserve"> the full range of human rights of athletes.</w:t>
      </w:r>
      <w:r w:rsidRPr="0012136D">
        <w:rPr>
          <w:rStyle w:val="FootnoteReference"/>
        </w:rPr>
        <w:footnoteReference w:id="92"/>
      </w:r>
    </w:p>
    <w:p w14:paraId="45E88043" w14:textId="262A8109" w:rsidR="0012136D" w:rsidRPr="002C38BF" w:rsidRDefault="0012136D" w:rsidP="0012136D">
      <w:pPr>
        <w:pStyle w:val="SingleTxtG"/>
        <w:rPr>
          <w:rFonts w:eastAsia="Calibri"/>
        </w:rPr>
      </w:pPr>
      <w:r w:rsidRPr="002C38BF">
        <w:rPr>
          <w:rFonts w:eastAsia="Calibri"/>
        </w:rPr>
        <w:t>45.</w:t>
      </w:r>
      <w:r w:rsidRPr="002C38BF">
        <w:rPr>
          <w:rFonts w:eastAsia="Calibri"/>
        </w:rPr>
        <w:tab/>
        <w:t>As a result, consideration of human rights norms and standards in the resolution of sport disputes is limited. In Caster Semenya</w:t>
      </w:r>
      <w:r w:rsidR="00356B25">
        <w:rPr>
          <w:rFonts w:eastAsia="Calibri"/>
        </w:rPr>
        <w:t>’</w:t>
      </w:r>
      <w:r w:rsidRPr="002C38BF">
        <w:rPr>
          <w:rFonts w:eastAsia="Calibri"/>
        </w:rPr>
        <w:t xml:space="preserve">s case, the </w:t>
      </w:r>
      <w:r>
        <w:rPr>
          <w:rFonts w:eastAsia="Calibri"/>
        </w:rPr>
        <w:t xml:space="preserve">panel of the </w:t>
      </w:r>
      <w:r w:rsidRPr="002C38BF">
        <w:rPr>
          <w:rFonts w:eastAsia="Calibri"/>
        </w:rPr>
        <w:t>Court of Arbitration for Sport</w:t>
      </w:r>
      <w:r w:rsidRPr="002C38BF" w:rsidDel="003E4B11">
        <w:rPr>
          <w:rFonts w:eastAsia="Calibri"/>
        </w:rPr>
        <w:t xml:space="preserve"> </w:t>
      </w:r>
      <w:r w:rsidRPr="002C38BF">
        <w:rPr>
          <w:rFonts w:eastAsia="Calibri"/>
        </w:rPr>
        <w:t xml:space="preserve">acknowledged that the regulations violated domestic and international human rights laws. </w:t>
      </w:r>
      <w:r>
        <w:rPr>
          <w:rFonts w:eastAsia="Calibri"/>
        </w:rPr>
        <w:t>It also</w:t>
      </w:r>
      <w:r w:rsidRPr="002C38BF">
        <w:rPr>
          <w:rFonts w:eastAsia="Calibri"/>
        </w:rPr>
        <w:t xml:space="preserve"> noted the </w:t>
      </w:r>
      <w:r w:rsidRPr="007911D0">
        <w:rPr>
          <w:rFonts w:eastAsia="Calibri"/>
          <w:i/>
          <w:iCs/>
        </w:rPr>
        <w:t>amicus curiae</w:t>
      </w:r>
      <w:r w:rsidRPr="002C38BF">
        <w:rPr>
          <w:rFonts w:eastAsia="Calibri"/>
        </w:rPr>
        <w:t xml:space="preserve"> submission from </w:t>
      </w:r>
      <w:r>
        <w:rPr>
          <w:rFonts w:eastAsia="Calibri"/>
        </w:rPr>
        <w:t>United Nations</w:t>
      </w:r>
      <w:r w:rsidRPr="002C38BF">
        <w:rPr>
          <w:rFonts w:eastAsia="Calibri"/>
        </w:rPr>
        <w:t xml:space="preserve"> Special Rapporteurs to that effect, as well as expert opinion evidence indicating the likelihood that the </w:t>
      </w:r>
      <w:r>
        <w:rPr>
          <w:rFonts w:eastAsia="Calibri"/>
        </w:rPr>
        <w:t>r</w:t>
      </w:r>
      <w:r w:rsidRPr="002C38BF">
        <w:rPr>
          <w:rFonts w:eastAsia="Calibri"/>
        </w:rPr>
        <w:t xml:space="preserve">egulations would be found to breach the national laws of several specific jurisdictions. The </w:t>
      </w:r>
      <w:r>
        <w:rPr>
          <w:rFonts w:eastAsia="Calibri"/>
        </w:rPr>
        <w:t>p</w:t>
      </w:r>
      <w:r w:rsidRPr="002C38BF">
        <w:rPr>
          <w:rFonts w:eastAsia="Calibri"/>
        </w:rPr>
        <w:t xml:space="preserve">anel accepted that there </w:t>
      </w:r>
      <w:r>
        <w:rPr>
          <w:rFonts w:eastAsia="Calibri"/>
        </w:rPr>
        <w:t>we</w:t>
      </w:r>
      <w:r w:rsidRPr="002C38BF">
        <w:rPr>
          <w:rFonts w:eastAsia="Calibri"/>
        </w:rPr>
        <w:t>re important rights to equality and freedom from discrimination, including in sport, and that those rights f</w:t>
      </w:r>
      <w:r>
        <w:rPr>
          <w:rFonts w:eastAsia="Calibri"/>
        </w:rPr>
        <w:t>ou</w:t>
      </w:r>
      <w:r w:rsidRPr="002C38BF">
        <w:rPr>
          <w:rFonts w:eastAsia="Calibri"/>
        </w:rPr>
        <w:t xml:space="preserve">nd reflection in an array of domestic and international human rights instruments. </w:t>
      </w:r>
      <w:r>
        <w:rPr>
          <w:rFonts w:eastAsia="Calibri"/>
        </w:rPr>
        <w:t>The</w:t>
      </w:r>
      <w:r w:rsidRPr="002C38BF">
        <w:rPr>
          <w:rFonts w:eastAsia="Calibri"/>
        </w:rPr>
        <w:t xml:space="preserve"> </w:t>
      </w:r>
      <w:r>
        <w:rPr>
          <w:rFonts w:eastAsia="Calibri"/>
        </w:rPr>
        <w:t xml:space="preserve">expert </w:t>
      </w:r>
      <w:r w:rsidRPr="002C38BF">
        <w:rPr>
          <w:rFonts w:eastAsia="Calibri"/>
        </w:rPr>
        <w:t>opinions could not</w:t>
      </w:r>
      <w:r>
        <w:rPr>
          <w:rFonts w:eastAsia="Calibri"/>
        </w:rPr>
        <w:t>, however,</w:t>
      </w:r>
      <w:r w:rsidRPr="002C38BF">
        <w:rPr>
          <w:rFonts w:eastAsia="Calibri"/>
        </w:rPr>
        <w:t xml:space="preserve"> help </w:t>
      </w:r>
      <w:r>
        <w:rPr>
          <w:rFonts w:eastAsia="Calibri"/>
        </w:rPr>
        <w:t xml:space="preserve">to </w:t>
      </w:r>
      <w:r w:rsidRPr="002C38BF">
        <w:rPr>
          <w:rFonts w:eastAsia="Calibri"/>
        </w:rPr>
        <w:t xml:space="preserve">resolve what it viewed as a case of </w:t>
      </w:r>
      <w:r w:rsidR="00356B25">
        <w:rPr>
          <w:rFonts w:eastAsia="Calibri"/>
        </w:rPr>
        <w:t>“</w:t>
      </w:r>
      <w:r w:rsidRPr="002C38BF">
        <w:rPr>
          <w:rFonts w:eastAsia="Calibri"/>
        </w:rPr>
        <w:t>conflicting rights</w:t>
      </w:r>
      <w:r w:rsidR="00356B25">
        <w:rPr>
          <w:rFonts w:eastAsia="Calibri"/>
        </w:rPr>
        <w:t>”</w:t>
      </w:r>
      <w:r w:rsidRPr="002C38BF">
        <w:rPr>
          <w:rFonts w:eastAsia="Calibri"/>
        </w:rPr>
        <w:t xml:space="preserve"> (between female athletes with and without certain variations in sex characteristics), which required </w:t>
      </w:r>
      <w:r w:rsidR="00356B25">
        <w:rPr>
          <w:rFonts w:eastAsia="Calibri"/>
        </w:rPr>
        <w:t>“</w:t>
      </w:r>
      <w:r w:rsidRPr="002C38BF">
        <w:rPr>
          <w:rFonts w:eastAsia="Calibri"/>
        </w:rPr>
        <w:t>careful analysis of questions of necessity, reasonableness and proportionality</w:t>
      </w:r>
      <w:r w:rsidR="00356B25">
        <w:rPr>
          <w:rFonts w:eastAsia="Calibri"/>
        </w:rPr>
        <w:t>”</w:t>
      </w:r>
      <w:r w:rsidRPr="002C38BF">
        <w:rPr>
          <w:rFonts w:eastAsia="Calibri"/>
        </w:rPr>
        <w:t>.</w:t>
      </w:r>
      <w:r>
        <w:rPr>
          <w:rFonts w:eastAsia="Calibri"/>
        </w:rPr>
        <w:t xml:space="preserve"> </w:t>
      </w:r>
      <w:r w:rsidRPr="002C38BF">
        <w:rPr>
          <w:rFonts w:eastAsia="Calibri"/>
        </w:rPr>
        <w:t xml:space="preserve">The </w:t>
      </w:r>
      <w:r>
        <w:rPr>
          <w:rFonts w:eastAsia="Calibri"/>
        </w:rPr>
        <w:t>p</w:t>
      </w:r>
      <w:r w:rsidRPr="002C38BF">
        <w:rPr>
          <w:rFonts w:eastAsia="Calibri"/>
        </w:rPr>
        <w:t>anel noted the regulations could be unenforceable in or contrary to the domestic law of different national jurisdictions, but considered it would be ultimately for the courts in those jurisdictions to make such determinations.</w:t>
      </w:r>
    </w:p>
    <w:p w14:paraId="038D60BC" w14:textId="7ECA8300" w:rsidR="0012136D" w:rsidRPr="002C38BF" w:rsidRDefault="0012136D" w:rsidP="0012136D">
      <w:pPr>
        <w:pStyle w:val="SingleTxtG"/>
        <w:rPr>
          <w:rFonts w:eastAsia="Calibri"/>
        </w:rPr>
      </w:pPr>
      <w:r w:rsidRPr="002C38BF">
        <w:rPr>
          <w:rFonts w:eastAsia="Calibri"/>
        </w:rPr>
        <w:t>46.</w:t>
      </w:r>
      <w:r w:rsidRPr="002C38BF">
        <w:rPr>
          <w:rFonts w:eastAsia="Calibri"/>
        </w:rPr>
        <w:tab/>
        <w:t xml:space="preserve">Nonetheless, IAAF asserts that the Court of Arbitration for Sport </w:t>
      </w:r>
      <w:r w:rsidR="00356B25">
        <w:rPr>
          <w:rFonts w:eastAsia="Calibri"/>
        </w:rPr>
        <w:t>“</w:t>
      </w:r>
      <w:r w:rsidRPr="002C38BF">
        <w:rPr>
          <w:rFonts w:eastAsia="Calibri"/>
        </w:rPr>
        <w:t>is competent to rule on all legal claims, including human rights claims</w:t>
      </w:r>
      <w:r w:rsidR="00356B25">
        <w:rPr>
          <w:rFonts w:eastAsia="Calibri"/>
        </w:rPr>
        <w:t>”</w:t>
      </w:r>
      <w:r w:rsidR="001A358E">
        <w:rPr>
          <w:rFonts w:eastAsia="Calibri"/>
        </w:rPr>
        <w:t>,</w:t>
      </w:r>
      <w:r w:rsidRPr="002C38BF">
        <w:rPr>
          <w:rFonts w:eastAsia="Calibri"/>
        </w:rPr>
        <w:t xml:space="preserve"> and </w:t>
      </w:r>
      <w:r>
        <w:rPr>
          <w:rFonts w:eastAsia="Calibri"/>
        </w:rPr>
        <w:t xml:space="preserve">that </w:t>
      </w:r>
      <w:r w:rsidRPr="002C38BF">
        <w:rPr>
          <w:rFonts w:eastAsia="Calibri"/>
        </w:rPr>
        <w:t xml:space="preserve">therefore its decision in the Semenya case </w:t>
      </w:r>
      <w:r w:rsidR="00356B25">
        <w:rPr>
          <w:rFonts w:eastAsia="Calibri"/>
        </w:rPr>
        <w:t>“</w:t>
      </w:r>
      <w:r w:rsidRPr="002C38BF">
        <w:rPr>
          <w:rFonts w:eastAsia="Calibri"/>
        </w:rPr>
        <w:t>should be respected and enforced by the national courts</w:t>
      </w:r>
      <w:r w:rsidR="00356B25">
        <w:rPr>
          <w:rFonts w:eastAsia="Calibri"/>
        </w:rPr>
        <w:t>”</w:t>
      </w:r>
      <w:r>
        <w:rPr>
          <w:rFonts w:eastAsia="Calibri"/>
        </w:rPr>
        <w:t>.</w:t>
      </w:r>
      <w:r w:rsidRPr="0012136D">
        <w:rPr>
          <w:rStyle w:val="FootnoteReference"/>
        </w:rPr>
        <w:footnoteReference w:id="93"/>
      </w:r>
      <w:r w:rsidRPr="002C38BF">
        <w:rPr>
          <w:rFonts w:eastAsia="Calibri"/>
        </w:rPr>
        <w:t xml:space="preserve"> For this reason, IAAF maintains that it </w:t>
      </w:r>
      <w:r w:rsidR="00356B25">
        <w:rPr>
          <w:rFonts w:eastAsia="Calibri"/>
        </w:rPr>
        <w:t>“</w:t>
      </w:r>
      <w:r w:rsidRPr="002C38BF">
        <w:rPr>
          <w:rFonts w:eastAsia="Calibri"/>
        </w:rPr>
        <w:t xml:space="preserve">would defend any claim that was made in any national or international forum … </w:t>
      </w:r>
      <w:r>
        <w:rPr>
          <w:rFonts w:eastAsia="Calibri"/>
        </w:rPr>
        <w:t>(</w:t>
      </w:r>
      <w:r w:rsidRPr="002C38BF">
        <w:rPr>
          <w:rFonts w:eastAsia="Calibri"/>
        </w:rPr>
        <w:t>including if necessary on jurisdictional grounds</w:t>
      </w:r>
      <w:r>
        <w:rPr>
          <w:rFonts w:eastAsia="Calibri"/>
        </w:rPr>
        <w:t>)</w:t>
      </w:r>
      <w:r w:rsidR="00356B25">
        <w:rPr>
          <w:rFonts w:eastAsia="Calibri"/>
        </w:rPr>
        <w:t>”</w:t>
      </w:r>
      <w:r w:rsidRPr="002C38BF">
        <w:rPr>
          <w:rFonts w:eastAsia="Calibri"/>
        </w:rPr>
        <w:t>.</w:t>
      </w:r>
      <w:r w:rsidRPr="0012136D">
        <w:rPr>
          <w:rStyle w:val="FootnoteReference"/>
        </w:rPr>
        <w:footnoteReference w:id="94"/>
      </w:r>
      <w:r w:rsidRPr="002C38BF">
        <w:rPr>
          <w:rFonts w:eastAsia="Calibri"/>
        </w:rPr>
        <w:t xml:space="preserve"> This type of position</w:t>
      </w:r>
      <w:r>
        <w:rPr>
          <w:rFonts w:eastAsia="Calibri"/>
        </w:rPr>
        <w:t>,</w:t>
      </w:r>
      <w:r w:rsidRPr="002C38BF">
        <w:rPr>
          <w:rFonts w:eastAsia="Calibri"/>
        </w:rPr>
        <w:t xml:space="preserve"> combined with the limited and inconsistent application of international human rights norms and standards to disputes before </w:t>
      </w:r>
      <w:r>
        <w:rPr>
          <w:rFonts w:eastAsia="Calibri"/>
        </w:rPr>
        <w:t xml:space="preserve">the </w:t>
      </w:r>
      <w:r w:rsidRPr="002C38BF">
        <w:rPr>
          <w:rFonts w:eastAsia="Calibri"/>
        </w:rPr>
        <w:t>Court of Arbitration for Sport</w:t>
      </w:r>
      <w:r w:rsidRPr="002C38BF" w:rsidDel="003E4B11">
        <w:rPr>
          <w:rFonts w:eastAsia="Calibri"/>
        </w:rPr>
        <w:t xml:space="preserve"> </w:t>
      </w:r>
      <w:r w:rsidRPr="002C38BF">
        <w:rPr>
          <w:rFonts w:eastAsia="Calibri"/>
        </w:rPr>
        <w:t>and the fact that most C</w:t>
      </w:r>
      <w:r>
        <w:rPr>
          <w:rFonts w:eastAsia="Calibri"/>
        </w:rPr>
        <w:t xml:space="preserve">ourt </w:t>
      </w:r>
      <w:r w:rsidRPr="002C38BF">
        <w:rPr>
          <w:rFonts w:eastAsia="Calibri"/>
        </w:rPr>
        <w:t>arbitrators lack human rights expertise,</w:t>
      </w:r>
      <w:r w:rsidRPr="0012136D">
        <w:rPr>
          <w:rStyle w:val="FootnoteReference"/>
        </w:rPr>
        <w:footnoteReference w:id="95"/>
      </w:r>
      <w:r w:rsidRPr="002C38BF">
        <w:rPr>
          <w:rFonts w:eastAsia="Calibri"/>
        </w:rPr>
        <w:t xml:space="preserve"> poses a serious challenge to access to effective remedies for athletes whose human rights are alleged to have been violated.</w:t>
      </w:r>
    </w:p>
    <w:p w14:paraId="61C4D054" w14:textId="106A73D5" w:rsidR="0012136D" w:rsidRPr="002C38BF" w:rsidRDefault="0012136D" w:rsidP="0012136D">
      <w:pPr>
        <w:pStyle w:val="SingleTxtG"/>
        <w:rPr>
          <w:rFonts w:eastAsia="Calibri"/>
        </w:rPr>
      </w:pPr>
      <w:r w:rsidRPr="002C38BF">
        <w:rPr>
          <w:rFonts w:eastAsia="Calibri"/>
        </w:rPr>
        <w:t>47.</w:t>
      </w:r>
      <w:r w:rsidRPr="002C38BF">
        <w:rPr>
          <w:rFonts w:eastAsia="Calibri"/>
        </w:rPr>
        <w:tab/>
      </w:r>
      <w:r>
        <w:rPr>
          <w:rFonts w:eastAsia="Calibri"/>
        </w:rPr>
        <w:t>D</w:t>
      </w:r>
      <w:r w:rsidRPr="002C38BF">
        <w:rPr>
          <w:rFonts w:eastAsia="Calibri"/>
        </w:rPr>
        <w:t xml:space="preserve">ecisions </w:t>
      </w:r>
      <w:r>
        <w:rPr>
          <w:rFonts w:eastAsia="Calibri"/>
        </w:rPr>
        <w:t xml:space="preserve">of the </w:t>
      </w:r>
      <w:r w:rsidRPr="002C38BF">
        <w:rPr>
          <w:rFonts w:eastAsia="Calibri"/>
        </w:rPr>
        <w:t xml:space="preserve">Court of Arbitration for Sport may be appealed only to the Swiss Federal Tribunal. The only substantive ground for setting aside an arbitral award before the </w:t>
      </w:r>
      <w:r>
        <w:rPr>
          <w:rFonts w:eastAsia="Calibri"/>
        </w:rPr>
        <w:t>Tribunal</w:t>
      </w:r>
      <w:r w:rsidRPr="002C38BF">
        <w:rPr>
          <w:rFonts w:eastAsia="Calibri"/>
        </w:rPr>
        <w:t xml:space="preserve"> is a breach of Swiss public policy, meaning the award </w:t>
      </w:r>
      <w:r w:rsidR="00356B25">
        <w:rPr>
          <w:rFonts w:eastAsia="Calibri"/>
        </w:rPr>
        <w:t>“</w:t>
      </w:r>
      <w:r w:rsidRPr="002C38BF">
        <w:rPr>
          <w:rFonts w:eastAsia="Calibri"/>
        </w:rPr>
        <w:t>disregards the essential and broadly acknowledged values which, according to prevailing views in Switzerland, should constitute the basis of any legal order</w:t>
      </w:r>
      <w:r w:rsidR="00356B25">
        <w:rPr>
          <w:rFonts w:eastAsia="Calibri"/>
        </w:rPr>
        <w:t>”</w:t>
      </w:r>
      <w:r>
        <w:rPr>
          <w:rFonts w:eastAsia="Calibri"/>
        </w:rPr>
        <w:t>.</w:t>
      </w:r>
      <w:r w:rsidRPr="0012136D">
        <w:rPr>
          <w:rStyle w:val="FootnoteReference"/>
        </w:rPr>
        <w:footnoteReference w:id="96"/>
      </w:r>
      <w:r w:rsidRPr="002C38BF">
        <w:rPr>
          <w:rFonts w:eastAsia="Calibri"/>
        </w:rPr>
        <w:t xml:space="preserve"> The prohibition of discriminatory measures is one substantive policy recognized by the </w:t>
      </w:r>
      <w:r>
        <w:rPr>
          <w:rFonts w:eastAsia="Calibri"/>
        </w:rPr>
        <w:t>Tribunal</w:t>
      </w:r>
      <w:r w:rsidRPr="002C38BF">
        <w:rPr>
          <w:rFonts w:eastAsia="Calibri"/>
        </w:rPr>
        <w:t>.</w:t>
      </w:r>
      <w:r w:rsidRPr="0012136D">
        <w:rPr>
          <w:rStyle w:val="FootnoteReference"/>
        </w:rPr>
        <w:footnoteReference w:id="97"/>
      </w:r>
      <w:r w:rsidRPr="002C38BF">
        <w:rPr>
          <w:rFonts w:eastAsia="Calibri"/>
        </w:rPr>
        <w:t xml:space="preserve"> Other national courts may also refuse to recognize and enforce an arbitral award if </w:t>
      </w:r>
      <w:r>
        <w:rPr>
          <w:rFonts w:eastAsia="Calibri"/>
        </w:rPr>
        <w:t>doing so</w:t>
      </w:r>
      <w:r w:rsidRPr="002C38BF">
        <w:rPr>
          <w:rFonts w:eastAsia="Calibri"/>
        </w:rPr>
        <w:t xml:space="preserve"> would be contrary to the public policy of that State,</w:t>
      </w:r>
      <w:r w:rsidRPr="0012136D">
        <w:rPr>
          <w:rStyle w:val="FootnoteReference"/>
        </w:rPr>
        <w:footnoteReference w:id="98"/>
      </w:r>
      <w:r w:rsidRPr="002C38BF">
        <w:rPr>
          <w:rFonts w:eastAsia="Calibri"/>
        </w:rPr>
        <w:t xml:space="preserve"> which may include certain fundamental human rights. Such a decision, however, would be jurisdictionally limited</w:t>
      </w:r>
      <w:r>
        <w:rPr>
          <w:rFonts w:eastAsia="Calibri"/>
        </w:rPr>
        <w:t>,</w:t>
      </w:r>
      <w:r w:rsidRPr="002C38BF">
        <w:rPr>
          <w:rFonts w:eastAsia="Calibri"/>
        </w:rPr>
        <w:t xml:space="preserve"> as it would not be capable of suspending the regulations of a sport governing body worldwide.</w:t>
      </w:r>
    </w:p>
    <w:p w14:paraId="56792405" w14:textId="0FFF18B4" w:rsidR="0012136D" w:rsidRPr="002C38BF" w:rsidRDefault="0012136D" w:rsidP="0012136D">
      <w:pPr>
        <w:pStyle w:val="SingleTxtG"/>
        <w:rPr>
          <w:rFonts w:eastAsia="Calibri"/>
        </w:rPr>
      </w:pPr>
      <w:r w:rsidRPr="002C38BF">
        <w:rPr>
          <w:rFonts w:eastAsia="Calibri"/>
        </w:rPr>
        <w:t>48.</w:t>
      </w:r>
      <w:r w:rsidRPr="002C38BF">
        <w:rPr>
          <w:rFonts w:eastAsia="Calibri"/>
        </w:rPr>
        <w:tab/>
        <w:t xml:space="preserve">Athletes may also bring human rights claims to regional courts. The European Court of Human Rights </w:t>
      </w:r>
      <w:r>
        <w:rPr>
          <w:rFonts w:eastAsia="Calibri"/>
        </w:rPr>
        <w:t xml:space="preserve">for </w:t>
      </w:r>
      <w:r w:rsidRPr="002C38BF">
        <w:rPr>
          <w:rFonts w:eastAsia="Calibri"/>
        </w:rPr>
        <w:t xml:space="preserve">example, recently applied the </w:t>
      </w:r>
      <w:r w:rsidRPr="00A71154">
        <w:rPr>
          <w:rFonts w:eastAsia="Calibri"/>
        </w:rPr>
        <w:t>Convention for the Protection of Human Rights and Fundamental Freedoms (</w:t>
      </w:r>
      <w:r w:rsidRPr="002C38BF">
        <w:rPr>
          <w:rFonts w:eastAsia="Calibri"/>
        </w:rPr>
        <w:t>European Convention on Human Rights</w:t>
      </w:r>
      <w:r>
        <w:rPr>
          <w:rFonts w:eastAsia="Calibri"/>
        </w:rPr>
        <w:t>)</w:t>
      </w:r>
      <w:r w:rsidRPr="002C38BF">
        <w:rPr>
          <w:rFonts w:eastAsia="Calibri"/>
        </w:rPr>
        <w:t xml:space="preserve"> to </w:t>
      </w:r>
      <w:r>
        <w:rPr>
          <w:rFonts w:eastAsia="Calibri"/>
        </w:rPr>
        <w:t xml:space="preserve">the arbitral proceedings of the </w:t>
      </w:r>
      <w:r w:rsidRPr="002C38BF">
        <w:rPr>
          <w:rFonts w:eastAsia="Calibri"/>
        </w:rPr>
        <w:t xml:space="preserve">Court of Arbitration for Sport. In doing so, the </w:t>
      </w:r>
      <w:r>
        <w:rPr>
          <w:rFonts w:eastAsia="Calibri"/>
        </w:rPr>
        <w:t xml:space="preserve">European </w:t>
      </w:r>
      <w:r w:rsidRPr="002C38BF">
        <w:rPr>
          <w:rFonts w:eastAsia="Calibri"/>
        </w:rPr>
        <w:t>Court found that Court of Arbitration for Sport</w:t>
      </w:r>
      <w:r w:rsidRPr="002C38BF" w:rsidDel="003E4B11">
        <w:rPr>
          <w:rFonts w:eastAsia="Calibri"/>
        </w:rPr>
        <w:t xml:space="preserve"> </w:t>
      </w:r>
      <w:r w:rsidRPr="002C38BF">
        <w:rPr>
          <w:rFonts w:eastAsia="Calibri"/>
        </w:rPr>
        <w:t xml:space="preserve">arbitration </w:t>
      </w:r>
      <w:r>
        <w:rPr>
          <w:rFonts w:eastAsia="Calibri"/>
        </w:rPr>
        <w:t>wa</w:t>
      </w:r>
      <w:r w:rsidRPr="002C38BF">
        <w:rPr>
          <w:rFonts w:eastAsia="Calibri"/>
        </w:rPr>
        <w:t>s not necessarily consensual, particularly when athlete</w:t>
      </w:r>
      <w:r>
        <w:rPr>
          <w:rFonts w:eastAsia="Calibri"/>
        </w:rPr>
        <w:t>s</w:t>
      </w:r>
      <w:r w:rsidRPr="002C38BF">
        <w:rPr>
          <w:rFonts w:eastAsia="Calibri"/>
        </w:rPr>
        <w:t xml:space="preserve"> ha</w:t>
      </w:r>
      <w:r>
        <w:rPr>
          <w:rFonts w:eastAsia="Calibri"/>
        </w:rPr>
        <w:t>d</w:t>
      </w:r>
      <w:r w:rsidRPr="002C38BF">
        <w:rPr>
          <w:rFonts w:eastAsia="Calibri"/>
        </w:rPr>
        <w:t xml:space="preserve"> no choice but to accept the mandatory arbitration clause </w:t>
      </w:r>
      <w:r>
        <w:rPr>
          <w:rFonts w:eastAsia="Calibri"/>
        </w:rPr>
        <w:t>stipulated by</w:t>
      </w:r>
      <w:r w:rsidRPr="002C38BF">
        <w:rPr>
          <w:rFonts w:eastAsia="Calibri"/>
        </w:rPr>
        <w:t xml:space="preserve"> their</w:t>
      </w:r>
      <w:r>
        <w:rPr>
          <w:rFonts w:eastAsia="Calibri"/>
        </w:rPr>
        <w:t xml:space="preserve"> international federation</w:t>
      </w:r>
      <w:r w:rsidRPr="002C38BF">
        <w:rPr>
          <w:rFonts w:eastAsia="Calibri"/>
        </w:rPr>
        <w:t xml:space="preserve"> if the</w:t>
      </w:r>
      <w:r>
        <w:rPr>
          <w:rFonts w:eastAsia="Calibri"/>
        </w:rPr>
        <w:t>y</w:t>
      </w:r>
      <w:r w:rsidRPr="002C38BF">
        <w:rPr>
          <w:rFonts w:eastAsia="Calibri"/>
        </w:rPr>
        <w:t xml:space="preserve"> wish</w:t>
      </w:r>
      <w:r>
        <w:rPr>
          <w:rFonts w:eastAsia="Calibri"/>
        </w:rPr>
        <w:t>ed</w:t>
      </w:r>
      <w:r w:rsidRPr="002C38BF">
        <w:rPr>
          <w:rFonts w:eastAsia="Calibri"/>
        </w:rPr>
        <w:t xml:space="preserve"> to continue to pursue a professional career in their sport.</w:t>
      </w:r>
      <w:r w:rsidRPr="0012136D">
        <w:rPr>
          <w:rStyle w:val="FootnoteReference"/>
        </w:rPr>
        <w:footnoteReference w:id="99"/>
      </w:r>
      <w:r w:rsidRPr="002C38BF">
        <w:rPr>
          <w:rFonts w:eastAsia="Calibri"/>
        </w:rPr>
        <w:t xml:space="preserve"> While in th</w:t>
      </w:r>
      <w:r>
        <w:rPr>
          <w:rFonts w:eastAsia="Calibri"/>
        </w:rPr>
        <w:t>at</w:t>
      </w:r>
      <w:r w:rsidRPr="002C38BF">
        <w:rPr>
          <w:rFonts w:eastAsia="Calibri"/>
        </w:rPr>
        <w:t xml:space="preserve"> case the majority of the </w:t>
      </w:r>
      <w:r>
        <w:rPr>
          <w:rFonts w:eastAsia="Calibri"/>
        </w:rPr>
        <w:t xml:space="preserve">European </w:t>
      </w:r>
      <w:r w:rsidRPr="002C38BF">
        <w:rPr>
          <w:rFonts w:eastAsia="Calibri"/>
        </w:rPr>
        <w:t>Court held that the procedures followed by the Court of Arbitration for Sport</w:t>
      </w:r>
      <w:r w:rsidRPr="002C38BF" w:rsidDel="003E4B11">
        <w:rPr>
          <w:rFonts w:eastAsia="Calibri"/>
        </w:rPr>
        <w:t xml:space="preserve"> </w:t>
      </w:r>
      <w:r w:rsidRPr="002C38BF">
        <w:rPr>
          <w:rFonts w:eastAsia="Calibri"/>
        </w:rPr>
        <w:t>– except for the refusal to hold a public hearing – complied with the athlete</w:t>
      </w:r>
      <w:r>
        <w:rPr>
          <w:rFonts w:eastAsia="Calibri"/>
        </w:rPr>
        <w:t>s</w:t>
      </w:r>
      <w:r w:rsidR="00356B25">
        <w:rPr>
          <w:rFonts w:eastAsia="Calibri"/>
        </w:rPr>
        <w:t>’</w:t>
      </w:r>
      <w:r w:rsidRPr="002C38BF">
        <w:rPr>
          <w:rFonts w:eastAsia="Calibri"/>
        </w:rPr>
        <w:t xml:space="preserve"> right to a fair hearing, two judges dissented on the basis </w:t>
      </w:r>
      <w:r>
        <w:rPr>
          <w:rFonts w:eastAsia="Calibri"/>
        </w:rPr>
        <w:t xml:space="preserve">that </w:t>
      </w:r>
      <w:r w:rsidRPr="002C38BF">
        <w:rPr>
          <w:rFonts w:eastAsia="Calibri"/>
        </w:rPr>
        <w:t>the Court of Arbitration for Sport</w:t>
      </w:r>
      <w:r w:rsidRPr="002C38BF" w:rsidDel="003E4B11">
        <w:rPr>
          <w:rFonts w:eastAsia="Calibri"/>
        </w:rPr>
        <w:t xml:space="preserve"> </w:t>
      </w:r>
      <w:r>
        <w:rPr>
          <w:rFonts w:eastAsia="Calibri"/>
        </w:rPr>
        <w:t>wa</w:t>
      </w:r>
      <w:r w:rsidRPr="002C38BF">
        <w:rPr>
          <w:rFonts w:eastAsia="Calibri"/>
        </w:rPr>
        <w:t>s not sufficiently independent from sport governing bodies to guarantee th</w:t>
      </w:r>
      <w:r>
        <w:rPr>
          <w:rFonts w:eastAsia="Calibri"/>
        </w:rPr>
        <w:t>at</w:t>
      </w:r>
      <w:r w:rsidRPr="002C38BF">
        <w:rPr>
          <w:rFonts w:eastAsia="Calibri"/>
        </w:rPr>
        <w:t xml:space="preserve"> right. The European Court</w:t>
      </w:r>
      <w:r w:rsidR="00356B25">
        <w:rPr>
          <w:rFonts w:eastAsia="Calibri"/>
        </w:rPr>
        <w:t>’</w:t>
      </w:r>
      <w:r>
        <w:rPr>
          <w:rFonts w:eastAsia="Calibri"/>
        </w:rPr>
        <w:t xml:space="preserve">s </w:t>
      </w:r>
      <w:r w:rsidRPr="002C38BF">
        <w:rPr>
          <w:rFonts w:eastAsia="Calibri"/>
        </w:rPr>
        <w:t>jurisprudence includes a number of other decisions arising in the context of sport,</w:t>
      </w:r>
      <w:r w:rsidRPr="0012136D">
        <w:rPr>
          <w:rStyle w:val="FootnoteReference"/>
        </w:rPr>
        <w:footnoteReference w:id="100"/>
      </w:r>
      <w:r w:rsidRPr="002C38BF">
        <w:rPr>
          <w:rFonts w:eastAsia="Calibri"/>
        </w:rPr>
        <w:t xml:space="preserve"> but none have involved alleged human rights violations against athletes by national or international sport governing bodies. Whether, and under what conditions, the European Court could exercise jurisdiction in such cases thus remains largely untested.</w:t>
      </w:r>
    </w:p>
    <w:p w14:paraId="0067B72D" w14:textId="293DFD85" w:rsidR="0012136D" w:rsidRPr="002C38BF" w:rsidRDefault="0012136D" w:rsidP="0012136D">
      <w:pPr>
        <w:pStyle w:val="SingleTxtG"/>
        <w:rPr>
          <w:rFonts w:eastAsia="Calibri"/>
        </w:rPr>
      </w:pPr>
      <w:r w:rsidRPr="002C38BF">
        <w:rPr>
          <w:rFonts w:eastAsia="Calibri"/>
        </w:rPr>
        <w:t>49.</w:t>
      </w:r>
      <w:r w:rsidRPr="002C38BF">
        <w:rPr>
          <w:rFonts w:eastAsia="Calibri"/>
        </w:rPr>
        <w:tab/>
        <w:t xml:space="preserve">Additionally, </w:t>
      </w:r>
      <w:r>
        <w:rPr>
          <w:rFonts w:eastAsia="Calibri"/>
        </w:rPr>
        <w:t xml:space="preserve">the </w:t>
      </w:r>
      <w:r w:rsidRPr="002C38BF">
        <w:rPr>
          <w:rFonts w:eastAsia="Calibri"/>
        </w:rPr>
        <w:t>proceedings before the European Court of Human Rights</w:t>
      </w:r>
      <w:r w:rsidRPr="002C38BF" w:rsidDel="00A71154">
        <w:rPr>
          <w:rFonts w:eastAsia="Calibri"/>
        </w:rPr>
        <w:t xml:space="preserve"> </w:t>
      </w:r>
      <w:r w:rsidRPr="002C38BF">
        <w:rPr>
          <w:rFonts w:eastAsia="Calibri"/>
        </w:rPr>
        <w:t xml:space="preserve">often </w:t>
      </w:r>
      <w:r>
        <w:rPr>
          <w:rFonts w:eastAsia="Calibri"/>
        </w:rPr>
        <w:t>take</w:t>
      </w:r>
      <w:r w:rsidRPr="002C38BF">
        <w:rPr>
          <w:rFonts w:eastAsia="Calibri"/>
        </w:rPr>
        <w:t xml:space="preserve"> a long time, during which an athlete</w:t>
      </w:r>
      <w:r w:rsidR="00356B25">
        <w:rPr>
          <w:rFonts w:eastAsia="Calibri"/>
        </w:rPr>
        <w:t>’</w:t>
      </w:r>
      <w:r w:rsidRPr="002C38BF">
        <w:rPr>
          <w:rFonts w:eastAsia="Calibri"/>
        </w:rPr>
        <w:t xml:space="preserve">s relatively short career may </w:t>
      </w:r>
      <w:r>
        <w:rPr>
          <w:rFonts w:eastAsia="Calibri"/>
        </w:rPr>
        <w:t>come to an end, and</w:t>
      </w:r>
      <w:r w:rsidRPr="002C38BF">
        <w:rPr>
          <w:rFonts w:eastAsia="Calibri"/>
        </w:rPr>
        <w:t xml:space="preserve"> the global sport system extends far beyond Europe, which again points to the risk of inconsisten</w:t>
      </w:r>
      <w:r>
        <w:rPr>
          <w:rFonts w:eastAsia="Calibri"/>
        </w:rPr>
        <w:t>cies among jurisdictions in terms of</w:t>
      </w:r>
      <w:r w:rsidRPr="002C38BF">
        <w:rPr>
          <w:rFonts w:eastAsia="Calibri"/>
        </w:rPr>
        <w:t xml:space="preserve"> protection and remediation </w:t>
      </w:r>
      <w:r>
        <w:rPr>
          <w:rFonts w:eastAsia="Calibri"/>
        </w:rPr>
        <w:t>for</w:t>
      </w:r>
      <w:r w:rsidRPr="002C38BF">
        <w:rPr>
          <w:rFonts w:eastAsia="Calibri"/>
        </w:rPr>
        <w:t xml:space="preserve"> human rights </w:t>
      </w:r>
      <w:r>
        <w:rPr>
          <w:rFonts w:eastAsia="Calibri"/>
        </w:rPr>
        <w:t xml:space="preserve">violations </w:t>
      </w:r>
      <w:r w:rsidRPr="002C38BF">
        <w:rPr>
          <w:rFonts w:eastAsia="Calibri"/>
        </w:rPr>
        <w:t>in sport.</w:t>
      </w:r>
    </w:p>
    <w:p w14:paraId="25EAE748" w14:textId="7A47D500" w:rsidR="0012136D" w:rsidRPr="002C38BF" w:rsidRDefault="0012136D" w:rsidP="0012136D">
      <w:pPr>
        <w:pStyle w:val="SingleTxtG"/>
        <w:rPr>
          <w:rFonts w:cstheme="minorHAnsi"/>
        </w:rPr>
      </w:pPr>
      <w:r w:rsidRPr="002C38BF">
        <w:rPr>
          <w:rFonts w:eastAsia="Calibri"/>
        </w:rPr>
        <w:t>50.</w:t>
      </w:r>
      <w:r w:rsidRPr="002C38BF">
        <w:rPr>
          <w:rFonts w:eastAsia="Calibri"/>
        </w:rPr>
        <w:tab/>
        <w:t xml:space="preserve">The foregoing gaps in human rights protection and remedy in sport have led to calls for global oversight in various forms, </w:t>
      </w:r>
      <w:r>
        <w:rPr>
          <w:rFonts w:eastAsia="Calibri"/>
        </w:rPr>
        <w:t>in other words for</w:t>
      </w:r>
      <w:r w:rsidRPr="002C38BF">
        <w:rPr>
          <w:rFonts w:eastAsia="Calibri"/>
        </w:rPr>
        <w:t xml:space="preserve"> a </w:t>
      </w:r>
      <w:r w:rsidR="00356B25">
        <w:rPr>
          <w:rFonts w:eastAsia="Calibri"/>
        </w:rPr>
        <w:t>“</w:t>
      </w:r>
      <w:r>
        <w:rPr>
          <w:rFonts w:eastAsia="Calibri"/>
        </w:rPr>
        <w:t>w</w:t>
      </w:r>
      <w:r w:rsidRPr="002C38BF">
        <w:rPr>
          <w:rFonts w:eastAsia="Calibri"/>
        </w:rPr>
        <w:t xml:space="preserve">orld </w:t>
      </w:r>
      <w:r>
        <w:rPr>
          <w:rFonts w:eastAsia="Calibri"/>
        </w:rPr>
        <w:t>s</w:t>
      </w:r>
      <w:r w:rsidRPr="002C38BF">
        <w:rPr>
          <w:rFonts w:eastAsia="Calibri"/>
        </w:rPr>
        <w:t>port</w:t>
      </w:r>
      <w:r>
        <w:rPr>
          <w:rFonts w:eastAsia="Calibri"/>
        </w:rPr>
        <w:t>s</w:t>
      </w:r>
      <w:r w:rsidRPr="002C38BF">
        <w:rPr>
          <w:rFonts w:eastAsia="Calibri"/>
        </w:rPr>
        <w:t xml:space="preserve"> </w:t>
      </w:r>
      <w:r>
        <w:rPr>
          <w:rFonts w:eastAsia="Calibri"/>
        </w:rPr>
        <w:t>g</w:t>
      </w:r>
      <w:r w:rsidRPr="002C38BF">
        <w:rPr>
          <w:rFonts w:eastAsia="Calibri"/>
        </w:rPr>
        <w:t xml:space="preserve">overnance </w:t>
      </w:r>
      <w:r>
        <w:rPr>
          <w:rFonts w:eastAsia="Calibri"/>
        </w:rPr>
        <w:t>a</w:t>
      </w:r>
      <w:r w:rsidRPr="002C38BF">
        <w:rPr>
          <w:rFonts w:eastAsia="Calibri"/>
        </w:rPr>
        <w:t>gency</w:t>
      </w:r>
      <w:r w:rsidR="00356B25">
        <w:rPr>
          <w:rFonts w:eastAsia="Calibri"/>
        </w:rPr>
        <w:t>”</w:t>
      </w:r>
      <w:r w:rsidRPr="002C38BF">
        <w:rPr>
          <w:rFonts w:eastAsia="Calibri"/>
        </w:rPr>
        <w:t xml:space="preserve"> </w:t>
      </w:r>
      <w:r>
        <w:rPr>
          <w:rFonts w:eastAsia="Calibri"/>
        </w:rPr>
        <w:t xml:space="preserve">capable of </w:t>
      </w:r>
      <w:r w:rsidRPr="002C38BF">
        <w:rPr>
          <w:rFonts w:eastAsia="Calibri"/>
        </w:rPr>
        <w:t>monitor</w:t>
      </w:r>
      <w:r>
        <w:rPr>
          <w:rFonts w:eastAsia="Calibri"/>
        </w:rPr>
        <w:t>ing</w:t>
      </w:r>
      <w:r w:rsidRPr="002C38BF">
        <w:rPr>
          <w:rFonts w:eastAsia="Calibri"/>
        </w:rPr>
        <w:t xml:space="preserve"> good governance within the Olympic system and the world of professional and amateur sport</w:t>
      </w:r>
      <w:r w:rsidRPr="0012136D">
        <w:rPr>
          <w:rStyle w:val="FootnoteReference"/>
        </w:rPr>
        <w:footnoteReference w:id="101"/>
      </w:r>
      <w:r w:rsidRPr="002C38BF">
        <w:rPr>
          <w:rFonts w:eastAsia="Calibri"/>
        </w:rPr>
        <w:t xml:space="preserve"> or </w:t>
      </w:r>
      <w:r>
        <w:rPr>
          <w:rFonts w:eastAsia="Calibri"/>
        </w:rPr>
        <w:t>for</w:t>
      </w:r>
      <w:r w:rsidRPr="002C38BF">
        <w:rPr>
          <w:rFonts w:eastAsia="Calibri"/>
        </w:rPr>
        <w:t xml:space="preserve"> an </w:t>
      </w:r>
      <w:r w:rsidR="00356B25">
        <w:rPr>
          <w:rFonts w:eastAsia="Calibri"/>
        </w:rPr>
        <w:t>“</w:t>
      </w:r>
      <w:r>
        <w:rPr>
          <w:rFonts w:eastAsia="Calibri"/>
        </w:rPr>
        <w:t>i</w:t>
      </w:r>
      <w:r w:rsidRPr="002C38BF">
        <w:rPr>
          <w:rFonts w:eastAsia="Calibri"/>
        </w:rPr>
        <w:t xml:space="preserve">nternational </w:t>
      </w:r>
      <w:r>
        <w:rPr>
          <w:rFonts w:eastAsia="Calibri"/>
        </w:rPr>
        <w:t>a</w:t>
      </w:r>
      <w:r w:rsidRPr="002C38BF">
        <w:rPr>
          <w:rFonts w:eastAsia="Calibri"/>
        </w:rPr>
        <w:t>nti-</w:t>
      </w:r>
      <w:r>
        <w:rPr>
          <w:rFonts w:eastAsia="Calibri"/>
        </w:rPr>
        <w:t>d</w:t>
      </w:r>
      <w:r w:rsidRPr="002C38BF">
        <w:rPr>
          <w:rFonts w:eastAsia="Calibri"/>
        </w:rPr>
        <w:t>iscrimination</w:t>
      </w:r>
      <w:r>
        <w:rPr>
          <w:rFonts w:eastAsia="Calibri"/>
        </w:rPr>
        <w:t xml:space="preserve"> </w:t>
      </w:r>
      <w:r w:rsidRPr="002C38BF">
        <w:rPr>
          <w:rFonts w:eastAsia="Calibri"/>
        </w:rPr>
        <w:t xml:space="preserve">in </w:t>
      </w:r>
      <w:r>
        <w:rPr>
          <w:rFonts w:eastAsia="Calibri"/>
        </w:rPr>
        <w:t>s</w:t>
      </w:r>
      <w:r w:rsidRPr="002C38BF">
        <w:rPr>
          <w:rFonts w:eastAsia="Calibri"/>
        </w:rPr>
        <w:t xml:space="preserve">port </w:t>
      </w:r>
      <w:r>
        <w:rPr>
          <w:rFonts w:eastAsia="Calibri"/>
        </w:rPr>
        <w:t>u</w:t>
      </w:r>
      <w:r w:rsidRPr="002C38BF">
        <w:rPr>
          <w:rFonts w:eastAsia="Calibri"/>
        </w:rPr>
        <w:t>nit</w:t>
      </w:r>
      <w:r w:rsidR="00356B25">
        <w:rPr>
          <w:rFonts w:eastAsia="Calibri"/>
        </w:rPr>
        <w:t>”</w:t>
      </w:r>
      <w:r w:rsidRPr="002C38BF">
        <w:rPr>
          <w:rFonts w:eastAsia="Calibri"/>
        </w:rPr>
        <w:t xml:space="preserve"> to harmoni</w:t>
      </w:r>
      <w:r>
        <w:rPr>
          <w:rFonts w:eastAsia="Calibri"/>
        </w:rPr>
        <w:t>z</w:t>
      </w:r>
      <w:r w:rsidRPr="002C38BF">
        <w:rPr>
          <w:rFonts w:eastAsia="Calibri"/>
        </w:rPr>
        <w:t>e sport rules concerning inclusion and exclusion in order to combat discrimination in sport and to enforce sanctions</w:t>
      </w:r>
      <w:r>
        <w:rPr>
          <w:rFonts w:eastAsia="Calibri"/>
        </w:rPr>
        <w:t xml:space="preserve"> for non-compliance</w:t>
      </w:r>
      <w:r w:rsidRPr="002C38BF">
        <w:rPr>
          <w:rFonts w:eastAsia="Calibri"/>
        </w:rPr>
        <w:t>.</w:t>
      </w:r>
      <w:r w:rsidRPr="0012136D">
        <w:rPr>
          <w:rStyle w:val="FootnoteReference"/>
        </w:rPr>
        <w:footnoteReference w:id="102"/>
      </w:r>
      <w:r w:rsidRPr="002C38BF">
        <w:rPr>
          <w:rFonts w:eastAsia="Calibri"/>
        </w:rPr>
        <w:t xml:space="preserve"> </w:t>
      </w:r>
      <w:r>
        <w:rPr>
          <w:rFonts w:eastAsia="Calibri"/>
        </w:rPr>
        <w:t>Action 4 in the</w:t>
      </w:r>
      <w:r w:rsidRPr="002C38BF">
        <w:rPr>
          <w:rFonts w:eastAsia="Calibri"/>
        </w:rPr>
        <w:t xml:space="preserve"> Kazan Action Plan</w:t>
      </w:r>
      <w:r>
        <w:rPr>
          <w:rFonts w:eastAsia="Calibri"/>
        </w:rPr>
        <w:t xml:space="preserve"> mentions</w:t>
      </w:r>
      <w:r w:rsidRPr="002C38BF">
        <w:rPr>
          <w:rFonts w:eastAsia="Calibri"/>
        </w:rPr>
        <w:t xml:space="preserve"> the possibility of</w:t>
      </w:r>
      <w:r>
        <w:rPr>
          <w:rFonts w:eastAsia="Calibri"/>
        </w:rPr>
        <w:t xml:space="preserve"> establishing</w:t>
      </w:r>
      <w:r w:rsidRPr="002C38BF">
        <w:rPr>
          <w:rFonts w:eastAsia="Calibri"/>
        </w:rPr>
        <w:t xml:space="preserve"> a </w:t>
      </w:r>
      <w:r>
        <w:rPr>
          <w:rFonts w:eastAsia="Calibri"/>
        </w:rPr>
        <w:t>g</w:t>
      </w:r>
      <w:r w:rsidRPr="002C38BF">
        <w:rPr>
          <w:rFonts w:eastAsia="Calibri"/>
        </w:rPr>
        <w:t xml:space="preserve">lobal </w:t>
      </w:r>
      <w:r>
        <w:rPr>
          <w:rFonts w:eastAsia="Calibri"/>
        </w:rPr>
        <w:t>o</w:t>
      </w:r>
      <w:r w:rsidRPr="002C38BF">
        <w:rPr>
          <w:rFonts w:eastAsia="Calibri"/>
        </w:rPr>
        <w:t xml:space="preserve">bservatory for </w:t>
      </w:r>
      <w:r>
        <w:rPr>
          <w:rFonts w:eastAsia="Calibri"/>
        </w:rPr>
        <w:t>w</w:t>
      </w:r>
      <w:r w:rsidRPr="002C38BF">
        <w:rPr>
          <w:rFonts w:eastAsia="Calibri"/>
        </w:rPr>
        <w:t xml:space="preserve">omen, </w:t>
      </w:r>
      <w:r>
        <w:rPr>
          <w:rFonts w:eastAsia="Calibri"/>
        </w:rPr>
        <w:t>s</w:t>
      </w:r>
      <w:r w:rsidRPr="002C38BF">
        <w:rPr>
          <w:rFonts w:eastAsia="Calibri"/>
        </w:rPr>
        <w:t xml:space="preserve">port, </w:t>
      </w:r>
      <w:r>
        <w:rPr>
          <w:rFonts w:eastAsia="Calibri"/>
        </w:rPr>
        <w:t>p</w:t>
      </w:r>
      <w:r w:rsidRPr="002C38BF">
        <w:rPr>
          <w:rFonts w:eastAsia="Calibri"/>
        </w:rPr>
        <w:t xml:space="preserve">hysical </w:t>
      </w:r>
      <w:r>
        <w:rPr>
          <w:rFonts w:eastAsia="Calibri"/>
        </w:rPr>
        <w:t>e</w:t>
      </w:r>
      <w:r w:rsidRPr="002C38BF">
        <w:rPr>
          <w:rFonts w:eastAsia="Calibri"/>
        </w:rPr>
        <w:t xml:space="preserve">ducation and </w:t>
      </w:r>
      <w:r>
        <w:rPr>
          <w:rFonts w:eastAsia="Calibri"/>
        </w:rPr>
        <w:t>p</w:t>
      </w:r>
      <w:r w:rsidRPr="002C38BF">
        <w:rPr>
          <w:rFonts w:eastAsia="Calibri"/>
        </w:rPr>
        <w:t xml:space="preserve">hysical </w:t>
      </w:r>
      <w:r>
        <w:rPr>
          <w:rFonts w:eastAsia="Calibri"/>
        </w:rPr>
        <w:t>a</w:t>
      </w:r>
      <w:r w:rsidRPr="002C38BF">
        <w:rPr>
          <w:rFonts w:eastAsia="Calibri"/>
        </w:rPr>
        <w:t>ctivity</w:t>
      </w:r>
      <w:r>
        <w:rPr>
          <w:rFonts w:eastAsia="Calibri"/>
        </w:rPr>
        <w:t xml:space="preserve"> that</w:t>
      </w:r>
      <w:r w:rsidRPr="002C38BF">
        <w:rPr>
          <w:rFonts w:eastAsia="Calibri"/>
        </w:rPr>
        <w:t xml:space="preserve"> would, among other things, promote investment in women</w:t>
      </w:r>
      <w:r w:rsidR="00356B25">
        <w:rPr>
          <w:rFonts w:eastAsia="Calibri"/>
        </w:rPr>
        <w:t>’</w:t>
      </w:r>
      <w:r w:rsidRPr="002C38BF">
        <w:rPr>
          <w:rFonts w:eastAsia="Calibri"/>
        </w:rPr>
        <w:t>s and girls</w:t>
      </w:r>
      <w:r w:rsidR="00356B25">
        <w:rPr>
          <w:rFonts w:eastAsia="Calibri"/>
        </w:rPr>
        <w:t>’</w:t>
      </w:r>
      <w:r w:rsidRPr="002C38BF">
        <w:rPr>
          <w:rFonts w:eastAsia="Calibri"/>
        </w:rPr>
        <w:t xml:space="preserve"> participation in sport, establish measures to address gender-based violence in sport and monitor and evaluate progress </w:t>
      </w:r>
      <w:r>
        <w:rPr>
          <w:rFonts w:eastAsia="Calibri"/>
        </w:rPr>
        <w:t xml:space="preserve">made </w:t>
      </w:r>
      <w:r w:rsidRPr="002C38BF">
        <w:rPr>
          <w:rFonts w:eastAsia="Calibri"/>
        </w:rPr>
        <w:t xml:space="preserve">on </w:t>
      </w:r>
      <w:r>
        <w:rPr>
          <w:rFonts w:eastAsia="Calibri"/>
        </w:rPr>
        <w:t xml:space="preserve">achieving </w:t>
      </w:r>
      <w:r w:rsidRPr="002C38BF">
        <w:rPr>
          <w:rFonts w:eastAsia="Calibri"/>
        </w:rPr>
        <w:t>S</w:t>
      </w:r>
      <w:r>
        <w:rPr>
          <w:rFonts w:eastAsia="Calibri"/>
        </w:rPr>
        <w:t xml:space="preserve">ustainable </w:t>
      </w:r>
      <w:r w:rsidRPr="002C38BF">
        <w:rPr>
          <w:rFonts w:eastAsia="Calibri"/>
        </w:rPr>
        <w:t>D</w:t>
      </w:r>
      <w:r>
        <w:rPr>
          <w:rFonts w:eastAsia="Calibri"/>
        </w:rPr>
        <w:t xml:space="preserve">evelopment </w:t>
      </w:r>
      <w:r w:rsidRPr="002C38BF">
        <w:rPr>
          <w:rFonts w:eastAsia="Calibri"/>
        </w:rPr>
        <w:t>G</w:t>
      </w:r>
      <w:r>
        <w:rPr>
          <w:rFonts w:eastAsia="Calibri"/>
        </w:rPr>
        <w:t>oal</w:t>
      </w:r>
      <w:r w:rsidRPr="002C38BF">
        <w:rPr>
          <w:rFonts w:eastAsia="Calibri"/>
        </w:rPr>
        <w:t xml:space="preserve"> 5 as it relates to sport. </w:t>
      </w:r>
      <w:bookmarkStart w:id="9" w:name="_Hlk42587265"/>
      <w:r w:rsidRPr="002C38BF">
        <w:rPr>
          <w:rFonts w:cstheme="minorHAnsi"/>
        </w:rPr>
        <w:t>These suggestions all point to States</w:t>
      </w:r>
      <w:r w:rsidR="00356B25">
        <w:rPr>
          <w:rFonts w:cstheme="minorHAnsi"/>
        </w:rPr>
        <w:t>’</w:t>
      </w:r>
      <w:r w:rsidRPr="002C38BF">
        <w:rPr>
          <w:rFonts w:cstheme="minorHAnsi"/>
        </w:rPr>
        <w:t xml:space="preserve"> obligations to ensure the protection of human rights in sport generally and the </w:t>
      </w:r>
      <w:r w:rsidRPr="008A2521">
        <w:rPr>
          <w:rFonts w:cstheme="minorHAnsi"/>
        </w:rPr>
        <w:t>rights of women and girl athletes belonging to racial minorities in particular.</w:t>
      </w:r>
      <w:bookmarkEnd w:id="9"/>
    </w:p>
    <w:p w14:paraId="3FB775E5" w14:textId="77777777" w:rsidR="0012136D" w:rsidRPr="002C38BF" w:rsidRDefault="0012136D" w:rsidP="0012136D">
      <w:pPr>
        <w:pStyle w:val="HChG"/>
        <w:rPr>
          <w:rFonts w:eastAsia="Calibri"/>
        </w:rPr>
      </w:pPr>
      <w:r w:rsidRPr="002C38BF">
        <w:rPr>
          <w:rFonts w:eastAsia="Calibri"/>
        </w:rPr>
        <w:tab/>
      </w:r>
      <w:bookmarkStart w:id="10" w:name="_Toc42595816"/>
      <w:r w:rsidRPr="002C38BF">
        <w:rPr>
          <w:rFonts w:eastAsia="Calibri"/>
        </w:rPr>
        <w:t>VI.</w:t>
      </w:r>
      <w:r w:rsidRPr="002C38BF">
        <w:rPr>
          <w:rFonts w:eastAsia="Calibri"/>
        </w:rPr>
        <w:tab/>
        <w:t xml:space="preserve">Conclusions and </w:t>
      </w:r>
      <w:r>
        <w:rPr>
          <w:rFonts w:eastAsia="Calibri"/>
        </w:rPr>
        <w:t>r</w:t>
      </w:r>
      <w:r w:rsidRPr="002C38BF">
        <w:rPr>
          <w:rFonts w:eastAsia="Calibri"/>
        </w:rPr>
        <w:t>ecommendations</w:t>
      </w:r>
      <w:bookmarkEnd w:id="10"/>
    </w:p>
    <w:p w14:paraId="7C32B804" w14:textId="77777777" w:rsidR="0012136D" w:rsidRPr="002C38BF" w:rsidRDefault="0012136D" w:rsidP="0012136D">
      <w:pPr>
        <w:pStyle w:val="SingleTxtG"/>
        <w:rPr>
          <w:rFonts w:eastAsia="Calibri"/>
          <w:b/>
        </w:rPr>
      </w:pPr>
      <w:r w:rsidRPr="002C38BF">
        <w:rPr>
          <w:rFonts w:eastAsia="Calibri"/>
        </w:rPr>
        <w:t>51.</w:t>
      </w:r>
      <w:r w:rsidRPr="002C38BF">
        <w:rPr>
          <w:rFonts w:eastAsia="Calibri"/>
          <w:b/>
        </w:rPr>
        <w:tab/>
        <w:t>While sport is often an instrument for promoti</w:t>
      </w:r>
      <w:r>
        <w:rPr>
          <w:rFonts w:eastAsia="Calibri"/>
          <w:b/>
        </w:rPr>
        <w:t>ng</w:t>
      </w:r>
      <w:r w:rsidRPr="002C38BF">
        <w:rPr>
          <w:rFonts w:eastAsia="Calibri"/>
          <w:b/>
        </w:rPr>
        <w:t xml:space="preserve"> peace, development, solidarity and human rights,</w:t>
      </w:r>
      <w:r w:rsidRPr="0012136D">
        <w:rPr>
          <w:rStyle w:val="FootnoteReference"/>
        </w:rPr>
        <w:footnoteReference w:id="103"/>
      </w:r>
      <w:r w:rsidRPr="002C38BF">
        <w:rPr>
          <w:rFonts w:eastAsia="Calibri"/>
          <w:b/>
        </w:rPr>
        <w:t xml:space="preserve"> </w:t>
      </w:r>
      <w:r>
        <w:rPr>
          <w:rFonts w:eastAsia="Calibri"/>
          <w:b/>
        </w:rPr>
        <w:t>United Nations</w:t>
      </w:r>
      <w:r w:rsidRPr="002C38BF">
        <w:rPr>
          <w:rFonts w:eastAsia="Calibri"/>
          <w:b/>
        </w:rPr>
        <w:t xml:space="preserve"> human rights experts and activists have also noted that sport is often characterized by inequality and discrimination within and across national borders.</w:t>
      </w:r>
      <w:r w:rsidRPr="0012136D">
        <w:rPr>
          <w:rStyle w:val="FootnoteReference"/>
        </w:rPr>
        <w:footnoteReference w:id="104"/>
      </w:r>
    </w:p>
    <w:p w14:paraId="40CA6BE3" w14:textId="79434261" w:rsidR="0012136D" w:rsidRPr="002C38BF" w:rsidRDefault="0012136D" w:rsidP="0012136D">
      <w:pPr>
        <w:pStyle w:val="SingleTxtG"/>
        <w:rPr>
          <w:rFonts w:eastAsia="Calibri"/>
          <w:b/>
        </w:rPr>
      </w:pPr>
      <w:r w:rsidRPr="002C38BF">
        <w:rPr>
          <w:rFonts w:eastAsia="Calibri"/>
        </w:rPr>
        <w:t>52.</w:t>
      </w:r>
      <w:r w:rsidRPr="002C38BF">
        <w:rPr>
          <w:rFonts w:eastAsia="Calibri"/>
          <w:b/>
        </w:rPr>
        <w:tab/>
        <w:t>Despite the fact that some actions have been taken by international bodies, States and sporting bodies to respond to discrimination and to promote equal rights, the overall picture remains one of continuing, pervasive inequalities in women</w:t>
      </w:r>
      <w:r w:rsidR="00356B25">
        <w:rPr>
          <w:rFonts w:eastAsia="Calibri"/>
          <w:b/>
        </w:rPr>
        <w:t>’</w:t>
      </w:r>
      <w:r w:rsidRPr="002C38BF">
        <w:rPr>
          <w:rFonts w:eastAsia="Calibri"/>
          <w:b/>
        </w:rPr>
        <w:t>s and girls</w:t>
      </w:r>
      <w:r w:rsidR="00356B25">
        <w:rPr>
          <w:rFonts w:eastAsia="Calibri"/>
          <w:b/>
        </w:rPr>
        <w:t>’</w:t>
      </w:r>
      <w:r w:rsidRPr="002C38BF">
        <w:rPr>
          <w:rFonts w:eastAsia="Calibri"/>
          <w:b/>
        </w:rPr>
        <w:t xml:space="preserve"> access to sporting resources and activities at </w:t>
      </w:r>
      <w:r>
        <w:rPr>
          <w:rFonts w:eastAsia="Calibri"/>
          <w:b/>
        </w:rPr>
        <w:t xml:space="preserve">the </w:t>
      </w:r>
      <w:r w:rsidRPr="002C38BF">
        <w:rPr>
          <w:rFonts w:eastAsia="Calibri"/>
          <w:b/>
        </w:rPr>
        <w:t>local, national and transnational levels.</w:t>
      </w:r>
    </w:p>
    <w:p w14:paraId="3099B5D0" w14:textId="77777777" w:rsidR="0012136D" w:rsidRPr="002C38BF" w:rsidRDefault="0012136D" w:rsidP="0012136D">
      <w:pPr>
        <w:pStyle w:val="SingleTxtG"/>
        <w:rPr>
          <w:rFonts w:eastAsia="Calibri"/>
          <w:b/>
        </w:rPr>
      </w:pPr>
      <w:r w:rsidRPr="002C38BF">
        <w:rPr>
          <w:rFonts w:eastAsia="Calibri"/>
        </w:rPr>
        <w:t>53.</w:t>
      </w:r>
      <w:r w:rsidRPr="002C38BF">
        <w:rPr>
          <w:rFonts w:eastAsia="Calibri"/>
          <w:b/>
        </w:rPr>
        <w:tab/>
        <w:t xml:space="preserve">In addition, regulations regarding female eligibility </w:t>
      </w:r>
      <w:r>
        <w:rPr>
          <w:rFonts w:eastAsia="Calibri"/>
          <w:b/>
        </w:rPr>
        <w:t>to compete in</w:t>
      </w:r>
      <w:r w:rsidRPr="002C38BF">
        <w:rPr>
          <w:rFonts w:eastAsia="Calibri"/>
          <w:b/>
        </w:rPr>
        <w:t xml:space="preserve"> sport raise concerns </w:t>
      </w:r>
      <w:r>
        <w:rPr>
          <w:rFonts w:eastAsia="Calibri"/>
          <w:b/>
        </w:rPr>
        <w:t>about the ability of all athletes to</w:t>
      </w:r>
      <w:r w:rsidRPr="002C38BF">
        <w:rPr>
          <w:rFonts w:eastAsia="Calibri"/>
          <w:b/>
        </w:rPr>
        <w:t xml:space="preserve"> enjoy</w:t>
      </w:r>
      <w:r>
        <w:rPr>
          <w:rFonts w:eastAsia="Calibri"/>
          <w:b/>
        </w:rPr>
        <w:t xml:space="preserve"> their</w:t>
      </w:r>
      <w:r w:rsidRPr="002C38BF">
        <w:rPr>
          <w:rFonts w:eastAsia="Calibri"/>
          <w:b/>
        </w:rPr>
        <w:t xml:space="preserve"> rights. Private sports bodies and their rules and regulations dominate the current global and corporatized structure of sport governance</w:t>
      </w:r>
      <w:r>
        <w:rPr>
          <w:rFonts w:eastAsia="Calibri"/>
          <w:b/>
        </w:rPr>
        <w:t>.</w:t>
      </w:r>
      <w:r w:rsidRPr="002C38BF">
        <w:rPr>
          <w:rFonts w:eastAsia="Calibri"/>
          <w:b/>
        </w:rPr>
        <w:t xml:space="preserve"> Concerns have been raised in this context indicating that women and girl athletes may face serious obstacles to access</w:t>
      </w:r>
      <w:r>
        <w:rPr>
          <w:rFonts w:eastAsia="Calibri"/>
          <w:b/>
        </w:rPr>
        <w:t>ing</w:t>
      </w:r>
      <w:r w:rsidRPr="002C38BF">
        <w:rPr>
          <w:rFonts w:eastAsia="Calibri"/>
          <w:b/>
        </w:rPr>
        <w:t xml:space="preserve"> effective remedies and seek</w:t>
      </w:r>
      <w:r>
        <w:rPr>
          <w:rFonts w:eastAsia="Calibri"/>
          <w:b/>
        </w:rPr>
        <w:t>ing</w:t>
      </w:r>
      <w:r w:rsidRPr="002C38BF">
        <w:rPr>
          <w:rFonts w:eastAsia="Calibri"/>
          <w:b/>
        </w:rPr>
        <w:t xml:space="preserve"> full redress </w:t>
      </w:r>
      <w:r>
        <w:rPr>
          <w:rFonts w:eastAsia="Calibri"/>
          <w:b/>
        </w:rPr>
        <w:t xml:space="preserve">for </w:t>
      </w:r>
      <w:r w:rsidRPr="002C38BF">
        <w:rPr>
          <w:rFonts w:eastAsia="Calibri"/>
          <w:b/>
        </w:rPr>
        <w:t xml:space="preserve">violations of their human rights. In accordance with their obligations under international human rights law, States should ensure </w:t>
      </w:r>
      <w:r>
        <w:rPr>
          <w:rFonts w:eastAsia="Calibri"/>
          <w:b/>
        </w:rPr>
        <w:t xml:space="preserve">that </w:t>
      </w:r>
      <w:r w:rsidRPr="002C38BF">
        <w:rPr>
          <w:rFonts w:eastAsia="Calibri"/>
          <w:b/>
          <w:color w:val="000000"/>
        </w:rPr>
        <w:t>non-</w:t>
      </w:r>
      <w:r>
        <w:rPr>
          <w:rFonts w:eastAsia="Calibri"/>
          <w:b/>
          <w:color w:val="000000"/>
        </w:rPr>
        <w:t>S</w:t>
      </w:r>
      <w:r w:rsidRPr="002C38BF">
        <w:rPr>
          <w:rFonts w:eastAsia="Calibri"/>
          <w:b/>
          <w:color w:val="000000"/>
        </w:rPr>
        <w:t>tate actors, including sport governing bodies, respect human rights in their own regulatory regimes and are accountable for breaches.</w:t>
      </w:r>
    </w:p>
    <w:p w14:paraId="13E0B7F2" w14:textId="77777777" w:rsidR="0012136D" w:rsidRPr="002C38BF" w:rsidRDefault="0012136D" w:rsidP="0012136D">
      <w:pPr>
        <w:pStyle w:val="SingleTxtG"/>
        <w:rPr>
          <w:rFonts w:eastAsia="Calibri" w:cs="Calibri"/>
          <w:b/>
        </w:rPr>
      </w:pPr>
      <w:r w:rsidRPr="002C38BF">
        <w:rPr>
          <w:rFonts w:eastAsia="Calibri"/>
        </w:rPr>
        <w:t>54.</w:t>
      </w:r>
      <w:r w:rsidRPr="002C38BF">
        <w:rPr>
          <w:rFonts w:eastAsia="Calibri" w:cs="Calibri"/>
          <w:b/>
        </w:rPr>
        <w:tab/>
        <w:t xml:space="preserve">States </w:t>
      </w:r>
      <w:r w:rsidRPr="002C38BF">
        <w:rPr>
          <w:rFonts w:eastAsia="Calibri"/>
          <w:b/>
        </w:rPr>
        <w:t xml:space="preserve">have obligations to remove obstacles for women and girls in accessing sport, including social, cultural and economic barriers. To this end, they </w:t>
      </w:r>
      <w:r w:rsidRPr="002C38BF">
        <w:rPr>
          <w:rFonts w:eastAsia="Calibri" w:cs="Calibri"/>
          <w:b/>
        </w:rPr>
        <w:t>should address discrimination in sport on the basis of gender, race and other grounds by:</w:t>
      </w:r>
    </w:p>
    <w:p w14:paraId="2EFD680D" w14:textId="261E6F5B" w:rsidR="0012136D" w:rsidRPr="007911D0" w:rsidRDefault="00D07DEB" w:rsidP="00D07DEB">
      <w:pPr>
        <w:pStyle w:val="SingleTxtG"/>
        <w:rPr>
          <w:rFonts w:eastAsia="Calibri"/>
          <w:b/>
          <w:bCs/>
        </w:rPr>
      </w:pPr>
      <w:r>
        <w:rPr>
          <w:rFonts w:eastAsia="Calibri"/>
        </w:rPr>
        <w:tab/>
      </w:r>
      <w:r w:rsidR="0012136D" w:rsidRPr="00A8411A">
        <w:rPr>
          <w:rFonts w:eastAsia="Calibri"/>
        </w:rPr>
        <w:t>(a)</w:t>
      </w:r>
      <w:r w:rsidR="0012136D" w:rsidRPr="00A8411A">
        <w:rPr>
          <w:rFonts w:eastAsia="Calibri"/>
        </w:rPr>
        <w:tab/>
      </w:r>
      <w:r w:rsidR="0012136D" w:rsidRPr="007911D0">
        <w:rPr>
          <w:rFonts w:eastAsia="Calibri"/>
          <w:b/>
          <w:bCs/>
        </w:rPr>
        <w:t>Collecting data</w:t>
      </w:r>
      <w:r w:rsidR="0012136D">
        <w:rPr>
          <w:rFonts w:eastAsia="Calibri"/>
          <w:b/>
          <w:bCs/>
        </w:rPr>
        <w:t xml:space="preserve"> and</w:t>
      </w:r>
      <w:r w:rsidR="0012136D" w:rsidRPr="007911D0">
        <w:rPr>
          <w:rFonts w:eastAsia="Calibri"/>
          <w:b/>
          <w:bCs/>
        </w:rPr>
        <w:t xml:space="preserve"> providing analyses on the structural barriers to access to sport for diverse women and girls;</w:t>
      </w:r>
    </w:p>
    <w:p w14:paraId="4A8D89D9" w14:textId="78A2B36C" w:rsidR="0012136D" w:rsidRPr="007911D0" w:rsidRDefault="00D07DEB" w:rsidP="00D07DEB">
      <w:pPr>
        <w:pStyle w:val="SingleTxtG"/>
        <w:rPr>
          <w:rFonts w:eastAsia="Calibri"/>
          <w:b/>
          <w:bCs/>
        </w:rPr>
      </w:pPr>
      <w:r>
        <w:rPr>
          <w:rFonts w:eastAsia="Calibri"/>
        </w:rPr>
        <w:tab/>
      </w:r>
      <w:r w:rsidR="0012136D" w:rsidRPr="00A8411A">
        <w:rPr>
          <w:rFonts w:eastAsia="Calibri"/>
        </w:rPr>
        <w:t>(b)</w:t>
      </w:r>
      <w:r w:rsidR="0012136D" w:rsidRPr="007911D0">
        <w:rPr>
          <w:rFonts w:eastAsia="Calibri"/>
          <w:b/>
          <w:bCs/>
        </w:rPr>
        <w:tab/>
        <w:t>Ensuring that their national anti-discrimination law is adequate to address discrimination on the basis of gender, as well as compounded discrimination on the basis of gender and race or other prohibited grounds, including discrimination on the basis of particular intersex variations or on the basis of sex characteristics. Such domestic law, in conformity with international human rights obligations, needs to be applicable to and in practice be applied to sport governing bodies;</w:t>
      </w:r>
    </w:p>
    <w:p w14:paraId="32EE1C7B" w14:textId="14CA2D60" w:rsidR="0012136D" w:rsidRPr="007911D0" w:rsidRDefault="00D07DEB" w:rsidP="00D07DEB">
      <w:pPr>
        <w:pStyle w:val="SingleTxtG"/>
        <w:rPr>
          <w:rFonts w:eastAsia="Calibri"/>
          <w:b/>
          <w:bCs/>
        </w:rPr>
      </w:pPr>
      <w:r>
        <w:rPr>
          <w:rFonts w:eastAsia="Calibri"/>
        </w:rPr>
        <w:tab/>
      </w:r>
      <w:r w:rsidR="0012136D" w:rsidRPr="00A8411A">
        <w:rPr>
          <w:rFonts w:eastAsia="Calibri"/>
        </w:rPr>
        <w:t>(c)</w:t>
      </w:r>
      <w:r w:rsidR="0012136D" w:rsidRPr="007911D0">
        <w:rPr>
          <w:rFonts w:eastAsia="Calibri"/>
          <w:b/>
          <w:bCs/>
        </w:rPr>
        <w:tab/>
        <w:t>Reviewing laws, policies and program</w:t>
      </w:r>
      <w:r w:rsidR="0012136D">
        <w:rPr>
          <w:rFonts w:eastAsia="Calibri"/>
          <w:b/>
          <w:bCs/>
        </w:rPr>
        <w:t>me</w:t>
      </w:r>
      <w:r w:rsidR="0012136D" w:rsidRPr="007911D0">
        <w:rPr>
          <w:rFonts w:eastAsia="Calibri"/>
          <w:b/>
          <w:bCs/>
        </w:rPr>
        <w:t>s with a view to addressing barriers to equal access to sport for women and girls;</w:t>
      </w:r>
    </w:p>
    <w:p w14:paraId="73C75B92" w14:textId="2B3B6829" w:rsidR="0012136D" w:rsidRPr="007911D0" w:rsidRDefault="00D07DEB" w:rsidP="00D07DEB">
      <w:pPr>
        <w:pStyle w:val="SingleTxtG"/>
        <w:rPr>
          <w:rFonts w:eastAsia="Calibri"/>
          <w:b/>
          <w:bCs/>
        </w:rPr>
      </w:pPr>
      <w:r>
        <w:rPr>
          <w:rFonts w:eastAsia="Calibri"/>
        </w:rPr>
        <w:tab/>
      </w:r>
      <w:r w:rsidR="0012136D" w:rsidRPr="00A8411A">
        <w:rPr>
          <w:rFonts w:eastAsia="Calibri"/>
        </w:rPr>
        <w:t>(d)</w:t>
      </w:r>
      <w:r w:rsidR="0012136D" w:rsidRPr="007911D0">
        <w:rPr>
          <w:rFonts w:eastAsia="Calibri"/>
          <w:b/>
          <w:bCs/>
        </w:rPr>
        <w:tab/>
        <w:t>Ensuring access to adequate and effective remedies</w:t>
      </w:r>
      <w:r w:rsidR="0012136D">
        <w:rPr>
          <w:rFonts w:eastAsia="Calibri"/>
          <w:b/>
          <w:bCs/>
        </w:rPr>
        <w:t xml:space="preserve"> that</w:t>
      </w:r>
      <w:r w:rsidR="0012136D" w:rsidRPr="007911D0">
        <w:rPr>
          <w:rFonts w:eastAsia="Calibri"/>
          <w:b/>
          <w:bCs/>
        </w:rPr>
        <w:t xml:space="preserve"> can </w:t>
      </w:r>
      <w:r w:rsidR="0012136D">
        <w:rPr>
          <w:rFonts w:eastAsia="Calibri"/>
          <w:b/>
          <w:bCs/>
        </w:rPr>
        <w:t xml:space="preserve">provide </w:t>
      </w:r>
      <w:r w:rsidR="0012136D" w:rsidRPr="007911D0">
        <w:rPr>
          <w:rFonts w:eastAsia="Calibri"/>
          <w:b/>
          <w:bCs/>
        </w:rPr>
        <w:t>full redress for discrimination in sport;</w:t>
      </w:r>
    </w:p>
    <w:p w14:paraId="4210D56B" w14:textId="2117ADC9" w:rsidR="0012136D" w:rsidRPr="007911D0" w:rsidRDefault="00D07DEB" w:rsidP="00D07DEB">
      <w:pPr>
        <w:pStyle w:val="SingleTxtG"/>
        <w:rPr>
          <w:rFonts w:eastAsia="Calibri"/>
          <w:b/>
          <w:bCs/>
        </w:rPr>
      </w:pPr>
      <w:r>
        <w:rPr>
          <w:rFonts w:eastAsia="Calibri"/>
        </w:rPr>
        <w:tab/>
      </w:r>
      <w:r w:rsidR="0012136D" w:rsidRPr="00A8411A">
        <w:rPr>
          <w:rFonts w:eastAsia="Calibri"/>
        </w:rPr>
        <w:t>(e)</w:t>
      </w:r>
      <w:r w:rsidR="0012136D" w:rsidRPr="007911D0">
        <w:rPr>
          <w:rFonts w:eastAsia="Calibri"/>
          <w:b/>
          <w:bCs/>
        </w:rPr>
        <w:tab/>
        <w:t>Establishing national standards on non-discrimination in sport and provid</w:t>
      </w:r>
      <w:r w:rsidR="0012136D">
        <w:rPr>
          <w:rFonts w:eastAsia="Calibri"/>
          <w:b/>
          <w:bCs/>
        </w:rPr>
        <w:t>ing</w:t>
      </w:r>
      <w:r w:rsidR="0012136D" w:rsidRPr="007911D0">
        <w:rPr>
          <w:rFonts w:eastAsia="Calibri"/>
          <w:b/>
          <w:bCs/>
        </w:rPr>
        <w:t xml:space="preserve"> comprehensive, age-appropriate support for undertaking sporting activities at </w:t>
      </w:r>
      <w:r w:rsidR="0012136D">
        <w:rPr>
          <w:rFonts w:eastAsia="Calibri"/>
          <w:b/>
          <w:bCs/>
        </w:rPr>
        <w:t xml:space="preserve">the </w:t>
      </w:r>
      <w:r w:rsidR="0012136D" w:rsidRPr="007911D0">
        <w:rPr>
          <w:rFonts w:eastAsia="Calibri"/>
          <w:b/>
          <w:bCs/>
        </w:rPr>
        <w:t>local level;</w:t>
      </w:r>
    </w:p>
    <w:p w14:paraId="1AD83A92" w14:textId="2472B709" w:rsidR="0012136D" w:rsidRPr="007911D0" w:rsidRDefault="00D07DEB" w:rsidP="00D07DEB">
      <w:pPr>
        <w:pStyle w:val="SingleTxtG"/>
        <w:rPr>
          <w:rFonts w:eastAsia="Calibri"/>
          <w:b/>
          <w:bCs/>
        </w:rPr>
      </w:pPr>
      <w:r>
        <w:rPr>
          <w:rFonts w:eastAsia="Calibri"/>
        </w:rPr>
        <w:tab/>
      </w:r>
      <w:r w:rsidR="0012136D" w:rsidRPr="00A8411A">
        <w:rPr>
          <w:rFonts w:eastAsia="Calibri"/>
        </w:rPr>
        <w:t>(f)</w:t>
      </w:r>
      <w:r w:rsidR="0012136D" w:rsidRPr="007911D0">
        <w:rPr>
          <w:rFonts w:eastAsia="Calibri"/>
          <w:b/>
          <w:bCs/>
        </w:rPr>
        <w:tab/>
        <w:t>Integrating in national plans of action analyses of discrimination and other human rights abuses in sport based on gender, race and innate variations in sex characteristics, thereby ensuring coordination and adequate resourcing of related activities</w:t>
      </w:r>
      <w:r w:rsidR="0012136D">
        <w:rPr>
          <w:rFonts w:eastAsia="Calibri"/>
          <w:b/>
          <w:bCs/>
        </w:rPr>
        <w:t xml:space="preserve"> –</w:t>
      </w:r>
      <w:r w:rsidR="0012136D" w:rsidRPr="007911D0">
        <w:rPr>
          <w:rFonts w:eastAsia="Calibri"/>
          <w:b/>
          <w:bCs/>
        </w:rPr>
        <w:t xml:space="preserve"> including awareness</w:t>
      </w:r>
      <w:r w:rsidR="0012136D">
        <w:rPr>
          <w:rFonts w:eastAsia="Calibri"/>
          <w:b/>
          <w:bCs/>
        </w:rPr>
        <w:t>-</w:t>
      </w:r>
      <w:r w:rsidR="0012136D" w:rsidRPr="007911D0">
        <w:rPr>
          <w:rFonts w:eastAsia="Calibri"/>
          <w:b/>
          <w:bCs/>
        </w:rPr>
        <w:t>raising and capacity</w:t>
      </w:r>
      <w:r w:rsidR="0012136D">
        <w:rPr>
          <w:rFonts w:eastAsia="Calibri"/>
          <w:b/>
          <w:bCs/>
        </w:rPr>
        <w:t>-</w:t>
      </w:r>
      <w:r w:rsidR="0012136D" w:rsidRPr="007911D0">
        <w:rPr>
          <w:rFonts w:eastAsia="Calibri"/>
          <w:b/>
          <w:bCs/>
        </w:rPr>
        <w:t>building of relevant actors</w:t>
      </w:r>
      <w:r w:rsidR="0012136D">
        <w:rPr>
          <w:rFonts w:eastAsia="Calibri"/>
          <w:b/>
          <w:bCs/>
        </w:rPr>
        <w:t xml:space="preserve">, </w:t>
      </w:r>
      <w:r w:rsidR="0012136D" w:rsidRPr="007911D0">
        <w:rPr>
          <w:rFonts w:eastAsia="Calibri"/>
          <w:b/>
          <w:bCs/>
        </w:rPr>
        <w:t>accountability for harm</w:t>
      </w:r>
      <w:r w:rsidR="0012136D">
        <w:rPr>
          <w:rFonts w:eastAsia="Calibri"/>
          <w:b/>
          <w:bCs/>
        </w:rPr>
        <w:t xml:space="preserve"> caused </w:t>
      </w:r>
      <w:r w:rsidR="0012136D" w:rsidRPr="007911D0">
        <w:rPr>
          <w:rFonts w:eastAsia="Calibri"/>
          <w:b/>
          <w:bCs/>
        </w:rPr>
        <w:t>and redress for victims;</w:t>
      </w:r>
    </w:p>
    <w:p w14:paraId="744BBE90" w14:textId="5FE4A4E4" w:rsidR="0012136D" w:rsidRPr="007911D0" w:rsidRDefault="00D07DEB" w:rsidP="00D07DEB">
      <w:pPr>
        <w:pStyle w:val="SingleTxtG"/>
        <w:rPr>
          <w:rFonts w:eastAsia="Calibri"/>
          <w:b/>
          <w:bCs/>
        </w:rPr>
      </w:pPr>
      <w:r>
        <w:rPr>
          <w:rFonts w:eastAsia="Calibri"/>
        </w:rPr>
        <w:tab/>
      </w:r>
      <w:r w:rsidR="0012136D" w:rsidRPr="00A8411A">
        <w:rPr>
          <w:rFonts w:eastAsia="Calibri"/>
        </w:rPr>
        <w:t>(g)</w:t>
      </w:r>
      <w:r w:rsidR="0012136D" w:rsidRPr="007911D0">
        <w:rPr>
          <w:rFonts w:eastAsia="Calibri"/>
          <w:b/>
          <w:bCs/>
        </w:rPr>
        <w:tab/>
        <w:t>Collecting and publishing data on the number and types of discrimination and abuse, specifically data disaggregated by race, gender and with attention to marginalized communities, while providing for the security of those reporting.</w:t>
      </w:r>
    </w:p>
    <w:p w14:paraId="18DA9E1D" w14:textId="77777777" w:rsidR="0012136D" w:rsidRPr="002C38BF" w:rsidRDefault="0012136D" w:rsidP="0012136D">
      <w:pPr>
        <w:pStyle w:val="SingleTxtG"/>
        <w:rPr>
          <w:rFonts w:eastAsia="Calibri"/>
          <w:b/>
        </w:rPr>
      </w:pPr>
      <w:r w:rsidRPr="009230B3">
        <w:rPr>
          <w:rFonts w:eastAsia="Calibri"/>
        </w:rPr>
        <w:t>55.</w:t>
      </w:r>
      <w:r w:rsidRPr="009230B3">
        <w:rPr>
          <w:rFonts w:eastAsia="Calibri"/>
          <w:b/>
        </w:rPr>
        <w:tab/>
        <w:t>States should prohibit the enforcement of regulations that pressure athletes to undergo unnecessary medical intervention</w:t>
      </w:r>
      <w:r>
        <w:rPr>
          <w:rFonts w:eastAsia="Calibri"/>
          <w:b/>
        </w:rPr>
        <w:t>s</w:t>
      </w:r>
      <w:r w:rsidRPr="009230B3">
        <w:rPr>
          <w:rFonts w:eastAsia="Calibri"/>
          <w:b/>
        </w:rPr>
        <w:t xml:space="preserve"> as a precondition </w:t>
      </w:r>
      <w:r>
        <w:rPr>
          <w:rFonts w:eastAsia="Calibri"/>
          <w:b/>
        </w:rPr>
        <w:t>for</w:t>
      </w:r>
      <w:r w:rsidRPr="009230B3">
        <w:rPr>
          <w:rFonts w:eastAsia="Calibri"/>
          <w:b/>
        </w:rPr>
        <w:t xml:space="preserve"> participat</w:t>
      </w:r>
      <w:r>
        <w:rPr>
          <w:rFonts w:eastAsia="Calibri"/>
          <w:b/>
        </w:rPr>
        <w:t>ing</w:t>
      </w:r>
      <w:r w:rsidRPr="009230B3">
        <w:rPr>
          <w:rFonts w:eastAsia="Calibri"/>
          <w:b/>
        </w:rPr>
        <w:t xml:space="preserve"> in sport and should review and investigate </w:t>
      </w:r>
      <w:r>
        <w:rPr>
          <w:rFonts w:eastAsia="Calibri"/>
          <w:b/>
        </w:rPr>
        <w:t xml:space="preserve">the </w:t>
      </w:r>
      <w:r w:rsidRPr="009230B3">
        <w:rPr>
          <w:rFonts w:eastAsia="Calibri"/>
          <w:b/>
        </w:rPr>
        <w:t>alleged enforcement</w:t>
      </w:r>
      <w:r>
        <w:rPr>
          <w:rFonts w:eastAsia="Calibri"/>
          <w:b/>
        </w:rPr>
        <w:t xml:space="preserve"> of such regulations</w:t>
      </w:r>
      <w:r w:rsidRPr="009230B3">
        <w:rPr>
          <w:rFonts w:eastAsia="Calibri"/>
          <w:b/>
        </w:rPr>
        <w:t>.</w:t>
      </w:r>
    </w:p>
    <w:p w14:paraId="15F0857F" w14:textId="77777777" w:rsidR="0012136D" w:rsidRPr="002C38BF" w:rsidRDefault="0012136D" w:rsidP="0012136D">
      <w:pPr>
        <w:pStyle w:val="SingleTxtG"/>
        <w:rPr>
          <w:rFonts w:eastAsia="Calibri"/>
          <w:b/>
        </w:rPr>
      </w:pPr>
      <w:r w:rsidRPr="002C38BF">
        <w:rPr>
          <w:rFonts w:eastAsia="Calibri"/>
        </w:rPr>
        <w:t>56.</w:t>
      </w:r>
      <w:r w:rsidRPr="002C38BF">
        <w:rPr>
          <w:rFonts w:eastAsia="Calibri"/>
          <w:b/>
        </w:rPr>
        <w:tab/>
        <w:t>States should ensure that athletes know their rights</w:t>
      </w:r>
      <w:r>
        <w:rPr>
          <w:rFonts w:eastAsia="Calibri"/>
          <w:b/>
        </w:rPr>
        <w:t>.</w:t>
      </w:r>
      <w:r w:rsidRPr="002C38BF">
        <w:rPr>
          <w:rFonts w:eastAsia="Calibri"/>
          <w:b/>
        </w:rPr>
        <w:t xml:space="preserve"> </w:t>
      </w:r>
      <w:r>
        <w:rPr>
          <w:rFonts w:eastAsia="Calibri"/>
          <w:b/>
        </w:rPr>
        <w:t>They should also ensure that athletes</w:t>
      </w:r>
      <w:r w:rsidRPr="002C38BF">
        <w:rPr>
          <w:rFonts w:eastAsia="Calibri"/>
          <w:b/>
        </w:rPr>
        <w:t xml:space="preserve"> have access to legal remedy</w:t>
      </w:r>
      <w:r>
        <w:rPr>
          <w:rFonts w:eastAsia="Calibri"/>
          <w:b/>
        </w:rPr>
        <w:t xml:space="preserve"> and </w:t>
      </w:r>
      <w:r w:rsidRPr="002C38BF">
        <w:rPr>
          <w:rFonts w:eastAsia="Calibri"/>
          <w:b/>
        </w:rPr>
        <w:t xml:space="preserve">have the legal capacity and social support to act, collectively as well as individually, to protect their rights and seek and receive all </w:t>
      </w:r>
      <w:r>
        <w:rPr>
          <w:rFonts w:eastAsia="Calibri"/>
          <w:b/>
        </w:rPr>
        <w:t xml:space="preserve">the </w:t>
      </w:r>
      <w:r w:rsidRPr="002C38BF">
        <w:rPr>
          <w:rFonts w:eastAsia="Calibri"/>
          <w:b/>
        </w:rPr>
        <w:t xml:space="preserve">information </w:t>
      </w:r>
      <w:r>
        <w:rPr>
          <w:rFonts w:eastAsia="Calibri"/>
          <w:b/>
        </w:rPr>
        <w:t>they need to make</w:t>
      </w:r>
      <w:r w:rsidRPr="002C38BF">
        <w:rPr>
          <w:rFonts w:eastAsia="Calibri"/>
          <w:b/>
        </w:rPr>
        <w:t xml:space="preserve"> decision</w:t>
      </w:r>
      <w:r>
        <w:rPr>
          <w:rFonts w:eastAsia="Calibri"/>
          <w:b/>
        </w:rPr>
        <w:t>s</w:t>
      </w:r>
      <w:r w:rsidRPr="002C38BF">
        <w:rPr>
          <w:rFonts w:eastAsia="Calibri"/>
          <w:b/>
        </w:rPr>
        <w:t xml:space="preserve"> at every level of </w:t>
      </w:r>
      <w:r>
        <w:rPr>
          <w:rFonts w:eastAsia="Calibri"/>
          <w:b/>
        </w:rPr>
        <w:t xml:space="preserve">their </w:t>
      </w:r>
      <w:r w:rsidRPr="002C38BF">
        <w:rPr>
          <w:rFonts w:eastAsia="Calibri"/>
          <w:b/>
        </w:rPr>
        <w:t xml:space="preserve">engagement </w:t>
      </w:r>
      <w:r>
        <w:rPr>
          <w:rFonts w:eastAsia="Calibri"/>
          <w:b/>
        </w:rPr>
        <w:t>in</w:t>
      </w:r>
      <w:r w:rsidRPr="002C38BF">
        <w:rPr>
          <w:rFonts w:eastAsia="Calibri"/>
          <w:b/>
        </w:rPr>
        <w:t xml:space="preserve"> sport.</w:t>
      </w:r>
    </w:p>
    <w:p w14:paraId="473E0D23" w14:textId="77777777" w:rsidR="0012136D" w:rsidRPr="002C38BF" w:rsidRDefault="0012136D" w:rsidP="0012136D">
      <w:pPr>
        <w:pStyle w:val="SingleTxtG"/>
        <w:rPr>
          <w:rFonts w:eastAsia="Calibri"/>
          <w:b/>
        </w:rPr>
      </w:pPr>
      <w:r w:rsidRPr="002C38BF">
        <w:rPr>
          <w:rFonts w:eastAsia="Calibri"/>
        </w:rPr>
        <w:t>57.</w:t>
      </w:r>
      <w:r w:rsidRPr="002C38BF">
        <w:rPr>
          <w:rFonts w:eastAsia="Calibri"/>
          <w:b/>
        </w:rPr>
        <w:tab/>
        <w:t xml:space="preserve">States should consider </w:t>
      </w:r>
      <w:r>
        <w:rPr>
          <w:rFonts w:eastAsia="Calibri"/>
          <w:b/>
        </w:rPr>
        <w:t xml:space="preserve">taking </w:t>
      </w:r>
      <w:r w:rsidRPr="002C38BF">
        <w:rPr>
          <w:rFonts w:eastAsia="Calibri"/>
          <w:b/>
        </w:rPr>
        <w:t>collective action on behalf of athletes</w:t>
      </w:r>
      <w:r>
        <w:rPr>
          <w:rFonts w:eastAsia="Calibri"/>
          <w:b/>
        </w:rPr>
        <w:t>,</w:t>
      </w:r>
      <w:r w:rsidRPr="002C38BF">
        <w:rPr>
          <w:rFonts w:eastAsia="Calibri"/>
          <w:b/>
        </w:rPr>
        <w:t xml:space="preserve"> including with</w:t>
      </w:r>
      <w:r>
        <w:rPr>
          <w:rFonts w:eastAsia="Calibri"/>
          <w:b/>
        </w:rPr>
        <w:t xml:space="preserve"> the</w:t>
      </w:r>
      <w:r w:rsidRPr="002C38BF">
        <w:rPr>
          <w:rFonts w:eastAsia="Calibri"/>
          <w:b/>
        </w:rPr>
        <w:t xml:space="preserve"> involvement of sporting bodies</w:t>
      </w:r>
      <w:r>
        <w:rPr>
          <w:rFonts w:eastAsia="Calibri"/>
          <w:b/>
        </w:rPr>
        <w:t>,</w:t>
      </w:r>
      <w:r w:rsidRPr="002C38BF">
        <w:rPr>
          <w:rFonts w:eastAsia="Calibri"/>
          <w:b/>
        </w:rPr>
        <w:t xml:space="preserve"> to address the gaps in accountability arising from the practices and policies</w:t>
      </w:r>
      <w:r>
        <w:rPr>
          <w:rFonts w:eastAsia="Calibri"/>
          <w:b/>
        </w:rPr>
        <w:t xml:space="preserve"> of sporting bodies</w:t>
      </w:r>
      <w:r w:rsidRPr="002C38BF">
        <w:rPr>
          <w:rFonts w:eastAsia="Calibri"/>
          <w:b/>
        </w:rPr>
        <w:t>.</w:t>
      </w:r>
    </w:p>
    <w:p w14:paraId="328AD3CE" w14:textId="77777777" w:rsidR="0012136D" w:rsidRPr="002C38BF" w:rsidRDefault="0012136D" w:rsidP="0012136D">
      <w:pPr>
        <w:pStyle w:val="SingleTxtG"/>
        <w:rPr>
          <w:rFonts w:eastAsia="Calibri"/>
          <w:b/>
          <w:highlight w:val="yellow"/>
        </w:rPr>
      </w:pPr>
      <w:r w:rsidRPr="002C38BF">
        <w:rPr>
          <w:rFonts w:eastAsia="Calibri"/>
        </w:rPr>
        <w:t>58</w:t>
      </w:r>
      <w:r w:rsidRPr="007911D0">
        <w:rPr>
          <w:rFonts w:eastAsia="Calibri"/>
          <w:bCs/>
        </w:rPr>
        <w:t>.</w:t>
      </w:r>
      <w:r w:rsidRPr="002C38BF">
        <w:rPr>
          <w:rFonts w:eastAsia="Calibri"/>
          <w:b/>
        </w:rPr>
        <w:tab/>
        <w:t xml:space="preserve">States and sporting bodies should establish a process to review rules, regulations, contracts and agreements to ensure </w:t>
      </w:r>
      <w:r>
        <w:rPr>
          <w:rFonts w:eastAsia="Calibri"/>
          <w:b/>
        </w:rPr>
        <w:t xml:space="preserve">their </w:t>
      </w:r>
      <w:r w:rsidRPr="002C38BF">
        <w:rPr>
          <w:rFonts w:eastAsia="Calibri"/>
          <w:b/>
        </w:rPr>
        <w:t>compliance with international human rights norms and standards</w:t>
      </w:r>
      <w:r>
        <w:rPr>
          <w:rFonts w:eastAsia="Calibri"/>
          <w:b/>
        </w:rPr>
        <w:t>, paying</w:t>
      </w:r>
      <w:r w:rsidRPr="002C38BF">
        <w:rPr>
          <w:rFonts w:eastAsia="Calibri"/>
          <w:b/>
        </w:rPr>
        <w:t xml:space="preserve"> particular attention to the need </w:t>
      </w:r>
      <w:r>
        <w:rPr>
          <w:rFonts w:eastAsia="Calibri"/>
          <w:b/>
        </w:rPr>
        <w:t xml:space="preserve">to </w:t>
      </w:r>
      <w:r w:rsidRPr="002C38BF">
        <w:rPr>
          <w:rFonts w:eastAsia="Calibri"/>
          <w:b/>
        </w:rPr>
        <w:t xml:space="preserve">protect from discrimination and </w:t>
      </w:r>
      <w:r>
        <w:rPr>
          <w:rFonts w:eastAsia="Calibri"/>
          <w:b/>
        </w:rPr>
        <w:t xml:space="preserve">to provide </w:t>
      </w:r>
      <w:r w:rsidRPr="002C38BF">
        <w:rPr>
          <w:rFonts w:eastAsia="Calibri"/>
          <w:b/>
        </w:rPr>
        <w:t xml:space="preserve">adequate remedies, including </w:t>
      </w:r>
      <w:r>
        <w:rPr>
          <w:rFonts w:eastAsia="Calibri"/>
          <w:b/>
        </w:rPr>
        <w:t>in respect of</w:t>
      </w:r>
      <w:r w:rsidRPr="002C38BF">
        <w:rPr>
          <w:rFonts w:eastAsia="Calibri"/>
          <w:b/>
          <w:color w:val="000000"/>
        </w:rPr>
        <w:t xml:space="preserve"> arbitration clauses, </w:t>
      </w:r>
      <w:r>
        <w:rPr>
          <w:rFonts w:eastAsia="Calibri"/>
          <w:b/>
          <w:color w:val="000000"/>
        </w:rPr>
        <w:t>so that</w:t>
      </w:r>
      <w:r w:rsidRPr="002C38BF">
        <w:rPr>
          <w:rFonts w:eastAsia="Calibri"/>
          <w:b/>
          <w:color w:val="000000"/>
        </w:rPr>
        <w:t xml:space="preserve"> they do not </w:t>
      </w:r>
      <w:r>
        <w:rPr>
          <w:rFonts w:eastAsia="Calibri"/>
          <w:b/>
          <w:color w:val="000000"/>
        </w:rPr>
        <w:t>violate</w:t>
      </w:r>
      <w:r w:rsidRPr="002C38BF">
        <w:rPr>
          <w:rFonts w:eastAsia="Calibri"/>
          <w:b/>
          <w:color w:val="000000"/>
        </w:rPr>
        <w:t xml:space="preserve"> the rights of athletes.</w:t>
      </w:r>
    </w:p>
    <w:p w14:paraId="12EC4262" w14:textId="77777777" w:rsidR="0012136D" w:rsidRPr="002C38BF" w:rsidRDefault="0012136D" w:rsidP="0012136D">
      <w:pPr>
        <w:pStyle w:val="SingleTxtG"/>
        <w:rPr>
          <w:rFonts w:eastAsia="Calibri"/>
          <w:b/>
        </w:rPr>
      </w:pPr>
      <w:r w:rsidRPr="002C38BF">
        <w:rPr>
          <w:rFonts w:eastAsia="Calibri"/>
        </w:rPr>
        <w:t>59.</w:t>
      </w:r>
      <w:r w:rsidRPr="002C38BF">
        <w:rPr>
          <w:rFonts w:eastAsia="Calibri"/>
          <w:b/>
        </w:rPr>
        <w:tab/>
      </w:r>
      <w:r>
        <w:rPr>
          <w:rFonts w:eastAsia="Calibri"/>
          <w:b/>
        </w:rPr>
        <w:t>I</w:t>
      </w:r>
      <w:r w:rsidRPr="002C38BF">
        <w:rPr>
          <w:rFonts w:eastAsia="Calibri"/>
          <w:b/>
        </w:rPr>
        <w:t>n light of their distinct obligations and responsibilities,</w:t>
      </w:r>
      <w:r w:rsidRPr="00072CCA">
        <w:rPr>
          <w:rFonts w:eastAsia="Calibri"/>
          <w:b/>
        </w:rPr>
        <w:t xml:space="preserve"> </w:t>
      </w:r>
      <w:r w:rsidRPr="002C38BF">
        <w:rPr>
          <w:rFonts w:eastAsia="Calibri"/>
          <w:b/>
        </w:rPr>
        <w:t xml:space="preserve">States and sporting bodies should work together to </w:t>
      </w:r>
      <w:r>
        <w:rPr>
          <w:rFonts w:eastAsia="Calibri"/>
          <w:b/>
        </w:rPr>
        <w:t>promote the inclusion of</w:t>
      </w:r>
      <w:r w:rsidRPr="002C38BF">
        <w:rPr>
          <w:rFonts w:eastAsia="Calibri"/>
          <w:b/>
        </w:rPr>
        <w:t xml:space="preserve"> women and girls in sporting activities, </w:t>
      </w:r>
      <w:r>
        <w:rPr>
          <w:rFonts w:eastAsia="Calibri"/>
          <w:b/>
        </w:rPr>
        <w:t>paying particular</w:t>
      </w:r>
      <w:r w:rsidRPr="002C38BF">
        <w:rPr>
          <w:rFonts w:eastAsia="Calibri"/>
          <w:b/>
        </w:rPr>
        <w:t xml:space="preserve"> attention to </w:t>
      </w:r>
      <w:r>
        <w:rPr>
          <w:rFonts w:eastAsia="Calibri"/>
          <w:b/>
        </w:rPr>
        <w:t>women and girls</w:t>
      </w:r>
      <w:r w:rsidRPr="002C38BF">
        <w:rPr>
          <w:rFonts w:eastAsia="Calibri"/>
          <w:b/>
        </w:rPr>
        <w:t xml:space="preserve"> marginalized on account of </w:t>
      </w:r>
      <w:r>
        <w:rPr>
          <w:rFonts w:eastAsia="Calibri"/>
          <w:b/>
        </w:rPr>
        <w:t xml:space="preserve">their </w:t>
      </w:r>
      <w:r w:rsidRPr="002C38BF">
        <w:rPr>
          <w:rFonts w:eastAsia="Calibri"/>
          <w:b/>
        </w:rPr>
        <w:t xml:space="preserve">race, nationality, immigration or refugee status, ethnicity, religion, HIV </w:t>
      </w:r>
      <w:r>
        <w:rPr>
          <w:rFonts w:eastAsia="Calibri"/>
          <w:b/>
        </w:rPr>
        <w:t>or</w:t>
      </w:r>
      <w:r w:rsidRPr="002C38BF">
        <w:rPr>
          <w:rFonts w:eastAsia="Calibri"/>
          <w:b/>
        </w:rPr>
        <w:t xml:space="preserve"> other health status, disability, maternity/parental status</w:t>
      </w:r>
      <w:r>
        <w:rPr>
          <w:rFonts w:eastAsia="Calibri"/>
          <w:b/>
        </w:rPr>
        <w:t xml:space="preserve"> or</w:t>
      </w:r>
      <w:r w:rsidRPr="002C38BF">
        <w:rPr>
          <w:rFonts w:eastAsia="Calibri"/>
          <w:b/>
        </w:rPr>
        <w:t xml:space="preserve"> gender/gender identity or sexual orientation, and create equality</w:t>
      </w:r>
      <w:r>
        <w:rPr>
          <w:rFonts w:eastAsia="Calibri"/>
          <w:b/>
        </w:rPr>
        <w:t>-</w:t>
      </w:r>
      <w:r w:rsidRPr="002C38BF">
        <w:rPr>
          <w:rFonts w:eastAsia="Calibri"/>
          <w:b/>
        </w:rPr>
        <w:t>affirming program</w:t>
      </w:r>
      <w:r>
        <w:rPr>
          <w:rFonts w:eastAsia="Calibri"/>
          <w:b/>
        </w:rPr>
        <w:t>me</w:t>
      </w:r>
      <w:r w:rsidRPr="002C38BF">
        <w:rPr>
          <w:rFonts w:eastAsia="Calibri"/>
          <w:b/>
        </w:rPr>
        <w:t>s and policies by:</w:t>
      </w:r>
    </w:p>
    <w:p w14:paraId="0CBB5417" w14:textId="264254B2" w:rsidR="0012136D" w:rsidRPr="007911D0" w:rsidRDefault="00132E4B" w:rsidP="00132E4B">
      <w:pPr>
        <w:pStyle w:val="SingleTxtG"/>
        <w:rPr>
          <w:rFonts w:eastAsia="Calibri"/>
          <w:b/>
          <w:bCs/>
        </w:rPr>
      </w:pPr>
      <w:r>
        <w:rPr>
          <w:rFonts w:eastAsia="Calibri"/>
        </w:rPr>
        <w:tab/>
      </w:r>
      <w:r w:rsidR="0012136D" w:rsidRPr="002C38BF">
        <w:rPr>
          <w:rFonts w:eastAsia="Calibri"/>
        </w:rPr>
        <w:t>(a)</w:t>
      </w:r>
      <w:r w:rsidR="0012136D" w:rsidRPr="002C38BF">
        <w:rPr>
          <w:rFonts w:eastAsia="Calibri"/>
        </w:rPr>
        <w:tab/>
      </w:r>
      <w:r w:rsidR="0012136D" w:rsidRPr="007911D0">
        <w:rPr>
          <w:rFonts w:eastAsia="Calibri"/>
          <w:b/>
          <w:bCs/>
        </w:rPr>
        <w:t>Ensuring</w:t>
      </w:r>
      <w:r w:rsidR="0012136D">
        <w:rPr>
          <w:rFonts w:eastAsia="Calibri"/>
          <w:b/>
          <w:bCs/>
        </w:rPr>
        <w:t xml:space="preserve"> the</w:t>
      </w:r>
      <w:r w:rsidR="0012136D" w:rsidRPr="007911D0">
        <w:rPr>
          <w:rFonts w:eastAsia="Calibri"/>
          <w:b/>
          <w:bCs/>
        </w:rPr>
        <w:t xml:space="preserve"> inclusion of and cooperation with organizations</w:t>
      </w:r>
      <w:r w:rsidR="0012136D">
        <w:rPr>
          <w:rFonts w:eastAsia="Calibri"/>
          <w:b/>
          <w:bCs/>
        </w:rPr>
        <w:t xml:space="preserve"> led by intersex persons</w:t>
      </w:r>
      <w:r w:rsidR="0012136D" w:rsidRPr="007911D0">
        <w:rPr>
          <w:rFonts w:eastAsia="Calibri"/>
          <w:b/>
          <w:bCs/>
        </w:rPr>
        <w:t xml:space="preserve"> in efforts to include </w:t>
      </w:r>
      <w:r w:rsidR="0012136D">
        <w:rPr>
          <w:rFonts w:eastAsia="Calibri"/>
          <w:b/>
          <w:bCs/>
        </w:rPr>
        <w:t>more</w:t>
      </w:r>
      <w:r w:rsidR="0012136D" w:rsidRPr="007911D0">
        <w:rPr>
          <w:rFonts w:eastAsia="Calibri"/>
          <w:b/>
          <w:bCs/>
        </w:rPr>
        <w:t xml:space="preserve"> and </w:t>
      </w:r>
      <w:r w:rsidR="0012136D">
        <w:rPr>
          <w:rFonts w:eastAsia="Calibri"/>
          <w:b/>
          <w:bCs/>
        </w:rPr>
        <w:t xml:space="preserve">a greater </w:t>
      </w:r>
      <w:r w:rsidR="0012136D" w:rsidRPr="007911D0">
        <w:rPr>
          <w:rFonts w:eastAsia="Calibri"/>
          <w:b/>
          <w:bCs/>
        </w:rPr>
        <w:t>diversity of women and girls</w:t>
      </w:r>
      <w:r w:rsidR="00356B25">
        <w:rPr>
          <w:rFonts w:eastAsia="Calibri"/>
          <w:b/>
          <w:bCs/>
        </w:rPr>
        <w:t>’</w:t>
      </w:r>
      <w:r w:rsidR="0012136D" w:rsidRPr="007911D0">
        <w:rPr>
          <w:rFonts w:eastAsia="Calibri"/>
          <w:b/>
          <w:bCs/>
        </w:rPr>
        <w:t xml:space="preserve"> sport</w:t>
      </w:r>
      <w:r w:rsidR="0012136D">
        <w:rPr>
          <w:rFonts w:eastAsia="Calibri"/>
          <w:b/>
          <w:bCs/>
        </w:rPr>
        <w:t>;</w:t>
      </w:r>
    </w:p>
    <w:p w14:paraId="0995A976" w14:textId="4CBC44B8" w:rsidR="0012136D" w:rsidRPr="007911D0" w:rsidRDefault="00132E4B" w:rsidP="00132E4B">
      <w:pPr>
        <w:pStyle w:val="SingleTxtG"/>
        <w:rPr>
          <w:rFonts w:eastAsia="Calibri"/>
          <w:b/>
          <w:bCs/>
        </w:rPr>
      </w:pPr>
      <w:r>
        <w:rPr>
          <w:rFonts w:eastAsia="Calibri"/>
        </w:rPr>
        <w:tab/>
      </w:r>
      <w:r w:rsidR="0012136D" w:rsidRPr="002C38BF">
        <w:rPr>
          <w:rFonts w:eastAsia="Calibri"/>
        </w:rPr>
        <w:t>(b)</w:t>
      </w:r>
      <w:r w:rsidR="0012136D" w:rsidRPr="002C38BF">
        <w:rPr>
          <w:rFonts w:eastAsia="Calibri"/>
        </w:rPr>
        <w:tab/>
      </w:r>
      <w:r w:rsidR="0012136D" w:rsidRPr="007911D0">
        <w:rPr>
          <w:rFonts w:eastAsia="Calibri"/>
          <w:b/>
          <w:bCs/>
        </w:rPr>
        <w:t xml:space="preserve">Carrying out, in conjunction with athletes and their associations, </w:t>
      </w:r>
      <w:r w:rsidR="0012136D" w:rsidRPr="00EA063E">
        <w:rPr>
          <w:rFonts w:eastAsia="Calibri"/>
          <w:b/>
          <w:bCs/>
        </w:rPr>
        <w:t xml:space="preserve">public education campaigns </w:t>
      </w:r>
      <w:r w:rsidR="0012136D" w:rsidRPr="007911D0">
        <w:rPr>
          <w:rFonts w:eastAsia="Calibri"/>
          <w:b/>
          <w:bCs/>
        </w:rPr>
        <w:t>to counter gender</w:t>
      </w:r>
      <w:r w:rsidR="0012136D">
        <w:rPr>
          <w:rFonts w:eastAsia="Calibri"/>
          <w:b/>
          <w:bCs/>
        </w:rPr>
        <w:t>-</w:t>
      </w:r>
      <w:r w:rsidR="0012136D" w:rsidRPr="007911D0">
        <w:rPr>
          <w:rFonts w:eastAsia="Calibri"/>
          <w:b/>
          <w:bCs/>
        </w:rPr>
        <w:t>stereotyped and racist attitudes and using all appropriate measures to address negative</w:t>
      </w:r>
      <w:r w:rsidR="0012136D">
        <w:rPr>
          <w:rFonts w:eastAsia="Calibri"/>
          <w:b/>
          <w:bCs/>
        </w:rPr>
        <w:t xml:space="preserve"> and</w:t>
      </w:r>
      <w:r w:rsidR="0012136D" w:rsidRPr="007911D0">
        <w:rPr>
          <w:rFonts w:eastAsia="Calibri"/>
          <w:b/>
          <w:bCs/>
        </w:rPr>
        <w:t xml:space="preserve"> stereotypical portrayals of women and girl athletes in the media</w:t>
      </w:r>
      <w:r w:rsidR="0012136D">
        <w:rPr>
          <w:rFonts w:eastAsia="Calibri"/>
          <w:b/>
          <w:bCs/>
        </w:rPr>
        <w:t>, paying</w:t>
      </w:r>
      <w:r w:rsidR="0012136D" w:rsidRPr="007911D0">
        <w:rPr>
          <w:rFonts w:eastAsia="Calibri"/>
          <w:b/>
          <w:bCs/>
        </w:rPr>
        <w:t xml:space="preserve"> particular attention to pervasive attitudes </w:t>
      </w:r>
      <w:r w:rsidR="0012136D">
        <w:rPr>
          <w:rFonts w:eastAsia="Calibri"/>
          <w:b/>
          <w:bCs/>
        </w:rPr>
        <w:t>to</w:t>
      </w:r>
      <w:r w:rsidR="0012136D" w:rsidRPr="007911D0">
        <w:rPr>
          <w:rFonts w:eastAsia="Calibri"/>
          <w:b/>
          <w:bCs/>
        </w:rPr>
        <w:t xml:space="preserve"> appropriate norms of femininity</w:t>
      </w:r>
      <w:r w:rsidR="0012136D">
        <w:rPr>
          <w:rFonts w:eastAsia="Calibri"/>
          <w:b/>
          <w:bCs/>
        </w:rPr>
        <w:t>.</w:t>
      </w:r>
    </w:p>
    <w:p w14:paraId="4D92C2B2" w14:textId="021F0391" w:rsidR="0012136D" w:rsidRPr="002C38BF" w:rsidRDefault="0012136D" w:rsidP="0012136D">
      <w:pPr>
        <w:pStyle w:val="SingleTxtG"/>
        <w:rPr>
          <w:rFonts w:eastAsia="Calibri"/>
          <w:b/>
        </w:rPr>
      </w:pPr>
      <w:r w:rsidRPr="002C38BF">
        <w:rPr>
          <w:rFonts w:eastAsia="Calibri"/>
        </w:rPr>
        <w:t>60.</w:t>
      </w:r>
      <w:r w:rsidRPr="002C38BF">
        <w:rPr>
          <w:rFonts w:eastAsia="Calibri"/>
          <w:b/>
        </w:rPr>
        <w:tab/>
        <w:t>States and sporting bodies should ensure that women and girls</w:t>
      </w:r>
      <w:r>
        <w:rPr>
          <w:rFonts w:eastAsia="Calibri"/>
          <w:b/>
        </w:rPr>
        <w:t xml:space="preserve"> of all kinds</w:t>
      </w:r>
      <w:r w:rsidRPr="002C38BF">
        <w:rPr>
          <w:rFonts w:eastAsia="Calibri"/>
          <w:b/>
        </w:rPr>
        <w:t>, and their representative organizations</w:t>
      </w:r>
      <w:r>
        <w:rPr>
          <w:rFonts w:eastAsia="Calibri"/>
          <w:b/>
        </w:rPr>
        <w:t>,</w:t>
      </w:r>
      <w:r w:rsidRPr="002C38BF">
        <w:rPr>
          <w:rFonts w:eastAsia="Calibri"/>
          <w:b/>
        </w:rPr>
        <w:t xml:space="preserve"> including athletes</w:t>
      </w:r>
      <w:r w:rsidR="00356B25">
        <w:rPr>
          <w:rFonts w:eastAsia="Calibri"/>
          <w:b/>
        </w:rPr>
        <w:t>’</w:t>
      </w:r>
      <w:r w:rsidRPr="002C38BF">
        <w:rPr>
          <w:rFonts w:eastAsia="Calibri"/>
          <w:b/>
        </w:rPr>
        <w:t xml:space="preserve"> associations and commissions, are consulted </w:t>
      </w:r>
      <w:r>
        <w:rPr>
          <w:rFonts w:eastAsia="Calibri"/>
          <w:b/>
        </w:rPr>
        <w:t>on laws</w:t>
      </w:r>
      <w:r w:rsidRPr="002C38BF">
        <w:rPr>
          <w:rFonts w:eastAsia="Calibri"/>
          <w:b/>
        </w:rPr>
        <w:t xml:space="preserve"> and policies, particularly those that </w:t>
      </w:r>
      <w:r>
        <w:rPr>
          <w:rFonts w:eastAsia="Calibri"/>
          <w:b/>
        </w:rPr>
        <w:t xml:space="preserve">have an </w:t>
      </w:r>
      <w:r w:rsidRPr="002C38BF">
        <w:rPr>
          <w:rFonts w:eastAsia="Calibri"/>
          <w:b/>
        </w:rPr>
        <w:t>impact on their rights</w:t>
      </w:r>
      <w:r>
        <w:rPr>
          <w:rFonts w:eastAsia="Calibri"/>
          <w:b/>
        </w:rPr>
        <w:t>.</w:t>
      </w:r>
    </w:p>
    <w:p w14:paraId="124414A9" w14:textId="1CEAE12B" w:rsidR="0012136D" w:rsidRPr="002C38BF" w:rsidRDefault="0012136D" w:rsidP="0012136D">
      <w:pPr>
        <w:pStyle w:val="SingleTxtG"/>
        <w:rPr>
          <w:rFonts w:eastAsia="Calibri"/>
          <w:b/>
        </w:rPr>
      </w:pPr>
      <w:r w:rsidRPr="002C38BF">
        <w:rPr>
          <w:rFonts w:eastAsia="Calibri"/>
        </w:rPr>
        <w:t>61.</w:t>
      </w:r>
      <w:r w:rsidRPr="002C38BF">
        <w:rPr>
          <w:rFonts w:eastAsia="Calibri"/>
          <w:b/>
        </w:rPr>
        <w:tab/>
        <w:t xml:space="preserve">Sporting bodies should commit </w:t>
      </w:r>
      <w:r>
        <w:rPr>
          <w:rFonts w:eastAsia="Calibri"/>
          <w:b/>
        </w:rPr>
        <w:t xml:space="preserve">themselves </w:t>
      </w:r>
      <w:r w:rsidRPr="002C38BF">
        <w:rPr>
          <w:rFonts w:eastAsia="Calibri"/>
          <w:b/>
        </w:rPr>
        <w:t>to</w:t>
      </w:r>
      <w:r w:rsidR="00CE1F63">
        <w:rPr>
          <w:rFonts w:eastAsia="Calibri"/>
          <w:b/>
        </w:rPr>
        <w:t xml:space="preserve"> </w:t>
      </w:r>
      <w:r w:rsidRPr="002C38BF">
        <w:rPr>
          <w:rFonts w:eastAsia="Calibri"/>
          <w:b/>
        </w:rPr>
        <w:t>protecting</w:t>
      </w:r>
      <w:r w:rsidR="00CE1F63">
        <w:rPr>
          <w:rFonts w:eastAsia="Calibri"/>
          <w:b/>
        </w:rPr>
        <w:t xml:space="preserve"> </w:t>
      </w:r>
      <w:r w:rsidRPr="002C38BF">
        <w:rPr>
          <w:rFonts w:eastAsia="Calibri"/>
          <w:b/>
        </w:rPr>
        <w:t>and</w:t>
      </w:r>
      <w:r w:rsidR="00CE1F63">
        <w:rPr>
          <w:rFonts w:eastAsia="Calibri"/>
          <w:b/>
        </w:rPr>
        <w:t xml:space="preserve"> </w:t>
      </w:r>
      <w:r w:rsidRPr="002C38BF">
        <w:rPr>
          <w:rFonts w:eastAsia="Calibri"/>
          <w:b/>
        </w:rPr>
        <w:t>respecting</w:t>
      </w:r>
      <w:r w:rsidR="00CE1F63">
        <w:rPr>
          <w:rFonts w:eastAsia="Calibri"/>
          <w:b/>
        </w:rPr>
        <w:t xml:space="preserve"> </w:t>
      </w:r>
      <w:r w:rsidRPr="002C38BF">
        <w:rPr>
          <w:rFonts w:eastAsia="Calibri"/>
          <w:b/>
        </w:rPr>
        <w:t>internationally recognized</w:t>
      </w:r>
      <w:r w:rsidR="00CE1F63">
        <w:rPr>
          <w:rFonts w:eastAsia="Calibri"/>
          <w:b/>
        </w:rPr>
        <w:t xml:space="preserve"> </w:t>
      </w:r>
      <w:r w:rsidRPr="002C38BF">
        <w:rPr>
          <w:rFonts w:eastAsia="Calibri"/>
          <w:b/>
        </w:rPr>
        <w:t xml:space="preserve">human rights. They should meet their responsibilities to protect rights and minimize harms to rights by adopting human rights policies </w:t>
      </w:r>
      <w:r>
        <w:rPr>
          <w:rFonts w:eastAsia="Calibri"/>
          <w:b/>
        </w:rPr>
        <w:t>that</w:t>
      </w:r>
      <w:r w:rsidRPr="002C38BF">
        <w:rPr>
          <w:rFonts w:eastAsia="Calibri"/>
          <w:b/>
        </w:rPr>
        <w:t xml:space="preserve"> apply to athletes, events and competitions (from bidding process</w:t>
      </w:r>
      <w:r>
        <w:rPr>
          <w:rFonts w:eastAsia="Calibri"/>
          <w:b/>
        </w:rPr>
        <w:t>es</w:t>
      </w:r>
      <w:r w:rsidRPr="002C38BF">
        <w:rPr>
          <w:rFonts w:eastAsia="Calibri"/>
          <w:b/>
        </w:rPr>
        <w:t xml:space="preserve"> to game time), fans, journalists and others. They should </w:t>
      </w:r>
      <w:r>
        <w:rPr>
          <w:rFonts w:eastAsia="Calibri"/>
          <w:b/>
        </w:rPr>
        <w:t xml:space="preserve">also </w:t>
      </w:r>
      <w:r w:rsidRPr="002C38BF">
        <w:rPr>
          <w:rFonts w:eastAsia="Calibri"/>
          <w:b/>
        </w:rPr>
        <w:t xml:space="preserve">commit </w:t>
      </w:r>
      <w:r>
        <w:rPr>
          <w:rFonts w:eastAsia="Calibri"/>
          <w:b/>
        </w:rPr>
        <w:t xml:space="preserve">themselves </w:t>
      </w:r>
      <w:r w:rsidRPr="002C38BF">
        <w:rPr>
          <w:rFonts w:eastAsia="Calibri"/>
          <w:b/>
        </w:rPr>
        <w:t>to reviewing and revising their policies, including eligibility regulations. This includes:</w:t>
      </w:r>
    </w:p>
    <w:p w14:paraId="58D963BF" w14:textId="26E257BE" w:rsidR="0012136D" w:rsidRPr="007911D0" w:rsidRDefault="00643FCC" w:rsidP="00CE1F63">
      <w:pPr>
        <w:pStyle w:val="SingleTxtG"/>
        <w:rPr>
          <w:rFonts w:eastAsia="Calibri"/>
          <w:b/>
          <w:bCs/>
        </w:rPr>
      </w:pPr>
      <w:r>
        <w:rPr>
          <w:rFonts w:eastAsia="Calibri"/>
        </w:rPr>
        <w:tab/>
      </w:r>
      <w:r w:rsidR="0012136D" w:rsidRPr="002C38BF">
        <w:rPr>
          <w:rFonts w:eastAsia="Calibri"/>
        </w:rPr>
        <w:t>(a)</w:t>
      </w:r>
      <w:r w:rsidR="0012136D" w:rsidRPr="002C38BF">
        <w:rPr>
          <w:rFonts w:eastAsia="Calibri"/>
        </w:rPr>
        <w:tab/>
      </w:r>
      <w:r w:rsidR="0012136D" w:rsidRPr="007911D0">
        <w:rPr>
          <w:rFonts w:eastAsia="Calibri"/>
          <w:b/>
          <w:bCs/>
        </w:rPr>
        <w:t>Putting in place transparent monitoring processes to assess negative impacts on rights as a step toward</w:t>
      </w:r>
      <w:r w:rsidR="0012136D">
        <w:rPr>
          <w:rFonts w:eastAsia="Calibri"/>
          <w:b/>
          <w:bCs/>
        </w:rPr>
        <w:t>s</w:t>
      </w:r>
      <w:r w:rsidR="0012136D" w:rsidRPr="007911D0">
        <w:rPr>
          <w:rFonts w:eastAsia="Calibri"/>
          <w:b/>
          <w:bCs/>
        </w:rPr>
        <w:t xml:space="preserve"> meeting their responsibilities;</w:t>
      </w:r>
    </w:p>
    <w:p w14:paraId="26D473C0" w14:textId="544CD80F" w:rsidR="0012136D" w:rsidRPr="007911D0" w:rsidRDefault="00643FCC" w:rsidP="00CE1F63">
      <w:pPr>
        <w:pStyle w:val="SingleTxtG"/>
        <w:rPr>
          <w:rFonts w:eastAsia="Calibri"/>
          <w:b/>
          <w:bCs/>
        </w:rPr>
      </w:pPr>
      <w:r>
        <w:rPr>
          <w:rFonts w:eastAsia="Calibri"/>
        </w:rPr>
        <w:tab/>
      </w:r>
      <w:r w:rsidR="0012136D" w:rsidRPr="002C38BF">
        <w:rPr>
          <w:rFonts w:eastAsia="Calibri"/>
        </w:rPr>
        <w:t>(b)</w:t>
      </w:r>
      <w:r w:rsidR="0012136D" w:rsidRPr="002C38BF">
        <w:rPr>
          <w:rFonts w:eastAsia="Calibri"/>
        </w:rPr>
        <w:tab/>
      </w:r>
      <w:r w:rsidR="0012136D" w:rsidRPr="007911D0">
        <w:rPr>
          <w:rFonts w:eastAsia="Calibri"/>
          <w:b/>
          <w:bCs/>
        </w:rPr>
        <w:t>Establishing practices of due diligence in tracking and responding to reports of discrimination and abuse;</w:t>
      </w:r>
    </w:p>
    <w:p w14:paraId="3F694CAA" w14:textId="23098E98" w:rsidR="0012136D" w:rsidRPr="007911D0" w:rsidRDefault="00643FCC" w:rsidP="00CE1F63">
      <w:pPr>
        <w:pStyle w:val="SingleTxtG"/>
        <w:rPr>
          <w:rFonts w:eastAsia="Calibri"/>
          <w:b/>
          <w:bCs/>
        </w:rPr>
      </w:pPr>
      <w:r>
        <w:rPr>
          <w:rFonts w:eastAsia="Calibri"/>
        </w:rPr>
        <w:tab/>
      </w:r>
      <w:r w:rsidR="0012136D" w:rsidRPr="002C38BF">
        <w:rPr>
          <w:rFonts w:eastAsia="Calibri"/>
        </w:rPr>
        <w:t>(c)</w:t>
      </w:r>
      <w:r w:rsidR="0012136D" w:rsidRPr="002C38BF">
        <w:rPr>
          <w:rFonts w:eastAsia="Calibri"/>
        </w:rPr>
        <w:tab/>
      </w:r>
      <w:r w:rsidR="0012136D" w:rsidRPr="007911D0">
        <w:rPr>
          <w:rFonts w:eastAsia="Calibri"/>
          <w:b/>
          <w:bCs/>
        </w:rPr>
        <w:t xml:space="preserve">Ensuring that athletes have access to all relevant information </w:t>
      </w:r>
      <w:r w:rsidR="0012136D">
        <w:rPr>
          <w:rFonts w:eastAsia="Calibri"/>
          <w:b/>
          <w:bCs/>
        </w:rPr>
        <w:t>on</w:t>
      </w:r>
      <w:r w:rsidR="0012136D" w:rsidRPr="007911D0">
        <w:rPr>
          <w:rFonts w:eastAsia="Calibri"/>
          <w:b/>
          <w:bCs/>
        </w:rPr>
        <w:t xml:space="preserve"> their rights and </w:t>
      </w:r>
      <w:r w:rsidR="0012136D">
        <w:rPr>
          <w:rFonts w:eastAsia="Calibri"/>
          <w:b/>
          <w:bCs/>
        </w:rPr>
        <w:t xml:space="preserve">on the </w:t>
      </w:r>
      <w:r w:rsidR="0012136D" w:rsidRPr="007911D0">
        <w:rPr>
          <w:rFonts w:eastAsia="Calibri"/>
          <w:b/>
          <w:bCs/>
        </w:rPr>
        <w:t xml:space="preserve">steps that can be taken to ensure their rights, expose abuse and hold </w:t>
      </w:r>
      <w:r w:rsidR="0012136D">
        <w:rPr>
          <w:rFonts w:eastAsia="Calibri"/>
          <w:b/>
          <w:bCs/>
        </w:rPr>
        <w:t xml:space="preserve">those </w:t>
      </w:r>
      <w:r w:rsidR="0012136D" w:rsidRPr="007911D0">
        <w:rPr>
          <w:rFonts w:eastAsia="Calibri"/>
          <w:b/>
          <w:bCs/>
        </w:rPr>
        <w:t>responsible to account.</w:t>
      </w:r>
    </w:p>
    <w:p w14:paraId="45AEED46" w14:textId="61FFBDBE" w:rsidR="0012136D" w:rsidRPr="002C38BF" w:rsidRDefault="0012136D" w:rsidP="0012136D">
      <w:pPr>
        <w:pStyle w:val="SingleTxtG"/>
        <w:rPr>
          <w:rFonts w:eastAsia="Calibri"/>
          <w:b/>
        </w:rPr>
      </w:pPr>
      <w:r w:rsidRPr="002C38BF">
        <w:rPr>
          <w:rFonts w:eastAsia="Calibri"/>
        </w:rPr>
        <w:t>62.</w:t>
      </w:r>
      <w:r w:rsidRPr="002C38BF">
        <w:rPr>
          <w:rFonts w:eastAsia="Calibri"/>
          <w:b/>
        </w:rPr>
        <w:tab/>
        <w:t>Sport governing bodies should protect athletes</w:t>
      </w:r>
      <w:r w:rsidR="00356B25">
        <w:rPr>
          <w:rFonts w:eastAsia="Calibri"/>
          <w:b/>
        </w:rPr>
        <w:t>’</w:t>
      </w:r>
      <w:r w:rsidRPr="002C38BF">
        <w:rPr>
          <w:rFonts w:eastAsia="Calibri"/>
          <w:b/>
        </w:rPr>
        <w:t xml:space="preserve"> right to remedy by not restricting </w:t>
      </w:r>
      <w:r>
        <w:rPr>
          <w:rFonts w:eastAsia="Calibri"/>
          <w:b/>
        </w:rPr>
        <w:t xml:space="preserve">their </w:t>
      </w:r>
      <w:r w:rsidRPr="002C38BF">
        <w:rPr>
          <w:rFonts w:eastAsia="Calibri"/>
          <w:b/>
        </w:rPr>
        <w:t>access to justice mechanisms</w:t>
      </w:r>
      <w:r>
        <w:rPr>
          <w:rFonts w:eastAsia="Calibri"/>
          <w:b/>
        </w:rPr>
        <w:t>. Moreover, they</w:t>
      </w:r>
      <w:r w:rsidRPr="002C38BF">
        <w:rPr>
          <w:rFonts w:eastAsia="Calibri"/>
          <w:b/>
        </w:rPr>
        <w:t xml:space="preserve"> should act to ensure effective forms of redress that conform </w:t>
      </w:r>
      <w:r>
        <w:rPr>
          <w:rFonts w:eastAsia="Calibri"/>
          <w:b/>
        </w:rPr>
        <w:t>with</w:t>
      </w:r>
      <w:r w:rsidRPr="002C38BF">
        <w:rPr>
          <w:rFonts w:eastAsia="Calibri"/>
          <w:b/>
        </w:rPr>
        <w:t xml:space="preserve"> international human rights law and that are equally accessible to all athletes regardless of resources and geographic location.</w:t>
      </w:r>
    </w:p>
    <w:p w14:paraId="62D17643" w14:textId="77777777" w:rsidR="0012136D" w:rsidRPr="002C38BF" w:rsidRDefault="0012136D" w:rsidP="0012136D">
      <w:pPr>
        <w:pStyle w:val="SingleTxtG"/>
        <w:rPr>
          <w:rFonts w:eastAsia="Calibri"/>
          <w:b/>
        </w:rPr>
      </w:pPr>
      <w:r w:rsidRPr="002C38BF">
        <w:rPr>
          <w:rFonts w:eastAsia="Calibri"/>
        </w:rPr>
        <w:t>63.</w:t>
      </w:r>
      <w:r w:rsidRPr="002C38BF">
        <w:rPr>
          <w:rFonts w:eastAsia="Calibri"/>
          <w:b/>
        </w:rPr>
        <w:tab/>
        <w:t xml:space="preserve">Sport governing bodies should ensure that the heightened protections for athletes </w:t>
      </w:r>
      <w:r>
        <w:rPr>
          <w:rFonts w:eastAsia="Calibri"/>
          <w:b/>
        </w:rPr>
        <w:t>under the age of 18 provided by</w:t>
      </w:r>
      <w:r w:rsidRPr="002C38BF">
        <w:rPr>
          <w:rFonts w:eastAsia="Calibri"/>
          <w:b/>
        </w:rPr>
        <w:t xml:space="preserve"> the international framework for child rights are in place in sport governing bodies policies, rules and regulations</w:t>
      </w:r>
      <w:r>
        <w:rPr>
          <w:rFonts w:eastAsia="Calibri"/>
          <w:b/>
        </w:rPr>
        <w:t>.</w:t>
      </w:r>
    </w:p>
    <w:p w14:paraId="18B2CE65" w14:textId="61184348" w:rsidR="0012136D" w:rsidRPr="002C38BF" w:rsidRDefault="0012136D" w:rsidP="0012136D">
      <w:pPr>
        <w:pStyle w:val="SingleTxtG"/>
        <w:rPr>
          <w:rFonts w:eastAsia="Calibri"/>
          <w:b/>
        </w:rPr>
      </w:pPr>
      <w:r w:rsidRPr="002C38BF">
        <w:rPr>
          <w:rFonts w:eastAsia="Calibri"/>
        </w:rPr>
        <w:t>64.</w:t>
      </w:r>
      <w:r w:rsidRPr="002C38BF">
        <w:rPr>
          <w:rFonts w:eastAsia="Calibri"/>
          <w:b/>
        </w:rPr>
        <w:tab/>
        <w:t xml:space="preserve">Sport governing bodies should review, revise and revoke eligibility rules and regulations </w:t>
      </w:r>
      <w:r>
        <w:rPr>
          <w:rFonts w:eastAsia="Calibri"/>
          <w:b/>
        </w:rPr>
        <w:t>that have</w:t>
      </w:r>
      <w:r w:rsidRPr="002C38BF">
        <w:rPr>
          <w:rFonts w:eastAsia="Calibri"/>
          <w:b/>
        </w:rPr>
        <w:t xml:space="preserve"> negative effects on athletes</w:t>
      </w:r>
      <w:r w:rsidR="00356B25">
        <w:rPr>
          <w:rFonts w:eastAsia="Calibri"/>
          <w:b/>
        </w:rPr>
        <w:t>’</w:t>
      </w:r>
      <w:r w:rsidRPr="002C38BF">
        <w:rPr>
          <w:rFonts w:eastAsia="Calibri"/>
          <w:b/>
        </w:rPr>
        <w:t xml:space="preserve"> rights, including those addressing athletes with intersex variations.</w:t>
      </w:r>
    </w:p>
    <w:p w14:paraId="1EA4BB4E" w14:textId="77777777" w:rsidR="0012136D" w:rsidRPr="002C38BF" w:rsidRDefault="0012136D" w:rsidP="0012136D">
      <w:pPr>
        <w:pStyle w:val="SingleTxtG"/>
        <w:rPr>
          <w:rFonts w:eastAsia="Calibri"/>
          <w:b/>
        </w:rPr>
      </w:pPr>
      <w:r w:rsidRPr="002C38BF">
        <w:rPr>
          <w:rFonts w:eastAsia="Calibri"/>
        </w:rPr>
        <w:t>65.</w:t>
      </w:r>
      <w:r w:rsidRPr="002C38BF">
        <w:rPr>
          <w:rFonts w:eastAsia="Calibri"/>
          <w:b/>
        </w:rPr>
        <w:tab/>
        <w:t>The Human Rights Council should consider remaining apprised of these issues, and</w:t>
      </w:r>
      <w:r>
        <w:rPr>
          <w:rFonts w:eastAsia="Calibri"/>
          <w:b/>
        </w:rPr>
        <w:t>,</w:t>
      </w:r>
      <w:r w:rsidRPr="002C38BF">
        <w:rPr>
          <w:rFonts w:eastAsia="Calibri"/>
          <w:b/>
        </w:rPr>
        <w:t xml:space="preserve"> in particular</w:t>
      </w:r>
      <w:r>
        <w:rPr>
          <w:rFonts w:eastAsia="Calibri"/>
          <w:b/>
        </w:rPr>
        <w:t>,</w:t>
      </w:r>
      <w:r w:rsidRPr="002C38BF">
        <w:rPr>
          <w:rFonts w:eastAsia="Calibri"/>
          <w:b/>
        </w:rPr>
        <w:t xml:space="preserve"> consider a review of the interactions between private and public law in sport</w:t>
      </w:r>
      <w:r>
        <w:rPr>
          <w:rFonts w:eastAsia="Calibri"/>
          <w:b/>
        </w:rPr>
        <w:t>s</w:t>
      </w:r>
      <w:r w:rsidRPr="002C38BF">
        <w:rPr>
          <w:rFonts w:eastAsia="Calibri"/>
          <w:b/>
        </w:rPr>
        <w:t xml:space="preserve">, with due regard </w:t>
      </w:r>
      <w:r>
        <w:rPr>
          <w:rFonts w:eastAsia="Calibri"/>
          <w:b/>
        </w:rPr>
        <w:t>for</w:t>
      </w:r>
      <w:r w:rsidRPr="002C38BF">
        <w:rPr>
          <w:rFonts w:eastAsia="Calibri"/>
          <w:b/>
        </w:rPr>
        <w:t xml:space="preserve"> the independence of sporting bodies and the pre-eminent duty of </w:t>
      </w:r>
      <w:r>
        <w:rPr>
          <w:rFonts w:eastAsia="Calibri"/>
          <w:b/>
        </w:rPr>
        <w:t>S</w:t>
      </w:r>
      <w:r w:rsidRPr="002C38BF">
        <w:rPr>
          <w:rFonts w:eastAsia="Calibri"/>
          <w:b/>
        </w:rPr>
        <w:t>tates to respect, protect and fulfil rights.</w:t>
      </w:r>
    </w:p>
    <w:p w14:paraId="30B2652C" w14:textId="154F433F" w:rsidR="00216439" w:rsidRDefault="0012136D" w:rsidP="0012136D">
      <w:pPr>
        <w:pStyle w:val="SingleTxtG"/>
        <w:spacing w:before="240" w:after="0"/>
        <w:jc w:val="center"/>
        <w:rPr>
          <w:rFonts w:eastAsia="Calibri"/>
          <w:u w:val="single"/>
        </w:rPr>
      </w:pPr>
      <w:r w:rsidRPr="002C38BF">
        <w:rPr>
          <w:rFonts w:eastAsia="Calibri"/>
          <w:u w:val="single"/>
        </w:rPr>
        <w:tab/>
      </w:r>
      <w:r w:rsidRPr="002C38BF">
        <w:rPr>
          <w:rFonts w:eastAsia="Calibri"/>
          <w:u w:val="single"/>
        </w:rPr>
        <w:tab/>
      </w:r>
      <w:r w:rsidRPr="002C38BF">
        <w:rPr>
          <w:rFonts w:eastAsia="Calibri"/>
          <w:u w:val="single"/>
        </w:rPr>
        <w:tab/>
      </w:r>
    </w:p>
    <w:sectPr w:rsidR="0021643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B0E8D" w14:textId="40580A14" w:rsidR="000004AB" w:rsidRPr="00C47B2E" w:rsidRDefault="000004AB" w:rsidP="00C47B2E">
      <w:pPr>
        <w:pStyle w:val="Footer"/>
      </w:pPr>
    </w:p>
  </w:endnote>
  <w:endnote w:type="continuationSeparator" w:id="0">
    <w:p w14:paraId="75656CC2" w14:textId="23DF33C6" w:rsidR="000004AB" w:rsidRPr="00C47B2E" w:rsidRDefault="000004AB" w:rsidP="00C47B2E">
      <w:pPr>
        <w:pStyle w:val="Footer"/>
      </w:pPr>
    </w:p>
  </w:endnote>
  <w:endnote w:type="continuationNotice" w:id="1">
    <w:p w14:paraId="58B5C3C0" w14:textId="081F83D2" w:rsidR="000004AB" w:rsidRPr="00C47B2E" w:rsidRDefault="000004A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B2510" w14:textId="7204934F" w:rsidR="000004AB" w:rsidRDefault="000004AB" w:rsidP="0012136D">
    <w:pPr>
      <w:pStyle w:val="Footer"/>
      <w:tabs>
        <w:tab w:val="right" w:pos="9638"/>
      </w:tabs>
    </w:pPr>
    <w:r w:rsidRPr="00077879">
      <w:rPr>
        <w:b/>
        <w:bCs/>
        <w:sz w:val="18"/>
      </w:rPr>
      <w:fldChar w:fldCharType="begin"/>
    </w:r>
    <w:r w:rsidRPr="00077879">
      <w:rPr>
        <w:b/>
        <w:bCs/>
        <w:sz w:val="18"/>
      </w:rPr>
      <w:instrText xml:space="preserve"> PAGE  \* MERGEFORMAT </w:instrText>
    </w:r>
    <w:r w:rsidRPr="00077879">
      <w:rPr>
        <w:b/>
        <w:bCs/>
        <w:sz w:val="18"/>
      </w:rPr>
      <w:fldChar w:fldCharType="separate"/>
    </w:r>
    <w:r w:rsidR="003D6054">
      <w:rPr>
        <w:b/>
        <w:bCs/>
        <w:noProof/>
        <w:sz w:val="18"/>
      </w:rPr>
      <w:t>2</w:t>
    </w:r>
    <w:r w:rsidRPr="0007787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A51C" w14:textId="0EB0FDC8" w:rsidR="000004AB" w:rsidRDefault="000004AB" w:rsidP="00077879">
    <w:pPr>
      <w:pStyle w:val="Footer"/>
      <w:tabs>
        <w:tab w:val="right" w:pos="9638"/>
      </w:tabs>
    </w:pPr>
    <w:r>
      <w:tab/>
    </w:r>
    <w:r w:rsidRPr="00077879">
      <w:rPr>
        <w:b/>
        <w:bCs/>
        <w:sz w:val="18"/>
      </w:rPr>
      <w:fldChar w:fldCharType="begin"/>
    </w:r>
    <w:r w:rsidRPr="00077879">
      <w:rPr>
        <w:b/>
        <w:bCs/>
        <w:sz w:val="18"/>
      </w:rPr>
      <w:instrText xml:space="preserve"> PAGE  \* MERGEFORMAT </w:instrText>
    </w:r>
    <w:r w:rsidRPr="00077879">
      <w:rPr>
        <w:b/>
        <w:bCs/>
        <w:sz w:val="18"/>
      </w:rPr>
      <w:fldChar w:fldCharType="separate"/>
    </w:r>
    <w:r w:rsidR="003D6054">
      <w:rPr>
        <w:b/>
        <w:bCs/>
        <w:noProof/>
        <w:sz w:val="18"/>
      </w:rPr>
      <w:t>15</w:t>
    </w:r>
    <w:r w:rsidRPr="0007787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8A68" w14:textId="77777777" w:rsidR="000004AB" w:rsidRPr="00C47B2E" w:rsidRDefault="000004AB" w:rsidP="00C47B2E">
      <w:pPr>
        <w:tabs>
          <w:tab w:val="right" w:pos="2155"/>
        </w:tabs>
        <w:spacing w:after="80" w:line="240" w:lineRule="auto"/>
        <w:ind w:left="680"/>
      </w:pPr>
      <w:r>
        <w:rPr>
          <w:u w:val="single"/>
        </w:rPr>
        <w:tab/>
      </w:r>
    </w:p>
  </w:footnote>
  <w:footnote w:type="continuationSeparator" w:id="0">
    <w:p w14:paraId="28E9FB6A" w14:textId="77777AA7" w:rsidR="000004AB" w:rsidRPr="00C47B2E" w:rsidRDefault="000004AB" w:rsidP="005E716E">
      <w:pPr>
        <w:tabs>
          <w:tab w:val="right" w:pos="2155"/>
        </w:tabs>
        <w:spacing w:after="80" w:line="240" w:lineRule="auto"/>
        <w:ind w:left="680"/>
      </w:pPr>
      <w:r>
        <w:rPr>
          <w:u w:val="single"/>
        </w:rPr>
        <w:tab/>
      </w:r>
    </w:p>
  </w:footnote>
  <w:footnote w:type="continuationNotice" w:id="1">
    <w:p w14:paraId="5AB40FCC" w14:textId="15F6FC9D" w:rsidR="000004AB" w:rsidRPr="00C47B2E" w:rsidRDefault="000004AB" w:rsidP="00C47B2E">
      <w:pPr>
        <w:pStyle w:val="Footer"/>
      </w:pPr>
    </w:p>
  </w:footnote>
  <w:footnote w:id="2">
    <w:p w14:paraId="33926415" w14:textId="77777777" w:rsidR="000004AB" w:rsidRPr="00356B25" w:rsidRDefault="000004AB" w:rsidP="00077879">
      <w:pPr>
        <w:pStyle w:val="FootnoteText"/>
        <w:rPr>
          <w:szCs w:val="18"/>
          <w:lang w:val="en-CA"/>
        </w:rPr>
      </w:pPr>
      <w:r w:rsidRPr="00356B25">
        <w:rPr>
          <w:szCs w:val="18"/>
          <w:lang w:val="en-CA"/>
        </w:rPr>
        <w:tab/>
      </w:r>
      <w:r w:rsidRPr="00356B25">
        <w:rPr>
          <w:sz w:val="20"/>
          <w:lang w:val="en-CA"/>
        </w:rPr>
        <w:t>*</w:t>
      </w:r>
      <w:r w:rsidRPr="00356B25">
        <w:rPr>
          <w:szCs w:val="18"/>
          <w:lang w:val="en-CA"/>
        </w:rPr>
        <w:tab/>
      </w:r>
      <w:r w:rsidRPr="00356B25">
        <w:rPr>
          <w:szCs w:val="18"/>
          <w:lang w:val="en-CA" w:eastAsia="en-GB"/>
        </w:rPr>
        <w:t>The present report was submitted after the deadline so as to include the most recent information.</w:t>
      </w:r>
    </w:p>
  </w:footnote>
  <w:footnote w:id="3">
    <w:p w14:paraId="46E0078D"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Azerbaijan, Canada, Cyprus, Ecuador, El Salvador, Georgia, Italy, Mexico, Qatar and the Syrian Arab Republic.</w:t>
      </w:r>
    </w:p>
  </w:footnote>
  <w:footnote w:id="4">
    <w:p w14:paraId="1B8E796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Amnesty International, Athlete Ally and International Lesbian, Gay, Bisexual, Trans and Intersex Association (ILGA World), Human Rights Watch, International Committee of Jurists, Intersex Human Rights Australia, </w:t>
      </w:r>
      <w:r w:rsidRPr="00356B25">
        <w:rPr>
          <w:lang w:val="en-CA"/>
        </w:rPr>
        <w:t xml:space="preserve">Iranian Lesbian and Transgender Network (6Rang), </w:t>
      </w:r>
      <w:r w:rsidRPr="00356B25">
        <w:rPr>
          <w:szCs w:val="18"/>
          <w:lang w:val="en-CA"/>
        </w:rPr>
        <w:t>Physicians for Human Rights, Sexual Rights Initiative and Stop.IGM.org.</w:t>
      </w:r>
    </w:p>
  </w:footnote>
  <w:footnote w:id="5">
    <w:p w14:paraId="43D41B5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The Commission for Gender Equality (South Africa) and the South Africa Women and Sport Foundation.</w:t>
      </w:r>
    </w:p>
  </w:footnote>
  <w:footnote w:id="6">
    <w:p w14:paraId="3B29B7EA" w14:textId="16E86052"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Variations in sex characteristics, or “intersex”, is an umbrella term used to describe a wide range of innate bodily variations in sex characteristics. Intersex people are born with sex characteristics that do not fit typical definitions for male or female bodies, including sexual anatomy, reproductive organs and hormonal and/or chromosome patterns</w:t>
      </w:r>
      <w:r w:rsidRPr="00356B25">
        <w:rPr>
          <w:iCs/>
          <w:szCs w:val="18"/>
          <w:lang w:val="en-CA"/>
        </w:rPr>
        <w:t>.</w:t>
      </w:r>
    </w:p>
  </w:footnote>
  <w:footnote w:id="7">
    <w:p w14:paraId="4A8167A5"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for example, European Commission, </w:t>
      </w:r>
      <w:r w:rsidRPr="00356B25">
        <w:rPr>
          <w:i/>
          <w:iCs/>
          <w:szCs w:val="18"/>
          <w:lang w:val="en-CA"/>
        </w:rPr>
        <w:t>Gender Equality in Sport: Proposal for Strategic Actions 2014–2020</w:t>
      </w:r>
      <w:r w:rsidRPr="00356B25">
        <w:rPr>
          <w:szCs w:val="18"/>
          <w:lang w:val="en-CA"/>
        </w:rPr>
        <w:t xml:space="preserve">, February 2014. </w:t>
      </w:r>
    </w:p>
  </w:footnote>
  <w:footnote w:id="8">
    <w:p w14:paraId="61720466"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for example, submission of Sexual Rights Initiative. See also CEDAW/C/FSM/CO/1-3, para. 38. </w:t>
      </w:r>
    </w:p>
  </w:footnote>
  <w:footnote w:id="9">
    <w:p w14:paraId="6E1FA6A0" w14:textId="7AB12BDC"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for example, Office of the United Nations High Commissioner for Human Rights (OHCHR), “Human rights of women wearing the veil in Western Europe”, research paper.</w:t>
      </w:r>
    </w:p>
  </w:footnote>
  <w:footnote w:id="10">
    <w:p w14:paraId="4F4845B4" w14:textId="418BEC0C"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Submission of Italy. See also submission of 6Rang and Human Rights Watch, “‘No choice but to deny who I am’: violence and discrimination against LGBT people in Ghana” (8 January 2018).</w:t>
      </w:r>
    </w:p>
  </w:footnote>
  <w:footnote w:id="11">
    <w:p w14:paraId="22A6F4B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Submission of Canada. See also </w:t>
      </w:r>
      <w:hyperlink r:id="rId1" w:history="1">
        <w:r w:rsidRPr="00356B25">
          <w:rPr>
            <w:rStyle w:val="Hyperlink"/>
            <w:color w:val="auto"/>
            <w:lang w:val="en-CA"/>
          </w:rPr>
          <w:t>www.womenssportsfoundation.org/do-you-know-the-factors-influencing-girls-participation-in-sports</w:t>
        </w:r>
      </w:hyperlink>
      <w:r w:rsidRPr="00356B25">
        <w:rPr>
          <w:szCs w:val="18"/>
          <w:lang w:val="en-CA"/>
        </w:rPr>
        <w:t>.</w:t>
      </w:r>
    </w:p>
  </w:footnote>
  <w:footnote w:id="12">
    <w:p w14:paraId="7A06E0A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Submission of Sexual Rights Initiative.</w:t>
      </w:r>
    </w:p>
  </w:footnote>
  <w:footnote w:id="13">
    <w:p w14:paraId="74E54E24"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Submission of Cyprus.</w:t>
      </w:r>
    </w:p>
  </w:footnote>
  <w:footnote w:id="14">
    <w:p w14:paraId="1BF3B570" w14:textId="6037F4F0"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Margo Mountjoy and others, “International Olympic Committee consensus statement: harassment and abuse (non-accidental violence) in sport”, </w:t>
      </w:r>
      <w:r w:rsidRPr="00356B25">
        <w:rPr>
          <w:i/>
          <w:iCs/>
          <w:szCs w:val="18"/>
          <w:lang w:val="en-CA"/>
        </w:rPr>
        <w:t>British Journal of Sports Medicine</w:t>
      </w:r>
      <w:r w:rsidRPr="00356B25">
        <w:rPr>
          <w:szCs w:val="18"/>
          <w:lang w:val="en-CA"/>
        </w:rPr>
        <w:t>, vol. 50, No. 17 (April 2016).</w:t>
      </w:r>
    </w:p>
  </w:footnote>
  <w:footnote w:id="15">
    <w:p w14:paraId="6F8454FD" w14:textId="23BD63A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Centre for Sport and Human Rights, “The 2018 Sporting Chance Forum”, meeting report (June 2019). </w:t>
      </w:r>
    </w:p>
  </w:footnote>
  <w:footnote w:id="16">
    <w:p w14:paraId="42BD5CCE" w14:textId="76EE444A"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for example, OHCHR, “When sport becomes a dangerous playing field for children”. </w:t>
      </w:r>
      <w:hyperlink r:id="rId2" w:history="1"/>
    </w:p>
  </w:footnote>
  <w:footnote w:id="17">
    <w:p w14:paraId="759E1E14" w14:textId="67C1F736"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United Nations, Department of Economic and Social Affairs, “Women 2000 and beyond: women, gender equality and sport”, December 2007. </w:t>
      </w:r>
    </w:p>
  </w:footnote>
  <w:footnote w:id="18">
    <w:p w14:paraId="4DF4DDE6" w14:textId="107EAC1A"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Jimoh Shehu, ed., </w:t>
      </w:r>
      <w:r w:rsidRPr="00356B25">
        <w:rPr>
          <w:i/>
          <w:iCs/>
          <w:szCs w:val="18"/>
          <w:lang w:val="en-CA"/>
        </w:rPr>
        <w:t xml:space="preserve">Gender, Sport and Development in Africa: Cross-Cultural Perspectives on Patterns of Representations and Marginalization </w:t>
      </w:r>
      <w:r w:rsidRPr="00356B25">
        <w:rPr>
          <w:szCs w:val="18"/>
          <w:lang w:val="en-CA"/>
        </w:rPr>
        <w:t xml:space="preserve">(Dakar, Council for the Development of Social Science Research in Africa, 2010). See also Cora Burnett, “Engaging sport-for-development for social impact in the South African context”, </w:t>
      </w:r>
      <w:r w:rsidRPr="00356B25">
        <w:rPr>
          <w:i/>
          <w:iCs/>
          <w:szCs w:val="18"/>
          <w:lang w:val="en-CA"/>
        </w:rPr>
        <w:t>Sport in Society</w:t>
      </w:r>
      <w:r w:rsidRPr="00356B25">
        <w:rPr>
          <w:szCs w:val="18"/>
          <w:lang w:val="en-CA"/>
        </w:rPr>
        <w:t>, vol. 12, No. 9 (November 2009).</w:t>
      </w:r>
    </w:p>
  </w:footnote>
  <w:footnote w:id="19">
    <w:p w14:paraId="45F1AB7A"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Niko Besnier, Susan Brownell and Thomas F. Carter, </w:t>
      </w:r>
      <w:r w:rsidRPr="00356B25">
        <w:rPr>
          <w:i/>
          <w:iCs/>
          <w:szCs w:val="18"/>
          <w:lang w:val="en-CA"/>
        </w:rPr>
        <w:t>The Anthropology of Sport: Bodies, Borders, Biopolitics</w:t>
      </w:r>
      <w:r w:rsidRPr="00356B25">
        <w:rPr>
          <w:szCs w:val="18"/>
          <w:lang w:val="en-CA"/>
        </w:rPr>
        <w:t xml:space="preserve"> (Oakland, California, University of California Press, 2017), chap. 2.</w:t>
      </w:r>
    </w:p>
  </w:footnote>
  <w:footnote w:id="20">
    <w:p w14:paraId="634C48E0"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A/69/340, para. 21.</w:t>
      </w:r>
    </w:p>
  </w:footnote>
  <w:footnote w:id="21">
    <w:p w14:paraId="0094A640" w14:textId="1978A7DD"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The International Olympic Committee projected a 48.8 per cent participation rate in the Tokyo 2020 Summer Olympics. See International Olympic Committee, “Promotion of women in sport through time”</w:t>
      </w:r>
      <w:r w:rsidRPr="00356B25">
        <w:rPr>
          <w:rStyle w:val="Hyperlink"/>
          <w:rFonts w:cs="Calibri"/>
          <w:color w:val="auto"/>
          <w:szCs w:val="18"/>
          <w:lang w:val="en-CA"/>
        </w:rPr>
        <w:t>.</w:t>
      </w:r>
    </w:p>
  </w:footnote>
  <w:footnote w:id="22">
    <w:p w14:paraId="61BA95CD" w14:textId="0FAFB786"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Emily J. Houghton, Lindsay Pieper and Maureen Smith, </w:t>
      </w:r>
      <w:r w:rsidRPr="00356B25">
        <w:rPr>
          <w:i/>
          <w:iCs/>
          <w:szCs w:val="18"/>
          <w:lang w:val="en-CA"/>
        </w:rPr>
        <w:t>Women in the Olympic and Paralympic Games: An Analysis of Participation, Leadership, and Media Coverage</w:t>
      </w:r>
      <w:r w:rsidRPr="00356B25">
        <w:rPr>
          <w:szCs w:val="18"/>
          <w:lang w:val="en-CA"/>
        </w:rPr>
        <w:t xml:space="preserve"> (East Meadow, New York, Women’s Sports Foundation, 2017).</w:t>
      </w:r>
    </w:p>
  </w:footnote>
  <w:footnote w:id="23">
    <w:p w14:paraId="4E11CE49"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Submissions of Ecuador and the Commission for Gender Equality.</w:t>
      </w:r>
    </w:p>
  </w:footnote>
  <w:footnote w:id="24">
    <w:p w14:paraId="1C23B2A5"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A/69/340, para. 21.</w:t>
      </w:r>
    </w:p>
  </w:footnote>
  <w:footnote w:id="25">
    <w:p w14:paraId="20891B8A" w14:textId="4761E175"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for example, </w:t>
      </w:r>
      <w:r w:rsidRPr="00356B25">
        <w:rPr>
          <w:rFonts w:cstheme="minorHAnsi"/>
          <w:szCs w:val="18"/>
          <w:lang w:val="en-CA"/>
        </w:rPr>
        <w:t xml:space="preserve">CEDAW/C/CHL/CO/7, para. 40. See also </w:t>
      </w:r>
      <w:r w:rsidRPr="00356B25">
        <w:rPr>
          <w:szCs w:val="18"/>
          <w:lang w:val="en-CA"/>
        </w:rPr>
        <w:t xml:space="preserve">submission of Italy and Megan Chawansky and Payoshni Mitra, “Family matters: studying the role of the family through the eyes of girls in an SfD programme in Delhi”, </w:t>
      </w:r>
      <w:r w:rsidRPr="00356B25">
        <w:rPr>
          <w:i/>
          <w:iCs/>
          <w:szCs w:val="18"/>
          <w:lang w:val="en-CA"/>
        </w:rPr>
        <w:t>Sport in Society</w:t>
      </w:r>
      <w:r w:rsidRPr="00356B25">
        <w:rPr>
          <w:szCs w:val="18"/>
          <w:lang w:val="en-CA"/>
        </w:rPr>
        <w:t>, vol. 18, No. 8 (January 2015).</w:t>
      </w:r>
    </w:p>
  </w:footnote>
  <w:footnote w:id="26">
    <w:p w14:paraId="46F24E6E" w14:textId="4316AD5D"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for example, Anne Peterson, “FIFA partners with the UN to promote gender equity”, Public Broadcasting Service (PBS) News, 7 June 2019. See also Anne Peterson, “Women’s national soccer team players sue for equal pay.” PBS News, 8 March 2019.</w:t>
      </w:r>
    </w:p>
  </w:footnote>
  <w:footnote w:id="27">
    <w:p w14:paraId="58B7AEDF" w14:textId="24494B8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for example, International Working Group on Women and Sport, “Women and sport: from Brighton to Windhoek – facing the challenge”, progress report, 1998. Available from </w:t>
      </w:r>
      <w:hyperlink r:id="rId3" w:history="1">
        <w:r w:rsidRPr="00356B25">
          <w:rPr>
            <w:rStyle w:val="Hyperlink"/>
            <w:color w:val="auto"/>
            <w:lang w:val="en-CA"/>
          </w:rPr>
          <w:t>https://iwgwomenandsport.org/programmes/insight-hub/</w:t>
        </w:r>
      </w:hyperlink>
      <w:r w:rsidRPr="00356B25">
        <w:rPr>
          <w:szCs w:val="18"/>
          <w:lang w:val="en-CA"/>
        </w:rPr>
        <w:t>.</w:t>
      </w:r>
    </w:p>
  </w:footnote>
  <w:footnote w:id="28">
    <w:p w14:paraId="19BC83D8" w14:textId="06C49FAF"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Wolfram Manzenreiter, “The business of sports and the manufacturing of global social inequality”, </w:t>
      </w:r>
      <w:r w:rsidRPr="00356B25">
        <w:rPr>
          <w:i/>
          <w:iCs/>
          <w:szCs w:val="18"/>
          <w:lang w:val="en-CA"/>
        </w:rPr>
        <w:t>Esporte e Sociedade</w:t>
      </w:r>
      <w:r w:rsidRPr="00356B25">
        <w:rPr>
          <w:szCs w:val="18"/>
          <w:lang w:val="en-CA"/>
        </w:rPr>
        <w:t>, vol. 2, No. 6 (2007).</w:t>
      </w:r>
    </w:p>
  </w:footnote>
  <w:footnote w:id="29">
    <w:p w14:paraId="701ABF58" w14:textId="66724E28"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 xml:space="preserve"> </w:t>
      </w:r>
      <w:r w:rsidRPr="00356B25">
        <w:rPr>
          <w:szCs w:val="18"/>
          <w:lang w:val="en-CA"/>
        </w:rPr>
        <w:tab/>
        <w:t>“UNESCO calls for fairer media coverage of sportswomen”, 8 February 2018.</w:t>
      </w:r>
      <w:hyperlink w:history="1"/>
    </w:p>
  </w:footnote>
  <w:footnote w:id="30">
    <w:p w14:paraId="4D2B96EB" w14:textId="18B8AF49"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Manuel R. Zenquis and Munene F. Mwaniki, “The intersection of race, gender, and nationality in sport: media representation of the Ogwumike sisters”, </w:t>
      </w:r>
      <w:r w:rsidRPr="00356B25">
        <w:rPr>
          <w:i/>
          <w:iCs/>
          <w:szCs w:val="18"/>
          <w:lang w:val="en-CA"/>
        </w:rPr>
        <w:t>Journal of Sport and Social Issues</w:t>
      </w:r>
      <w:r w:rsidRPr="00356B25">
        <w:rPr>
          <w:szCs w:val="18"/>
          <w:lang w:val="en-CA"/>
        </w:rPr>
        <w:t xml:space="preserve">, vol. 43, No. 1 (2019), and Kara Allen and Cynthia M. Frisby, “A content analysis of microaggressions in news stories about female athletes participating in the 2012 and 2016 Summer Olympics”, </w:t>
      </w:r>
      <w:r w:rsidRPr="00356B25">
        <w:rPr>
          <w:i/>
          <w:iCs/>
          <w:szCs w:val="18"/>
          <w:lang w:val="en-CA"/>
        </w:rPr>
        <w:t>Journal of Mass Communication and Journalism</w:t>
      </w:r>
      <w:r w:rsidRPr="00356B25">
        <w:rPr>
          <w:szCs w:val="18"/>
          <w:lang w:val="en-CA"/>
        </w:rPr>
        <w:t>, vol. 7, No. 3 (June 2017). See also submission of Sexual Rights Initiative.</w:t>
      </w:r>
    </w:p>
  </w:footnote>
  <w:footnote w:id="31">
    <w:p w14:paraId="1C498A44" w14:textId="6F714BDD"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University of Cambridge, “Aesthetics over athletics when it comes to women in sport”, 12 August 2016, and Ivana Katsarova, “Gender equality in sport: getting closer every day”, briefing, European Parliamentary Research Service, March 2019.</w:t>
      </w:r>
    </w:p>
  </w:footnote>
  <w:footnote w:id="32">
    <w:p w14:paraId="4C4A24D3" w14:textId="4B4E124C"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Kara Allen and Cynthia M. Frisby, “A content analysis of microaggressions in news stories about female athletes”.</w:t>
      </w:r>
    </w:p>
  </w:footnote>
  <w:footnote w:id="33">
    <w:p w14:paraId="53738F7D"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Ibid.</w:t>
      </w:r>
    </w:p>
  </w:footnote>
  <w:footnote w:id="34">
    <w:p w14:paraId="13548A46" w14:textId="484939DE"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Arts. 2 (2) and 3. See also Committee on Economic, Social and Cultural Rights, general comment No. 20 (2009) on non-discrimination in economic, social and cultural rights, paras. 20 and 32.</w:t>
      </w:r>
    </w:p>
  </w:footnote>
  <w:footnote w:id="35">
    <w:p w14:paraId="2D496D6E"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Arts. 2 (1), 3 and 26. See also Human Rights Committee, general comments No. 18 </w:t>
      </w:r>
      <w:r w:rsidRPr="00356B25">
        <w:rPr>
          <w:lang w:val="en-CA"/>
        </w:rPr>
        <w:t>(1989) on non-discrimination</w:t>
      </w:r>
      <w:r w:rsidRPr="00356B25">
        <w:rPr>
          <w:szCs w:val="18"/>
          <w:lang w:val="en-CA"/>
        </w:rPr>
        <w:t xml:space="preserve"> and No. 28 </w:t>
      </w:r>
      <w:r w:rsidRPr="00356B25">
        <w:rPr>
          <w:lang w:val="en-CA"/>
        </w:rPr>
        <w:t>(2000) on the equality of rights between men and women;</w:t>
      </w:r>
      <w:r w:rsidRPr="00356B25">
        <w:rPr>
          <w:szCs w:val="18"/>
          <w:lang w:val="en-CA"/>
        </w:rPr>
        <w:t xml:space="preserve"> and </w:t>
      </w:r>
      <w:r w:rsidRPr="00356B25">
        <w:rPr>
          <w:i/>
          <w:iCs/>
          <w:szCs w:val="18"/>
          <w:lang w:val="en-CA"/>
        </w:rPr>
        <w:t>Genero v. Italy</w:t>
      </w:r>
      <w:r w:rsidRPr="00356B25">
        <w:rPr>
          <w:szCs w:val="18"/>
          <w:lang w:val="en-CA"/>
        </w:rPr>
        <w:t xml:space="preserve"> (</w:t>
      </w:r>
      <w:r w:rsidRPr="00356B25">
        <w:rPr>
          <w:lang w:val="en-CA"/>
        </w:rPr>
        <w:t>CCPR/C/128/D/</w:t>
      </w:r>
      <w:r w:rsidRPr="00356B25">
        <w:rPr>
          <w:szCs w:val="18"/>
          <w:lang w:val="en-CA"/>
        </w:rPr>
        <w:t>2979/2017), para. 7.6.</w:t>
      </w:r>
    </w:p>
  </w:footnote>
  <w:footnote w:id="36">
    <w:p w14:paraId="74F7F22B" w14:textId="77777777" w:rsidR="000004AB" w:rsidRPr="00356B25" w:rsidRDefault="000004AB" w:rsidP="0012136D">
      <w:pPr>
        <w:pStyle w:val="FootnoteText"/>
        <w:rPr>
          <w:lang w:val="en-CA"/>
        </w:rPr>
      </w:pPr>
      <w:r w:rsidRPr="00356B25">
        <w:rPr>
          <w:lang w:val="en-CA"/>
        </w:rPr>
        <w:tab/>
      </w:r>
      <w:r w:rsidRPr="00356B25">
        <w:rPr>
          <w:rStyle w:val="FootnoteReference"/>
          <w:lang w:val="en-CA"/>
        </w:rPr>
        <w:footnoteRef/>
      </w:r>
      <w:r w:rsidRPr="00356B25">
        <w:rPr>
          <w:lang w:val="en-CA"/>
        </w:rPr>
        <w:tab/>
        <w:t>Art. 10 (g).</w:t>
      </w:r>
    </w:p>
  </w:footnote>
  <w:footnote w:id="37">
    <w:p w14:paraId="67125A53"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CEDAW/C/PSE/CO/1, para. 40 (b); CEDAW/C/KAZ/CO/5, para. 41 (e); CEDAW/C/BWA/CO/4, para. 39; CEDAW/C/ITA/CO/7, para. 43; and CEDAW/C/FRA/CO/7-8, para. 38 (b).</w:t>
      </w:r>
    </w:p>
  </w:footnote>
  <w:footnote w:id="38">
    <w:p w14:paraId="462001FC"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CRPD/C/SAU/CO/1, para. 53. See also CRPD/C/BOL/CO/1, para. 67 (a). </w:t>
      </w:r>
    </w:p>
  </w:footnote>
  <w:footnote w:id="39">
    <w:p w14:paraId="54F90699"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Para. 83 (m).</w:t>
      </w:r>
    </w:p>
  </w:footnote>
  <w:footnote w:id="40">
    <w:p w14:paraId="707F048E"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A/HRC/35/10, para. 4.</w:t>
      </w:r>
    </w:p>
  </w:footnote>
  <w:footnote w:id="41">
    <w:p w14:paraId="53DEA7C8"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Ibid., para. 7.</w:t>
      </w:r>
    </w:p>
  </w:footnote>
  <w:footnote w:id="42">
    <w:p w14:paraId="1FD78896"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General recommendation No. 28 (2010) on the core obligations of States parties under article 2 of the Convention, para. 18.</w:t>
      </w:r>
    </w:p>
  </w:footnote>
  <w:footnote w:id="43">
    <w:p w14:paraId="2A9FAFAC" w14:textId="2D1A9ABC"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General recommendation No. 25 (2000) on gender-related dimensions of racial discrimination, para. 1.</w:t>
      </w:r>
    </w:p>
  </w:footnote>
  <w:footnote w:id="44">
    <w:p w14:paraId="4B231068"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r>
      <w:r w:rsidRPr="00356B25">
        <w:rPr>
          <w:i/>
          <w:iCs/>
          <w:szCs w:val="18"/>
          <w:lang w:val="en-CA"/>
        </w:rPr>
        <w:t>Turning Promises into Action: Gender Equality in the 2030 Agenda for Sustainable Development</w:t>
      </w:r>
      <w:r w:rsidRPr="00356B25">
        <w:rPr>
          <w:szCs w:val="18"/>
          <w:lang w:val="en-CA"/>
        </w:rPr>
        <w:t xml:space="preserve"> (2018).</w:t>
      </w:r>
    </w:p>
  </w:footnote>
  <w:footnote w:id="45">
    <w:p w14:paraId="1B394518"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Art. 5 (a).</w:t>
      </w:r>
    </w:p>
  </w:footnote>
  <w:footnote w:id="46">
    <w:p w14:paraId="7F1C5EFD" w14:textId="5F28CF80"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OHCHR-commissioned report, “Gender stereotyping as a human rights violation”, October 2013, available from </w:t>
      </w:r>
      <w:hyperlink r:id="rId4" w:history="1">
        <w:r w:rsidRPr="00356B25">
          <w:rPr>
            <w:rStyle w:val="Hyperlink"/>
            <w:color w:val="auto"/>
            <w:lang w:val="en-CA"/>
          </w:rPr>
          <w:t>www.ohchr.org/EN/Issues/Women/WRGS/Pages/Documentation.aspx</w:t>
        </w:r>
      </w:hyperlink>
      <w:r w:rsidRPr="00356B25">
        <w:rPr>
          <w:lang w:val="en-CA"/>
        </w:rPr>
        <w:t>.</w:t>
      </w:r>
      <w:r w:rsidRPr="00356B25">
        <w:rPr>
          <w:szCs w:val="18"/>
          <w:lang w:val="en-CA"/>
        </w:rPr>
        <w:t xml:space="preserve"> See also the Convention on the Elimination of All Forms of Discrimination against Women, art. 5.</w:t>
      </w:r>
    </w:p>
  </w:footnote>
  <w:footnote w:id="47">
    <w:p w14:paraId="7E7515BB"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A/HRC/35/10.</w:t>
      </w:r>
    </w:p>
  </w:footnote>
  <w:footnote w:id="48">
    <w:p w14:paraId="6CCF90A8" w14:textId="30C51AE7" w:rsidR="000004AB" w:rsidRPr="00356B25" w:rsidRDefault="000004AB" w:rsidP="0012136D">
      <w:pPr>
        <w:pStyle w:val="FootnoteText"/>
        <w:rPr>
          <w:lang w:val="en-CA"/>
        </w:rPr>
      </w:pPr>
      <w:r w:rsidRPr="00356B25">
        <w:rPr>
          <w:lang w:val="en-CA"/>
        </w:rPr>
        <w:tab/>
      </w:r>
      <w:r w:rsidRPr="00356B25">
        <w:rPr>
          <w:rStyle w:val="FootnoteReference"/>
          <w:lang w:val="en-CA"/>
        </w:rPr>
        <w:footnoteRef/>
      </w:r>
      <w:r w:rsidRPr="00356B25">
        <w:rPr>
          <w:lang w:val="en-CA"/>
        </w:rPr>
        <w:tab/>
      </w:r>
      <w:r w:rsidRPr="00356B25">
        <w:rPr>
          <w:szCs w:val="18"/>
          <w:lang w:val="en-CA"/>
        </w:rPr>
        <w:t>A/CONF.189/12 and Corr.1, chap. I.</w:t>
      </w:r>
    </w:p>
  </w:footnote>
  <w:footnote w:id="49">
    <w:p w14:paraId="71ED6242" w14:textId="77777777" w:rsidR="000004AB" w:rsidRPr="00356B25" w:rsidRDefault="000004AB" w:rsidP="0012136D">
      <w:pPr>
        <w:pStyle w:val="FootnoteText"/>
        <w:rPr>
          <w:rFonts w:cstheme="minorHAnsi"/>
          <w:szCs w:val="18"/>
          <w:highlight w:val="yellow"/>
          <w:lang w:val="en-CA"/>
        </w:rPr>
      </w:pPr>
      <w:r w:rsidRPr="00356B25">
        <w:rPr>
          <w:rFonts w:cstheme="minorHAnsi"/>
          <w:szCs w:val="18"/>
          <w:lang w:val="en-CA"/>
        </w:rPr>
        <w:tab/>
      </w:r>
      <w:r w:rsidRPr="00356B25">
        <w:rPr>
          <w:rStyle w:val="FootnoteReference"/>
          <w:lang w:val="en-CA"/>
        </w:rPr>
        <w:footnoteRef/>
      </w:r>
      <w:r w:rsidRPr="00356B25">
        <w:rPr>
          <w:rFonts w:cstheme="minorHAnsi"/>
          <w:szCs w:val="18"/>
          <w:lang w:val="en-CA"/>
        </w:rPr>
        <w:tab/>
      </w:r>
      <w:r w:rsidRPr="00356B25">
        <w:rPr>
          <w:rFonts w:cstheme="minorHAnsi"/>
          <w:i/>
          <w:iCs/>
          <w:szCs w:val="18"/>
          <w:lang w:val="en-CA"/>
        </w:rPr>
        <w:t>Getting into the Game: Understanding the Evidence for Child-focused Sport for Development</w:t>
      </w:r>
      <w:r w:rsidRPr="00356B25">
        <w:rPr>
          <w:rFonts w:cstheme="minorHAnsi"/>
          <w:szCs w:val="18"/>
          <w:lang w:val="en-CA"/>
        </w:rPr>
        <w:t xml:space="preserve">, provisional full report (March 2019). </w:t>
      </w:r>
    </w:p>
  </w:footnote>
  <w:footnote w:id="50">
    <w:p w14:paraId="3ADF671A" w14:textId="77777777" w:rsidR="000004AB" w:rsidRPr="00356B25" w:rsidRDefault="000004AB" w:rsidP="0012136D">
      <w:pPr>
        <w:pStyle w:val="FootnoteText"/>
        <w:rPr>
          <w:rFonts w:cstheme="minorHAnsi"/>
          <w:szCs w:val="18"/>
          <w:lang w:val="en-CA"/>
        </w:rPr>
      </w:pPr>
      <w:r w:rsidRPr="00356B25">
        <w:rPr>
          <w:rFonts w:cstheme="minorHAnsi"/>
          <w:szCs w:val="18"/>
          <w:lang w:val="en-CA"/>
        </w:rPr>
        <w:tab/>
      </w:r>
      <w:r w:rsidRPr="00356B25">
        <w:rPr>
          <w:rStyle w:val="FootnoteReference"/>
          <w:lang w:val="en-CA"/>
        </w:rPr>
        <w:footnoteRef/>
      </w:r>
      <w:r w:rsidRPr="00356B25">
        <w:rPr>
          <w:rFonts w:cstheme="minorHAnsi"/>
          <w:szCs w:val="18"/>
          <w:lang w:val="en-CA"/>
        </w:rPr>
        <w:tab/>
        <w:t xml:space="preserve">See the annual reports of the International Paralympic Committee. Available from </w:t>
      </w:r>
      <w:hyperlink r:id="rId5" w:history="1">
        <w:r w:rsidRPr="00356B25">
          <w:rPr>
            <w:rStyle w:val="Hyperlink"/>
            <w:rFonts w:cstheme="minorHAnsi"/>
            <w:color w:val="auto"/>
            <w:szCs w:val="18"/>
            <w:lang w:val="en-CA"/>
          </w:rPr>
          <w:t>www.paralympic.org/ipc-publications</w:t>
        </w:r>
      </w:hyperlink>
      <w:r w:rsidRPr="00356B25">
        <w:rPr>
          <w:rFonts w:cstheme="minorHAnsi"/>
          <w:szCs w:val="18"/>
          <w:lang w:val="en-CA"/>
        </w:rPr>
        <w:t>.</w:t>
      </w:r>
    </w:p>
  </w:footnote>
  <w:footnote w:id="51">
    <w:p w14:paraId="2783244B" w14:textId="77777777" w:rsidR="000004AB" w:rsidRPr="00356B25" w:rsidRDefault="000004AB" w:rsidP="0012136D">
      <w:pPr>
        <w:pStyle w:val="FootnoteText"/>
        <w:rPr>
          <w:rFonts w:cstheme="minorHAnsi"/>
          <w:szCs w:val="18"/>
          <w:lang w:val="en-CA"/>
        </w:rPr>
      </w:pPr>
      <w:r w:rsidRPr="00356B25">
        <w:rPr>
          <w:rFonts w:cstheme="minorHAnsi"/>
          <w:szCs w:val="18"/>
          <w:lang w:val="en-CA"/>
        </w:rPr>
        <w:tab/>
      </w:r>
      <w:r w:rsidRPr="00356B25">
        <w:rPr>
          <w:rStyle w:val="FootnoteReference"/>
          <w:lang w:val="en-CA"/>
        </w:rPr>
        <w:footnoteRef/>
      </w:r>
      <w:r w:rsidRPr="00356B25">
        <w:rPr>
          <w:rFonts w:cstheme="minorHAnsi"/>
          <w:szCs w:val="18"/>
          <w:lang w:val="en-CA"/>
        </w:rPr>
        <w:tab/>
        <w:t xml:space="preserve">See communication of 8 September 2018 submitted to special procedures of the Human Rights Council by the International Association of Athletics Federations on regulations regarding eligibility for the female classification (athletes with differences of sex development) (OL OTH 62/2018). See also OHCHR, </w:t>
      </w:r>
      <w:r w:rsidRPr="00356B25">
        <w:rPr>
          <w:rFonts w:cstheme="minorHAnsi"/>
          <w:bCs/>
          <w:szCs w:val="18"/>
          <w:lang w:val="en-CA"/>
        </w:rPr>
        <w:t>background note on human rights violations against intersex people</w:t>
      </w:r>
      <w:r w:rsidRPr="00356B25">
        <w:rPr>
          <w:rFonts w:cstheme="minorHAnsi"/>
          <w:szCs w:val="18"/>
          <w:lang w:val="en-CA"/>
        </w:rPr>
        <w:t xml:space="preserve"> and A/HRC/29/23.</w:t>
      </w:r>
    </w:p>
  </w:footnote>
  <w:footnote w:id="52">
    <w:p w14:paraId="6D140E89" w14:textId="38F5C410"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Susan K. Cahn, </w:t>
      </w:r>
      <w:r w:rsidRPr="00356B25">
        <w:rPr>
          <w:i/>
          <w:iCs/>
          <w:szCs w:val="18"/>
          <w:lang w:val="en-CA"/>
        </w:rPr>
        <w:t>Coming on Strong: Gender and Sexuality in Twentieth-Century Women’s Sport</w:t>
      </w:r>
      <w:r w:rsidRPr="00356B25">
        <w:rPr>
          <w:szCs w:val="18"/>
          <w:lang w:val="en-CA"/>
        </w:rPr>
        <w:t>. (Cambridge, Harvard University Press, 1995).</w:t>
      </w:r>
    </w:p>
  </w:footnote>
  <w:footnote w:id="53">
    <w:p w14:paraId="357E8DF0"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Renamed World Athletics in October 2019.</w:t>
      </w:r>
    </w:p>
  </w:footnote>
  <w:footnote w:id="54">
    <w:p w14:paraId="531806E1" w14:textId="09059775"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Vanessa </w:t>
      </w:r>
      <w:r w:rsidRPr="00356B25">
        <w:rPr>
          <w:rFonts w:eastAsia="Calibri"/>
          <w:szCs w:val="18"/>
          <w:lang w:val="en-CA"/>
        </w:rPr>
        <w:t xml:space="preserve">Heggie, “Testing sex and gender in sports: reinventing, reimagining and reconstructing histories”, </w:t>
      </w:r>
      <w:r w:rsidRPr="00356B25">
        <w:rPr>
          <w:rFonts w:eastAsia="Calibri"/>
          <w:i/>
          <w:iCs/>
          <w:szCs w:val="18"/>
          <w:lang w:val="en-CA"/>
        </w:rPr>
        <w:t>Endeavour</w:t>
      </w:r>
      <w:r w:rsidRPr="00356B25">
        <w:rPr>
          <w:rFonts w:eastAsia="Calibri"/>
          <w:szCs w:val="18"/>
          <w:lang w:val="en-CA"/>
        </w:rPr>
        <w:t>, vol. 34, No. 4 (2010), pp. 157–163.</w:t>
      </w:r>
    </w:p>
  </w:footnote>
  <w:footnote w:id="55">
    <w:p w14:paraId="5BCCC5A5" w14:textId="673F3802"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OHCHR, “Background note on human rights violations against intersex people”.</w:t>
      </w:r>
    </w:p>
  </w:footnote>
  <w:footnote w:id="56">
    <w:p w14:paraId="59C737F6" w14:textId="5313357B"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 xml:space="preserve"> </w:t>
      </w:r>
      <w:r w:rsidRPr="00356B25">
        <w:rPr>
          <w:szCs w:val="18"/>
          <w:lang w:val="en-CA"/>
        </w:rPr>
        <w:tab/>
        <w:t>Vanessa Heggie,</w:t>
      </w:r>
      <w:r w:rsidRPr="00356B25">
        <w:rPr>
          <w:rFonts w:eastAsia="Calibri"/>
          <w:szCs w:val="18"/>
          <w:lang w:val="en-CA"/>
        </w:rPr>
        <w:t xml:space="preserve"> “Testing sex and gender in sports”</w:t>
      </w:r>
      <w:r w:rsidRPr="00356B25">
        <w:rPr>
          <w:szCs w:val="18"/>
          <w:lang w:val="en-CA"/>
        </w:rPr>
        <w:t>.</w:t>
      </w:r>
    </w:p>
  </w:footnote>
  <w:footnote w:id="57">
    <w:p w14:paraId="4ABABD38" w14:textId="39526DDF"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“IAAF regulations governing eligibility of females with hyperandrogenism to compete in women’s competition” (2011).</w:t>
      </w:r>
    </w:p>
  </w:footnote>
  <w:footnote w:id="58">
    <w:p w14:paraId="78F9F9E9" w14:textId="4E50F453" w:rsidR="000004AB" w:rsidRPr="00356B25" w:rsidRDefault="000004AB" w:rsidP="0012136D">
      <w:pPr>
        <w:pStyle w:val="FootnoteText"/>
        <w:rPr>
          <w:szCs w:val="18"/>
          <w:highlight w:val="yellow"/>
          <w:lang w:val="en-CA"/>
        </w:rPr>
      </w:pPr>
      <w:r w:rsidRPr="00356B25">
        <w:rPr>
          <w:szCs w:val="18"/>
          <w:lang w:val="en-CA"/>
        </w:rPr>
        <w:tab/>
      </w:r>
      <w:r w:rsidRPr="00356B25">
        <w:rPr>
          <w:rStyle w:val="FootnoteReference"/>
          <w:lang w:val="en-CA"/>
        </w:rPr>
        <w:footnoteRef/>
      </w:r>
      <w:r w:rsidRPr="00356B25">
        <w:rPr>
          <w:szCs w:val="18"/>
          <w:lang w:val="en-CA"/>
        </w:rPr>
        <w:tab/>
      </w:r>
      <w:r w:rsidRPr="00356B25">
        <w:rPr>
          <w:rFonts w:eastAsia="Calibri"/>
          <w:szCs w:val="18"/>
          <w:lang w:val="en-CA"/>
        </w:rPr>
        <w:t>“IOC regulations on female hyperandrogenism” (2012).</w:t>
      </w:r>
    </w:p>
  </w:footnote>
  <w:footnote w:id="59">
    <w:p w14:paraId="28F5676B" w14:textId="56AA7EE8"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Katrina Karkazis and Morgan Carpenter, “Impossible ‘choices’: the inherent harms of regulating women’s testosterone in sport”, </w:t>
      </w:r>
      <w:r w:rsidRPr="00356B25">
        <w:rPr>
          <w:i/>
          <w:iCs/>
          <w:szCs w:val="18"/>
          <w:lang w:val="en-CA"/>
        </w:rPr>
        <w:t>Journal of Bioethical Inquiry</w:t>
      </w:r>
      <w:r w:rsidRPr="00356B25">
        <w:rPr>
          <w:szCs w:val="18"/>
          <w:lang w:val="en-CA"/>
        </w:rPr>
        <w:t>, vol. 15 (2018), pp. 579–587.</w:t>
      </w:r>
    </w:p>
  </w:footnote>
  <w:footnote w:id="60">
    <w:p w14:paraId="698D2C71"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r>
      <w:r w:rsidRPr="00356B25">
        <w:rPr>
          <w:rFonts w:eastAsia="Calibri"/>
          <w:lang w:val="en-CA"/>
        </w:rPr>
        <w:t>Court of Arbitration for Sport</w:t>
      </w:r>
      <w:r w:rsidRPr="00356B25">
        <w:rPr>
          <w:szCs w:val="18"/>
          <w:lang w:val="en-CA"/>
        </w:rPr>
        <w:t xml:space="preserve">, </w:t>
      </w:r>
      <w:r w:rsidRPr="00356B25">
        <w:rPr>
          <w:i/>
          <w:iCs/>
          <w:szCs w:val="18"/>
          <w:lang w:val="en-CA"/>
        </w:rPr>
        <w:t>Dutee Chand v. the Athletics Federation of India and the International Association of Athletics Federations</w:t>
      </w:r>
      <w:r w:rsidRPr="00356B25">
        <w:rPr>
          <w:szCs w:val="18"/>
          <w:lang w:val="en-CA"/>
        </w:rPr>
        <w:t>, Case No. CAS 2014/A/3759, interim arbitral award, 24 July 2015.</w:t>
      </w:r>
    </w:p>
  </w:footnote>
  <w:footnote w:id="61">
    <w:p w14:paraId="67EECA35" w14:textId="68653C76" w:rsidR="000004AB" w:rsidRPr="00356B25" w:rsidRDefault="000004AB" w:rsidP="0012136D">
      <w:pPr>
        <w:pStyle w:val="FootnoteText"/>
        <w:rPr>
          <w:rFonts w:cs="Calibri"/>
          <w:szCs w:val="18"/>
          <w:lang w:val="en-CA"/>
        </w:rPr>
      </w:pPr>
      <w:r w:rsidRPr="00356B25">
        <w:rPr>
          <w:rFonts w:cs="Calibri"/>
          <w:szCs w:val="18"/>
          <w:lang w:val="en-CA"/>
        </w:rPr>
        <w:tab/>
      </w:r>
      <w:r w:rsidRPr="00356B25">
        <w:rPr>
          <w:rStyle w:val="FootnoteReference"/>
          <w:lang w:val="en-CA"/>
        </w:rPr>
        <w:footnoteRef/>
      </w:r>
      <w:r w:rsidRPr="00356B25">
        <w:rPr>
          <w:rFonts w:cs="Calibri"/>
          <w:szCs w:val="18"/>
          <w:lang w:val="en-CA"/>
        </w:rPr>
        <w:tab/>
        <w:t>IAAF, “Eligibility regulations for the female classification (athletes with differences of sex development)” (2018).</w:t>
      </w:r>
    </w:p>
  </w:footnote>
  <w:footnote w:id="62">
    <w:p w14:paraId="4ED04751" w14:textId="75A25D85"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Vanessa Heggie, </w:t>
      </w:r>
      <w:r w:rsidRPr="00356B25">
        <w:rPr>
          <w:rFonts w:eastAsia="Calibri"/>
          <w:szCs w:val="18"/>
          <w:lang w:val="en-CA"/>
        </w:rPr>
        <w:t>“Testing sex and gender in sports”</w:t>
      </w:r>
      <w:r w:rsidRPr="00356B25">
        <w:rPr>
          <w:szCs w:val="18"/>
          <w:lang w:val="en-CA"/>
        </w:rPr>
        <w:t>.</w:t>
      </w:r>
    </w:p>
  </w:footnote>
  <w:footnote w:id="63">
    <w:p w14:paraId="274CD621" w14:textId="10D709EC" w:rsidR="000004AB" w:rsidRPr="00356B25" w:rsidRDefault="000004AB" w:rsidP="0012136D">
      <w:pPr>
        <w:pStyle w:val="FootnoteText"/>
        <w:rPr>
          <w:rStyle w:val="FootnoteTextCha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for example, P. Fénichel and others, “Molecular diagnosis of 5 alpha-reductase deficiency in 4 elite young female athletes through hormonal screening for hyperandrogenism”, </w:t>
      </w:r>
      <w:r w:rsidRPr="00356B25">
        <w:rPr>
          <w:i/>
          <w:iCs/>
          <w:szCs w:val="18"/>
          <w:lang w:val="en-CA"/>
        </w:rPr>
        <w:t>Journal of Clinical Endocrinology and Metabolism</w:t>
      </w:r>
      <w:r w:rsidRPr="00356B25">
        <w:rPr>
          <w:szCs w:val="18"/>
          <w:lang w:val="en-CA"/>
        </w:rPr>
        <w:t>, vol. 98, No. 6, (2013), pp. E1055–E1059; Z.K. Goh, Evelyn Watta and Ed Knowles, “</w:t>
      </w:r>
      <w:r w:rsidRPr="00356B25">
        <w:rPr>
          <w:bCs/>
          <w:szCs w:val="18"/>
          <w:lang w:val="en-CA"/>
        </w:rPr>
        <w:t xml:space="preserve">DSD athletes: what does it mean to be DSD and how gender and sex are the big issues in athletics”, 25 September 2019 (available from </w:t>
      </w:r>
      <w:hyperlink r:id="rId6" w:history="1">
        <w:r w:rsidRPr="00356B25">
          <w:rPr>
            <w:rStyle w:val="Hyperlink"/>
            <w:color w:val="auto"/>
            <w:lang w:val="en-CA"/>
          </w:rPr>
          <w:t>www.olympicchannel.com/en/stories/news</w:t>
        </w:r>
        <w:r w:rsidR="00DF02AD" w:rsidRPr="00356B25">
          <w:rPr>
            <w:rStyle w:val="Hyperlink"/>
            <w:color w:val="auto"/>
            <w:lang w:val="en-CA"/>
          </w:rPr>
          <w:t xml:space="preserve"> </w:t>
        </w:r>
        <w:r w:rsidRPr="00356B25">
          <w:rPr>
            <w:rStyle w:val="Hyperlink"/>
            <w:color w:val="auto"/>
            <w:lang w:val="en-CA"/>
          </w:rPr>
          <w:t>/detail/semenya-niyonsaba-wambui-what-is-dsd-iaaf-regulations</w:t>
        </w:r>
      </w:hyperlink>
      <w:r w:rsidRPr="00356B25">
        <w:rPr>
          <w:lang w:val="en-CA"/>
        </w:rPr>
        <w:t>)</w:t>
      </w:r>
      <w:r w:rsidRPr="00356B25">
        <w:rPr>
          <w:bCs/>
          <w:szCs w:val="18"/>
          <w:lang w:val="en-CA"/>
        </w:rPr>
        <w:t xml:space="preserve">; Ruth Padawer, “The humiliating practice of sex-testing female athletes”, </w:t>
      </w:r>
      <w:r w:rsidRPr="00356B25">
        <w:rPr>
          <w:bCs/>
          <w:i/>
          <w:iCs/>
          <w:szCs w:val="18"/>
          <w:lang w:val="en-CA"/>
        </w:rPr>
        <w:t>The New York Times</w:t>
      </w:r>
      <w:r w:rsidRPr="00356B25">
        <w:rPr>
          <w:bCs/>
          <w:szCs w:val="18"/>
          <w:lang w:val="en-CA"/>
        </w:rPr>
        <w:t xml:space="preserve">, 28 June 2016; and Geneva </w:t>
      </w:r>
      <w:r w:rsidRPr="00356B25">
        <w:rPr>
          <w:szCs w:val="18"/>
          <w:lang w:val="en-CA"/>
        </w:rPr>
        <w:t xml:space="preserve">Abdul, “This intersex runner had surgery to compete. It has not gone well”, </w:t>
      </w:r>
      <w:r w:rsidRPr="00356B25">
        <w:rPr>
          <w:i/>
          <w:iCs/>
          <w:szCs w:val="18"/>
          <w:lang w:val="en-CA"/>
        </w:rPr>
        <w:t>The New York Times</w:t>
      </w:r>
      <w:r w:rsidRPr="00356B25">
        <w:rPr>
          <w:szCs w:val="18"/>
          <w:lang w:val="en-CA"/>
        </w:rPr>
        <w:t>, 16 December 2019.</w:t>
      </w:r>
    </w:p>
  </w:footnote>
  <w:footnote w:id="64">
    <w:p w14:paraId="49BF7273"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 See </w:t>
      </w:r>
      <w:hyperlink r:id="rId7" w:history="1">
        <w:r w:rsidRPr="00356B25">
          <w:rPr>
            <w:rStyle w:val="Hyperlink"/>
            <w:color w:val="auto"/>
            <w:lang w:val="en-CA"/>
          </w:rPr>
          <w:t>www.ohchr.org/Documents/Issues/Women/WG/Communications/OL-OTH-62-2018.pdf</w:t>
        </w:r>
      </w:hyperlink>
      <w:r w:rsidRPr="00356B25">
        <w:rPr>
          <w:szCs w:val="18"/>
          <w:lang w:val="en-CA"/>
        </w:rPr>
        <w:t>.</w:t>
      </w:r>
    </w:p>
  </w:footnote>
  <w:footnote w:id="65">
    <w:p w14:paraId="50968409" w14:textId="5293441C"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“Caster Semenya’s comeback statement in full”, </w:t>
      </w:r>
      <w:r w:rsidRPr="00356B25">
        <w:rPr>
          <w:i/>
          <w:iCs/>
          <w:szCs w:val="18"/>
          <w:lang w:val="en-CA"/>
        </w:rPr>
        <w:t>The Guardian</w:t>
      </w:r>
      <w:r w:rsidRPr="00356B25">
        <w:rPr>
          <w:szCs w:val="18"/>
          <w:lang w:val="en-CA"/>
        </w:rPr>
        <w:t>, 30 March 2010.</w:t>
      </w:r>
    </w:p>
  </w:footnote>
  <w:footnote w:id="66">
    <w:p w14:paraId="39543A71" w14:textId="17F0C635"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Vanessa Heggie, </w:t>
      </w:r>
      <w:r w:rsidRPr="00356B25">
        <w:rPr>
          <w:rFonts w:eastAsia="Calibri"/>
          <w:szCs w:val="18"/>
          <w:lang w:val="en-CA"/>
        </w:rPr>
        <w:t>“Testing sex and gender in sports”</w:t>
      </w:r>
      <w:r w:rsidRPr="00356B25">
        <w:rPr>
          <w:szCs w:val="18"/>
          <w:lang w:val="en-CA"/>
        </w:rPr>
        <w:t>.</w:t>
      </w:r>
    </w:p>
  </w:footnote>
  <w:footnote w:id="67">
    <w:p w14:paraId="6F52CD7A"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Committee on Economic, Social and Cultural Rights, general comments No. 18 (2005) on the right to work, paras. 12 (b), 23 and 31, and No. 23 (2016) on the right to just and favourable conditions of work.</w:t>
      </w:r>
    </w:p>
  </w:footnote>
  <w:footnote w:id="68">
    <w:p w14:paraId="56A1A5A6" w14:textId="77777777" w:rsidR="000004AB" w:rsidRPr="00356B25" w:rsidRDefault="000004AB" w:rsidP="0012136D">
      <w:pPr>
        <w:pStyle w:val="FootnoteText"/>
        <w:rPr>
          <w:szCs w:val="18"/>
          <w:highlight w:val="yellow"/>
          <w:lang w:val="en-CA"/>
        </w:rPr>
      </w:pPr>
      <w:r w:rsidRPr="00356B25">
        <w:rPr>
          <w:szCs w:val="18"/>
          <w:lang w:val="en-CA"/>
        </w:rPr>
        <w:tab/>
      </w:r>
      <w:r w:rsidRPr="00356B25">
        <w:rPr>
          <w:rStyle w:val="FootnoteReference"/>
          <w:lang w:val="en-CA"/>
        </w:rPr>
        <w:footnoteRef/>
      </w:r>
      <w:r w:rsidRPr="00356B25">
        <w:rPr>
          <w:szCs w:val="18"/>
          <w:lang w:val="en-CA"/>
        </w:rPr>
        <w:tab/>
        <w:t xml:space="preserve">Court of Arbitration for Sport, </w:t>
      </w:r>
      <w:r w:rsidRPr="00356B25">
        <w:rPr>
          <w:i/>
          <w:iCs/>
          <w:szCs w:val="18"/>
          <w:lang w:val="en-CA"/>
        </w:rPr>
        <w:t>Mokgadi Caster Semenya v. International Association of Athletics Federations</w:t>
      </w:r>
      <w:r w:rsidRPr="00356B25">
        <w:rPr>
          <w:szCs w:val="18"/>
          <w:lang w:val="en-CA"/>
        </w:rPr>
        <w:t xml:space="preserve">, Case No. CAS 2018/O/5794, arbitral award, 30 April 2019; and </w:t>
      </w:r>
      <w:r w:rsidRPr="00356B25">
        <w:rPr>
          <w:i/>
          <w:iCs/>
          <w:szCs w:val="18"/>
          <w:lang w:val="en-CA"/>
        </w:rPr>
        <w:t>Athletics South Africa v. International Association of Athletics Federations</w:t>
      </w:r>
      <w:r w:rsidRPr="00356B25">
        <w:rPr>
          <w:szCs w:val="18"/>
          <w:lang w:val="en-CA"/>
        </w:rPr>
        <w:t>, Case No. CAS 2018/O/5798, arbitral award, 30 April 2019.</w:t>
      </w:r>
    </w:p>
  </w:footnote>
  <w:footnote w:id="69">
    <w:p w14:paraId="125CB38A" w14:textId="11679F6A" w:rsidR="000004AB" w:rsidRPr="00356B25" w:rsidRDefault="000004AB" w:rsidP="0012136D">
      <w:pPr>
        <w:pStyle w:val="FootnoteText"/>
        <w:rPr>
          <w:szCs w:val="18"/>
          <w:highlight w:val="yellow"/>
          <w:lang w:val="en-CA"/>
        </w:rPr>
      </w:pPr>
      <w:r w:rsidRPr="00356B25">
        <w:rPr>
          <w:szCs w:val="18"/>
          <w:lang w:val="en-CA"/>
        </w:rPr>
        <w:tab/>
      </w:r>
      <w:r w:rsidRPr="00356B25">
        <w:rPr>
          <w:rStyle w:val="FootnoteReference"/>
          <w:lang w:val="en-CA"/>
        </w:rPr>
        <w:footnoteRef/>
      </w:r>
      <w:r w:rsidRPr="00356B25">
        <w:rPr>
          <w:szCs w:val="18"/>
          <w:lang w:val="en-CA"/>
        </w:rPr>
        <w:tab/>
        <w:t>World Medical Association, “Physician leaders reaffirm opposition to IAAF rules” (15 May 2019).</w:t>
      </w:r>
    </w:p>
  </w:footnote>
  <w:footnote w:id="70">
    <w:p w14:paraId="09606DA2"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A/64/272, para. 26.</w:t>
      </w:r>
    </w:p>
  </w:footnote>
  <w:footnote w:id="71">
    <w:p w14:paraId="535A91AE" w14:textId="02BE3FE1"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r>
      <w:r w:rsidRPr="00356B25">
        <w:rPr>
          <w:rFonts w:cstheme="minorHAnsi"/>
          <w:szCs w:val="18"/>
          <w:lang w:val="en-CA"/>
        </w:rPr>
        <w:t>See communication of 8 September 2018 submitted to special procedures of the Human Rights Council by the International Association of Athletics Federations on regulations regarding eligibility for the female classification (athletes with differences of sex development) (OL OTH 62/2018)</w:t>
      </w:r>
      <w:r w:rsidRPr="00356B25">
        <w:rPr>
          <w:szCs w:val="18"/>
          <w:lang w:val="en-CA"/>
        </w:rPr>
        <w:t>.</w:t>
      </w:r>
    </w:p>
  </w:footnote>
  <w:footnote w:id="72">
    <w:p w14:paraId="54939208"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r>
      <w:r w:rsidRPr="00356B25">
        <w:rPr>
          <w:i/>
          <w:iCs/>
          <w:szCs w:val="18"/>
          <w:lang w:val="en-CA"/>
        </w:rPr>
        <w:t>Mokgadi Caster Semenya v. International Association of Athletics Federations</w:t>
      </w:r>
      <w:r w:rsidRPr="00356B25">
        <w:rPr>
          <w:szCs w:val="18"/>
          <w:lang w:val="en-CA"/>
        </w:rPr>
        <w:t xml:space="preserve"> and </w:t>
      </w:r>
      <w:r w:rsidRPr="00356B25">
        <w:rPr>
          <w:i/>
          <w:iCs/>
          <w:szCs w:val="18"/>
          <w:lang w:val="en-CA"/>
        </w:rPr>
        <w:t>Athletics South Africa v. International Association of Athletics Federations</w:t>
      </w:r>
      <w:r w:rsidRPr="00356B25">
        <w:rPr>
          <w:szCs w:val="18"/>
          <w:lang w:val="en-CA"/>
        </w:rPr>
        <w:t>.</w:t>
      </w:r>
    </w:p>
  </w:footnote>
  <w:footnote w:id="73">
    <w:p w14:paraId="3C56243C" w14:textId="79D2FA44"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UN Millennium Project 2005, </w:t>
      </w:r>
      <w:r w:rsidRPr="00356B25">
        <w:rPr>
          <w:i/>
          <w:iCs/>
          <w:szCs w:val="18"/>
          <w:lang w:val="en-CA"/>
        </w:rPr>
        <w:t>Who’s Got the Power? Transforming Health Systems for Women and Children</w:t>
      </w:r>
      <w:r w:rsidRPr="00356B25">
        <w:rPr>
          <w:szCs w:val="18"/>
          <w:lang w:val="en-CA"/>
        </w:rPr>
        <w:t xml:space="preserve">, (London, Earthscan, 2005). </w:t>
      </w:r>
      <w:r w:rsidRPr="00356B25">
        <w:rPr>
          <w:rFonts w:cstheme="minorHAnsi"/>
          <w:szCs w:val="18"/>
          <w:lang w:val="en-CA"/>
        </w:rPr>
        <w:t>Walter K</w:t>
      </w:r>
      <w:r w:rsidRPr="00356B25">
        <w:rPr>
          <w:szCs w:val="18"/>
          <w:lang w:val="en-CA"/>
        </w:rPr>
        <w:t>ä</w:t>
      </w:r>
      <w:r w:rsidRPr="00356B25">
        <w:rPr>
          <w:rFonts w:cstheme="minorHAnsi"/>
          <w:szCs w:val="18"/>
          <w:lang w:val="en-CA"/>
        </w:rPr>
        <w:t>lin and J</w:t>
      </w:r>
      <w:r w:rsidRPr="00356B25">
        <w:rPr>
          <w:szCs w:val="18"/>
          <w:lang w:val="en-CA"/>
        </w:rPr>
        <w:t>ö</w:t>
      </w:r>
      <w:r w:rsidRPr="00356B25">
        <w:rPr>
          <w:rFonts w:cstheme="minorHAnsi"/>
          <w:szCs w:val="18"/>
          <w:lang w:val="en-CA"/>
        </w:rPr>
        <w:t>rg K</w:t>
      </w:r>
      <w:r w:rsidRPr="00356B25">
        <w:rPr>
          <w:szCs w:val="18"/>
          <w:lang w:val="en-CA"/>
        </w:rPr>
        <w:t>ü</w:t>
      </w:r>
      <w:r w:rsidRPr="00356B25">
        <w:rPr>
          <w:rFonts w:cstheme="minorHAnsi"/>
          <w:szCs w:val="18"/>
          <w:lang w:val="en-CA"/>
        </w:rPr>
        <w:t>nzli,</w:t>
      </w:r>
      <w:r w:rsidRPr="00356B25">
        <w:rPr>
          <w:rFonts w:cstheme="minorHAnsi"/>
          <w:i/>
          <w:iCs/>
          <w:szCs w:val="18"/>
          <w:lang w:val="en-CA"/>
        </w:rPr>
        <w:t xml:space="preserve"> The Law of International Human Rights Protection</w:t>
      </w:r>
      <w:r w:rsidRPr="00356B25">
        <w:rPr>
          <w:rFonts w:cstheme="minorHAnsi"/>
          <w:szCs w:val="18"/>
          <w:lang w:val="en-CA"/>
        </w:rPr>
        <w:t xml:space="preserve"> (Oxford, Oxford University Press, 2009).</w:t>
      </w:r>
    </w:p>
  </w:footnote>
  <w:footnote w:id="74">
    <w:p w14:paraId="4FB8D7C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Submission of Sexual Rights Initiative.</w:t>
      </w:r>
    </w:p>
  </w:footnote>
  <w:footnote w:id="75">
    <w:p w14:paraId="013AE02A"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Committee on the Elimination of Discrimination against Women, general recommendation No. 35 (2017)</w:t>
      </w:r>
      <w:r w:rsidRPr="00356B25">
        <w:rPr>
          <w:rFonts w:ascii="Helvetica" w:hAnsi="Helvetica" w:cs="Helvetica"/>
          <w:b/>
          <w:bCs/>
          <w:sz w:val="21"/>
          <w:szCs w:val="21"/>
          <w:shd w:val="clear" w:color="auto" w:fill="FFFFFF"/>
          <w:lang w:val="en-CA"/>
        </w:rPr>
        <w:t xml:space="preserve"> </w:t>
      </w:r>
      <w:r w:rsidRPr="00356B25">
        <w:rPr>
          <w:szCs w:val="18"/>
          <w:lang w:val="en-CA"/>
        </w:rPr>
        <w:t xml:space="preserve">on gender-based violence against women, updating general recommendation No. 19. See also A/74/137, the Guiding Principles on Business and Human Rights, the Declaration on Fundamental Principles and Rights at Work and its Follow-up of the International Labour Organization (ILO), the ILO Discrimination (Employment and Occupation) Convention, 1958 (No. 111), </w:t>
      </w:r>
      <w:hyperlink w:history="1"/>
      <w:r w:rsidRPr="00356B25">
        <w:rPr>
          <w:szCs w:val="18"/>
          <w:lang w:val="en-CA"/>
        </w:rPr>
        <w:t>and the work of Shift</w:t>
      </w:r>
      <w:hyperlink r:id="rId8" w:history="1">
        <w:r w:rsidRPr="00356B25">
          <w:rPr>
            <w:rStyle w:val="Hyperlink"/>
            <w:color w:val="auto"/>
            <w:szCs w:val="18"/>
            <w:lang w:val="en-CA"/>
          </w:rPr>
          <w:t xml:space="preserve"> (www.shiftproject.org</w:t>
        </w:r>
      </w:hyperlink>
      <w:r w:rsidRPr="00356B25">
        <w:rPr>
          <w:szCs w:val="18"/>
          <w:lang w:val="en-CA"/>
        </w:rPr>
        <w:t xml:space="preserve">) and the Centre for Sport and Human Rights </w:t>
      </w:r>
      <w:hyperlink r:id="rId9" w:history="1">
        <w:r w:rsidRPr="00356B25">
          <w:rPr>
            <w:rStyle w:val="Hyperlink"/>
            <w:color w:val="auto"/>
            <w:szCs w:val="18"/>
            <w:lang w:val="en-CA"/>
          </w:rPr>
          <w:t>(www.sporthumanrights.org</w:t>
        </w:r>
      </w:hyperlink>
      <w:r w:rsidRPr="00356B25">
        <w:rPr>
          <w:szCs w:val="18"/>
          <w:lang w:val="en-CA"/>
        </w:rPr>
        <w:t>)</w:t>
      </w:r>
      <w:r w:rsidRPr="00356B25">
        <w:rPr>
          <w:rStyle w:val="Hyperlink"/>
          <w:color w:val="auto"/>
          <w:szCs w:val="18"/>
          <w:lang w:val="en-CA"/>
        </w:rPr>
        <w:t>.</w:t>
      </w:r>
    </w:p>
  </w:footnote>
  <w:footnote w:id="76">
    <w:p w14:paraId="4AB649D4" w14:textId="7BE187FB"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FIFA, “Human Rights Policy”, May 2017. Available from </w:t>
      </w:r>
      <w:hyperlink r:id="rId10" w:history="1">
        <w:r w:rsidRPr="00356B25">
          <w:rPr>
            <w:rStyle w:val="Hyperlink"/>
            <w:color w:val="auto"/>
            <w:lang w:val="en-CA"/>
          </w:rPr>
          <w:t>https://img.fifa.com/image/upload/</w:t>
        </w:r>
        <w:r w:rsidR="00BE28FF" w:rsidRPr="00356B25">
          <w:rPr>
            <w:rStyle w:val="Hyperlink"/>
            <w:color w:val="auto"/>
            <w:lang w:val="en-CA"/>
          </w:rPr>
          <w:t xml:space="preserve"> </w:t>
        </w:r>
        <w:r w:rsidRPr="00356B25">
          <w:rPr>
            <w:rStyle w:val="Hyperlink"/>
            <w:color w:val="auto"/>
            <w:lang w:val="en-CA"/>
          </w:rPr>
          <w:t>kr05dqyhwr1uhqy2lh6r.pdf</w:t>
        </w:r>
      </w:hyperlink>
      <w:r w:rsidRPr="00356B25">
        <w:rPr>
          <w:lang w:val="en-CA"/>
        </w:rPr>
        <w:t xml:space="preserve">. </w:t>
      </w:r>
    </w:p>
  </w:footnote>
  <w:footnote w:id="77">
    <w:p w14:paraId="4E3B280D" w14:textId="4B4C3419"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Examples of voluntary commitments to human rights promotion include the IOC Charter, which states that “The practice of sport is a human right.” Further, the Charter guarantees the enjoyment of the rights and freedoms set forth “without discrimination of any kind, such as race, colour, sex, sexual orientation, language, religion, political or other opinion, national or social origin, property, birth or other status”</w:t>
      </w:r>
      <w:r w:rsidR="00BE28FF" w:rsidRPr="00356B25">
        <w:rPr>
          <w:szCs w:val="18"/>
          <w:lang w:val="en-CA"/>
        </w:rPr>
        <w:t>.</w:t>
      </w:r>
      <w:r w:rsidRPr="00356B25">
        <w:rPr>
          <w:szCs w:val="18"/>
          <w:lang w:val="en-CA"/>
        </w:rPr>
        <w:t xml:space="preserve"> The International Olympic Committee, Olympic Charter </w:t>
      </w:r>
      <w:hyperlink r:id="rId11" w:history="1">
        <w:r w:rsidRPr="00356B25">
          <w:rPr>
            <w:szCs w:val="18"/>
            <w:lang w:val="en-CA"/>
          </w:rPr>
          <w:t>https://stillmed.olympic.org/</w:t>
        </w:r>
        <w:r w:rsidR="00BE28FF" w:rsidRPr="00356B25">
          <w:rPr>
            <w:szCs w:val="18"/>
            <w:lang w:val="en-CA"/>
          </w:rPr>
          <w:t xml:space="preserve"> </w:t>
        </w:r>
        <w:r w:rsidRPr="00356B25">
          <w:rPr>
            <w:szCs w:val="18"/>
            <w:lang w:val="en-CA"/>
          </w:rPr>
          <w:t>media/Document%20Library/OlympicOrg/General/EN-Olympic-Charter.pdf</w:t>
        </w:r>
      </w:hyperlink>
      <w:r w:rsidRPr="00356B25">
        <w:rPr>
          <w:szCs w:val="18"/>
          <w:lang w:val="en-CA"/>
        </w:rPr>
        <w:t>.</w:t>
      </w:r>
    </w:p>
  </w:footnote>
  <w:footnote w:id="78">
    <w:p w14:paraId="4E7C5E74"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r>
      <w:hyperlink w:history="1">
        <w:r w:rsidRPr="00356B25">
          <w:rPr>
            <w:rStyle w:val="Hyperlink"/>
            <w:color w:val="auto"/>
            <w:szCs w:val="18"/>
            <w:lang w:val="en-CA"/>
          </w:rPr>
          <w:t>See www.olympic.org/news/ioc-becomes-un-observer</w:t>
        </w:r>
      </w:hyperlink>
      <w:r w:rsidRPr="00356B25">
        <w:rPr>
          <w:szCs w:val="18"/>
          <w:lang w:val="en-CA"/>
        </w:rPr>
        <w:t>.</w:t>
      </w:r>
    </w:p>
  </w:footnote>
  <w:footnote w:id="79">
    <w:p w14:paraId="144058EB" w14:textId="77777777" w:rsidR="000004AB" w:rsidRPr="00356B25" w:rsidRDefault="000004AB" w:rsidP="0012136D">
      <w:pPr>
        <w:pStyle w:val="FootnoteText"/>
        <w:rPr>
          <w:rFonts w:cstheme="minorHAnsi"/>
          <w:szCs w:val="18"/>
          <w:lang w:val="en-CA"/>
        </w:rPr>
      </w:pPr>
      <w:r w:rsidRPr="00356B25">
        <w:rPr>
          <w:szCs w:val="18"/>
          <w:lang w:val="en-CA"/>
        </w:rPr>
        <w:tab/>
      </w:r>
      <w:r w:rsidRPr="00356B25">
        <w:rPr>
          <w:rStyle w:val="FootnoteReference"/>
          <w:lang w:val="en-CA"/>
        </w:rPr>
        <w:footnoteRef/>
      </w:r>
      <w:r w:rsidRPr="00356B25">
        <w:rPr>
          <w:szCs w:val="18"/>
          <w:lang w:val="en-CA"/>
        </w:rPr>
        <w:tab/>
        <w:t xml:space="preserve">General Assembly resolution 73/24, para. 15. </w:t>
      </w:r>
      <w:r w:rsidRPr="00356B25">
        <w:rPr>
          <w:rFonts w:cstheme="minorHAnsi"/>
          <w:szCs w:val="18"/>
          <w:lang w:val="en-CA"/>
        </w:rPr>
        <w:t xml:space="preserve">See also </w:t>
      </w:r>
      <w:hyperlink r:id="rId12" w:history="1">
        <w:r w:rsidRPr="00356B25">
          <w:rPr>
            <w:rStyle w:val="Hyperlink"/>
            <w:color w:val="auto"/>
            <w:szCs w:val="18"/>
            <w:lang w:val="en-CA"/>
          </w:rPr>
          <w:t>www.olympic.org/news/ioc-continues-working-on-human-rights-and-takes-first-steps-on-a-strategy</w:t>
        </w:r>
      </w:hyperlink>
      <w:r w:rsidRPr="00356B25">
        <w:rPr>
          <w:szCs w:val="18"/>
          <w:lang w:val="en-CA"/>
        </w:rPr>
        <w:t>.</w:t>
      </w:r>
    </w:p>
  </w:footnote>
  <w:footnote w:id="80">
    <w:p w14:paraId="039FDB82" w14:textId="36950595" w:rsidR="000004AB" w:rsidRPr="00356B25" w:rsidRDefault="000004AB" w:rsidP="0012136D">
      <w:pPr>
        <w:pStyle w:val="FootnoteText"/>
        <w:rPr>
          <w:lang w:val="en-CA"/>
        </w:rPr>
      </w:pPr>
      <w:r w:rsidRPr="00356B25">
        <w:rPr>
          <w:lang w:val="en-CA"/>
        </w:rPr>
        <w:tab/>
      </w:r>
      <w:r w:rsidRPr="00356B25">
        <w:rPr>
          <w:rStyle w:val="FootnoteReference"/>
          <w:lang w:val="en-CA"/>
        </w:rPr>
        <w:footnoteRef/>
      </w:r>
      <w:r w:rsidRPr="00356B25">
        <w:rPr>
          <w:lang w:val="en-CA"/>
        </w:rPr>
        <w:tab/>
        <w:t xml:space="preserve">See </w:t>
      </w:r>
      <w:hyperlink r:id="rId13" w:history="1">
        <w:r w:rsidRPr="00356B25">
          <w:rPr>
            <w:rStyle w:val="Hyperlink"/>
            <w:color w:val="auto"/>
            <w:lang w:val="en-CA"/>
          </w:rPr>
          <w:t>https://iwgwomenandsport.org/wp-content/uploads/2019/03/Brighton-plus-Helsinki-2014-Declaration-on-Women-and-Sport.pdf</w:t>
        </w:r>
      </w:hyperlink>
      <w:r w:rsidRPr="00356B25">
        <w:rPr>
          <w:lang w:val="en-CA"/>
        </w:rPr>
        <w:t>.</w:t>
      </w:r>
    </w:p>
  </w:footnote>
  <w:footnote w:id="81">
    <w:p w14:paraId="26B4BD2E"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Ibid.</w:t>
      </w:r>
    </w:p>
  </w:footnote>
  <w:footnote w:id="82">
    <w:p w14:paraId="7ECA54F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for example, the Centre for Sport and Human Rights.</w:t>
      </w:r>
    </w:p>
  </w:footnote>
  <w:footnote w:id="83">
    <w:p w14:paraId="332A7DF8" w14:textId="518DB056"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Hilary A. Findlay, “Accountability in the global regulation of sport: what does the future hold?”, in </w:t>
      </w:r>
      <w:r w:rsidRPr="00356B25">
        <w:rPr>
          <w:i/>
          <w:iCs/>
          <w:szCs w:val="18"/>
          <w:lang w:val="en-CA"/>
        </w:rPr>
        <w:t>Ethics and Governance in Sport: the Future of Sport Imagined</w:t>
      </w:r>
      <w:r w:rsidRPr="00356B25">
        <w:rPr>
          <w:szCs w:val="18"/>
          <w:lang w:val="en-CA"/>
        </w:rPr>
        <w:t xml:space="preserve">, Yves Vanden Auweele et al., eds. (Routledge, 2016), pp. 69–74; Ken Foster, “Is there a global sports law?”, </w:t>
      </w:r>
      <w:r w:rsidRPr="00356B25">
        <w:rPr>
          <w:i/>
          <w:iCs/>
          <w:szCs w:val="18"/>
          <w:lang w:val="en-CA"/>
        </w:rPr>
        <w:t>Entertainment and Sports Law Journal</w:t>
      </w:r>
      <w:r w:rsidRPr="00356B25">
        <w:rPr>
          <w:szCs w:val="18"/>
          <w:lang w:val="en-CA"/>
        </w:rPr>
        <w:t>, vol. 2, No. 1 (2003).</w:t>
      </w:r>
    </w:p>
  </w:footnote>
  <w:footnote w:id="84">
    <w:p w14:paraId="002F5EDA"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Jean-Loup Chappelet, </w:t>
      </w:r>
      <w:r w:rsidRPr="00356B25">
        <w:rPr>
          <w:i/>
          <w:iCs/>
          <w:szCs w:val="18"/>
          <w:lang w:val="en-CA"/>
        </w:rPr>
        <w:t>Autonomy of Sport in Europe</w:t>
      </w:r>
      <w:r w:rsidRPr="00356B25">
        <w:rPr>
          <w:szCs w:val="18"/>
          <w:lang w:val="en-CA"/>
        </w:rPr>
        <w:t xml:space="preserve"> (Strasbourg, Council of Europe Publishing, 2010).</w:t>
      </w:r>
    </w:p>
  </w:footnote>
  <w:footnote w:id="85">
    <w:p w14:paraId="345676CF" w14:textId="6D76BDB5"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Efthalia Chatzigianni</w:t>
      </w:r>
      <w:r w:rsidRPr="00356B25">
        <w:rPr>
          <w:rFonts w:eastAsia="Calibri"/>
          <w:szCs w:val="18"/>
          <w:lang w:val="en-CA"/>
        </w:rPr>
        <w:t xml:space="preserve">, “Global sport governance: globalizing the globalized”, </w:t>
      </w:r>
      <w:r w:rsidRPr="00356B25">
        <w:rPr>
          <w:rFonts w:eastAsia="Calibri"/>
          <w:i/>
          <w:iCs/>
          <w:szCs w:val="18"/>
          <w:lang w:val="en-CA"/>
        </w:rPr>
        <w:t>Sport in Society</w:t>
      </w:r>
      <w:r w:rsidRPr="00356B25">
        <w:rPr>
          <w:rFonts w:eastAsia="Calibri"/>
          <w:szCs w:val="18"/>
          <w:lang w:val="en-CA"/>
        </w:rPr>
        <w:t>, vol. 21, No. 9 (2018), pp. 1454–1482.</w:t>
      </w:r>
    </w:p>
  </w:footnote>
  <w:footnote w:id="86">
    <w:p w14:paraId="7418C415" w14:textId="5296D3A8" w:rsidR="000004AB" w:rsidRPr="00356B25" w:rsidRDefault="000004AB" w:rsidP="0012136D">
      <w:pPr>
        <w:pStyle w:val="FootnoteText"/>
        <w:rPr>
          <w:rFonts w:eastAsia="Calibri"/>
          <w:szCs w:val="18"/>
          <w:lang w:val="en-CA"/>
        </w:rPr>
      </w:pPr>
      <w:r w:rsidRPr="00356B25">
        <w:rPr>
          <w:szCs w:val="18"/>
          <w:lang w:val="en-CA"/>
        </w:rPr>
        <w:tab/>
      </w:r>
      <w:r w:rsidRPr="00356B25">
        <w:rPr>
          <w:rStyle w:val="FootnoteReference"/>
          <w:lang w:val="en-CA"/>
        </w:rPr>
        <w:footnoteRef/>
      </w:r>
      <w:r w:rsidRPr="00356B25">
        <w:rPr>
          <w:szCs w:val="18"/>
          <w:lang w:val="en-CA"/>
        </w:rPr>
        <w:tab/>
        <w:t xml:space="preserve">Marcus </w:t>
      </w:r>
      <w:r w:rsidRPr="00356B25">
        <w:rPr>
          <w:rFonts w:eastAsia="Calibri"/>
          <w:szCs w:val="18"/>
          <w:lang w:val="en-CA"/>
        </w:rPr>
        <w:t xml:space="preserve">Mazzucco and Hilary A. Findlay, “The supervisory role of the Court of Arbitration for Sport in regulating the international sport system”, </w:t>
      </w:r>
      <w:r w:rsidRPr="00356B25">
        <w:rPr>
          <w:rFonts w:eastAsia="Calibri"/>
          <w:i/>
          <w:iCs/>
          <w:szCs w:val="18"/>
          <w:lang w:val="en-CA"/>
        </w:rPr>
        <w:t>International Journal of Sport and Society</w:t>
      </w:r>
      <w:r w:rsidRPr="00356B25">
        <w:rPr>
          <w:rFonts w:eastAsia="Calibri"/>
          <w:szCs w:val="18"/>
          <w:lang w:val="en-CA"/>
        </w:rPr>
        <w:t>, vol. 131 (2010).</w:t>
      </w:r>
    </w:p>
  </w:footnote>
  <w:footnote w:id="87">
    <w:p w14:paraId="75273C88"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for example, Canada, Supreme Court, </w:t>
      </w:r>
      <w:r w:rsidRPr="00356B25">
        <w:rPr>
          <w:i/>
          <w:iCs/>
          <w:szCs w:val="18"/>
          <w:lang w:val="en-CA"/>
        </w:rPr>
        <w:t>Anette Sagen et al. v. Vancouver Organizing Committee for the 2010 Olympic and Paralympic Winter Games</w:t>
      </w:r>
      <w:r w:rsidRPr="00356B25">
        <w:rPr>
          <w:szCs w:val="18"/>
          <w:lang w:val="en-CA"/>
        </w:rPr>
        <w:t>, Case No. 33439, 2009. Moreover, even when national federations or national Olympic committees are able to sanction abuse (e.g., racism), the sanctions are not enforced.</w:t>
      </w:r>
    </w:p>
  </w:footnote>
  <w:footnote w:id="88">
    <w:p w14:paraId="7D4A249D" w14:textId="4B41AA06"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Mazzucco and Findlay, </w:t>
      </w:r>
      <w:r w:rsidRPr="00356B25">
        <w:rPr>
          <w:rFonts w:eastAsia="Calibri"/>
          <w:szCs w:val="18"/>
          <w:lang w:val="en-CA"/>
        </w:rPr>
        <w:t>“The supervisory role of the Court of Arbitration for Sport in regulating the international sport system”.</w:t>
      </w:r>
      <w:r w:rsidRPr="00356B25">
        <w:rPr>
          <w:szCs w:val="18"/>
          <w:lang w:val="en-CA"/>
        </w:rPr>
        <w:t xml:space="preserve"> See, for example, Canada, Ontario Superior Court, </w:t>
      </w:r>
      <w:r w:rsidRPr="00356B25">
        <w:rPr>
          <w:i/>
          <w:iCs/>
          <w:szCs w:val="18"/>
          <w:lang w:val="en-CA"/>
        </w:rPr>
        <w:t>Nagra v. Canadian Amateur Boxing Association</w:t>
      </w:r>
      <w:r w:rsidRPr="00356B25">
        <w:rPr>
          <w:szCs w:val="18"/>
          <w:lang w:val="en-CA"/>
        </w:rPr>
        <w:t>, Case No. 850, 2000.</w:t>
      </w:r>
    </w:p>
  </w:footnote>
  <w:footnote w:id="89">
    <w:p w14:paraId="206B9AF1" w14:textId="7961B916"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Findlay, “Accountability in the global regulation of sport”, p. 69.</w:t>
      </w:r>
    </w:p>
  </w:footnote>
  <w:footnote w:id="90">
    <w:p w14:paraId="5B23C56C"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r>
      <w:r w:rsidRPr="00356B25">
        <w:rPr>
          <w:rFonts w:eastAsia="Calibri"/>
          <w:lang w:val="en-CA"/>
        </w:rPr>
        <w:t>Court of Arbitration for Sport</w:t>
      </w:r>
      <w:r w:rsidRPr="00356B25">
        <w:rPr>
          <w:szCs w:val="18"/>
          <w:lang w:val="en-CA"/>
        </w:rPr>
        <w:t>, Code of Sports-related Arbitration, rule 48; see also rule 45.</w:t>
      </w:r>
    </w:p>
  </w:footnote>
  <w:footnote w:id="91">
    <w:p w14:paraId="0659B115"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for example, fundamental principles 4 and 6 of the Olympic Charter.</w:t>
      </w:r>
    </w:p>
  </w:footnote>
  <w:footnote w:id="92">
    <w:p w14:paraId="39EB14DF" w14:textId="22EF5A41"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IAAF has explicitly denied that it is bound by international human rights instruments because it is “not a public authority exercising state powers, but rather a private body exercising private (contractual) powers” (</w:t>
      </w:r>
      <w:hyperlink r:id="rId14" w:history="1">
        <w:r w:rsidRPr="00356B25">
          <w:rPr>
            <w:rStyle w:val="Hyperlink"/>
            <w:rFonts w:cs="Calibri"/>
            <w:color w:val="auto"/>
            <w:szCs w:val="18"/>
            <w:lang w:val="en-CA"/>
          </w:rPr>
          <w:t>www.worldathletics.org/news/press-release/iaaf-letter-iwg-wsi-iapesgw</w:t>
        </w:r>
      </w:hyperlink>
      <w:r w:rsidRPr="00356B25">
        <w:rPr>
          <w:rFonts w:cs="Calibri"/>
          <w:szCs w:val="18"/>
          <w:lang w:val="en-CA"/>
        </w:rPr>
        <w:t>).</w:t>
      </w:r>
    </w:p>
  </w:footnote>
  <w:footnote w:id="93">
    <w:p w14:paraId="0A8C893B"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 </w:t>
      </w:r>
      <w:hyperlink r:id="rId15" w:history="1">
        <w:r w:rsidRPr="00356B25">
          <w:rPr>
            <w:rStyle w:val="Hyperlink"/>
            <w:rFonts w:cs="Calibri"/>
            <w:color w:val="auto"/>
            <w:szCs w:val="18"/>
            <w:lang w:val="en-CA"/>
          </w:rPr>
          <w:t>www.worldathletics.org/news/press-release/questions-answers-iaaf-female-eligibility-reg</w:t>
        </w:r>
      </w:hyperlink>
      <w:r w:rsidRPr="00356B25">
        <w:rPr>
          <w:szCs w:val="18"/>
          <w:lang w:val="en-CA"/>
        </w:rPr>
        <w:t>.</w:t>
      </w:r>
    </w:p>
  </w:footnote>
  <w:footnote w:id="94">
    <w:p w14:paraId="4C794438"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Ibid.</w:t>
      </w:r>
    </w:p>
  </w:footnote>
  <w:footnote w:id="95">
    <w:p w14:paraId="633B037D" w14:textId="090DE720"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John G. Ruggie, “‘For the game. For the world.’ FIFA and human rights”</w:t>
      </w:r>
      <w:r w:rsidRPr="00356B25">
        <w:rPr>
          <w:i/>
          <w:iCs/>
          <w:szCs w:val="18"/>
          <w:lang w:val="en-CA"/>
        </w:rPr>
        <w:t xml:space="preserve"> </w:t>
      </w:r>
      <w:r w:rsidRPr="00356B25">
        <w:rPr>
          <w:szCs w:val="18"/>
          <w:lang w:val="en-CA"/>
        </w:rPr>
        <w:t>(Cambridge, Massachusetts, Harvard Kennedy School, 2016).</w:t>
      </w:r>
    </w:p>
  </w:footnote>
  <w:footnote w:id="96">
    <w:p w14:paraId="6A01C8DF"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Switzerland, </w:t>
      </w:r>
      <w:r w:rsidRPr="00356B25">
        <w:rPr>
          <w:i/>
          <w:iCs/>
          <w:szCs w:val="18"/>
          <w:lang w:val="en-CA"/>
        </w:rPr>
        <w:t>A. v. Z., FIFA and X.</w:t>
      </w:r>
      <w:r w:rsidRPr="00356B25">
        <w:rPr>
          <w:szCs w:val="18"/>
          <w:lang w:val="en-CA"/>
        </w:rPr>
        <w:t>, Case No. 4A_304/2013, judgment of 3 March 2014, sect. 5.1.</w:t>
      </w:r>
    </w:p>
  </w:footnote>
  <w:footnote w:id="97">
    <w:p w14:paraId="6183F385"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Ibid.</w:t>
      </w:r>
    </w:p>
  </w:footnote>
  <w:footnote w:id="98">
    <w:p w14:paraId="1E220D5C"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Convention on the Recognition and Enforcement of Foreign Arbitral Awards, article V (2) (b).</w:t>
      </w:r>
    </w:p>
  </w:footnote>
  <w:footnote w:id="99">
    <w:p w14:paraId="1B67464F"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European Court of Human Rights, </w:t>
      </w:r>
      <w:r w:rsidRPr="00356B25">
        <w:rPr>
          <w:i/>
          <w:iCs/>
          <w:szCs w:val="18"/>
          <w:lang w:val="en-CA"/>
        </w:rPr>
        <w:t>Mutu and Pechstein v. Switzerland</w:t>
      </w:r>
      <w:r w:rsidRPr="00356B25">
        <w:rPr>
          <w:szCs w:val="18"/>
          <w:lang w:val="en-CA"/>
        </w:rPr>
        <w:t>, judgment of 4 February 2019, paras. 109–115.</w:t>
      </w:r>
    </w:p>
  </w:footnote>
  <w:footnote w:id="100">
    <w:p w14:paraId="64010DE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r>
      <w:hyperlink w:history="1">
        <w:r w:rsidRPr="00356B25">
          <w:rPr>
            <w:rStyle w:val="Hyperlink"/>
            <w:color w:val="auto"/>
            <w:szCs w:val="18"/>
            <w:lang w:val="en-CA"/>
          </w:rPr>
          <w:t>See www.echr.coe.int/Documents/FS_Sport_ENG.pdf</w:t>
        </w:r>
      </w:hyperlink>
      <w:r w:rsidRPr="00356B25">
        <w:rPr>
          <w:szCs w:val="18"/>
          <w:lang w:val="en-CA"/>
        </w:rPr>
        <w:t>.</w:t>
      </w:r>
    </w:p>
  </w:footnote>
  <w:footnote w:id="101">
    <w:p w14:paraId="177F4285" w14:textId="69263FB9"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003F3874" w:rsidRPr="00356B25">
        <w:rPr>
          <w:szCs w:val="18"/>
          <w:lang w:val="en-CA"/>
        </w:rPr>
        <w:tab/>
      </w:r>
      <w:r w:rsidRPr="00356B25">
        <w:rPr>
          <w:szCs w:val="18"/>
          <w:lang w:val="en-CA"/>
        </w:rPr>
        <w:t xml:space="preserve"> Sandro Arcioni, “The creation of an independent body for the control of governance in sport worldwide”, in </w:t>
      </w:r>
      <w:r w:rsidRPr="00356B25">
        <w:rPr>
          <w:i/>
          <w:iCs/>
          <w:szCs w:val="18"/>
          <w:lang w:val="en-CA"/>
        </w:rPr>
        <w:t>Ethics and Governance in Sport</w:t>
      </w:r>
      <w:r w:rsidRPr="00356B25">
        <w:rPr>
          <w:szCs w:val="18"/>
          <w:lang w:val="en-CA"/>
        </w:rPr>
        <w:t>, pp. 75–83.</w:t>
      </w:r>
    </w:p>
  </w:footnote>
  <w:footnote w:id="102">
    <w:p w14:paraId="08279580"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 xml:space="preserve">Seema Patel, </w:t>
      </w:r>
      <w:r w:rsidRPr="00356B25">
        <w:rPr>
          <w:i/>
          <w:iCs/>
          <w:szCs w:val="18"/>
          <w:lang w:val="en-CA"/>
        </w:rPr>
        <w:t>Inclusion and Exclusion in Competitive Sport: Socio-legal and Regulatory Perspectives</w:t>
      </w:r>
      <w:r w:rsidRPr="00356B25">
        <w:rPr>
          <w:szCs w:val="18"/>
          <w:lang w:val="en-CA"/>
        </w:rPr>
        <w:t xml:space="preserve"> (Routledge, 2015), p. 173.</w:t>
      </w:r>
    </w:p>
  </w:footnote>
  <w:footnote w:id="103">
    <w:p w14:paraId="719F1747" w14:textId="7777777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See, for example, General Assembly resolution 70/1 and Human Rights Council resolution 24/1.</w:t>
      </w:r>
    </w:p>
  </w:footnote>
  <w:footnote w:id="104">
    <w:p w14:paraId="7F4CFF71" w14:textId="0376F9B7" w:rsidR="000004AB" w:rsidRPr="00356B25" w:rsidRDefault="000004AB" w:rsidP="0012136D">
      <w:pPr>
        <w:pStyle w:val="FootnoteText"/>
        <w:rPr>
          <w:szCs w:val="18"/>
          <w:lang w:val="en-CA"/>
        </w:rPr>
      </w:pPr>
      <w:r w:rsidRPr="00356B25">
        <w:rPr>
          <w:szCs w:val="18"/>
          <w:lang w:val="en-CA"/>
        </w:rPr>
        <w:tab/>
      </w:r>
      <w:r w:rsidRPr="00356B25">
        <w:rPr>
          <w:rStyle w:val="FootnoteReference"/>
          <w:lang w:val="en-CA"/>
        </w:rPr>
        <w:footnoteRef/>
      </w:r>
      <w:r w:rsidRPr="00356B25">
        <w:rPr>
          <w:szCs w:val="18"/>
          <w:lang w:val="en-CA"/>
        </w:rPr>
        <w:tab/>
        <w:t>John G. Ruggie, “‘For the game. For the world.’”.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D119" w14:textId="030EA491" w:rsidR="000004AB" w:rsidRDefault="000004AB" w:rsidP="00077879">
    <w:pPr>
      <w:pStyle w:val="Header"/>
    </w:pPr>
    <w:r>
      <w:t>A/HRC/44/26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A5D3" w14:textId="3364E5A1" w:rsidR="000004AB" w:rsidRDefault="000004AB" w:rsidP="00077879">
    <w:pPr>
      <w:pStyle w:val="Header"/>
      <w:jc w:val="right"/>
    </w:pPr>
    <w:r>
      <w:t>A/HRC/44/26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3"/>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BC"/>
    <w:rsid w:val="000004AB"/>
    <w:rsid w:val="00046E92"/>
    <w:rsid w:val="00063C90"/>
    <w:rsid w:val="00072607"/>
    <w:rsid w:val="00077879"/>
    <w:rsid w:val="00101B98"/>
    <w:rsid w:val="0012136D"/>
    <w:rsid w:val="00132E4B"/>
    <w:rsid w:val="001853FC"/>
    <w:rsid w:val="001A358E"/>
    <w:rsid w:val="00216439"/>
    <w:rsid w:val="00247E2C"/>
    <w:rsid w:val="00260E03"/>
    <w:rsid w:val="002A32CB"/>
    <w:rsid w:val="002C2B53"/>
    <w:rsid w:val="002D6C53"/>
    <w:rsid w:val="002F5595"/>
    <w:rsid w:val="00334F6A"/>
    <w:rsid w:val="00335A27"/>
    <w:rsid w:val="00342AC8"/>
    <w:rsid w:val="00356B25"/>
    <w:rsid w:val="003A2D88"/>
    <w:rsid w:val="003B4550"/>
    <w:rsid w:val="003D6054"/>
    <w:rsid w:val="003F3874"/>
    <w:rsid w:val="0040017C"/>
    <w:rsid w:val="004349BC"/>
    <w:rsid w:val="00461253"/>
    <w:rsid w:val="004A2814"/>
    <w:rsid w:val="004C0622"/>
    <w:rsid w:val="004D10F9"/>
    <w:rsid w:val="004E4F7B"/>
    <w:rsid w:val="005042C2"/>
    <w:rsid w:val="005E716E"/>
    <w:rsid w:val="00643FCC"/>
    <w:rsid w:val="00671529"/>
    <w:rsid w:val="0070489D"/>
    <w:rsid w:val="007268F9"/>
    <w:rsid w:val="007C52B0"/>
    <w:rsid w:val="00861B4E"/>
    <w:rsid w:val="009411B4"/>
    <w:rsid w:val="00962A56"/>
    <w:rsid w:val="00967100"/>
    <w:rsid w:val="00974A88"/>
    <w:rsid w:val="009D0139"/>
    <w:rsid w:val="009D38D7"/>
    <w:rsid w:val="009D717D"/>
    <w:rsid w:val="009F5CDC"/>
    <w:rsid w:val="00A207C3"/>
    <w:rsid w:val="00A775CF"/>
    <w:rsid w:val="00AB01E1"/>
    <w:rsid w:val="00AC5435"/>
    <w:rsid w:val="00B06045"/>
    <w:rsid w:val="00B52EF4"/>
    <w:rsid w:val="00BE28FF"/>
    <w:rsid w:val="00C03015"/>
    <w:rsid w:val="00C0358D"/>
    <w:rsid w:val="00C339E2"/>
    <w:rsid w:val="00C35A27"/>
    <w:rsid w:val="00C47B2E"/>
    <w:rsid w:val="00CA1B04"/>
    <w:rsid w:val="00CE1F63"/>
    <w:rsid w:val="00D07DEB"/>
    <w:rsid w:val="00D252DC"/>
    <w:rsid w:val="00DF02AD"/>
    <w:rsid w:val="00E02C2B"/>
    <w:rsid w:val="00E20EBC"/>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0FA42"/>
  <w15:docId w15:val="{779FDF87-46EE-4D24-9A8C-A41928C0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1"/>
    <w:qFormat/>
    <w:rsid w:val="004A2814"/>
    <w:pPr>
      <w:spacing w:after="0"/>
      <w:ind w:right="0"/>
      <w:jc w:val="left"/>
      <w:outlineLvl w:val="0"/>
    </w:pPr>
  </w:style>
  <w:style w:type="paragraph" w:styleId="Heading2">
    <w:name w:val="heading 2"/>
    <w:basedOn w:val="Normal"/>
    <w:next w:val="Normal"/>
    <w:link w:val="Heading2Char"/>
    <w:uiPriority w:val="1"/>
    <w:qFormat/>
    <w:rsid w:val="004A2814"/>
    <w:pPr>
      <w:spacing w:line="240" w:lineRule="auto"/>
      <w:outlineLvl w:val="1"/>
    </w:pPr>
  </w:style>
  <w:style w:type="paragraph" w:styleId="Heading3">
    <w:name w:val="heading 3"/>
    <w:basedOn w:val="Normal"/>
    <w:next w:val="Normal"/>
    <w:link w:val="Heading3Char"/>
    <w:uiPriority w:val="1"/>
    <w:qFormat/>
    <w:rsid w:val="004A2814"/>
    <w:pPr>
      <w:spacing w:line="240" w:lineRule="auto"/>
      <w:outlineLvl w:val="2"/>
    </w:pPr>
  </w:style>
  <w:style w:type="paragraph" w:styleId="Heading4">
    <w:name w:val="heading 4"/>
    <w:basedOn w:val="Normal"/>
    <w:next w:val="Normal"/>
    <w:link w:val="Heading4Char"/>
    <w:uiPriority w:val="1"/>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12136D"/>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12136D"/>
    <w:rPr>
      <w:rFonts w:ascii="Times New Roman" w:hAnsi="Times New Roman" w:cs="Times New Roman"/>
      <w:sz w:val="16"/>
      <w:szCs w:val="20"/>
    </w:rPr>
  </w:style>
  <w:style w:type="paragraph" w:customStyle="1" w:styleId="HMG">
    <w:name w:val="_ H __M_G"/>
    <w:basedOn w:val="Normal"/>
    <w:next w:val="Normal"/>
    <w:rsid w:val="0012136D"/>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rsid w:val="0012136D"/>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link w:val="H1GChar"/>
    <w:rsid w:val="0012136D"/>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2136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12136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2136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12136D"/>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rsid w:val="0012136D"/>
    <w:pPr>
      <w:numPr>
        <w:numId w:val="4"/>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12136D"/>
    <w:pPr>
      <w:numPr>
        <w:numId w:val="5"/>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12136D"/>
    <w:pPr>
      <w:numPr>
        <w:numId w:val="6"/>
      </w:numPr>
    </w:pPr>
  </w:style>
  <w:style w:type="numbering" w:styleId="111111">
    <w:name w:val="Outline List 2"/>
    <w:basedOn w:val="NoList"/>
    <w:semiHidden/>
    <w:rsid w:val="007268F9"/>
    <w:pPr>
      <w:numPr>
        <w:numId w:val="1"/>
      </w:numPr>
    </w:pPr>
  </w:style>
  <w:style w:type="numbering" w:styleId="1ai">
    <w:name w:val="Outline List 1"/>
    <w:basedOn w:val="NoList"/>
    <w:semiHidden/>
    <w:rsid w:val="007268F9"/>
    <w:pPr>
      <w:numPr>
        <w:numId w:val="2"/>
      </w:numPr>
    </w:pPr>
  </w:style>
  <w:style w:type="character" w:styleId="EndnoteReference">
    <w:name w:val="endnote reference"/>
    <w:aliases w:val="1_G"/>
    <w:rsid w:val="0012136D"/>
    <w:rPr>
      <w:rFonts w:ascii="Times New Roman" w:hAnsi="Times New Roman"/>
      <w:sz w:val="18"/>
      <w:vertAlign w:val="superscript"/>
    </w:rPr>
  </w:style>
  <w:style w:type="paragraph" w:styleId="FootnoteText">
    <w:name w:val="footnote text"/>
    <w:aliases w:val="5_G"/>
    <w:basedOn w:val="Normal"/>
    <w:link w:val="FootnoteTextChar"/>
    <w:rsid w:val="0012136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2136D"/>
    <w:rPr>
      <w:rFonts w:ascii="Times New Roman" w:hAnsi="Times New Roman" w:cs="Times New Roman"/>
      <w:sz w:val="18"/>
      <w:szCs w:val="20"/>
    </w:rPr>
  </w:style>
  <w:style w:type="paragraph" w:styleId="EndnoteText">
    <w:name w:val="endnote text"/>
    <w:aliases w:val="2_G"/>
    <w:basedOn w:val="FootnoteText"/>
    <w:link w:val="EndnoteTextChar"/>
    <w:rsid w:val="0012136D"/>
  </w:style>
  <w:style w:type="character" w:customStyle="1" w:styleId="EndnoteTextChar">
    <w:name w:val="Endnote Text Char"/>
    <w:aliases w:val="2_G Char"/>
    <w:basedOn w:val="DefaultParagraphFont"/>
    <w:link w:val="EndnoteText"/>
    <w:rsid w:val="0012136D"/>
    <w:rPr>
      <w:rFonts w:ascii="Times New Roman" w:hAnsi="Times New Roman" w:cs="Times New Roman"/>
      <w:sz w:val="18"/>
      <w:szCs w:val="20"/>
    </w:rPr>
  </w:style>
  <w:style w:type="character" w:styleId="FootnoteReference">
    <w:name w:val="footnote reference"/>
    <w:aliases w:val="4_G"/>
    <w:rsid w:val="0012136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basedOn w:val="DefaultParagraphFont"/>
    <w:rsid w:val="0012136D"/>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077879"/>
    <w:rPr>
      <w:rFonts w:ascii="Times New Roman" w:hAnsi="Times New Roman" w:cs="Times New Roman"/>
      <w:b/>
      <w:sz w:val="28"/>
      <w:szCs w:val="20"/>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
    <w:basedOn w:val="Normal"/>
    <w:link w:val="ListParagraphChar"/>
    <w:uiPriority w:val="34"/>
    <w:qFormat/>
    <w:rsid w:val="0012136D"/>
    <w:pPr>
      <w:kinsoku/>
      <w:overflowPunct/>
      <w:autoSpaceDE/>
      <w:autoSpaceDN/>
      <w:adjustRightInd/>
      <w:snapToGrid/>
      <w:ind w:left="720"/>
      <w:contextualSpacing/>
    </w:pPr>
    <w:rPr>
      <w:rFonts w:eastAsia="Times New Roman"/>
    </w:rPr>
  </w:style>
  <w:style w:type="character" w:styleId="Emphasis">
    <w:name w:val="Emphasis"/>
    <w:uiPriority w:val="20"/>
    <w:qFormat/>
    <w:rsid w:val="0012136D"/>
    <w:rPr>
      <w:i/>
      <w:iCs/>
    </w:rPr>
  </w:style>
  <w:style w:type="character" w:customStyle="1" w:styleId="SingleTxtGChar">
    <w:name w:val="_ Single Txt_G Char"/>
    <w:link w:val="SingleTxtG"/>
    <w:locked/>
    <w:rsid w:val="0012136D"/>
    <w:rPr>
      <w:rFonts w:ascii="Times New Roman" w:hAnsi="Times New Roman" w:cs="Times New Roman"/>
      <w:sz w:val="20"/>
      <w:szCs w:val="20"/>
    </w:rPr>
  </w:style>
  <w:style w:type="character" w:customStyle="1" w:styleId="DefaultChar">
    <w:name w:val="Default Char"/>
    <w:link w:val="Default"/>
    <w:locked/>
    <w:rsid w:val="0012136D"/>
    <w:rPr>
      <w:color w:val="000000"/>
      <w:sz w:val="24"/>
      <w:szCs w:val="24"/>
      <w:lang w:val="en-US" w:eastAsia="en-US"/>
    </w:rPr>
  </w:style>
  <w:style w:type="character" w:customStyle="1" w:styleId="H1GChar">
    <w:name w:val="_ H_1_G Char"/>
    <w:link w:val="H1G"/>
    <w:locked/>
    <w:rsid w:val="0012136D"/>
    <w:rPr>
      <w:rFonts w:ascii="Times New Roman" w:hAnsi="Times New Roman" w:cs="Times New Roman"/>
      <w:b/>
      <w:sz w:val="24"/>
      <w:szCs w:val="20"/>
    </w:rPr>
  </w:style>
  <w:style w:type="paragraph" w:customStyle="1" w:styleId="Style3">
    <w:name w:val="_Style 3"/>
    <w:basedOn w:val="Normal"/>
    <w:uiPriority w:val="99"/>
    <w:qFormat/>
    <w:rsid w:val="0012136D"/>
    <w:pPr>
      <w:suppressAutoHyphens w:val="0"/>
      <w:kinsoku/>
      <w:overflowPunct/>
      <w:autoSpaceDE/>
      <w:autoSpaceDN/>
      <w:adjustRightInd/>
      <w:snapToGrid/>
      <w:spacing w:line="240" w:lineRule="auto"/>
      <w:ind w:left="720"/>
      <w:contextualSpacing/>
    </w:pPr>
    <w:rPr>
      <w:rFonts w:ascii="Arial" w:eastAsia="Times New Roman" w:hAnsi="Arial"/>
      <w:sz w:val="24"/>
      <w:szCs w:val="24"/>
      <w:lang w:val="de-DE" w:eastAsia="de-DE"/>
    </w:rPr>
  </w:style>
  <w:style w:type="paragraph" w:styleId="TOC1">
    <w:name w:val="toc 1"/>
    <w:basedOn w:val="Normal"/>
    <w:next w:val="Normal"/>
    <w:autoRedefine/>
    <w:uiPriority w:val="39"/>
    <w:unhideWhenUsed/>
    <w:rsid w:val="00216439"/>
    <w:pPr>
      <w:spacing w:after="100"/>
    </w:pPr>
  </w:style>
  <w:style w:type="paragraph" w:customStyle="1" w:styleId="Default">
    <w:name w:val="Default"/>
    <w:link w:val="DefaultChar"/>
    <w:rsid w:val="0012136D"/>
    <w:pPr>
      <w:autoSpaceDE w:val="0"/>
      <w:autoSpaceDN w:val="0"/>
      <w:adjustRightInd w:val="0"/>
      <w:spacing w:after="0" w:line="240" w:lineRule="auto"/>
    </w:pPr>
    <w:rPr>
      <w:color w:val="000000"/>
      <w:sz w:val="24"/>
      <w:szCs w:val="24"/>
      <w:lang w:val="en-US" w:eastAsia="en-US"/>
    </w:rPr>
  </w:style>
  <w:style w:type="character" w:styleId="CommentReference">
    <w:name w:val="annotation reference"/>
    <w:basedOn w:val="DefaultParagraphFont"/>
    <w:uiPriority w:val="99"/>
    <w:unhideWhenUsed/>
    <w:rsid w:val="0012136D"/>
    <w:rPr>
      <w:sz w:val="16"/>
      <w:szCs w:val="16"/>
    </w:rPr>
  </w:style>
  <w:style w:type="paragraph" w:styleId="CommentText">
    <w:name w:val="annotation text"/>
    <w:basedOn w:val="Normal"/>
    <w:link w:val="CommentTextChar"/>
    <w:uiPriority w:val="99"/>
    <w:unhideWhenUsed/>
    <w:rsid w:val="0012136D"/>
    <w:pPr>
      <w:suppressAutoHyphens w:val="0"/>
      <w:kinsoku/>
      <w:overflowPunct/>
      <w:autoSpaceDE/>
      <w:autoSpaceDN/>
      <w:adjustRightInd/>
      <w:snapToGrid/>
      <w:spacing w:after="20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12136D"/>
    <w:rPr>
      <w:rFonts w:eastAsiaTheme="minorHAnsi"/>
      <w:sz w:val="20"/>
      <w:szCs w:val="20"/>
      <w:lang w:eastAsia="en-US"/>
    </w:rPr>
  </w:style>
  <w:style w:type="paragraph" w:styleId="CommentSubject">
    <w:name w:val="annotation subject"/>
    <w:basedOn w:val="CommentText"/>
    <w:next w:val="CommentText"/>
    <w:link w:val="CommentSubjectChar"/>
    <w:rsid w:val="0012136D"/>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12136D"/>
    <w:rPr>
      <w:rFonts w:ascii="Times New Roman" w:eastAsia="Times New Roman" w:hAnsi="Times New Roman" w:cs="Times New Roman"/>
      <w:b/>
      <w:bCs/>
      <w:sz w:val="20"/>
      <w:szCs w:val="20"/>
      <w:lang w:eastAsia="en-US"/>
    </w:rPr>
  </w:style>
  <w:style w:type="paragraph" w:styleId="NormalWeb">
    <w:name w:val="Normal (Web)"/>
    <w:basedOn w:val="Normal"/>
    <w:uiPriority w:val="99"/>
    <w:rsid w:val="0012136D"/>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qFormat/>
    <w:locked/>
    <w:rsid w:val="0012136D"/>
    <w:rPr>
      <w:rFonts w:ascii="Times New Roman" w:eastAsia="Times New Roman" w:hAnsi="Times New Roman" w:cs="Times New Roman"/>
      <w:sz w:val="20"/>
      <w:szCs w:val="20"/>
      <w:lang w:eastAsia="en-US"/>
    </w:rPr>
  </w:style>
  <w:style w:type="character" w:customStyle="1" w:styleId="hps">
    <w:name w:val="hps"/>
    <w:basedOn w:val="DefaultParagraphFont"/>
    <w:rsid w:val="0012136D"/>
  </w:style>
  <w:style w:type="paragraph" w:customStyle="1" w:styleId="Pa2">
    <w:name w:val="Pa2"/>
    <w:basedOn w:val="Default"/>
    <w:next w:val="Default"/>
    <w:rsid w:val="0012136D"/>
    <w:pPr>
      <w:spacing w:line="241" w:lineRule="atLeast"/>
    </w:pPr>
    <w:rPr>
      <w:rFonts w:ascii="Helvetica 45 Light" w:eastAsiaTheme="minorHAnsi" w:hAnsi="Helvetica 45 Light"/>
      <w:color w:val="auto"/>
      <w:lang w:val="en-GB"/>
    </w:rPr>
  </w:style>
  <w:style w:type="paragraph" w:customStyle="1" w:styleId="Pa11">
    <w:name w:val="Pa11"/>
    <w:basedOn w:val="Normal"/>
    <w:next w:val="Normal"/>
    <w:rsid w:val="0012136D"/>
    <w:pPr>
      <w:suppressAutoHyphens w:val="0"/>
      <w:kinsoku/>
      <w:overflowPunct/>
      <w:snapToGrid/>
      <w:spacing w:line="241" w:lineRule="atLeast"/>
    </w:pPr>
    <w:rPr>
      <w:rFonts w:ascii="ITC Franklin Gothic Book" w:eastAsia="Times New Roman" w:hAnsi="ITC Franklin Gothic Book"/>
      <w:sz w:val="24"/>
      <w:szCs w:val="24"/>
      <w:lang w:eastAsia="en-GB"/>
    </w:rPr>
  </w:style>
  <w:style w:type="paragraph" w:styleId="HTMLPreformatted">
    <w:name w:val="HTML Preformatted"/>
    <w:basedOn w:val="Normal"/>
    <w:link w:val="HTMLPreformattedChar"/>
    <w:uiPriority w:val="99"/>
    <w:unhideWhenUsed/>
    <w:rsid w:val="00121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12136D"/>
    <w:rPr>
      <w:rFonts w:ascii="Courier New" w:eastAsia="Times New Roman" w:hAnsi="Courier New" w:cs="Courier New"/>
      <w:sz w:val="20"/>
      <w:szCs w:val="20"/>
      <w:lang w:eastAsia="en-GB"/>
    </w:rPr>
  </w:style>
  <w:style w:type="character" w:customStyle="1" w:styleId="highlight">
    <w:name w:val="highlight"/>
    <w:basedOn w:val="DefaultParagraphFont"/>
    <w:rsid w:val="0012136D"/>
  </w:style>
  <w:style w:type="character" w:customStyle="1" w:styleId="ozelhabermetin">
    <w:name w:val="ozelhabermetin"/>
    <w:uiPriority w:val="99"/>
    <w:rsid w:val="0012136D"/>
    <w:rPr>
      <w:rFonts w:cs="Times New Roman"/>
    </w:rPr>
  </w:style>
  <w:style w:type="paragraph" w:customStyle="1" w:styleId="a">
    <w:name w:val="Текстовый блок"/>
    <w:rsid w:val="0012136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A0">
    <w:name w:val="Текстовый блок A"/>
    <w:rsid w:val="0012136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TOC2">
    <w:name w:val="toc 2"/>
    <w:basedOn w:val="Normal"/>
    <w:next w:val="Normal"/>
    <w:autoRedefine/>
    <w:uiPriority w:val="39"/>
    <w:unhideWhenUsed/>
    <w:rsid w:val="00216439"/>
    <w:pPr>
      <w:spacing w:after="100"/>
      <w:ind w:left="200"/>
    </w:pPr>
  </w:style>
  <w:style w:type="character" w:customStyle="1" w:styleId="color21">
    <w:name w:val="color_21"/>
    <w:basedOn w:val="DefaultParagraphFont"/>
    <w:rsid w:val="0012136D"/>
  </w:style>
  <w:style w:type="paragraph" w:customStyle="1" w:styleId="Stile">
    <w:name w:val="Stile"/>
    <w:rsid w:val="0012136D"/>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character" w:customStyle="1" w:styleId="st1">
    <w:name w:val="st1"/>
    <w:basedOn w:val="DefaultParagraphFont"/>
    <w:rsid w:val="0012136D"/>
  </w:style>
  <w:style w:type="paragraph" w:styleId="BodyText">
    <w:name w:val="Body Text"/>
    <w:basedOn w:val="Normal"/>
    <w:link w:val="BodyTextChar"/>
    <w:rsid w:val="0012136D"/>
    <w:pPr>
      <w:suppressAutoHyphens w:val="0"/>
      <w:kinsoku/>
      <w:overflowPunct/>
      <w:autoSpaceDE/>
      <w:autoSpaceDN/>
      <w:adjustRightInd/>
      <w:snapToGrid/>
      <w:spacing w:after="120" w:line="240" w:lineRule="auto"/>
    </w:pPr>
    <w:rPr>
      <w:rFonts w:eastAsia="Times New Roman"/>
      <w:sz w:val="24"/>
      <w:szCs w:val="24"/>
      <w:lang w:val="pl-PL" w:eastAsia="pl-PL"/>
    </w:rPr>
  </w:style>
  <w:style w:type="character" w:customStyle="1" w:styleId="BodyTextChar">
    <w:name w:val="Body Text Char"/>
    <w:basedOn w:val="DefaultParagraphFont"/>
    <w:link w:val="BodyText"/>
    <w:rsid w:val="0012136D"/>
    <w:rPr>
      <w:rFonts w:ascii="Times New Roman" w:eastAsia="Times New Roman" w:hAnsi="Times New Roman" w:cs="Times New Roman"/>
      <w:sz w:val="24"/>
      <w:szCs w:val="24"/>
      <w:lang w:val="pl-PL" w:eastAsia="pl-PL"/>
    </w:rPr>
  </w:style>
  <w:style w:type="numbering" w:customStyle="1" w:styleId="RKNumreraderubriker">
    <w:name w:val="RK Numrerade rubriker"/>
    <w:uiPriority w:val="99"/>
    <w:rsid w:val="0012136D"/>
    <w:pPr>
      <w:numPr>
        <w:numId w:val="3"/>
      </w:numPr>
    </w:pPr>
  </w:style>
  <w:style w:type="paragraph" w:styleId="NoSpacing">
    <w:name w:val="No Spacing"/>
    <w:uiPriority w:val="1"/>
    <w:qFormat/>
    <w:rsid w:val="0012136D"/>
    <w:pPr>
      <w:spacing w:after="0" w:line="240" w:lineRule="auto"/>
    </w:pPr>
    <w:rPr>
      <w:rFonts w:eastAsiaTheme="minorHAnsi"/>
      <w:lang w:val="en-CA" w:eastAsia="en-US"/>
    </w:rPr>
  </w:style>
  <w:style w:type="paragraph" w:styleId="Revision">
    <w:name w:val="Revision"/>
    <w:hidden/>
    <w:uiPriority w:val="99"/>
    <w:semiHidden/>
    <w:rsid w:val="0012136D"/>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12136D"/>
    <w:rPr>
      <w:color w:val="605E5C"/>
      <w:shd w:val="clear" w:color="auto" w:fill="E1DFDD"/>
    </w:rPr>
  </w:style>
  <w:style w:type="character" w:customStyle="1" w:styleId="UnresolvedMention">
    <w:name w:val="Unresolved Mention"/>
    <w:basedOn w:val="DefaultParagraphFont"/>
    <w:uiPriority w:val="99"/>
    <w:semiHidden/>
    <w:unhideWhenUsed/>
    <w:rsid w:val="0012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file:///C:/Users/Elizabeth.Kyalo/AppData/Local/Microsoft/Windows/INetCache/Content.Outlook/5UD56XB7/%20(www.shiftproject.org" TargetMode="External"/><Relationship Id="rId13" Type="http://schemas.openxmlformats.org/officeDocument/2006/relationships/hyperlink" Target="https://iwgwomenandsport.org/wp-content/uploads/2019/03/Brighton-plus-Helsinki-2014-Declaration-on-Women-and-Sport.pdf" TargetMode="External"/><Relationship Id="rId3" Type="http://schemas.openxmlformats.org/officeDocument/2006/relationships/hyperlink" Target="https://iwgwomenandsport.org/programmes/insight-hub/" TargetMode="External"/><Relationship Id="rId7" Type="http://schemas.openxmlformats.org/officeDocument/2006/relationships/hyperlink" Target="http://www.ohchr.org/Documents/Issues/Women/WG/Communications/OL-OTH-62-2018.pdf" TargetMode="External"/><Relationship Id="rId12" Type="http://schemas.openxmlformats.org/officeDocument/2006/relationships/hyperlink" Target="http://www.olympic.org/news/ioc-continues-working-on-human-rights-and-takes-first-steps-on-a-strategy" TargetMode="External"/><Relationship Id="rId2" Type="http://schemas.openxmlformats.org/officeDocument/2006/relationships/hyperlink" Target="https://www.ohchr.org/EN/NewsEvents/Pages/ExploitationChildrenInSport.aspx" TargetMode="External"/><Relationship Id="rId1" Type="http://schemas.openxmlformats.org/officeDocument/2006/relationships/hyperlink" Target="http://www.womenssportsfoundation.org/do-you-know-the-factors-influencing-girls-participation-in-sports/" TargetMode="External"/><Relationship Id="rId6" Type="http://schemas.openxmlformats.org/officeDocument/2006/relationships/hyperlink" Target="http://www.olympicchannel.com/en/stories/news/detail/semenya-niyonsaba-wambui-what-is-dsd-iaaf-regulations/" TargetMode="External"/><Relationship Id="rId11" Type="http://schemas.openxmlformats.org/officeDocument/2006/relationships/hyperlink" Target="https://stillmed.olympic.org/media/Document%20Library/OlympicOrg/General/EN-Olympic-Charter.pdf" TargetMode="External"/><Relationship Id="rId5" Type="http://schemas.openxmlformats.org/officeDocument/2006/relationships/hyperlink" Target="http://www.paralympic.org/ipc-publications" TargetMode="External"/><Relationship Id="rId15" Type="http://schemas.openxmlformats.org/officeDocument/2006/relationships/hyperlink" Target="http://www.worldathletics.org/news/press-release/questions-answers-iaaf-female-eligibility-reg" TargetMode="External"/><Relationship Id="rId10" Type="http://schemas.openxmlformats.org/officeDocument/2006/relationships/hyperlink" Target="https://img.fifa.com/image/upload/kr05dqyhwr1uhqy2lh6r.pdf" TargetMode="External"/><Relationship Id="rId4" Type="http://schemas.openxmlformats.org/officeDocument/2006/relationships/hyperlink" Target="https://www.ohchr.org/EN/Issues/Women/WRGS/Pages/PublicationsAndResources.aspx" TargetMode="External"/><Relationship Id="rId9" Type="http://schemas.openxmlformats.org/officeDocument/2006/relationships/hyperlink" Target="file:///C:/Users/Elizabeth.Kyalo/AppData/Local/Microsoft/Windows/INetCache/Content.Outlook/5UD56XB7/(www.sporthumanrights.org" TargetMode="External"/><Relationship Id="rId14" Type="http://schemas.openxmlformats.org/officeDocument/2006/relationships/hyperlink" Target="http://www.worldathletics.org/news/press-release/iaaf-letter-iwg-wsi-iapesg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6DF0C4-76F0-4F27-B064-05C5FB0D157E}">
  <ds:schemaRefs>
    <ds:schemaRef ds:uri="http://schemas.openxmlformats.org/officeDocument/2006/bibliography"/>
  </ds:schemaRefs>
</ds:datastoreItem>
</file>

<file path=customXml/itemProps2.xml><?xml version="1.0" encoding="utf-8"?>
<ds:datastoreItem xmlns:ds="http://schemas.openxmlformats.org/officeDocument/2006/customXml" ds:itemID="{57AF921E-B27F-4E81-A480-B6107DF88A17}"/>
</file>

<file path=customXml/itemProps3.xml><?xml version="1.0" encoding="utf-8"?>
<ds:datastoreItem xmlns:ds="http://schemas.openxmlformats.org/officeDocument/2006/customXml" ds:itemID="{DF10E9D9-8A59-42D9-BA21-FF77B7C095B1}"/>
</file>

<file path=customXml/itemProps4.xml><?xml version="1.0" encoding="utf-8"?>
<ds:datastoreItem xmlns:ds="http://schemas.openxmlformats.org/officeDocument/2006/customXml" ds:itemID="{2BFD6547-41ED-4BD4-9742-1FAB1BFF1C34}"/>
</file>

<file path=docProps/app.xml><?xml version="1.0" encoding="utf-8"?>
<Properties xmlns="http://schemas.openxmlformats.org/officeDocument/2006/extended-properties" xmlns:vt="http://schemas.openxmlformats.org/officeDocument/2006/docPropsVTypes">
  <Template>A.dotm</Template>
  <TotalTime>0</TotalTime>
  <Pages>15</Pages>
  <Words>6934</Words>
  <Characters>39524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A/HRC/44/26</vt:lpstr>
    </vt:vector>
  </TitlesOfParts>
  <Company>DCM</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A/HRC/44/26</dc:title>
  <dc:subject>2005760</dc:subject>
  <dc:creator>pae</dc:creator>
  <cp:keywords/>
  <dc:description>formatted text</dc:description>
  <cp:lastModifiedBy>kkyalo@ohchr.org</cp:lastModifiedBy>
  <cp:revision>2</cp:revision>
  <dcterms:created xsi:type="dcterms:W3CDTF">2020-06-26T08:16:00Z</dcterms:created>
  <dcterms:modified xsi:type="dcterms:W3CDTF">2020-06-26T08:16:00Z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