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10848" w14:textId="0D0DCFAB" w:rsidR="001833D4" w:rsidRPr="00F71322" w:rsidRDefault="00FF61CB" w:rsidP="00ED4411">
      <w:pPr>
        <w:autoSpaceDE/>
        <w:autoSpaceDN/>
        <w:adjustRightInd/>
        <w:spacing w:after="160" w:line="259" w:lineRule="auto"/>
        <w:jc w:val="both"/>
        <w:rPr>
          <w:color w:val="17365D"/>
          <w:spacing w:val="5"/>
          <w:kern w:val="28"/>
          <w:sz w:val="24"/>
          <w:szCs w:val="24"/>
          <w:lang w:val="en-IE" w:eastAsia="en-US"/>
        </w:rPr>
      </w:pPr>
      <w:bookmarkStart w:id="0" w:name="_GoBack"/>
      <w:bookmarkEnd w:id="0"/>
      <w:r w:rsidRPr="00CD1C1A">
        <w:rPr>
          <w:color w:val="17365D"/>
          <w:spacing w:val="5"/>
          <w:kern w:val="28"/>
          <w:sz w:val="24"/>
          <w:szCs w:val="24"/>
          <w:lang w:val="en-IE" w:eastAsia="en-US"/>
        </w:rPr>
        <w:t>Input to the call for contributions to the first draft of General Recommen</w:t>
      </w:r>
      <w:r w:rsidRPr="00F71322">
        <w:rPr>
          <w:color w:val="17365D"/>
          <w:spacing w:val="5"/>
          <w:kern w:val="28"/>
          <w:sz w:val="24"/>
          <w:szCs w:val="24"/>
          <w:lang w:val="en-IE" w:eastAsia="en-US"/>
        </w:rPr>
        <w:t>dation N° 37 on racial discrimination and the right to health under Article 5 (e)(iv) of the International Convention on the Elimination of All Forms of Racial Discrimination.</w:t>
      </w:r>
    </w:p>
    <w:p w14:paraId="265EFFF8" w14:textId="77777777" w:rsidR="00F71322" w:rsidRPr="00F71322" w:rsidRDefault="00F71322" w:rsidP="00F71322">
      <w:pPr>
        <w:pBdr>
          <w:bottom w:val="single" w:sz="8" w:space="4" w:color="4F81BD"/>
        </w:pBdr>
        <w:spacing w:after="300" w:line="240" w:lineRule="auto"/>
        <w:contextualSpacing/>
        <w:jc w:val="both"/>
        <w:rPr>
          <w:color w:val="17365D"/>
          <w:spacing w:val="5"/>
          <w:kern w:val="28"/>
          <w:sz w:val="24"/>
          <w:szCs w:val="24"/>
        </w:rPr>
      </w:pPr>
      <w:r w:rsidRPr="00F71322">
        <w:rPr>
          <w:color w:val="17365D"/>
          <w:spacing w:val="5"/>
          <w:kern w:val="28"/>
          <w:sz w:val="24"/>
          <w:szCs w:val="24"/>
        </w:rPr>
        <w:t>fra.europa.eu</w:t>
      </w:r>
    </w:p>
    <w:p w14:paraId="4F3D6BED" w14:textId="45369687" w:rsidR="00F71322" w:rsidRDefault="00F71322" w:rsidP="00F71322">
      <w:pPr>
        <w:jc w:val="both"/>
        <w:rPr>
          <w:i/>
        </w:rPr>
      </w:pPr>
    </w:p>
    <w:p w14:paraId="398FD0AF" w14:textId="6DBA492C" w:rsidR="00F470CF" w:rsidRDefault="00F470CF" w:rsidP="00823C1E">
      <w:pPr>
        <w:spacing w:line="276" w:lineRule="auto"/>
        <w:jc w:val="both"/>
        <w:rPr>
          <w:szCs w:val="20"/>
          <w:lang w:val="en-IE"/>
        </w:rPr>
      </w:pPr>
      <w:r w:rsidRPr="00F470CF">
        <w:rPr>
          <w:szCs w:val="20"/>
          <w:lang w:val="en-IE"/>
        </w:rPr>
        <w:t xml:space="preserve">The European Union Agency for Fundamental Rights (FRA) is </w:t>
      </w:r>
      <w:r w:rsidR="00156907">
        <w:rPr>
          <w:szCs w:val="20"/>
          <w:lang w:val="en-IE"/>
        </w:rPr>
        <w:t xml:space="preserve">set up </w:t>
      </w:r>
      <w:r w:rsidR="00AA2DD5">
        <w:rPr>
          <w:szCs w:val="20"/>
          <w:lang w:val="en-IE"/>
        </w:rPr>
        <w:t>to provide independent evidence-based assistance and expertise relating to fundamental rights</w:t>
      </w:r>
      <w:r w:rsidR="00B3511E">
        <w:rPr>
          <w:szCs w:val="20"/>
          <w:lang w:val="en-IE"/>
        </w:rPr>
        <w:t xml:space="preserve">. </w:t>
      </w:r>
      <w:r w:rsidRPr="00F470CF">
        <w:rPr>
          <w:szCs w:val="20"/>
          <w:lang w:val="en-IE"/>
        </w:rPr>
        <w:t xml:space="preserve">It does this by collecting </w:t>
      </w:r>
      <w:r w:rsidR="00842269">
        <w:rPr>
          <w:szCs w:val="20"/>
          <w:lang w:val="en-IE"/>
        </w:rPr>
        <w:t xml:space="preserve">and analysing comparative, objective and reliable information and data </w:t>
      </w:r>
      <w:r w:rsidRPr="00F470CF">
        <w:rPr>
          <w:szCs w:val="20"/>
          <w:lang w:val="en-IE"/>
        </w:rPr>
        <w:t>about the situation of fundamental rights across the EU and providing advice, based on evidence, about how to improve the situation.</w:t>
      </w:r>
    </w:p>
    <w:p w14:paraId="309DB704" w14:textId="77777777" w:rsidR="00E40628" w:rsidRPr="00F470CF" w:rsidRDefault="00E40628" w:rsidP="00823C1E">
      <w:pPr>
        <w:spacing w:line="276" w:lineRule="auto"/>
        <w:jc w:val="both"/>
        <w:rPr>
          <w:szCs w:val="20"/>
          <w:lang w:val="en-IE"/>
        </w:rPr>
      </w:pPr>
    </w:p>
    <w:p w14:paraId="0D155BF8" w14:textId="0639BB63" w:rsidR="002E30A6" w:rsidRDefault="00F470CF" w:rsidP="00823C1E">
      <w:pPr>
        <w:spacing w:line="276" w:lineRule="auto"/>
        <w:jc w:val="both"/>
        <w:rPr>
          <w:lang w:val="en-IE"/>
        </w:rPr>
      </w:pPr>
      <w:r w:rsidRPr="7104D58E">
        <w:rPr>
          <w:lang w:val="en-IE"/>
        </w:rPr>
        <w:t xml:space="preserve">The information compiled in this document </w:t>
      </w:r>
      <w:r w:rsidR="005D0F8B" w:rsidRPr="7104D58E">
        <w:rPr>
          <w:lang w:val="en-IE"/>
        </w:rPr>
        <w:t>draws on FRA</w:t>
      </w:r>
      <w:r w:rsidR="00233692" w:rsidRPr="7104D58E">
        <w:rPr>
          <w:lang w:val="en-IE"/>
        </w:rPr>
        <w:t xml:space="preserve"> data and evidence </w:t>
      </w:r>
      <w:r w:rsidR="005D0F8B" w:rsidRPr="7104D58E">
        <w:rPr>
          <w:lang w:val="en-IE"/>
        </w:rPr>
        <w:t xml:space="preserve">relevant to </w:t>
      </w:r>
      <w:r w:rsidR="00435734" w:rsidRPr="7104D58E">
        <w:rPr>
          <w:lang w:val="en-IE"/>
        </w:rPr>
        <w:t>the</w:t>
      </w:r>
      <w:r w:rsidR="00233692" w:rsidRPr="7104D58E">
        <w:rPr>
          <w:lang w:val="en-IE"/>
        </w:rPr>
        <w:t xml:space="preserve"> call </w:t>
      </w:r>
      <w:r w:rsidR="00435734" w:rsidRPr="7104D58E">
        <w:rPr>
          <w:lang w:val="en-IE"/>
        </w:rPr>
        <w:t xml:space="preserve">for </w:t>
      </w:r>
      <w:r w:rsidR="00233692" w:rsidRPr="7104D58E">
        <w:rPr>
          <w:lang w:val="en-IE"/>
        </w:rPr>
        <w:t xml:space="preserve">contribution </w:t>
      </w:r>
      <w:r w:rsidR="005D0F8B" w:rsidRPr="7104D58E">
        <w:rPr>
          <w:lang w:val="en-IE"/>
        </w:rPr>
        <w:t xml:space="preserve">to </w:t>
      </w:r>
      <w:r w:rsidR="00435734" w:rsidRPr="7104D58E">
        <w:rPr>
          <w:lang w:val="en-IE"/>
        </w:rPr>
        <w:t>a</w:t>
      </w:r>
      <w:r w:rsidR="005D0F8B" w:rsidRPr="7104D58E">
        <w:rPr>
          <w:lang w:val="en-IE"/>
        </w:rPr>
        <w:t xml:space="preserve"> first draft of General Recommendation N° 37 on racial discrimination and the right to health</w:t>
      </w:r>
      <w:r w:rsidR="00435734" w:rsidRPr="7104D58E">
        <w:rPr>
          <w:lang w:val="en-IE"/>
        </w:rPr>
        <w:t>.</w:t>
      </w:r>
    </w:p>
    <w:sdt>
      <w:sdtPr>
        <w:rPr>
          <w:rFonts w:ascii="Verdana" w:eastAsia="Times New Roman" w:hAnsi="Verdana" w:cs="Times New Roman"/>
          <w:color w:val="auto"/>
          <w:sz w:val="20"/>
          <w:szCs w:val="22"/>
          <w:lang w:val="en-GB" w:eastAsia="en-GB"/>
        </w:rPr>
        <w:id w:val="-2038193055"/>
        <w:docPartObj>
          <w:docPartGallery w:val="Table of Contents"/>
          <w:docPartUnique/>
        </w:docPartObj>
      </w:sdtPr>
      <w:sdtEndPr/>
      <w:sdtContent>
        <w:p w14:paraId="08A6327C" w14:textId="6D03BBA0" w:rsidR="00504F8D" w:rsidRDefault="00504F8D">
          <w:pPr>
            <w:pStyle w:val="TOCHeading"/>
          </w:pPr>
          <w:r>
            <w:t>Contents</w:t>
          </w:r>
        </w:p>
        <w:p w14:paraId="3F9366EF" w14:textId="6B99E3C8" w:rsidR="00B52E73" w:rsidRDefault="00504F8D">
          <w:pPr>
            <w:pStyle w:val="TOC1"/>
            <w:tabs>
              <w:tab w:val="right" w:leader="dot" w:pos="9062"/>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108794855" w:history="1">
            <w:r w:rsidR="00B52E73" w:rsidRPr="006E7F02">
              <w:rPr>
                <w:rStyle w:val="Hyperlink"/>
                <w:noProof/>
              </w:rPr>
              <w:t>Inequalities and multiple discrimination in access to and quality of healthcare (FRA, 2013)</w:t>
            </w:r>
            <w:r w:rsidR="00B52E73">
              <w:rPr>
                <w:noProof/>
                <w:webHidden/>
              </w:rPr>
              <w:tab/>
            </w:r>
            <w:r w:rsidR="00B52E73">
              <w:rPr>
                <w:noProof/>
                <w:webHidden/>
              </w:rPr>
              <w:fldChar w:fldCharType="begin"/>
            </w:r>
            <w:r w:rsidR="00B52E73">
              <w:rPr>
                <w:noProof/>
                <w:webHidden/>
              </w:rPr>
              <w:instrText xml:space="preserve"> PAGEREF _Toc108794855 \h </w:instrText>
            </w:r>
            <w:r w:rsidR="00B52E73">
              <w:rPr>
                <w:noProof/>
                <w:webHidden/>
              </w:rPr>
            </w:r>
            <w:r w:rsidR="00B52E73">
              <w:rPr>
                <w:noProof/>
                <w:webHidden/>
              </w:rPr>
              <w:fldChar w:fldCharType="separate"/>
            </w:r>
            <w:r w:rsidR="00B52E73">
              <w:rPr>
                <w:noProof/>
                <w:webHidden/>
              </w:rPr>
              <w:t>1</w:t>
            </w:r>
            <w:r w:rsidR="00B52E73">
              <w:rPr>
                <w:noProof/>
                <w:webHidden/>
              </w:rPr>
              <w:fldChar w:fldCharType="end"/>
            </w:r>
          </w:hyperlink>
        </w:p>
        <w:p w14:paraId="14E0BC6A" w14:textId="25EF035A" w:rsidR="00B52E73" w:rsidRDefault="00440468">
          <w:pPr>
            <w:pStyle w:val="TOC1"/>
            <w:tabs>
              <w:tab w:val="right" w:leader="dot" w:pos="9062"/>
            </w:tabs>
            <w:rPr>
              <w:rFonts w:asciiTheme="minorHAnsi" w:eastAsiaTheme="minorEastAsia" w:hAnsiTheme="minorHAnsi" w:cstheme="minorBidi"/>
              <w:noProof/>
              <w:sz w:val="22"/>
            </w:rPr>
          </w:pPr>
          <w:hyperlink w:anchor="_Toc108794856" w:history="1">
            <w:r w:rsidR="00B52E73" w:rsidRPr="006E7F02">
              <w:rPr>
                <w:rStyle w:val="Hyperlink"/>
                <w:noProof/>
              </w:rPr>
              <w:t>Experiences of discrimination based on ethnic or immigrant background in the area of health and health care (different FRA surveys)</w:t>
            </w:r>
            <w:r w:rsidR="00B52E73">
              <w:rPr>
                <w:noProof/>
                <w:webHidden/>
              </w:rPr>
              <w:tab/>
            </w:r>
            <w:r w:rsidR="00B52E73">
              <w:rPr>
                <w:noProof/>
                <w:webHidden/>
              </w:rPr>
              <w:fldChar w:fldCharType="begin"/>
            </w:r>
            <w:r w:rsidR="00B52E73">
              <w:rPr>
                <w:noProof/>
                <w:webHidden/>
              </w:rPr>
              <w:instrText xml:space="preserve"> PAGEREF _Toc108794856 \h </w:instrText>
            </w:r>
            <w:r w:rsidR="00B52E73">
              <w:rPr>
                <w:noProof/>
                <w:webHidden/>
              </w:rPr>
            </w:r>
            <w:r w:rsidR="00B52E73">
              <w:rPr>
                <w:noProof/>
                <w:webHidden/>
              </w:rPr>
              <w:fldChar w:fldCharType="separate"/>
            </w:r>
            <w:r w:rsidR="00B52E73">
              <w:rPr>
                <w:noProof/>
                <w:webHidden/>
              </w:rPr>
              <w:t>3</w:t>
            </w:r>
            <w:r w:rsidR="00B52E73">
              <w:rPr>
                <w:noProof/>
                <w:webHidden/>
              </w:rPr>
              <w:fldChar w:fldCharType="end"/>
            </w:r>
          </w:hyperlink>
        </w:p>
        <w:p w14:paraId="0CA8DCF8" w14:textId="2320324F" w:rsidR="00B52E73" w:rsidRDefault="00440468">
          <w:pPr>
            <w:pStyle w:val="TOC1"/>
            <w:tabs>
              <w:tab w:val="right" w:leader="dot" w:pos="9062"/>
            </w:tabs>
            <w:rPr>
              <w:rFonts w:asciiTheme="minorHAnsi" w:eastAsiaTheme="minorEastAsia" w:hAnsiTheme="minorHAnsi" w:cstheme="minorBidi"/>
              <w:noProof/>
              <w:sz w:val="22"/>
            </w:rPr>
          </w:pPr>
          <w:hyperlink w:anchor="_Toc108794857" w:history="1">
            <w:r w:rsidR="00B52E73" w:rsidRPr="006E7F02">
              <w:rPr>
                <w:rStyle w:val="Hyperlink"/>
                <w:noProof/>
              </w:rPr>
              <w:t>Roma and Travellers in the six countries (FRA, 2020)</w:t>
            </w:r>
            <w:r w:rsidR="00B52E73">
              <w:rPr>
                <w:noProof/>
                <w:webHidden/>
              </w:rPr>
              <w:tab/>
            </w:r>
            <w:r w:rsidR="00B52E73">
              <w:rPr>
                <w:noProof/>
                <w:webHidden/>
              </w:rPr>
              <w:fldChar w:fldCharType="begin"/>
            </w:r>
            <w:r w:rsidR="00B52E73">
              <w:rPr>
                <w:noProof/>
                <w:webHidden/>
              </w:rPr>
              <w:instrText xml:space="preserve"> PAGEREF _Toc108794857 \h </w:instrText>
            </w:r>
            <w:r w:rsidR="00B52E73">
              <w:rPr>
                <w:noProof/>
                <w:webHidden/>
              </w:rPr>
            </w:r>
            <w:r w:rsidR="00B52E73">
              <w:rPr>
                <w:noProof/>
                <w:webHidden/>
              </w:rPr>
              <w:fldChar w:fldCharType="separate"/>
            </w:r>
            <w:r w:rsidR="00B52E73">
              <w:rPr>
                <w:noProof/>
                <w:webHidden/>
              </w:rPr>
              <w:t>4</w:t>
            </w:r>
            <w:r w:rsidR="00B52E73">
              <w:rPr>
                <w:noProof/>
                <w:webHidden/>
              </w:rPr>
              <w:fldChar w:fldCharType="end"/>
            </w:r>
          </w:hyperlink>
        </w:p>
        <w:p w14:paraId="4531BAE2" w14:textId="56FC49D9" w:rsidR="00B52E73" w:rsidRDefault="00440468">
          <w:pPr>
            <w:pStyle w:val="TOC1"/>
            <w:tabs>
              <w:tab w:val="right" w:leader="dot" w:pos="9062"/>
            </w:tabs>
            <w:rPr>
              <w:rFonts w:asciiTheme="minorHAnsi" w:eastAsiaTheme="minorEastAsia" w:hAnsiTheme="minorHAnsi" w:cstheme="minorBidi"/>
              <w:noProof/>
              <w:sz w:val="22"/>
            </w:rPr>
          </w:pPr>
          <w:hyperlink w:anchor="_Toc108794858" w:history="1">
            <w:r w:rsidR="00B52E73" w:rsidRPr="006E7F02">
              <w:rPr>
                <w:rStyle w:val="Hyperlink"/>
                <w:noProof/>
              </w:rPr>
              <w:t>Roma – Selected findings from FRA’s second EU Minorities and Discrimination Survey (FRA, 2016)</w:t>
            </w:r>
            <w:r w:rsidR="00B52E73">
              <w:rPr>
                <w:noProof/>
                <w:webHidden/>
              </w:rPr>
              <w:tab/>
            </w:r>
            <w:r w:rsidR="00B52E73">
              <w:rPr>
                <w:noProof/>
                <w:webHidden/>
              </w:rPr>
              <w:fldChar w:fldCharType="begin"/>
            </w:r>
            <w:r w:rsidR="00B52E73">
              <w:rPr>
                <w:noProof/>
                <w:webHidden/>
              </w:rPr>
              <w:instrText xml:space="preserve"> PAGEREF _Toc108794858 \h </w:instrText>
            </w:r>
            <w:r w:rsidR="00B52E73">
              <w:rPr>
                <w:noProof/>
                <w:webHidden/>
              </w:rPr>
            </w:r>
            <w:r w:rsidR="00B52E73">
              <w:rPr>
                <w:noProof/>
                <w:webHidden/>
              </w:rPr>
              <w:fldChar w:fldCharType="separate"/>
            </w:r>
            <w:r w:rsidR="00B52E73">
              <w:rPr>
                <w:noProof/>
                <w:webHidden/>
              </w:rPr>
              <w:t>6</w:t>
            </w:r>
            <w:r w:rsidR="00B52E73">
              <w:rPr>
                <w:noProof/>
                <w:webHidden/>
              </w:rPr>
              <w:fldChar w:fldCharType="end"/>
            </w:r>
          </w:hyperlink>
        </w:p>
        <w:p w14:paraId="1FDB5110" w14:textId="029A8742" w:rsidR="00B52E73" w:rsidRDefault="00440468">
          <w:pPr>
            <w:pStyle w:val="TOC1"/>
            <w:tabs>
              <w:tab w:val="right" w:leader="dot" w:pos="9062"/>
            </w:tabs>
            <w:rPr>
              <w:rFonts w:asciiTheme="minorHAnsi" w:eastAsiaTheme="minorEastAsia" w:hAnsiTheme="minorHAnsi" w:cstheme="minorBidi"/>
              <w:noProof/>
              <w:sz w:val="22"/>
            </w:rPr>
          </w:pPr>
          <w:hyperlink w:anchor="_Toc108794859" w:history="1">
            <w:r w:rsidR="00B52E73" w:rsidRPr="006E7F02">
              <w:rPr>
                <w:rStyle w:val="Hyperlink"/>
                <w:noProof/>
              </w:rPr>
              <w:t>Getting the future right- Artificial intelligence and fundamental rights (FRA, 2020)</w:t>
            </w:r>
            <w:r w:rsidR="00B52E73">
              <w:rPr>
                <w:noProof/>
                <w:webHidden/>
              </w:rPr>
              <w:tab/>
            </w:r>
            <w:r w:rsidR="00B52E73">
              <w:rPr>
                <w:noProof/>
                <w:webHidden/>
              </w:rPr>
              <w:fldChar w:fldCharType="begin"/>
            </w:r>
            <w:r w:rsidR="00B52E73">
              <w:rPr>
                <w:noProof/>
                <w:webHidden/>
              </w:rPr>
              <w:instrText xml:space="preserve"> PAGEREF _Toc108794859 \h </w:instrText>
            </w:r>
            <w:r w:rsidR="00B52E73">
              <w:rPr>
                <w:noProof/>
                <w:webHidden/>
              </w:rPr>
            </w:r>
            <w:r w:rsidR="00B52E73">
              <w:rPr>
                <w:noProof/>
                <w:webHidden/>
              </w:rPr>
              <w:fldChar w:fldCharType="separate"/>
            </w:r>
            <w:r w:rsidR="00B52E73">
              <w:rPr>
                <w:noProof/>
                <w:webHidden/>
              </w:rPr>
              <w:t>9</w:t>
            </w:r>
            <w:r w:rsidR="00B52E73">
              <w:rPr>
                <w:noProof/>
                <w:webHidden/>
              </w:rPr>
              <w:fldChar w:fldCharType="end"/>
            </w:r>
          </w:hyperlink>
        </w:p>
        <w:p w14:paraId="3BC187F0" w14:textId="2AB8A08E" w:rsidR="00B52E73" w:rsidRDefault="00440468">
          <w:pPr>
            <w:pStyle w:val="TOC1"/>
            <w:tabs>
              <w:tab w:val="right" w:leader="dot" w:pos="9062"/>
            </w:tabs>
            <w:rPr>
              <w:rFonts w:asciiTheme="minorHAnsi" w:eastAsiaTheme="minorEastAsia" w:hAnsiTheme="minorHAnsi" w:cstheme="minorBidi"/>
              <w:noProof/>
              <w:sz w:val="22"/>
            </w:rPr>
          </w:pPr>
          <w:hyperlink w:anchor="_Toc108794860" w:history="1">
            <w:r w:rsidR="00B52E73" w:rsidRPr="006E7F02">
              <w:rPr>
                <w:rStyle w:val="Hyperlink"/>
                <w:noProof/>
              </w:rPr>
              <w:t>Fundamental Rights Report 2022 (FRA, 2022)</w:t>
            </w:r>
            <w:r w:rsidR="00B52E73">
              <w:rPr>
                <w:noProof/>
                <w:webHidden/>
              </w:rPr>
              <w:tab/>
            </w:r>
            <w:r w:rsidR="00B52E73">
              <w:rPr>
                <w:noProof/>
                <w:webHidden/>
              </w:rPr>
              <w:fldChar w:fldCharType="begin"/>
            </w:r>
            <w:r w:rsidR="00B52E73">
              <w:rPr>
                <w:noProof/>
                <w:webHidden/>
              </w:rPr>
              <w:instrText xml:space="preserve"> PAGEREF _Toc108794860 \h </w:instrText>
            </w:r>
            <w:r w:rsidR="00B52E73">
              <w:rPr>
                <w:noProof/>
                <w:webHidden/>
              </w:rPr>
            </w:r>
            <w:r w:rsidR="00B52E73">
              <w:rPr>
                <w:noProof/>
                <w:webHidden/>
              </w:rPr>
              <w:fldChar w:fldCharType="separate"/>
            </w:r>
            <w:r w:rsidR="00B52E73">
              <w:rPr>
                <w:noProof/>
                <w:webHidden/>
              </w:rPr>
              <w:t>9</w:t>
            </w:r>
            <w:r w:rsidR="00B52E73">
              <w:rPr>
                <w:noProof/>
                <w:webHidden/>
              </w:rPr>
              <w:fldChar w:fldCharType="end"/>
            </w:r>
          </w:hyperlink>
        </w:p>
        <w:p w14:paraId="0A88D3B7" w14:textId="5107827F" w:rsidR="00B52E73" w:rsidRDefault="00440468">
          <w:pPr>
            <w:pStyle w:val="TOC1"/>
            <w:tabs>
              <w:tab w:val="right" w:leader="dot" w:pos="9062"/>
            </w:tabs>
            <w:rPr>
              <w:rFonts w:asciiTheme="minorHAnsi" w:eastAsiaTheme="minorEastAsia" w:hAnsiTheme="minorHAnsi" w:cstheme="minorBidi"/>
              <w:noProof/>
              <w:sz w:val="22"/>
            </w:rPr>
          </w:pPr>
          <w:hyperlink w:anchor="_Toc108794861" w:history="1">
            <w:r w:rsidR="00B52E73" w:rsidRPr="006E7F02">
              <w:rPr>
                <w:rStyle w:val="Hyperlink"/>
                <w:noProof/>
              </w:rPr>
              <w:t>Compendium of practices for equality data collection</w:t>
            </w:r>
            <w:r w:rsidR="00B52E73">
              <w:rPr>
                <w:noProof/>
                <w:webHidden/>
              </w:rPr>
              <w:tab/>
            </w:r>
            <w:r w:rsidR="00B52E73">
              <w:rPr>
                <w:noProof/>
                <w:webHidden/>
              </w:rPr>
              <w:fldChar w:fldCharType="begin"/>
            </w:r>
            <w:r w:rsidR="00B52E73">
              <w:rPr>
                <w:noProof/>
                <w:webHidden/>
              </w:rPr>
              <w:instrText xml:space="preserve"> PAGEREF _Toc108794861 \h </w:instrText>
            </w:r>
            <w:r w:rsidR="00B52E73">
              <w:rPr>
                <w:noProof/>
                <w:webHidden/>
              </w:rPr>
            </w:r>
            <w:r w:rsidR="00B52E73">
              <w:rPr>
                <w:noProof/>
                <w:webHidden/>
              </w:rPr>
              <w:fldChar w:fldCharType="separate"/>
            </w:r>
            <w:r w:rsidR="00B52E73">
              <w:rPr>
                <w:noProof/>
                <w:webHidden/>
              </w:rPr>
              <w:t>9</w:t>
            </w:r>
            <w:r w:rsidR="00B52E73">
              <w:rPr>
                <w:noProof/>
                <w:webHidden/>
              </w:rPr>
              <w:fldChar w:fldCharType="end"/>
            </w:r>
          </w:hyperlink>
        </w:p>
        <w:p w14:paraId="593B76DB" w14:textId="3E2EB892" w:rsidR="00F93966" w:rsidRDefault="00504F8D" w:rsidP="063A292B">
          <w:pPr>
            <w:pStyle w:val="TOC1"/>
            <w:tabs>
              <w:tab w:val="right" w:leader="dot" w:pos="9060"/>
            </w:tabs>
            <w:rPr>
              <w:rStyle w:val="Hyperlink"/>
              <w:noProof/>
            </w:rPr>
          </w:pPr>
          <w:r>
            <w:fldChar w:fldCharType="end"/>
          </w:r>
        </w:p>
      </w:sdtContent>
    </w:sdt>
    <w:p w14:paraId="6AEB76DE" w14:textId="594BA0A0" w:rsidR="00504F8D" w:rsidRDefault="00504F8D"/>
    <w:bookmarkStart w:id="1" w:name="_Toc108775762"/>
    <w:p w14:paraId="21317764" w14:textId="3F12A598" w:rsidR="007D3C27" w:rsidRPr="00504F8D" w:rsidRDefault="0039283A" w:rsidP="007D3C27">
      <w:pPr>
        <w:pStyle w:val="Heading1"/>
        <w:spacing w:before="0" w:after="0"/>
        <w:rPr>
          <w:sz w:val="20"/>
          <w:szCs w:val="20"/>
        </w:rPr>
      </w:pPr>
      <w:r>
        <w:fldChar w:fldCharType="begin"/>
      </w:r>
      <w:r>
        <w:instrText>HYPERLINK "https://fra.europa.eu/sites/default/files/inequalities-discrimination-healthcare_en.pdf" \h</w:instrText>
      </w:r>
      <w:r>
        <w:fldChar w:fldCharType="separate"/>
      </w:r>
      <w:bookmarkStart w:id="2" w:name="_Toc108794855"/>
      <w:r w:rsidR="007D3C27" w:rsidRPr="0768AB23">
        <w:rPr>
          <w:sz w:val="20"/>
          <w:szCs w:val="20"/>
        </w:rPr>
        <w:t>Inequalities and multiple discrimination in access to and quality of healthcare</w:t>
      </w:r>
      <w:bookmarkEnd w:id="1"/>
      <w:r>
        <w:rPr>
          <w:sz w:val="20"/>
          <w:szCs w:val="20"/>
        </w:rPr>
        <w:fldChar w:fldCharType="end"/>
      </w:r>
      <w:r w:rsidR="0006720C">
        <w:rPr>
          <w:sz w:val="20"/>
          <w:szCs w:val="20"/>
        </w:rPr>
        <w:t xml:space="preserve"> (</w:t>
      </w:r>
      <w:r w:rsidR="0006720C" w:rsidRPr="0768AB23">
        <w:rPr>
          <w:sz w:val="20"/>
          <w:szCs w:val="20"/>
        </w:rPr>
        <w:t>FRA</w:t>
      </w:r>
      <w:r w:rsidR="0006720C">
        <w:rPr>
          <w:sz w:val="20"/>
          <w:szCs w:val="20"/>
        </w:rPr>
        <w:t xml:space="preserve">, </w:t>
      </w:r>
      <w:r w:rsidR="0006720C" w:rsidRPr="0768AB23">
        <w:rPr>
          <w:sz w:val="20"/>
          <w:szCs w:val="20"/>
        </w:rPr>
        <w:t>2013</w:t>
      </w:r>
      <w:r w:rsidR="0006720C">
        <w:rPr>
          <w:sz w:val="20"/>
          <w:szCs w:val="20"/>
        </w:rPr>
        <w:t>)</w:t>
      </w:r>
      <w:bookmarkEnd w:id="2"/>
    </w:p>
    <w:p w14:paraId="01BDFAD8" w14:textId="757FA1BE" w:rsidR="007D3C27" w:rsidRDefault="007D3C27" w:rsidP="000739DB">
      <w:pPr>
        <w:autoSpaceDE/>
        <w:autoSpaceDN/>
        <w:adjustRightInd/>
        <w:spacing w:line="276" w:lineRule="auto"/>
        <w:jc w:val="both"/>
      </w:pPr>
      <w:r>
        <w:t>FRA’s report on</w:t>
      </w:r>
      <w:r w:rsidRPr="00504F8D">
        <w:rPr>
          <w:b/>
          <w:bCs/>
        </w:rPr>
        <w:t xml:space="preserve"> </w:t>
      </w:r>
      <w:hyperlink r:id="rId13">
        <w:r w:rsidRPr="00504F8D">
          <w:rPr>
            <w:rStyle w:val="Hyperlink"/>
          </w:rPr>
          <w:t>Inequalities and multiple discrimination in access to and quality of healthcare</w:t>
        </w:r>
      </w:hyperlink>
      <w:r w:rsidRPr="001329B7">
        <w:t xml:space="preserve"> shed</w:t>
      </w:r>
      <w:r>
        <w:t>s</w:t>
      </w:r>
      <w:r w:rsidRPr="001329B7">
        <w:t xml:space="preserve"> light on the experience of multiple discrimination in healthcare. </w:t>
      </w:r>
      <w:r w:rsidR="000739DB">
        <w:t xml:space="preserve">Based on qualitative social research and legal analysis in five EU Member States, the report is a first effort to explore the nature, context and effects of unequal treatment based on ethnicity in combination with one or more protected grounds (age, sex and disability) in the area of healthcare. </w:t>
      </w:r>
      <w:r>
        <w:t xml:space="preserve">Selected key findings and FRA recommendations: </w:t>
      </w:r>
    </w:p>
    <w:p w14:paraId="704CD6D4" w14:textId="77777777" w:rsidR="007D3C27" w:rsidRDefault="007D3C27" w:rsidP="007D3C27">
      <w:pPr>
        <w:pStyle w:val="ListParagraph"/>
        <w:numPr>
          <w:ilvl w:val="0"/>
          <w:numId w:val="27"/>
        </w:numPr>
        <w:autoSpaceDE/>
        <w:autoSpaceDN/>
        <w:adjustRightInd/>
        <w:spacing w:line="276" w:lineRule="auto"/>
        <w:jc w:val="both"/>
      </w:pPr>
      <w:r>
        <w:t xml:space="preserve">Due to low compensation awards in discrimination cases, alleged victims of discrimination in healthcare often initiate other types of legal actions, such as tort actions on grounds of medical negligence. </w:t>
      </w:r>
      <w:r w:rsidRPr="008158B4">
        <w:rPr>
          <w:b/>
          <w:bCs/>
        </w:rPr>
        <w:t xml:space="preserve">Compensation awarded in discrimination cases should be dissuasive and proportionate to the damage </w:t>
      </w:r>
      <w:r w:rsidRPr="008158B4">
        <w:rPr>
          <w:b/>
          <w:bCs/>
        </w:rPr>
        <w:lastRenderedPageBreak/>
        <w:t>suffered</w:t>
      </w:r>
      <w:r>
        <w:t>, including in the area of healthcare. Generally, providing for higher compensation in multiple discrimination cases would constitute an incentive for victims and their lawyers to pursue multiple discrimination claims before courts and hence render anti-discrimination law more efficient.</w:t>
      </w:r>
    </w:p>
    <w:p w14:paraId="4EDA8338" w14:textId="77777777" w:rsidR="007D3C27" w:rsidRDefault="007D3C27" w:rsidP="007D3C27">
      <w:pPr>
        <w:pStyle w:val="ListParagraph"/>
        <w:numPr>
          <w:ilvl w:val="0"/>
          <w:numId w:val="27"/>
        </w:numPr>
        <w:autoSpaceDE/>
        <w:autoSpaceDN/>
        <w:adjustRightInd/>
        <w:spacing w:line="276" w:lineRule="auto"/>
        <w:jc w:val="both"/>
      </w:pPr>
      <w:r w:rsidRPr="00BC5943">
        <w:rPr>
          <w:b/>
          <w:bCs/>
        </w:rPr>
        <w:t xml:space="preserve">Institutionalising multi-dimensional equality in the healthcare system: </w:t>
      </w:r>
      <w:r>
        <w:t xml:space="preserve">EU Member States should adopt measures to further the right to health on an equal </w:t>
      </w:r>
      <w:r w:rsidRPr="00BC5943">
        <w:t>basis: free linguistic assistance – including translation and mediation services for those who do not speak or understand the language as well as ‘signed’ languages and other forms of support for people with sensory or intellectual impairments – should be made available in healthcare</w:t>
      </w:r>
      <w:r>
        <w:t xml:space="preserve"> settings and when providing health information. </w:t>
      </w:r>
    </w:p>
    <w:p w14:paraId="2FE8E405" w14:textId="77777777" w:rsidR="007D3C27" w:rsidRDefault="007D3C27" w:rsidP="007D3C27">
      <w:pPr>
        <w:pStyle w:val="ListParagraph"/>
        <w:autoSpaceDE/>
        <w:autoSpaceDN/>
        <w:adjustRightInd/>
        <w:spacing w:line="276" w:lineRule="auto"/>
        <w:jc w:val="both"/>
      </w:pPr>
      <w:r w:rsidRPr="00BC5943">
        <w:t xml:space="preserve">EU Member States should </w:t>
      </w:r>
      <w:r w:rsidRPr="007408F1">
        <w:rPr>
          <w:b/>
          <w:bCs/>
        </w:rPr>
        <w:t>encourage positive actions</w:t>
      </w:r>
      <w:r w:rsidRPr="00BC5943">
        <w:t xml:space="preserve"> for persons belonging to groups at risk of intersectional discrimination, </w:t>
      </w:r>
      <w:r>
        <w:t>as provided for by both the Racial Equality Directive and Employment Equality Directive. To do so, they should: accommodate the needs of women belonging to ethnic minorities who wish to be treated by female healthcare professionals; fund community based mobile outreach programmes targeting different ethnic communities and groups among them – including older people, women and persons with a variety of disabilities – to promote healthcare and raise awareness of entitlements and available health services; and allocate more time for medical consultations with persons belonging to these groups due to their special needs.</w:t>
      </w:r>
    </w:p>
    <w:p w14:paraId="14806424" w14:textId="77777777" w:rsidR="007D3C27" w:rsidRDefault="007D3C27" w:rsidP="007D3C27">
      <w:pPr>
        <w:pStyle w:val="ListParagraph"/>
        <w:autoSpaceDE/>
        <w:autoSpaceDN/>
        <w:adjustRightInd/>
        <w:spacing w:line="276" w:lineRule="auto"/>
        <w:jc w:val="both"/>
      </w:pPr>
      <w:r w:rsidRPr="00BC5943">
        <w:t xml:space="preserve">EU Member States should find appropriate ways of </w:t>
      </w:r>
      <w:r w:rsidRPr="008E7953">
        <w:rPr>
          <w:b/>
          <w:bCs/>
        </w:rPr>
        <w:t>guaranteeing that all healthcare users are treated equally</w:t>
      </w:r>
      <w:r w:rsidRPr="00BC5943">
        <w:t>, and with dignity and respect. Training on discrimination and multiple discrimination, cultural competence</w:t>
      </w:r>
      <w:r>
        <w:t xml:space="preserve"> and understanding disabilities should be provided to healthcare professionals, possibly in a mandatory fashion.</w:t>
      </w:r>
    </w:p>
    <w:p w14:paraId="1C8E8821" w14:textId="77777777" w:rsidR="007D3C27" w:rsidRDefault="007D3C27" w:rsidP="007D3C27">
      <w:pPr>
        <w:pStyle w:val="ListParagraph"/>
        <w:numPr>
          <w:ilvl w:val="0"/>
          <w:numId w:val="27"/>
        </w:numPr>
        <w:autoSpaceDE/>
        <w:autoSpaceDN/>
        <w:adjustRightInd/>
        <w:spacing w:line="276" w:lineRule="auto"/>
        <w:jc w:val="both"/>
      </w:pPr>
      <w:r w:rsidRPr="00FE71DC">
        <w:rPr>
          <w:b/>
          <w:bCs/>
        </w:rPr>
        <w:t>Access to justice:</w:t>
      </w:r>
      <w:r>
        <w:t xml:space="preserve"> EU </w:t>
      </w:r>
      <w:r w:rsidRPr="00FE71DC">
        <w:t>Member States should take the necessary steps to increase healthcare users’ awareness of the existence and functioning of the available complaint mechanisms, both for healthcare and discrimination issues. Complaint bodies should facilitate</w:t>
      </w:r>
      <w:r>
        <w:t xml:space="preserve"> access to the complaint system for healthcare users who have specific linguistic needs and for those who have a disability. This can be done through the enhanced provision of information in different languages, in braille and easy-to-read format.</w:t>
      </w:r>
    </w:p>
    <w:p w14:paraId="230925AB" w14:textId="77777777" w:rsidR="007D3C27" w:rsidRDefault="007D3C27" w:rsidP="007D3C27">
      <w:pPr>
        <w:pStyle w:val="ListParagraph"/>
        <w:numPr>
          <w:ilvl w:val="0"/>
          <w:numId w:val="27"/>
        </w:numPr>
        <w:autoSpaceDE/>
        <w:autoSpaceDN/>
        <w:adjustRightInd/>
        <w:spacing w:line="276" w:lineRule="auto"/>
        <w:jc w:val="both"/>
      </w:pPr>
      <w:r w:rsidRPr="00FE71DC">
        <w:rPr>
          <w:b/>
          <w:bCs/>
        </w:rPr>
        <w:t>Improving data collection:</w:t>
      </w:r>
      <w:r>
        <w:t xml:space="preserve"> Addressing health inequalities requires the collection and use of disaggregated data by the various individual grounds of non-discrimination and by those grounds in combination. There is a lack of reliable health statistics giving the full picture of the intersection of different grounds. </w:t>
      </w:r>
      <w:proofErr w:type="gramStart"/>
      <w:r>
        <w:t>In order to better reflect</w:t>
      </w:r>
      <w:proofErr w:type="gramEnd"/>
      <w:r>
        <w:t xml:space="preserve"> the monitoring of equality in EU cross-national surveys, data on ethnicity (recording both migrant status and ethnicity, where legal) and disability (taking into account the ‘social model of disability’) should be included in periodic national surveys. In order to capture multiple inequalities and disadvantages, survey sample sizes should be large enough to allow for further disaggregation.</w:t>
      </w:r>
    </w:p>
    <w:p w14:paraId="1D968F39" w14:textId="5C9297A0" w:rsidR="004D2DFF" w:rsidRPr="005B2D2B" w:rsidRDefault="004D2DFF" w:rsidP="007D3C27">
      <w:pPr>
        <w:pStyle w:val="ListParagraph"/>
        <w:numPr>
          <w:ilvl w:val="0"/>
          <w:numId w:val="27"/>
        </w:numPr>
        <w:autoSpaceDE/>
        <w:autoSpaceDN/>
        <w:adjustRightInd/>
        <w:spacing w:line="276" w:lineRule="auto"/>
        <w:jc w:val="both"/>
      </w:pPr>
      <w:r w:rsidRPr="005B2D2B">
        <w:t xml:space="preserve">See </w:t>
      </w:r>
      <w:r w:rsidR="005B2D2B" w:rsidRPr="005B2D2B">
        <w:t xml:space="preserve">also </w:t>
      </w:r>
      <w:hyperlink r:id="rId14" w:history="1">
        <w:r w:rsidR="005B2D2B" w:rsidRPr="00301A57">
          <w:rPr>
            <w:rStyle w:val="Hyperlink"/>
          </w:rPr>
          <w:t>Supplementary data on patients’ rights, health outcomes and access to healthcare in five selected EU Member States</w:t>
        </w:r>
      </w:hyperlink>
    </w:p>
    <w:p w14:paraId="3703A082" w14:textId="77777777" w:rsidR="007D3C27" w:rsidRDefault="007D3C27" w:rsidP="00C30DAA">
      <w:pPr>
        <w:pStyle w:val="FRAADDRESS"/>
      </w:pPr>
    </w:p>
    <w:p w14:paraId="3C8531E1" w14:textId="7F905EF0" w:rsidR="003B3A2A" w:rsidRPr="001A1A5D" w:rsidRDefault="00731C1B" w:rsidP="001A1A5D">
      <w:pPr>
        <w:pStyle w:val="Heading1"/>
        <w:spacing w:before="0" w:after="0"/>
        <w:rPr>
          <w:sz w:val="20"/>
          <w:szCs w:val="20"/>
        </w:rPr>
      </w:pPr>
      <w:bookmarkStart w:id="3" w:name="_Toc108775763"/>
      <w:bookmarkStart w:id="4" w:name="_Toc108794856"/>
      <w:r w:rsidRPr="001A1A5D">
        <w:rPr>
          <w:sz w:val="20"/>
          <w:szCs w:val="20"/>
        </w:rPr>
        <w:t xml:space="preserve">Experiences of discrimination based on ethnic or immigrant background </w:t>
      </w:r>
      <w:r w:rsidR="00323CE0" w:rsidRPr="001A1A5D">
        <w:rPr>
          <w:sz w:val="20"/>
          <w:szCs w:val="20"/>
        </w:rPr>
        <w:t>in the area of health and health care</w:t>
      </w:r>
      <w:r w:rsidR="00ED361E" w:rsidRPr="001A1A5D">
        <w:rPr>
          <w:sz w:val="20"/>
          <w:szCs w:val="20"/>
        </w:rPr>
        <w:t xml:space="preserve"> (different FRA surveys)</w:t>
      </w:r>
      <w:bookmarkEnd w:id="3"/>
      <w:bookmarkEnd w:id="4"/>
    </w:p>
    <w:p w14:paraId="32668A19" w14:textId="77777777" w:rsidR="00731C1B" w:rsidRDefault="00731C1B" w:rsidP="00823C1E">
      <w:pPr>
        <w:spacing w:line="276" w:lineRule="auto"/>
        <w:jc w:val="both"/>
        <w:textAlignment w:val="baseline"/>
        <w:rPr>
          <w:color w:val="000000"/>
          <w:szCs w:val="20"/>
        </w:rPr>
      </w:pPr>
    </w:p>
    <w:p w14:paraId="469352B1" w14:textId="757BCE57" w:rsidR="00585C52" w:rsidRPr="00585C52" w:rsidRDefault="008137BE" w:rsidP="00585C52">
      <w:pPr>
        <w:spacing w:line="276" w:lineRule="auto"/>
        <w:jc w:val="both"/>
        <w:textAlignment w:val="baseline"/>
        <w:rPr>
          <w:color w:val="000000" w:themeColor="text1"/>
        </w:rPr>
      </w:pPr>
      <w:r w:rsidRPr="7CE51867">
        <w:rPr>
          <w:color w:val="000000" w:themeColor="text1"/>
        </w:rPr>
        <w:t xml:space="preserve">According </w:t>
      </w:r>
      <w:r>
        <w:rPr>
          <w:color w:val="000000" w:themeColor="text1"/>
        </w:rPr>
        <w:t xml:space="preserve">to </w:t>
      </w:r>
      <w:r w:rsidR="00A97BDA">
        <w:rPr>
          <w:color w:val="000000" w:themeColor="text1"/>
        </w:rPr>
        <w:t xml:space="preserve">FRA’s second </w:t>
      </w:r>
      <w:r w:rsidR="00A97BDA" w:rsidRPr="00A97BDA">
        <w:rPr>
          <w:color w:val="000000" w:themeColor="text1"/>
        </w:rPr>
        <w:t>European Union Minorities and Discrimination Survey (EU-MIDIS II)</w:t>
      </w:r>
      <w:r w:rsidR="00823C1E" w:rsidRPr="7CE51867">
        <w:rPr>
          <w:color w:val="000000" w:themeColor="text1"/>
        </w:rPr>
        <w:t>, overall 3 % of respondents mentioned such experiences in the 12 months before the survey (</w:t>
      </w:r>
      <w:hyperlink r:id="rId15">
        <w:r w:rsidR="00823C1E" w:rsidRPr="7CE51867">
          <w:rPr>
            <w:color w:val="0563C1"/>
            <w:u w:val="single"/>
          </w:rPr>
          <w:t>EU MIDIS II main results</w:t>
        </w:r>
      </w:hyperlink>
      <w:r w:rsidR="00823C1E" w:rsidRPr="7CE51867">
        <w:rPr>
          <w:color w:val="000000" w:themeColor="text1"/>
        </w:rPr>
        <w:t>, p.</w:t>
      </w:r>
      <w:r w:rsidR="57420DBD" w:rsidRPr="7CE51867">
        <w:rPr>
          <w:color w:val="000000" w:themeColor="text1"/>
        </w:rPr>
        <w:t xml:space="preserve"> </w:t>
      </w:r>
      <w:r w:rsidR="4383153F" w:rsidRPr="283A7419">
        <w:rPr>
          <w:color w:val="000000" w:themeColor="text1"/>
        </w:rPr>
        <w:t>34</w:t>
      </w:r>
      <w:r w:rsidR="5F1D10AF" w:rsidRPr="283A7419">
        <w:rPr>
          <w:color w:val="000000" w:themeColor="text1"/>
        </w:rPr>
        <w:t>-35</w:t>
      </w:r>
      <w:r w:rsidR="4383153F" w:rsidRPr="283A7419">
        <w:rPr>
          <w:color w:val="000000" w:themeColor="text1"/>
        </w:rPr>
        <w:t>)</w:t>
      </w:r>
      <w:r w:rsidR="5F1D10AF" w:rsidRPr="283A7419">
        <w:rPr>
          <w:color w:val="000000" w:themeColor="text1"/>
        </w:rPr>
        <w:t xml:space="preserve">. The results on discrimination in access to health in the 12 months preceding the </w:t>
      </w:r>
      <w:r w:rsidR="00A634D2">
        <w:rPr>
          <w:color w:val="000000" w:themeColor="text1"/>
        </w:rPr>
        <w:t>EU-MIDIS</w:t>
      </w:r>
      <w:r w:rsidR="00F25409">
        <w:rPr>
          <w:color w:val="000000" w:themeColor="text1"/>
        </w:rPr>
        <w:t> </w:t>
      </w:r>
      <w:r w:rsidR="00A634D2">
        <w:rPr>
          <w:color w:val="000000" w:themeColor="text1"/>
        </w:rPr>
        <w:t xml:space="preserve">II </w:t>
      </w:r>
      <w:r w:rsidR="5F1D10AF" w:rsidRPr="283A7419">
        <w:rPr>
          <w:color w:val="000000" w:themeColor="text1"/>
        </w:rPr>
        <w:t xml:space="preserve">survey show that, on average, </w:t>
      </w:r>
      <w:r w:rsidR="00182118">
        <w:rPr>
          <w:color w:val="000000" w:themeColor="text1"/>
        </w:rPr>
        <w:t>discrimination</w:t>
      </w:r>
      <w:r w:rsidR="5F1D10AF" w:rsidRPr="283A7419">
        <w:rPr>
          <w:color w:val="000000" w:themeColor="text1"/>
        </w:rPr>
        <w:t xml:space="preserve"> is mostly experienced by Roma respondents (8 %); the highest rates in this area are observed for Roma in Greece (20 %), Romania (12 %), Slovakia (11 %) and Croatia (10 %). Apart from 10 % of the respondents with Turkish background in the Netherlands and 9 % of the respondents with South Asian background in Greece, no other groups indicated having experiences with discrimination when accessing healthcare services in the 12 months before the surve</w:t>
      </w:r>
      <w:r w:rsidR="6AC6A6FF" w:rsidRPr="283A7419">
        <w:rPr>
          <w:color w:val="000000" w:themeColor="text1"/>
        </w:rPr>
        <w:t>y. Some 59 %</w:t>
      </w:r>
      <w:r w:rsidR="0EA0BC20" w:rsidRPr="283A7419">
        <w:rPr>
          <w:color w:val="000000" w:themeColor="text1"/>
        </w:rPr>
        <w:t xml:space="preserve"> of those respondents who experienced discrimination in access to health care s</w:t>
      </w:r>
      <w:r w:rsidR="76B10712" w:rsidRPr="283A7419">
        <w:rPr>
          <w:color w:val="000000" w:themeColor="text1"/>
        </w:rPr>
        <w:t>e</w:t>
      </w:r>
      <w:r w:rsidR="0EA0BC20" w:rsidRPr="283A7419">
        <w:rPr>
          <w:color w:val="000000" w:themeColor="text1"/>
        </w:rPr>
        <w:t>rv</w:t>
      </w:r>
      <w:r w:rsidR="60B0F3C1" w:rsidRPr="283A7419">
        <w:rPr>
          <w:color w:val="000000" w:themeColor="text1"/>
        </w:rPr>
        <w:t>ices</w:t>
      </w:r>
      <w:r w:rsidR="76B10712" w:rsidRPr="283A7419">
        <w:rPr>
          <w:color w:val="000000" w:themeColor="text1"/>
        </w:rPr>
        <w:t xml:space="preserve"> </w:t>
      </w:r>
      <w:r w:rsidR="3A27A40B" w:rsidRPr="283A7419">
        <w:rPr>
          <w:color w:val="000000" w:themeColor="text1"/>
        </w:rPr>
        <w:t>say that their s</w:t>
      </w:r>
      <w:r w:rsidR="5F1D10AF" w:rsidRPr="283A7419">
        <w:rPr>
          <w:color w:val="000000" w:themeColor="text1"/>
        </w:rPr>
        <w:t xml:space="preserve">kin colour or physical appearance </w:t>
      </w:r>
      <w:r w:rsidR="3A27A40B" w:rsidRPr="283A7419">
        <w:rPr>
          <w:color w:val="000000" w:themeColor="text1"/>
        </w:rPr>
        <w:t>was</w:t>
      </w:r>
      <w:r w:rsidR="5F1D10AF" w:rsidRPr="283A7419">
        <w:rPr>
          <w:color w:val="000000" w:themeColor="text1"/>
        </w:rPr>
        <w:t xml:space="preserve"> </w:t>
      </w:r>
      <w:r w:rsidR="3A27A40B" w:rsidRPr="283A7419">
        <w:rPr>
          <w:color w:val="000000" w:themeColor="text1"/>
        </w:rPr>
        <w:t>t</w:t>
      </w:r>
      <w:r w:rsidR="00263737" w:rsidRPr="283A7419">
        <w:rPr>
          <w:color w:val="000000" w:themeColor="text1"/>
        </w:rPr>
        <w:t>he main</w:t>
      </w:r>
      <w:r w:rsidR="5F1D10AF" w:rsidRPr="283A7419">
        <w:rPr>
          <w:color w:val="000000" w:themeColor="text1"/>
        </w:rPr>
        <w:t xml:space="preserve"> reason for </w:t>
      </w:r>
      <w:r w:rsidR="00263737" w:rsidRPr="283A7419">
        <w:rPr>
          <w:color w:val="000000" w:themeColor="text1"/>
        </w:rPr>
        <w:t>such experiences</w:t>
      </w:r>
      <w:r w:rsidR="5F1D10AF" w:rsidRPr="283A7419">
        <w:rPr>
          <w:color w:val="000000" w:themeColor="text1"/>
        </w:rPr>
        <w:t>.</w:t>
      </w:r>
    </w:p>
    <w:p w14:paraId="78B45C0B" w14:textId="46468B94" w:rsidR="7C29811B" w:rsidRDefault="7C29811B" w:rsidP="283A7419">
      <w:pPr>
        <w:spacing w:line="276" w:lineRule="auto"/>
        <w:jc w:val="both"/>
        <w:rPr>
          <w:color w:val="000000" w:themeColor="text1"/>
        </w:rPr>
      </w:pPr>
    </w:p>
    <w:p w14:paraId="35DED2FA" w14:textId="59589511" w:rsidR="7C29811B" w:rsidRDefault="283A7419" w:rsidP="283A7419">
      <w:pPr>
        <w:spacing w:line="276" w:lineRule="auto"/>
        <w:jc w:val="both"/>
      </w:pPr>
      <w:r>
        <w:rPr>
          <w:noProof/>
        </w:rPr>
        <w:drawing>
          <wp:inline distT="0" distB="0" distL="0" distR="0" wp14:anchorId="4F6D2B1E" wp14:editId="7D6FA518">
            <wp:extent cx="4572000" cy="390525"/>
            <wp:effectExtent l="0" t="0" r="0" b="0"/>
            <wp:docPr id="102219042" name="Picture 102219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390525"/>
                    </a:xfrm>
                    <a:prstGeom prst="rect">
                      <a:avLst/>
                    </a:prstGeom>
                  </pic:spPr>
                </pic:pic>
              </a:graphicData>
            </a:graphic>
          </wp:inline>
        </w:drawing>
      </w:r>
    </w:p>
    <w:p w14:paraId="5BA1863C" w14:textId="3F8A73D8" w:rsidR="7C29811B" w:rsidRDefault="15AA5888" w:rsidP="15AA5888">
      <w:pPr>
        <w:jc w:val="both"/>
      </w:pPr>
      <w:r>
        <w:rPr>
          <w:noProof/>
        </w:rPr>
        <w:drawing>
          <wp:inline distT="0" distB="0" distL="0" distR="0" wp14:anchorId="0FCDEF1E" wp14:editId="2A9BDAFB">
            <wp:extent cx="5000625" cy="2364879"/>
            <wp:effectExtent l="0" t="0" r="0" b="0"/>
            <wp:docPr id="1923384055" name="Picture 192338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000625" cy="2364879"/>
                    </a:xfrm>
                    <a:prstGeom prst="rect">
                      <a:avLst/>
                    </a:prstGeom>
                  </pic:spPr>
                </pic:pic>
              </a:graphicData>
            </a:graphic>
          </wp:inline>
        </w:drawing>
      </w:r>
    </w:p>
    <w:p w14:paraId="41F5915A" w14:textId="3C4B4AC2" w:rsidR="7C29811B" w:rsidRDefault="7C29811B" w:rsidP="15AA5888">
      <w:pPr>
        <w:jc w:val="both"/>
        <w:rPr>
          <w:rFonts w:eastAsia="Verdana" w:cs="Verdana"/>
          <w:sz w:val="22"/>
          <w:lang w:val="tr"/>
        </w:rPr>
      </w:pPr>
    </w:p>
    <w:p w14:paraId="24A8852B" w14:textId="19967676" w:rsidR="7C29811B" w:rsidRDefault="6D0F0776" w:rsidP="5076F891">
      <w:pPr>
        <w:jc w:val="both"/>
        <w:rPr>
          <w:rFonts w:eastAsia="Verdana" w:cs="Verdana"/>
          <w:i/>
          <w:sz w:val="18"/>
          <w:szCs w:val="18"/>
          <w:lang w:val="tr"/>
        </w:rPr>
      </w:pPr>
      <w:r w:rsidRPr="7CD25FB1">
        <w:rPr>
          <w:rFonts w:eastAsia="Verdana" w:cs="Verdana"/>
          <w:i/>
          <w:sz w:val="18"/>
          <w:szCs w:val="18"/>
          <w:lang w:val="tr"/>
        </w:rPr>
        <w:t>Notes: Out of all respondents, who felt discriminated against because of their ethnic or immigrant background, in the different domains of daily life, (‘healthcare’: n=1,003); weighted results.</w:t>
      </w:r>
    </w:p>
    <w:p w14:paraId="08A0A735" w14:textId="1FD2D2C8" w:rsidR="7C29811B" w:rsidRDefault="5076F891" w:rsidP="283A7419">
      <w:pPr>
        <w:spacing w:line="276" w:lineRule="auto"/>
        <w:jc w:val="both"/>
        <w:rPr>
          <w:rFonts w:eastAsia="Verdana" w:cs="Verdana"/>
          <w:i/>
          <w:sz w:val="18"/>
          <w:szCs w:val="18"/>
        </w:rPr>
      </w:pPr>
      <w:r w:rsidRPr="75427727">
        <w:rPr>
          <w:rFonts w:eastAsia="Verdana" w:cs="Verdana"/>
          <w:i/>
          <w:sz w:val="18"/>
          <w:szCs w:val="18"/>
        </w:rPr>
        <w:t>Source: FRA, EU-MIDIS II 2016</w:t>
      </w:r>
    </w:p>
    <w:p w14:paraId="14B4D68F" w14:textId="1CD82007" w:rsidR="00585C52" w:rsidRDefault="00585C52" w:rsidP="00823C1E">
      <w:pPr>
        <w:spacing w:line="276" w:lineRule="auto"/>
        <w:jc w:val="both"/>
        <w:textAlignment w:val="baseline"/>
        <w:rPr>
          <w:color w:val="000000" w:themeColor="text1"/>
        </w:rPr>
      </w:pPr>
    </w:p>
    <w:p w14:paraId="48DEF0AC" w14:textId="11841F63" w:rsidR="00823C1E" w:rsidRPr="00823C1E" w:rsidRDefault="00823C1E" w:rsidP="00823C1E">
      <w:pPr>
        <w:spacing w:line="276" w:lineRule="auto"/>
        <w:jc w:val="both"/>
        <w:textAlignment w:val="baseline"/>
        <w:rPr>
          <w:color w:val="000000" w:themeColor="text1"/>
        </w:rPr>
      </w:pPr>
      <w:r w:rsidRPr="7CE51867">
        <w:rPr>
          <w:color w:val="000000" w:themeColor="text1"/>
        </w:rPr>
        <w:t>Some 3 % was also the share of respondents with Sub-Saharan background (</w:t>
      </w:r>
      <w:hyperlink r:id="rId18">
        <w:r w:rsidRPr="7CE51867">
          <w:rPr>
            <w:color w:val="0563C1"/>
            <w:u w:val="single"/>
          </w:rPr>
          <w:t>EU MIDIS II: Being Black in the EU</w:t>
        </w:r>
      </w:hyperlink>
      <w:r w:rsidRPr="7CE51867">
        <w:rPr>
          <w:color w:val="000000" w:themeColor="text1"/>
        </w:rPr>
        <w:t>, p.</w:t>
      </w:r>
      <w:r w:rsidR="57420DBD" w:rsidRPr="7CE51867">
        <w:rPr>
          <w:color w:val="000000" w:themeColor="text1"/>
        </w:rPr>
        <w:t xml:space="preserve"> </w:t>
      </w:r>
      <w:r w:rsidRPr="7CE51867">
        <w:rPr>
          <w:color w:val="000000" w:themeColor="text1"/>
        </w:rPr>
        <w:t>42), as well as of Muslims (</w:t>
      </w:r>
      <w:hyperlink r:id="rId19">
        <w:r w:rsidRPr="7CE51867">
          <w:rPr>
            <w:color w:val="0563C1"/>
            <w:u w:val="single"/>
          </w:rPr>
          <w:t>EU MIDIS II: Muslims – selected findings</w:t>
        </w:r>
      </w:hyperlink>
      <w:r w:rsidRPr="7CE51867">
        <w:rPr>
          <w:color w:val="000000" w:themeColor="text1"/>
        </w:rPr>
        <w:t>, p.</w:t>
      </w:r>
      <w:r w:rsidR="57420DBD" w:rsidRPr="7CE51867">
        <w:rPr>
          <w:color w:val="000000" w:themeColor="text1"/>
        </w:rPr>
        <w:t xml:space="preserve"> </w:t>
      </w:r>
      <w:r w:rsidRPr="7CE51867">
        <w:rPr>
          <w:color w:val="000000" w:themeColor="text1"/>
        </w:rPr>
        <w:t>31). Some 2 % of Jew</w:t>
      </w:r>
      <w:r w:rsidR="00D23772">
        <w:rPr>
          <w:color w:val="000000" w:themeColor="text1"/>
        </w:rPr>
        <w:t>ish</w:t>
      </w:r>
      <w:r w:rsidRPr="7CE51867">
        <w:rPr>
          <w:color w:val="000000" w:themeColor="text1"/>
        </w:rPr>
        <w:t xml:space="preserve"> respondents felt discriminated against in the same area, as reported under the </w:t>
      </w:r>
      <w:hyperlink r:id="rId20">
        <w:r w:rsidRPr="7CE51867">
          <w:rPr>
            <w:color w:val="0563C1"/>
            <w:u w:val="single"/>
          </w:rPr>
          <w:t>Second survey on discrimination and hate crime against Jews in the EU (2018)</w:t>
        </w:r>
      </w:hyperlink>
      <w:r w:rsidRPr="7CE51867">
        <w:rPr>
          <w:color w:val="000000" w:themeColor="text1"/>
        </w:rPr>
        <w:t>, (p.</w:t>
      </w:r>
      <w:r w:rsidR="57420DBD" w:rsidRPr="7CE51867">
        <w:rPr>
          <w:color w:val="000000" w:themeColor="text1"/>
        </w:rPr>
        <w:t xml:space="preserve"> </w:t>
      </w:r>
      <w:r w:rsidRPr="7CE51867">
        <w:rPr>
          <w:color w:val="000000" w:themeColor="text1"/>
        </w:rPr>
        <w:t>61). </w:t>
      </w:r>
    </w:p>
    <w:p w14:paraId="2BC3D917" w14:textId="77777777" w:rsidR="00823C1E" w:rsidRPr="00823C1E" w:rsidRDefault="00823C1E" w:rsidP="00823C1E">
      <w:pPr>
        <w:spacing w:line="276" w:lineRule="auto"/>
        <w:jc w:val="both"/>
        <w:textAlignment w:val="baseline"/>
        <w:rPr>
          <w:szCs w:val="20"/>
        </w:rPr>
      </w:pPr>
      <w:r w:rsidRPr="00823C1E">
        <w:rPr>
          <w:color w:val="000000"/>
          <w:szCs w:val="20"/>
        </w:rPr>
        <w:t> </w:t>
      </w:r>
    </w:p>
    <w:p w14:paraId="136C22B2" w14:textId="034B0FDE" w:rsidR="00823C1E" w:rsidRDefault="00823C1E" w:rsidP="00823C1E">
      <w:pPr>
        <w:spacing w:line="276" w:lineRule="auto"/>
        <w:jc w:val="both"/>
        <w:textAlignment w:val="baseline"/>
        <w:rPr>
          <w:color w:val="000000"/>
          <w:szCs w:val="20"/>
        </w:rPr>
      </w:pPr>
      <w:r w:rsidRPr="00823C1E">
        <w:rPr>
          <w:color w:val="000000"/>
          <w:szCs w:val="20"/>
        </w:rPr>
        <w:t xml:space="preserve">The rate is higher (9%) for respondents in the 2019 </w:t>
      </w:r>
      <w:hyperlink r:id="rId21" w:tgtFrame="_blank" w:history="1">
        <w:r w:rsidRPr="00823C1E">
          <w:rPr>
            <w:color w:val="0563C1"/>
            <w:szCs w:val="20"/>
            <w:u w:val="single"/>
          </w:rPr>
          <w:t>Roma and Travellers survey</w:t>
        </w:r>
      </w:hyperlink>
      <w:r w:rsidRPr="00823C1E">
        <w:rPr>
          <w:color w:val="000000"/>
          <w:szCs w:val="20"/>
        </w:rPr>
        <w:t xml:space="preserve">, as shown in Table </w:t>
      </w:r>
      <w:r w:rsidR="00323CE0">
        <w:rPr>
          <w:color w:val="000000"/>
          <w:szCs w:val="20"/>
        </w:rPr>
        <w:t>1</w:t>
      </w:r>
      <w:r w:rsidRPr="00823C1E">
        <w:rPr>
          <w:color w:val="000000"/>
          <w:szCs w:val="20"/>
        </w:rPr>
        <w:t>, with 17 % of Roma and Travellers respondents having felt discriminated against the last five years before the survey when trying to access health care services. </w:t>
      </w:r>
    </w:p>
    <w:p w14:paraId="7015CA18" w14:textId="77777777" w:rsidR="00371A9E" w:rsidRPr="00823C1E" w:rsidRDefault="00371A9E" w:rsidP="00823C1E">
      <w:pPr>
        <w:spacing w:line="276" w:lineRule="auto"/>
        <w:jc w:val="both"/>
        <w:textAlignment w:val="baseline"/>
        <w:rPr>
          <w:szCs w:val="20"/>
        </w:rPr>
      </w:pPr>
    </w:p>
    <w:p w14:paraId="276535A2" w14:textId="252239C2" w:rsidR="00823C1E" w:rsidRPr="00AB4CD4" w:rsidRDefault="00731C1B" w:rsidP="0031173E">
      <w:pPr>
        <w:spacing w:line="276" w:lineRule="auto"/>
        <w:jc w:val="both"/>
        <w:textAlignment w:val="baseline"/>
        <w:rPr>
          <w:i/>
          <w:color w:val="000000"/>
          <w:szCs w:val="20"/>
        </w:rPr>
      </w:pPr>
      <w:r w:rsidRPr="00AB4CD4">
        <w:rPr>
          <w:b/>
          <w:i/>
          <w:color w:val="000000"/>
          <w:szCs w:val="20"/>
        </w:rPr>
        <w:t>Table 1:</w:t>
      </w:r>
      <w:r w:rsidRPr="00AB4CD4">
        <w:rPr>
          <w:i/>
          <w:color w:val="000000"/>
          <w:szCs w:val="20"/>
        </w:rPr>
        <w:t xml:space="preserve"> </w:t>
      </w:r>
      <w:r w:rsidR="00823C1E" w:rsidRPr="00AB4CD4">
        <w:rPr>
          <w:i/>
          <w:color w:val="000000"/>
          <w:szCs w:val="20"/>
        </w:rPr>
        <w:t>Discrimination experiences in access to healthcare services based on ethnic or immigrant background (including skin colour, ethnic origin or immigrant background, and religion or religious belief) in the 12 months before the survey, different FRA surveys (%) </w:t>
      </w:r>
    </w:p>
    <w:p w14:paraId="551A9645" w14:textId="77777777" w:rsidR="00823C1E" w:rsidRPr="00823C1E" w:rsidRDefault="00823C1E" w:rsidP="00823C1E">
      <w:pPr>
        <w:spacing w:line="276" w:lineRule="auto"/>
        <w:textAlignment w:val="baseline"/>
        <w:rPr>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550"/>
        <w:gridCol w:w="1980"/>
        <w:gridCol w:w="2070"/>
      </w:tblGrid>
      <w:tr w:rsidR="00823C1E" w:rsidRPr="00823C1E" w14:paraId="484C96B6" w14:textId="77777777" w:rsidTr="00CD1C1A">
        <w:trPr>
          <w:trHeight w:val="540"/>
        </w:trPr>
        <w:tc>
          <w:tcPr>
            <w:tcW w:w="2385"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70C759E5" w14:textId="77777777" w:rsidR="00823C1E" w:rsidRPr="00823C1E" w:rsidRDefault="00823C1E" w:rsidP="00823C1E">
            <w:pPr>
              <w:spacing w:line="276" w:lineRule="auto"/>
              <w:textAlignment w:val="baseline"/>
              <w:rPr>
                <w:szCs w:val="20"/>
              </w:rPr>
            </w:pPr>
            <w:r w:rsidRPr="00823C1E">
              <w:rPr>
                <w:b/>
                <w:bCs/>
                <w:szCs w:val="20"/>
                <w:lang w:val="de-DE"/>
              </w:rPr>
              <w:t>Survey</w:t>
            </w:r>
            <w:r w:rsidRPr="00823C1E">
              <w:rPr>
                <w:szCs w:val="20"/>
              </w:rPr>
              <w:t> </w:t>
            </w:r>
          </w:p>
        </w:tc>
        <w:tc>
          <w:tcPr>
            <w:tcW w:w="255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2AD0A26D" w14:textId="77777777" w:rsidR="00823C1E" w:rsidRPr="00823C1E" w:rsidRDefault="00823C1E" w:rsidP="00823C1E">
            <w:pPr>
              <w:spacing w:line="276" w:lineRule="auto"/>
              <w:textAlignment w:val="baseline"/>
              <w:rPr>
                <w:szCs w:val="20"/>
              </w:rPr>
            </w:pPr>
            <w:r w:rsidRPr="00823C1E">
              <w:rPr>
                <w:b/>
                <w:bCs/>
                <w:szCs w:val="20"/>
                <w:lang w:val="de-DE"/>
              </w:rPr>
              <w:t>Group</w:t>
            </w:r>
            <w:r w:rsidRPr="00823C1E">
              <w:rPr>
                <w:szCs w:val="20"/>
              </w:rPr>
              <w:t> </w:t>
            </w:r>
          </w:p>
        </w:tc>
        <w:tc>
          <w:tcPr>
            <w:tcW w:w="4050" w:type="dxa"/>
            <w:gridSpan w:val="2"/>
            <w:tcBorders>
              <w:top w:val="single" w:sz="6" w:space="0" w:color="auto"/>
              <w:left w:val="single" w:sz="6" w:space="0" w:color="auto"/>
              <w:bottom w:val="single" w:sz="6" w:space="0" w:color="auto"/>
              <w:right w:val="single" w:sz="6" w:space="0" w:color="auto"/>
            </w:tcBorders>
            <w:shd w:val="clear" w:color="auto" w:fill="DEEAF6"/>
            <w:vAlign w:val="center"/>
            <w:hideMark/>
          </w:tcPr>
          <w:p w14:paraId="20F3E95F" w14:textId="77777777" w:rsidR="00823C1E" w:rsidRPr="00823C1E" w:rsidRDefault="00823C1E" w:rsidP="00823C1E">
            <w:pPr>
              <w:spacing w:line="276" w:lineRule="auto"/>
              <w:jc w:val="center"/>
              <w:textAlignment w:val="baseline"/>
              <w:rPr>
                <w:szCs w:val="20"/>
              </w:rPr>
            </w:pPr>
            <w:r w:rsidRPr="00D23772">
              <w:rPr>
                <w:b/>
                <w:szCs w:val="20"/>
              </w:rPr>
              <w:t>In access to healthcare services</w:t>
            </w:r>
            <w:r w:rsidRPr="00823C1E">
              <w:rPr>
                <w:szCs w:val="20"/>
              </w:rPr>
              <w:t> </w:t>
            </w:r>
          </w:p>
        </w:tc>
      </w:tr>
      <w:tr w:rsidR="00823C1E" w:rsidRPr="00823C1E" w14:paraId="0BD1B214" w14:textId="77777777" w:rsidTr="00CD1C1A">
        <w:trPr>
          <w:trHeight w:val="540"/>
        </w:trPr>
        <w:tc>
          <w:tcPr>
            <w:tcW w:w="2385"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3D3E9C9C" w14:textId="77777777" w:rsidR="00823C1E" w:rsidRPr="00823C1E" w:rsidRDefault="00823C1E" w:rsidP="00823C1E">
            <w:pPr>
              <w:spacing w:line="276" w:lineRule="auto"/>
              <w:textAlignment w:val="baseline"/>
              <w:rPr>
                <w:szCs w:val="20"/>
              </w:rPr>
            </w:pPr>
            <w:r w:rsidRPr="00823C1E">
              <w:rPr>
                <w:szCs w:val="20"/>
              </w:rPr>
              <w:t> </w:t>
            </w:r>
          </w:p>
        </w:tc>
        <w:tc>
          <w:tcPr>
            <w:tcW w:w="255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260AD401" w14:textId="77777777" w:rsidR="00823C1E" w:rsidRPr="00823C1E" w:rsidRDefault="00823C1E" w:rsidP="00823C1E">
            <w:pPr>
              <w:spacing w:line="276" w:lineRule="auto"/>
              <w:textAlignment w:val="baseline"/>
              <w:rPr>
                <w:szCs w:val="20"/>
              </w:rPr>
            </w:pPr>
            <w:r w:rsidRPr="00823C1E">
              <w:rPr>
                <w:szCs w:val="20"/>
              </w:rPr>
              <w:t> </w:t>
            </w:r>
          </w:p>
        </w:tc>
        <w:tc>
          <w:tcPr>
            <w:tcW w:w="198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08740135" w14:textId="77777777" w:rsidR="00823C1E" w:rsidRPr="00823C1E" w:rsidRDefault="00823C1E" w:rsidP="00823C1E">
            <w:pPr>
              <w:spacing w:line="276" w:lineRule="auto"/>
              <w:jc w:val="center"/>
              <w:textAlignment w:val="baseline"/>
              <w:rPr>
                <w:szCs w:val="20"/>
              </w:rPr>
            </w:pPr>
            <w:r w:rsidRPr="00D23772">
              <w:rPr>
                <w:b/>
                <w:szCs w:val="20"/>
              </w:rPr>
              <w:t>In the past five years</w:t>
            </w:r>
            <w:r w:rsidRPr="00823C1E">
              <w:rPr>
                <w:szCs w:val="20"/>
              </w:rPr>
              <w:t> </w:t>
            </w:r>
          </w:p>
        </w:tc>
        <w:tc>
          <w:tcPr>
            <w:tcW w:w="207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655F15BC" w14:textId="77777777" w:rsidR="00823C1E" w:rsidRPr="00823C1E" w:rsidRDefault="00823C1E" w:rsidP="00823C1E">
            <w:pPr>
              <w:spacing w:line="276" w:lineRule="auto"/>
              <w:jc w:val="center"/>
              <w:textAlignment w:val="baseline"/>
              <w:rPr>
                <w:szCs w:val="20"/>
              </w:rPr>
            </w:pPr>
            <w:r w:rsidRPr="00823C1E">
              <w:rPr>
                <w:b/>
                <w:bCs/>
                <w:szCs w:val="20"/>
                <w:lang w:val="de-DE"/>
              </w:rPr>
              <w:t>In the past 12 months</w:t>
            </w:r>
            <w:r w:rsidRPr="00823C1E">
              <w:rPr>
                <w:szCs w:val="20"/>
              </w:rPr>
              <w:t> </w:t>
            </w:r>
          </w:p>
        </w:tc>
      </w:tr>
      <w:tr w:rsidR="00823C1E" w:rsidRPr="00823C1E" w14:paraId="0C4D8CC0" w14:textId="77777777" w:rsidTr="00CD1C1A">
        <w:trPr>
          <w:trHeight w:val="540"/>
        </w:trPr>
        <w:tc>
          <w:tcPr>
            <w:tcW w:w="2385" w:type="dxa"/>
            <w:vMerge w:val="restart"/>
            <w:tcBorders>
              <w:top w:val="single" w:sz="6" w:space="0" w:color="auto"/>
              <w:left w:val="single" w:sz="6" w:space="0" w:color="auto"/>
              <w:bottom w:val="single" w:sz="6" w:space="0" w:color="auto"/>
              <w:right w:val="single" w:sz="6" w:space="0" w:color="auto"/>
            </w:tcBorders>
            <w:shd w:val="clear" w:color="auto" w:fill="DEEAF6"/>
            <w:vAlign w:val="center"/>
            <w:hideMark/>
          </w:tcPr>
          <w:p w14:paraId="06A96882" w14:textId="77777777" w:rsidR="00823C1E" w:rsidRPr="00823C1E" w:rsidRDefault="00823C1E" w:rsidP="00823C1E">
            <w:pPr>
              <w:spacing w:line="276" w:lineRule="auto"/>
              <w:textAlignment w:val="baseline"/>
              <w:rPr>
                <w:szCs w:val="20"/>
              </w:rPr>
            </w:pPr>
            <w:r w:rsidRPr="00823C1E">
              <w:rPr>
                <w:b/>
                <w:bCs/>
                <w:szCs w:val="20"/>
                <w:lang w:val="de-DE"/>
              </w:rPr>
              <w:t>EU MIDIS II (2016)</w:t>
            </w:r>
            <w:r w:rsidRPr="00823C1E">
              <w:rPr>
                <w:szCs w:val="20"/>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1B0265" w14:textId="77777777" w:rsidR="00823C1E" w:rsidRPr="00823C1E" w:rsidRDefault="00823C1E" w:rsidP="00823C1E">
            <w:pPr>
              <w:spacing w:line="276" w:lineRule="auto"/>
              <w:textAlignment w:val="baseline"/>
              <w:rPr>
                <w:szCs w:val="20"/>
              </w:rPr>
            </w:pPr>
            <w:r w:rsidRPr="00D23772">
              <w:rPr>
                <w:szCs w:val="20"/>
              </w:rPr>
              <w:t>Main results (all groups, EU-28)</w:t>
            </w:r>
            <w:r w:rsidRPr="00D23772">
              <w:rPr>
                <w:szCs w:val="20"/>
                <w:vertAlign w:val="superscript"/>
              </w:rPr>
              <w:t>a</w:t>
            </w:r>
            <w:r w:rsidRPr="00823C1E">
              <w:rPr>
                <w:szCs w:val="20"/>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794E4" w14:textId="77777777" w:rsidR="00823C1E" w:rsidRPr="00823C1E" w:rsidRDefault="00823C1E" w:rsidP="00823C1E">
            <w:pPr>
              <w:spacing w:line="276" w:lineRule="auto"/>
              <w:jc w:val="center"/>
              <w:textAlignment w:val="baseline"/>
              <w:rPr>
                <w:szCs w:val="20"/>
              </w:rPr>
            </w:pPr>
            <w:r w:rsidRPr="00823C1E">
              <w:rPr>
                <w:szCs w:val="20"/>
                <w:lang w:val="de-DE"/>
              </w:rPr>
              <w:t>n.a.</w:t>
            </w:r>
            <w:r w:rsidRPr="00823C1E">
              <w:rPr>
                <w:szCs w:val="20"/>
                <w:vertAlign w:val="superscript"/>
                <w:lang w:val="de-DE"/>
              </w:rPr>
              <w:t>e</w:t>
            </w:r>
            <w:r w:rsidRPr="00823C1E">
              <w:rPr>
                <w:szCs w:val="20"/>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57AB26" w14:textId="77777777" w:rsidR="00823C1E" w:rsidRPr="00823C1E" w:rsidRDefault="00823C1E" w:rsidP="00823C1E">
            <w:pPr>
              <w:spacing w:line="276" w:lineRule="auto"/>
              <w:jc w:val="center"/>
              <w:textAlignment w:val="baseline"/>
              <w:rPr>
                <w:szCs w:val="20"/>
              </w:rPr>
            </w:pPr>
            <w:r w:rsidRPr="00823C1E">
              <w:rPr>
                <w:szCs w:val="20"/>
                <w:lang w:val="de-DE"/>
              </w:rPr>
              <w:t>3</w:t>
            </w:r>
            <w:r w:rsidRPr="00823C1E">
              <w:rPr>
                <w:szCs w:val="20"/>
              </w:rPr>
              <w:t> </w:t>
            </w:r>
          </w:p>
        </w:tc>
      </w:tr>
      <w:tr w:rsidR="00823C1E" w:rsidRPr="00823C1E" w14:paraId="5457E279" w14:textId="77777777" w:rsidTr="00CD1C1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61D6138" w14:textId="77777777" w:rsidR="00823C1E" w:rsidRPr="00823C1E" w:rsidRDefault="00823C1E" w:rsidP="00823C1E">
            <w:pPr>
              <w:spacing w:line="276" w:lineRule="auto"/>
              <w:rPr>
                <w:szCs w:val="20"/>
              </w:rPr>
            </w:pP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274F0E" w14:textId="77777777" w:rsidR="00823C1E" w:rsidRPr="00823C1E" w:rsidRDefault="00823C1E" w:rsidP="00823C1E">
            <w:pPr>
              <w:spacing w:line="276" w:lineRule="auto"/>
              <w:textAlignment w:val="baseline"/>
              <w:rPr>
                <w:szCs w:val="20"/>
              </w:rPr>
            </w:pPr>
            <w:r w:rsidRPr="00823C1E">
              <w:rPr>
                <w:szCs w:val="20"/>
                <w:lang w:val="de-DE"/>
              </w:rPr>
              <w:t>Muslims (in 15 countries)</w:t>
            </w:r>
            <w:r w:rsidRPr="00823C1E">
              <w:rPr>
                <w:szCs w:val="20"/>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1077EA" w14:textId="77777777" w:rsidR="00823C1E" w:rsidRPr="00823C1E" w:rsidRDefault="00823C1E" w:rsidP="00823C1E">
            <w:pPr>
              <w:spacing w:line="276" w:lineRule="auto"/>
              <w:jc w:val="center"/>
              <w:textAlignment w:val="baseline"/>
              <w:rPr>
                <w:szCs w:val="20"/>
              </w:rPr>
            </w:pPr>
            <w:r w:rsidRPr="00823C1E">
              <w:rPr>
                <w:szCs w:val="20"/>
                <w:lang w:val="de-DE"/>
              </w:rPr>
              <w:t>n.a.</w:t>
            </w:r>
            <w:r w:rsidRPr="00823C1E">
              <w:rPr>
                <w:szCs w:val="20"/>
                <w:vertAlign w:val="superscript"/>
                <w:lang w:val="de-DE"/>
              </w:rPr>
              <w:t>e</w:t>
            </w:r>
            <w:r w:rsidRPr="00823C1E">
              <w:rPr>
                <w:szCs w:val="20"/>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D5562E" w14:textId="77777777" w:rsidR="00823C1E" w:rsidRPr="00823C1E" w:rsidRDefault="00823C1E" w:rsidP="00823C1E">
            <w:pPr>
              <w:spacing w:line="276" w:lineRule="auto"/>
              <w:jc w:val="center"/>
              <w:textAlignment w:val="baseline"/>
              <w:rPr>
                <w:szCs w:val="20"/>
              </w:rPr>
            </w:pPr>
            <w:r w:rsidRPr="00823C1E">
              <w:rPr>
                <w:szCs w:val="20"/>
                <w:lang w:val="de-DE"/>
              </w:rPr>
              <w:t>3</w:t>
            </w:r>
            <w:r w:rsidRPr="00823C1E">
              <w:rPr>
                <w:szCs w:val="20"/>
              </w:rPr>
              <w:t> </w:t>
            </w:r>
          </w:p>
        </w:tc>
      </w:tr>
      <w:tr w:rsidR="00823C1E" w:rsidRPr="00823C1E" w14:paraId="1A1B5C1A" w14:textId="77777777" w:rsidTr="00CD1C1A">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982BE6" w14:textId="77777777" w:rsidR="00823C1E" w:rsidRPr="00823C1E" w:rsidRDefault="00823C1E" w:rsidP="00823C1E">
            <w:pPr>
              <w:spacing w:line="276" w:lineRule="auto"/>
              <w:rPr>
                <w:szCs w:val="20"/>
              </w:rPr>
            </w:pP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D8FEA1" w14:textId="77777777" w:rsidR="00823C1E" w:rsidRPr="00823C1E" w:rsidRDefault="00823C1E" w:rsidP="00823C1E">
            <w:pPr>
              <w:spacing w:line="276" w:lineRule="auto"/>
              <w:textAlignment w:val="baseline"/>
              <w:rPr>
                <w:szCs w:val="20"/>
              </w:rPr>
            </w:pPr>
            <w:r w:rsidRPr="00823C1E">
              <w:rPr>
                <w:szCs w:val="20"/>
                <w:lang w:val="de-DE"/>
              </w:rPr>
              <w:t>Roma (in 12 countries)</w:t>
            </w:r>
            <w:r w:rsidRPr="00823C1E">
              <w:rPr>
                <w:szCs w:val="20"/>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AD4BCC" w14:textId="77777777" w:rsidR="00823C1E" w:rsidRPr="00823C1E" w:rsidRDefault="00823C1E" w:rsidP="00823C1E">
            <w:pPr>
              <w:spacing w:line="276" w:lineRule="auto"/>
              <w:jc w:val="center"/>
              <w:textAlignment w:val="baseline"/>
              <w:rPr>
                <w:szCs w:val="20"/>
              </w:rPr>
            </w:pPr>
            <w:r w:rsidRPr="00823C1E">
              <w:rPr>
                <w:szCs w:val="20"/>
                <w:lang w:val="de-DE"/>
              </w:rPr>
              <w:t>n.a.</w:t>
            </w:r>
            <w:r w:rsidRPr="00823C1E">
              <w:rPr>
                <w:szCs w:val="20"/>
                <w:vertAlign w:val="superscript"/>
                <w:lang w:val="de-DE"/>
              </w:rPr>
              <w:t>e</w:t>
            </w:r>
            <w:r w:rsidRPr="00823C1E">
              <w:rPr>
                <w:szCs w:val="20"/>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17466" w14:textId="77777777" w:rsidR="00823C1E" w:rsidRPr="00823C1E" w:rsidRDefault="00823C1E" w:rsidP="00823C1E">
            <w:pPr>
              <w:spacing w:line="276" w:lineRule="auto"/>
              <w:jc w:val="center"/>
              <w:textAlignment w:val="baseline"/>
              <w:rPr>
                <w:szCs w:val="20"/>
              </w:rPr>
            </w:pPr>
            <w:r w:rsidRPr="00823C1E">
              <w:rPr>
                <w:szCs w:val="20"/>
                <w:lang w:val="de-DE"/>
              </w:rPr>
              <w:t>8</w:t>
            </w:r>
            <w:r w:rsidRPr="00823C1E">
              <w:rPr>
                <w:szCs w:val="20"/>
              </w:rPr>
              <w:t> </w:t>
            </w:r>
          </w:p>
        </w:tc>
      </w:tr>
      <w:tr w:rsidR="00823C1E" w:rsidRPr="00823C1E" w14:paraId="67E1D72E" w14:textId="77777777" w:rsidTr="00CD1C1A">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A92358" w14:textId="77777777" w:rsidR="00823C1E" w:rsidRPr="00823C1E" w:rsidRDefault="00823C1E" w:rsidP="00823C1E">
            <w:pPr>
              <w:spacing w:line="276" w:lineRule="auto"/>
              <w:rPr>
                <w:szCs w:val="20"/>
              </w:rPr>
            </w:pP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BDAEE6" w14:textId="77777777" w:rsidR="00823C1E" w:rsidRPr="00823C1E" w:rsidRDefault="00823C1E" w:rsidP="00823C1E">
            <w:pPr>
              <w:spacing w:line="276" w:lineRule="auto"/>
              <w:textAlignment w:val="baseline"/>
              <w:rPr>
                <w:szCs w:val="20"/>
              </w:rPr>
            </w:pPr>
            <w:r w:rsidRPr="00D23772">
              <w:rPr>
                <w:szCs w:val="20"/>
              </w:rPr>
              <w:t>Sub-Saharan Africa (in 12 countries)</w:t>
            </w:r>
            <w:r w:rsidRPr="00823C1E">
              <w:rPr>
                <w:szCs w:val="20"/>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B95C8" w14:textId="77777777" w:rsidR="00823C1E" w:rsidRPr="00823C1E" w:rsidRDefault="00823C1E" w:rsidP="00823C1E">
            <w:pPr>
              <w:spacing w:line="276" w:lineRule="auto"/>
              <w:jc w:val="center"/>
              <w:textAlignment w:val="baseline"/>
              <w:rPr>
                <w:szCs w:val="20"/>
              </w:rPr>
            </w:pPr>
            <w:r w:rsidRPr="00823C1E">
              <w:rPr>
                <w:szCs w:val="20"/>
                <w:lang w:val="de-DE"/>
              </w:rPr>
              <w:t>n.a.</w:t>
            </w:r>
            <w:r w:rsidRPr="00823C1E">
              <w:rPr>
                <w:szCs w:val="20"/>
                <w:vertAlign w:val="superscript"/>
                <w:lang w:val="de-DE"/>
              </w:rPr>
              <w:t>e</w:t>
            </w:r>
            <w:r w:rsidRPr="00823C1E">
              <w:rPr>
                <w:szCs w:val="20"/>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DDE687" w14:textId="77777777" w:rsidR="00823C1E" w:rsidRPr="00823C1E" w:rsidRDefault="00823C1E" w:rsidP="00823C1E">
            <w:pPr>
              <w:spacing w:line="276" w:lineRule="auto"/>
              <w:jc w:val="center"/>
              <w:textAlignment w:val="baseline"/>
              <w:rPr>
                <w:szCs w:val="20"/>
              </w:rPr>
            </w:pPr>
            <w:r w:rsidRPr="00823C1E">
              <w:rPr>
                <w:szCs w:val="20"/>
                <w:lang w:val="de-DE"/>
              </w:rPr>
              <w:t>3</w:t>
            </w:r>
            <w:r w:rsidRPr="00823C1E">
              <w:rPr>
                <w:szCs w:val="20"/>
              </w:rPr>
              <w:t> </w:t>
            </w:r>
          </w:p>
        </w:tc>
      </w:tr>
      <w:tr w:rsidR="00823C1E" w:rsidRPr="00823C1E" w14:paraId="41ECFC4C" w14:textId="77777777" w:rsidTr="00CD1C1A">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08EF94" w14:textId="77777777" w:rsidR="00823C1E" w:rsidRPr="00823C1E" w:rsidRDefault="00823C1E" w:rsidP="00823C1E">
            <w:pPr>
              <w:spacing w:line="276" w:lineRule="auto"/>
              <w:rPr>
                <w:szCs w:val="20"/>
              </w:rPr>
            </w:pP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DBE1E0" w14:textId="77777777" w:rsidR="00823C1E" w:rsidRPr="00823C1E" w:rsidRDefault="00823C1E" w:rsidP="00823C1E">
            <w:pPr>
              <w:spacing w:line="276" w:lineRule="auto"/>
              <w:textAlignment w:val="baseline"/>
              <w:rPr>
                <w:szCs w:val="20"/>
              </w:rPr>
            </w:pPr>
            <w:r w:rsidRPr="00823C1E">
              <w:rPr>
                <w:szCs w:val="20"/>
                <w:lang w:val="de-DE"/>
              </w:rPr>
              <w:t>North Africa (in 5 countries) </w:t>
            </w:r>
            <w:r w:rsidRPr="00823C1E">
              <w:rPr>
                <w:szCs w:val="20"/>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75116F" w14:textId="77777777" w:rsidR="00823C1E" w:rsidRPr="00823C1E" w:rsidRDefault="00823C1E" w:rsidP="00823C1E">
            <w:pPr>
              <w:spacing w:line="276" w:lineRule="auto"/>
              <w:jc w:val="center"/>
              <w:textAlignment w:val="baseline"/>
              <w:rPr>
                <w:szCs w:val="20"/>
              </w:rPr>
            </w:pPr>
            <w:r w:rsidRPr="00823C1E">
              <w:rPr>
                <w:szCs w:val="20"/>
                <w:lang w:val="de-DE"/>
              </w:rPr>
              <w:t>n.a.</w:t>
            </w:r>
            <w:r w:rsidRPr="00823C1E">
              <w:rPr>
                <w:szCs w:val="20"/>
                <w:vertAlign w:val="superscript"/>
                <w:lang w:val="de-DE"/>
              </w:rPr>
              <w:t>e</w:t>
            </w:r>
            <w:r w:rsidRPr="00823C1E">
              <w:rPr>
                <w:szCs w:val="20"/>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2ABEF8" w14:textId="77777777" w:rsidR="00823C1E" w:rsidRPr="00823C1E" w:rsidRDefault="00823C1E" w:rsidP="00823C1E">
            <w:pPr>
              <w:spacing w:line="276" w:lineRule="auto"/>
              <w:jc w:val="center"/>
              <w:textAlignment w:val="baseline"/>
              <w:rPr>
                <w:szCs w:val="20"/>
              </w:rPr>
            </w:pPr>
            <w:r w:rsidRPr="00823C1E">
              <w:rPr>
                <w:szCs w:val="20"/>
                <w:lang w:val="de-DE"/>
              </w:rPr>
              <w:t>3</w:t>
            </w:r>
            <w:r w:rsidRPr="00823C1E">
              <w:rPr>
                <w:szCs w:val="20"/>
              </w:rPr>
              <w:t> </w:t>
            </w:r>
          </w:p>
        </w:tc>
      </w:tr>
      <w:tr w:rsidR="00823C1E" w:rsidRPr="00823C1E" w14:paraId="6FD81A4B" w14:textId="77777777" w:rsidTr="00CD1C1A">
        <w:tc>
          <w:tcPr>
            <w:tcW w:w="2385"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3B97BF09" w14:textId="77777777" w:rsidR="00823C1E" w:rsidRPr="00823C1E" w:rsidRDefault="00823C1E" w:rsidP="00823C1E">
            <w:pPr>
              <w:spacing w:line="276" w:lineRule="auto"/>
              <w:textAlignment w:val="baseline"/>
              <w:rPr>
                <w:szCs w:val="20"/>
              </w:rPr>
            </w:pPr>
            <w:r w:rsidRPr="00D23772">
              <w:rPr>
                <w:b/>
                <w:szCs w:val="20"/>
              </w:rPr>
              <w:t>Second survey on discrimination and hate crime against Jews in the EU (2018)</w:t>
            </w:r>
            <w:r w:rsidRPr="00D23772">
              <w:rPr>
                <w:b/>
                <w:szCs w:val="20"/>
                <w:vertAlign w:val="superscript"/>
              </w:rPr>
              <w:t>b</w:t>
            </w:r>
            <w:r w:rsidRPr="00823C1E">
              <w:rPr>
                <w:szCs w:val="20"/>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88846D" w14:textId="77777777" w:rsidR="00823C1E" w:rsidRPr="00823C1E" w:rsidRDefault="00823C1E" w:rsidP="00823C1E">
            <w:pPr>
              <w:spacing w:line="276" w:lineRule="auto"/>
              <w:textAlignment w:val="baseline"/>
              <w:rPr>
                <w:szCs w:val="20"/>
              </w:rPr>
            </w:pPr>
            <w:r w:rsidRPr="00823C1E">
              <w:rPr>
                <w:szCs w:val="20"/>
                <w:lang w:val="de-DE"/>
              </w:rPr>
              <w:t>Jews (in 12 countries)</w:t>
            </w:r>
            <w:r w:rsidRPr="00823C1E">
              <w:rPr>
                <w:szCs w:val="20"/>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D205D" w14:textId="77777777" w:rsidR="00823C1E" w:rsidRPr="00823C1E" w:rsidRDefault="00823C1E" w:rsidP="00823C1E">
            <w:pPr>
              <w:spacing w:line="276" w:lineRule="auto"/>
              <w:jc w:val="center"/>
              <w:textAlignment w:val="baseline"/>
              <w:rPr>
                <w:szCs w:val="20"/>
              </w:rPr>
            </w:pPr>
            <w:r w:rsidRPr="00823C1E">
              <w:rPr>
                <w:szCs w:val="20"/>
                <w:lang w:val="de-DE"/>
              </w:rPr>
              <w:t>n.a.</w:t>
            </w:r>
            <w:r w:rsidRPr="00823C1E">
              <w:rPr>
                <w:szCs w:val="20"/>
                <w:vertAlign w:val="superscript"/>
                <w:lang w:val="de-DE"/>
              </w:rPr>
              <w:t>c</w:t>
            </w:r>
            <w:r w:rsidRPr="00823C1E">
              <w:rPr>
                <w:szCs w:val="20"/>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F76AA" w14:textId="77777777" w:rsidR="00823C1E" w:rsidRPr="00823C1E" w:rsidRDefault="00823C1E" w:rsidP="00823C1E">
            <w:pPr>
              <w:spacing w:line="276" w:lineRule="auto"/>
              <w:jc w:val="center"/>
              <w:textAlignment w:val="baseline"/>
              <w:rPr>
                <w:szCs w:val="20"/>
              </w:rPr>
            </w:pPr>
            <w:r w:rsidRPr="00823C1E">
              <w:rPr>
                <w:szCs w:val="20"/>
                <w:lang w:val="de-DE"/>
              </w:rPr>
              <w:t>2</w:t>
            </w:r>
            <w:r w:rsidRPr="00823C1E">
              <w:rPr>
                <w:szCs w:val="20"/>
              </w:rPr>
              <w:t> </w:t>
            </w:r>
          </w:p>
        </w:tc>
      </w:tr>
      <w:tr w:rsidR="00823C1E" w:rsidRPr="00823C1E" w14:paraId="71277763" w14:textId="77777777" w:rsidTr="00CD1C1A">
        <w:tc>
          <w:tcPr>
            <w:tcW w:w="2385"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50759479" w14:textId="77777777" w:rsidR="00823C1E" w:rsidRPr="00823C1E" w:rsidRDefault="00823C1E" w:rsidP="00823C1E">
            <w:pPr>
              <w:spacing w:line="276" w:lineRule="auto"/>
              <w:textAlignment w:val="baseline"/>
              <w:rPr>
                <w:szCs w:val="20"/>
              </w:rPr>
            </w:pPr>
            <w:r w:rsidRPr="00D23772">
              <w:rPr>
                <w:b/>
                <w:szCs w:val="20"/>
              </w:rPr>
              <w:t>Roma and Travellers survey (2019)</w:t>
            </w:r>
            <w:r w:rsidRPr="00D23772">
              <w:rPr>
                <w:b/>
                <w:szCs w:val="20"/>
                <w:vertAlign w:val="superscript"/>
              </w:rPr>
              <w:t>d</w:t>
            </w:r>
            <w:r w:rsidRPr="00823C1E">
              <w:rPr>
                <w:szCs w:val="20"/>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CDCF15" w14:textId="77777777" w:rsidR="00823C1E" w:rsidRPr="00823C1E" w:rsidRDefault="00823C1E" w:rsidP="00823C1E">
            <w:pPr>
              <w:spacing w:line="276" w:lineRule="auto"/>
              <w:textAlignment w:val="baseline"/>
              <w:rPr>
                <w:szCs w:val="20"/>
              </w:rPr>
            </w:pPr>
            <w:r w:rsidRPr="00D23772">
              <w:rPr>
                <w:szCs w:val="20"/>
              </w:rPr>
              <w:t>Roma and Travellers </w:t>
            </w:r>
            <w:r w:rsidRPr="00823C1E">
              <w:rPr>
                <w:szCs w:val="20"/>
              </w:rPr>
              <w:t> </w:t>
            </w:r>
          </w:p>
          <w:p w14:paraId="778E2C65" w14:textId="77777777" w:rsidR="00823C1E" w:rsidRPr="00823C1E" w:rsidRDefault="00823C1E" w:rsidP="00823C1E">
            <w:pPr>
              <w:spacing w:line="276" w:lineRule="auto"/>
              <w:textAlignment w:val="baseline"/>
              <w:rPr>
                <w:szCs w:val="20"/>
              </w:rPr>
            </w:pPr>
            <w:r w:rsidRPr="00D23772">
              <w:rPr>
                <w:szCs w:val="20"/>
              </w:rPr>
              <w:t>(in 6 countries) </w:t>
            </w:r>
            <w:r w:rsidRPr="00823C1E">
              <w:rPr>
                <w:szCs w:val="20"/>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A21BE" w14:textId="77777777" w:rsidR="00823C1E" w:rsidRPr="00823C1E" w:rsidRDefault="00823C1E" w:rsidP="00823C1E">
            <w:pPr>
              <w:spacing w:line="276" w:lineRule="auto"/>
              <w:jc w:val="center"/>
              <w:textAlignment w:val="baseline"/>
              <w:rPr>
                <w:szCs w:val="20"/>
              </w:rPr>
            </w:pPr>
            <w:r w:rsidRPr="00823C1E">
              <w:rPr>
                <w:szCs w:val="20"/>
                <w:lang w:val="de-DE"/>
              </w:rPr>
              <w:t>17</w:t>
            </w:r>
            <w:r w:rsidRPr="00823C1E">
              <w:rPr>
                <w:szCs w:val="20"/>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D4406" w14:textId="77777777" w:rsidR="00823C1E" w:rsidRPr="00823C1E" w:rsidRDefault="00823C1E" w:rsidP="00823C1E">
            <w:pPr>
              <w:spacing w:line="276" w:lineRule="auto"/>
              <w:jc w:val="center"/>
              <w:textAlignment w:val="baseline"/>
              <w:rPr>
                <w:szCs w:val="20"/>
              </w:rPr>
            </w:pPr>
            <w:r w:rsidRPr="00823C1E">
              <w:rPr>
                <w:szCs w:val="20"/>
                <w:lang w:val="de-DE"/>
              </w:rPr>
              <w:t>9</w:t>
            </w:r>
            <w:r w:rsidRPr="00823C1E">
              <w:rPr>
                <w:szCs w:val="20"/>
              </w:rPr>
              <w:t> </w:t>
            </w:r>
          </w:p>
        </w:tc>
      </w:tr>
    </w:tbl>
    <w:p w14:paraId="79223A3B" w14:textId="77777777" w:rsidR="00823C1E" w:rsidRDefault="00823C1E" w:rsidP="00823C1E">
      <w:pPr>
        <w:spacing w:line="276" w:lineRule="auto"/>
        <w:ind w:left="705" w:hanging="705"/>
        <w:jc w:val="both"/>
        <w:textAlignment w:val="baseline"/>
        <w:rPr>
          <w:i/>
          <w:iCs/>
          <w:color w:val="000000"/>
          <w:sz w:val="18"/>
          <w:szCs w:val="18"/>
        </w:rPr>
      </w:pPr>
    </w:p>
    <w:p w14:paraId="121C0FAC" w14:textId="113353CB" w:rsidR="00823C1E" w:rsidRPr="00823C1E" w:rsidRDefault="00823C1E" w:rsidP="00823C1E">
      <w:pPr>
        <w:spacing w:line="276" w:lineRule="auto"/>
        <w:ind w:left="705" w:hanging="705"/>
        <w:jc w:val="both"/>
        <w:textAlignment w:val="baseline"/>
        <w:rPr>
          <w:sz w:val="18"/>
          <w:szCs w:val="18"/>
        </w:rPr>
      </w:pPr>
      <w:r w:rsidRPr="00823C1E">
        <w:rPr>
          <w:i/>
          <w:iCs/>
          <w:color w:val="000000"/>
          <w:sz w:val="18"/>
          <w:szCs w:val="18"/>
        </w:rPr>
        <w:t>Notes</w:t>
      </w:r>
      <w:r w:rsidRPr="00823C1E">
        <w:rPr>
          <w:color w:val="000000"/>
          <w:sz w:val="18"/>
          <w:szCs w:val="18"/>
        </w:rPr>
        <w:t>: a</w:t>
      </w:r>
      <w:r w:rsidRPr="00823C1E">
        <w:rPr>
          <w:color w:val="000000"/>
          <w:sz w:val="18"/>
          <w:szCs w:val="18"/>
          <w:vertAlign w:val="superscript"/>
        </w:rPr>
        <w:t xml:space="preserve"> </w:t>
      </w:r>
      <w:proofErr w:type="gramStart"/>
      <w:r w:rsidRPr="00823C1E">
        <w:rPr>
          <w:i/>
          <w:iCs/>
          <w:color w:val="000000"/>
          <w:sz w:val="18"/>
          <w:szCs w:val="18"/>
        </w:rPr>
        <w:t>The</w:t>
      </w:r>
      <w:proofErr w:type="gramEnd"/>
      <w:r w:rsidRPr="00823C1E">
        <w:rPr>
          <w:i/>
          <w:iCs/>
          <w:color w:val="000000"/>
          <w:sz w:val="18"/>
          <w:szCs w:val="18"/>
        </w:rPr>
        <w:t xml:space="preserve"> rates for EU-MIDIS II -Main results are based on data for all groups surveyed: Roma/ Russian minority/ immigrants and descendants of immigrants from Sub-Saharan Africa/ Turkey/ North Africa/ Asia and South Asia/ recent immigrants.</w:t>
      </w:r>
      <w:r w:rsidRPr="00823C1E">
        <w:rPr>
          <w:color w:val="000000"/>
          <w:sz w:val="18"/>
          <w:szCs w:val="18"/>
        </w:rPr>
        <w:t> </w:t>
      </w:r>
    </w:p>
    <w:p w14:paraId="5991F2F4" w14:textId="77777777" w:rsidR="00823C1E" w:rsidRPr="00823C1E" w:rsidRDefault="00823C1E" w:rsidP="00823C1E">
      <w:pPr>
        <w:spacing w:line="276" w:lineRule="auto"/>
        <w:ind w:left="705"/>
        <w:jc w:val="both"/>
        <w:textAlignment w:val="baseline"/>
        <w:rPr>
          <w:sz w:val="18"/>
          <w:szCs w:val="18"/>
        </w:rPr>
      </w:pPr>
      <w:proofErr w:type="gramStart"/>
      <w:r w:rsidRPr="00823C1E">
        <w:rPr>
          <w:i/>
          <w:iCs/>
          <w:color w:val="000000"/>
          <w:sz w:val="18"/>
          <w:szCs w:val="18"/>
          <w:vertAlign w:val="superscript"/>
        </w:rPr>
        <w:t>b</w:t>
      </w:r>
      <w:proofErr w:type="gramEnd"/>
      <w:r w:rsidRPr="00823C1E">
        <w:rPr>
          <w:i/>
          <w:iCs/>
          <w:color w:val="000000"/>
          <w:sz w:val="18"/>
          <w:szCs w:val="18"/>
        </w:rPr>
        <w:t xml:space="preserve"> The rates on discrimination experiences for the second survey on discrimination and hate crime against Jews in the EU are based on the ground ‘because of being Jewish’. </w:t>
      </w:r>
      <w:r w:rsidRPr="00823C1E">
        <w:rPr>
          <w:color w:val="000000"/>
          <w:sz w:val="18"/>
          <w:szCs w:val="18"/>
        </w:rPr>
        <w:t> </w:t>
      </w:r>
    </w:p>
    <w:p w14:paraId="4F2260B1" w14:textId="3BC3FD50" w:rsidR="00823C1E" w:rsidRPr="00823C1E" w:rsidRDefault="00A23EF8" w:rsidP="00823C1E">
      <w:pPr>
        <w:spacing w:line="276" w:lineRule="auto"/>
        <w:jc w:val="both"/>
        <w:textAlignment w:val="baseline"/>
        <w:rPr>
          <w:sz w:val="18"/>
          <w:szCs w:val="18"/>
        </w:rPr>
      </w:pPr>
      <w:r>
        <w:rPr>
          <w:i/>
          <w:iCs/>
          <w:color w:val="000000"/>
          <w:sz w:val="18"/>
          <w:szCs w:val="18"/>
          <w:vertAlign w:val="superscript"/>
        </w:rPr>
        <w:tab/>
      </w:r>
      <w:proofErr w:type="spellStart"/>
      <w:r w:rsidR="00823C1E" w:rsidRPr="00823C1E">
        <w:rPr>
          <w:i/>
          <w:iCs/>
          <w:color w:val="000000"/>
          <w:sz w:val="18"/>
          <w:szCs w:val="18"/>
          <w:vertAlign w:val="superscript"/>
        </w:rPr>
        <w:t>c</w:t>
      </w:r>
      <w:r w:rsidR="00823C1E" w:rsidRPr="00823C1E">
        <w:rPr>
          <w:i/>
          <w:iCs/>
          <w:color w:val="000000"/>
          <w:sz w:val="18"/>
          <w:szCs w:val="18"/>
        </w:rPr>
        <w:t>n.a</w:t>
      </w:r>
      <w:proofErr w:type="spellEnd"/>
      <w:r w:rsidR="00823C1E" w:rsidRPr="00823C1E">
        <w:rPr>
          <w:i/>
          <w:iCs/>
          <w:color w:val="000000"/>
          <w:sz w:val="18"/>
          <w:szCs w:val="18"/>
        </w:rPr>
        <w:t>. = not available for this period.</w:t>
      </w:r>
      <w:r w:rsidR="00823C1E" w:rsidRPr="00823C1E">
        <w:rPr>
          <w:color w:val="000000"/>
          <w:sz w:val="18"/>
          <w:szCs w:val="18"/>
        </w:rPr>
        <w:t> </w:t>
      </w:r>
    </w:p>
    <w:p w14:paraId="74E44F46" w14:textId="77777777" w:rsidR="00823C1E" w:rsidRPr="00823C1E" w:rsidRDefault="00823C1E" w:rsidP="00823C1E">
      <w:pPr>
        <w:spacing w:line="276" w:lineRule="auto"/>
        <w:ind w:left="705"/>
        <w:jc w:val="both"/>
        <w:textAlignment w:val="baseline"/>
        <w:rPr>
          <w:rFonts w:eastAsia="Verdana" w:cs="Verdana"/>
          <w:sz w:val="18"/>
          <w:szCs w:val="18"/>
        </w:rPr>
      </w:pPr>
      <w:r w:rsidRPr="48299792">
        <w:rPr>
          <w:i/>
          <w:color w:val="000000" w:themeColor="text1"/>
          <w:sz w:val="18"/>
          <w:szCs w:val="18"/>
          <w:vertAlign w:val="superscript"/>
        </w:rPr>
        <w:t>d</w:t>
      </w:r>
      <w:proofErr w:type="gramStart"/>
      <w:r w:rsidRPr="48299792">
        <w:rPr>
          <w:i/>
          <w:color w:val="000000" w:themeColor="text1"/>
          <w:sz w:val="18"/>
          <w:szCs w:val="18"/>
          <w:vertAlign w:val="superscript"/>
        </w:rPr>
        <w:t> </w:t>
      </w:r>
      <w:r w:rsidRPr="48299792">
        <w:rPr>
          <w:i/>
          <w:color w:val="000000" w:themeColor="text1"/>
          <w:sz w:val="18"/>
          <w:szCs w:val="18"/>
        </w:rPr>
        <w:t xml:space="preserve"> The</w:t>
      </w:r>
      <w:proofErr w:type="gramEnd"/>
      <w:r w:rsidRPr="48299792">
        <w:rPr>
          <w:i/>
          <w:color w:val="000000" w:themeColor="text1"/>
          <w:sz w:val="18"/>
          <w:szCs w:val="18"/>
        </w:rPr>
        <w:t xml:space="preserve"> rates on discrimination experiences for the Roma and Travellers survey are based on the ground ‘because of being Roma/Traveller’.</w:t>
      </w:r>
      <w:r w:rsidRPr="48299792">
        <w:rPr>
          <w:color w:val="000000" w:themeColor="text1"/>
          <w:sz w:val="18"/>
          <w:szCs w:val="18"/>
        </w:rPr>
        <w:t> </w:t>
      </w:r>
    </w:p>
    <w:p w14:paraId="491C8E42" w14:textId="482EC990" w:rsidR="003B3A2A" w:rsidRDefault="60555A16" w:rsidP="60555A16">
      <w:pPr>
        <w:spacing w:after="160" w:line="240" w:lineRule="auto"/>
        <w:jc w:val="both"/>
        <w:rPr>
          <w:rFonts w:eastAsia="Verdana" w:cs="Verdana"/>
          <w:color w:val="000000" w:themeColor="text1"/>
          <w:sz w:val="18"/>
          <w:szCs w:val="18"/>
          <w:lang w:val="en-IE"/>
        </w:rPr>
      </w:pPr>
      <w:r w:rsidRPr="3662B909">
        <w:rPr>
          <w:rFonts w:eastAsia="Verdana" w:cs="Verdana"/>
          <w:i/>
          <w:sz w:val="18"/>
          <w:szCs w:val="18"/>
          <w:lang w:val="en-IE"/>
        </w:rPr>
        <w:t xml:space="preserve">Source: </w:t>
      </w:r>
      <w:r w:rsidRPr="3662B909">
        <w:rPr>
          <w:rFonts w:eastAsia="Verdana" w:cs="Verdana"/>
          <w:i/>
          <w:color w:val="000000" w:themeColor="text1"/>
          <w:sz w:val="18"/>
          <w:szCs w:val="18"/>
        </w:rPr>
        <w:t>FRA, EU-MIDIS II 2016, Second Antisemitism Survey 2018, Roma and Travellers Survey 2019.</w:t>
      </w:r>
    </w:p>
    <w:p w14:paraId="7DA9F873" w14:textId="734E7832" w:rsidR="008E4BBD" w:rsidRDefault="008E4BBD" w:rsidP="00823C1E">
      <w:pPr>
        <w:spacing w:line="276" w:lineRule="auto"/>
        <w:jc w:val="both"/>
        <w:rPr>
          <w:rFonts w:eastAsia="Verdana" w:cs="Verdana"/>
          <w:lang w:val="en-IE"/>
        </w:rPr>
      </w:pPr>
    </w:p>
    <w:bookmarkStart w:id="5" w:name="_Toc108775764"/>
    <w:p w14:paraId="621F786C" w14:textId="46D7DA62" w:rsidR="00191018" w:rsidRPr="00191018" w:rsidRDefault="00484254" w:rsidP="00823C68">
      <w:pPr>
        <w:pStyle w:val="Heading1"/>
        <w:spacing w:before="0" w:after="0"/>
        <w:rPr>
          <w:b w:val="0"/>
        </w:rPr>
      </w:pPr>
      <w:r>
        <w:fldChar w:fldCharType="begin"/>
      </w:r>
      <w:r>
        <w:instrText>HYPERLINK "https://fra.europa.eu/en/project/2018/roma-and-travellers-survey-2018-2019" \h</w:instrText>
      </w:r>
      <w:r>
        <w:fldChar w:fldCharType="separate"/>
      </w:r>
      <w:bookmarkStart w:id="6" w:name="_Toc108794857"/>
      <w:r w:rsidR="00191018" w:rsidRPr="063A292B">
        <w:rPr>
          <w:sz w:val="20"/>
          <w:szCs w:val="20"/>
        </w:rPr>
        <w:t>Roma and Travellers in the six countries</w:t>
      </w:r>
      <w:r>
        <w:rPr>
          <w:sz w:val="20"/>
          <w:szCs w:val="20"/>
        </w:rPr>
        <w:fldChar w:fldCharType="end"/>
      </w:r>
      <w:bookmarkEnd w:id="5"/>
      <w:r w:rsidR="0006720C">
        <w:rPr>
          <w:sz w:val="20"/>
          <w:szCs w:val="20"/>
        </w:rPr>
        <w:t xml:space="preserve"> (</w:t>
      </w:r>
      <w:r w:rsidR="0006720C" w:rsidRPr="063A292B">
        <w:rPr>
          <w:sz w:val="20"/>
          <w:szCs w:val="20"/>
        </w:rPr>
        <w:t>FRA</w:t>
      </w:r>
      <w:r w:rsidR="0006720C">
        <w:rPr>
          <w:sz w:val="20"/>
          <w:szCs w:val="20"/>
        </w:rPr>
        <w:t xml:space="preserve">, </w:t>
      </w:r>
      <w:r w:rsidR="0006720C" w:rsidRPr="063A292B">
        <w:rPr>
          <w:sz w:val="20"/>
          <w:szCs w:val="20"/>
        </w:rPr>
        <w:t>2020</w:t>
      </w:r>
      <w:r w:rsidR="0006720C">
        <w:rPr>
          <w:sz w:val="20"/>
          <w:szCs w:val="20"/>
        </w:rPr>
        <w:t>)</w:t>
      </w:r>
      <w:bookmarkEnd w:id="6"/>
    </w:p>
    <w:p w14:paraId="71905AD9" w14:textId="77777777" w:rsidR="00E25F5E" w:rsidRDefault="00E25F5E" w:rsidP="00823C1E">
      <w:pPr>
        <w:spacing w:line="276" w:lineRule="auto"/>
        <w:jc w:val="both"/>
        <w:rPr>
          <w:rStyle w:val="Hyperlink"/>
          <w:b/>
        </w:rPr>
      </w:pPr>
    </w:p>
    <w:p w14:paraId="1F54C3A3" w14:textId="1704B07E" w:rsidR="00E25F5E" w:rsidRDefault="00E25F5E" w:rsidP="00823C1E">
      <w:pPr>
        <w:spacing w:line="276" w:lineRule="auto"/>
        <w:jc w:val="both"/>
      </w:pPr>
      <w:r w:rsidRPr="001A1A5D">
        <w:t>The</w:t>
      </w:r>
      <w:r w:rsidRPr="001A1A5D">
        <w:rPr>
          <w:b/>
          <w:bCs/>
        </w:rPr>
        <w:t xml:space="preserve"> </w:t>
      </w:r>
      <w:hyperlink r:id="rId22" w:history="1">
        <w:r w:rsidR="001A1A5D" w:rsidRPr="001A1A5D">
          <w:rPr>
            <w:rStyle w:val="Hyperlink"/>
          </w:rPr>
          <w:t>Roma and Travellers in the six countries</w:t>
        </w:r>
      </w:hyperlink>
      <w:r w:rsidR="001A1A5D" w:rsidRPr="001A1A5D">
        <w:rPr>
          <w:rStyle w:val="Hyperlink"/>
        </w:rPr>
        <w:t xml:space="preserve"> </w:t>
      </w:r>
      <w:r w:rsidRPr="001A1A5D">
        <w:t>collected information</w:t>
      </w:r>
      <w:r w:rsidRPr="001329B7">
        <w:t xml:space="preserve"> from 4,659 respondents aged 16 years or older who self-identify as Roma or Travellers in Belgium, France, Ireland, the Netherlands, Sweden, and the United Kingdom. In addition, the survey collected information on 8,234 individuals living in the respondents’ households and about the infrastructure of their halting sites or neighbourhoods, and the respondents’ experiences in accessing healthcare. </w:t>
      </w:r>
    </w:p>
    <w:p w14:paraId="19F7B794" w14:textId="77777777" w:rsidR="00191018" w:rsidRPr="005775DC" w:rsidRDefault="00191018" w:rsidP="00823C1E">
      <w:pPr>
        <w:spacing w:line="276" w:lineRule="auto"/>
        <w:jc w:val="both"/>
      </w:pPr>
    </w:p>
    <w:p w14:paraId="5ACD77DD" w14:textId="77777777" w:rsidR="00191018" w:rsidRPr="00191018" w:rsidRDefault="00191018" w:rsidP="00191018">
      <w:pPr>
        <w:spacing w:line="276" w:lineRule="auto"/>
        <w:jc w:val="both"/>
        <w:rPr>
          <w:rStyle w:val="Hyperlink"/>
          <w:b/>
          <w:bCs/>
        </w:rPr>
      </w:pPr>
      <w:r w:rsidRPr="00191018">
        <w:rPr>
          <w:b/>
          <w:bCs/>
          <w:szCs w:val="20"/>
          <w:lang w:val="en-IE"/>
        </w:rPr>
        <w:t xml:space="preserve">Health and healthcare </w:t>
      </w:r>
    </w:p>
    <w:p w14:paraId="1FD0C25F" w14:textId="77777777" w:rsidR="001E0B59" w:rsidRDefault="001E0B59" w:rsidP="00823C1E">
      <w:pPr>
        <w:spacing w:line="276" w:lineRule="auto"/>
        <w:jc w:val="both"/>
        <w:rPr>
          <w:szCs w:val="20"/>
          <w:lang w:val="en-IE"/>
        </w:rPr>
      </w:pPr>
    </w:p>
    <w:p w14:paraId="7D7FD6A4" w14:textId="304680D2" w:rsidR="00153018" w:rsidRPr="002655BA" w:rsidRDefault="00153018" w:rsidP="002655BA">
      <w:pPr>
        <w:pStyle w:val="ListParagraph"/>
        <w:numPr>
          <w:ilvl w:val="0"/>
          <w:numId w:val="24"/>
        </w:numPr>
        <w:autoSpaceDE/>
        <w:autoSpaceDN/>
        <w:adjustRightInd/>
        <w:spacing w:line="240" w:lineRule="auto"/>
        <w:jc w:val="both"/>
        <w:textAlignment w:val="baseline"/>
        <w:rPr>
          <w:color w:val="000000"/>
          <w:szCs w:val="20"/>
        </w:rPr>
      </w:pPr>
      <w:r w:rsidRPr="002655BA">
        <w:rPr>
          <w:color w:val="000000"/>
          <w:szCs w:val="20"/>
        </w:rPr>
        <w:t xml:space="preserve">The Roma and Travellers surveyed in </w:t>
      </w:r>
      <w:r w:rsidR="00F17544" w:rsidRPr="00F17544">
        <w:rPr>
          <w:color w:val="000000"/>
          <w:szCs w:val="20"/>
        </w:rPr>
        <w:t xml:space="preserve">in the six survey countries </w:t>
      </w:r>
      <w:r w:rsidRPr="002655BA">
        <w:rPr>
          <w:color w:val="000000"/>
          <w:szCs w:val="20"/>
        </w:rPr>
        <w:t>have a lower life expectancy than the general population. Life expectancy at birth for Roma women is 9.8 years shorter than among women in the general population; for Roma men the gap is wider, at 10.2 years.  </w:t>
      </w:r>
    </w:p>
    <w:p w14:paraId="07A09421" w14:textId="77777777" w:rsidR="00153018" w:rsidRDefault="00153018" w:rsidP="002655BA">
      <w:pPr>
        <w:pStyle w:val="ListParagraph"/>
        <w:spacing w:line="276" w:lineRule="auto"/>
        <w:jc w:val="both"/>
        <w:textAlignment w:val="baseline"/>
        <w:rPr>
          <w:color w:val="000000"/>
          <w:szCs w:val="20"/>
        </w:rPr>
      </w:pPr>
    </w:p>
    <w:p w14:paraId="1562F678" w14:textId="3C7DE35C" w:rsidR="00F36589" w:rsidRPr="002655BA" w:rsidRDefault="00F36589" w:rsidP="002655BA">
      <w:pPr>
        <w:pStyle w:val="ListParagraph"/>
        <w:spacing w:line="276" w:lineRule="auto"/>
        <w:jc w:val="both"/>
        <w:textAlignment w:val="baseline"/>
        <w:rPr>
          <w:color w:val="000000"/>
          <w:szCs w:val="20"/>
        </w:rPr>
      </w:pPr>
      <w:r w:rsidRPr="00F36589">
        <w:rPr>
          <w:noProof/>
          <w:color w:val="000000"/>
          <w:szCs w:val="20"/>
        </w:rPr>
        <w:drawing>
          <wp:inline distT="0" distB="0" distL="0" distR="0" wp14:anchorId="448825CD" wp14:editId="0C92F3FB">
            <wp:extent cx="5254625" cy="258096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67398" cy="2587239"/>
                    </a:xfrm>
                    <a:prstGeom prst="rect">
                      <a:avLst/>
                    </a:prstGeom>
                  </pic:spPr>
                </pic:pic>
              </a:graphicData>
            </a:graphic>
          </wp:inline>
        </w:drawing>
      </w:r>
    </w:p>
    <w:p w14:paraId="7BB11185" w14:textId="77777777" w:rsidR="002655BA" w:rsidRPr="002655BA" w:rsidRDefault="002655BA" w:rsidP="002655BA">
      <w:pPr>
        <w:pStyle w:val="ListParagraph"/>
        <w:numPr>
          <w:ilvl w:val="0"/>
          <w:numId w:val="24"/>
        </w:numPr>
        <w:autoSpaceDE/>
        <w:autoSpaceDN/>
        <w:adjustRightInd/>
        <w:spacing w:line="240" w:lineRule="auto"/>
        <w:jc w:val="both"/>
        <w:textAlignment w:val="baseline"/>
        <w:rPr>
          <w:color w:val="000000"/>
          <w:szCs w:val="20"/>
        </w:rPr>
      </w:pPr>
      <w:r w:rsidRPr="002655BA">
        <w:rPr>
          <w:color w:val="000000"/>
          <w:szCs w:val="20"/>
        </w:rPr>
        <w:t>In almost all surveyed groups, Roma and Travellers report worse health and more limitations in activities people usually do than the general population. Generally, health status worsens with age; given that Roma and Travellers are on average younger than the general population, the difference is even more notable.  </w:t>
      </w:r>
    </w:p>
    <w:p w14:paraId="4D36B393" w14:textId="77777777" w:rsidR="002655BA" w:rsidRPr="002655BA" w:rsidRDefault="002655BA" w:rsidP="002655BA">
      <w:pPr>
        <w:pStyle w:val="ListParagraph"/>
        <w:autoSpaceDE/>
        <w:autoSpaceDN/>
        <w:adjustRightInd/>
        <w:spacing w:line="240" w:lineRule="auto"/>
        <w:jc w:val="both"/>
        <w:textAlignment w:val="baseline"/>
        <w:rPr>
          <w:color w:val="000000"/>
          <w:szCs w:val="20"/>
        </w:rPr>
      </w:pPr>
    </w:p>
    <w:p w14:paraId="4D7AC3A0" w14:textId="08320800" w:rsidR="002655BA" w:rsidRPr="002655BA" w:rsidRDefault="002655BA" w:rsidP="002655BA">
      <w:pPr>
        <w:pStyle w:val="ListParagraph"/>
        <w:numPr>
          <w:ilvl w:val="0"/>
          <w:numId w:val="24"/>
        </w:numPr>
        <w:autoSpaceDE/>
        <w:autoSpaceDN/>
        <w:adjustRightInd/>
        <w:spacing w:line="240" w:lineRule="auto"/>
        <w:jc w:val="both"/>
        <w:textAlignment w:val="baseline"/>
        <w:rPr>
          <w:color w:val="000000"/>
          <w:szCs w:val="20"/>
        </w:rPr>
      </w:pPr>
      <w:r w:rsidRPr="002655BA">
        <w:rPr>
          <w:color w:val="000000"/>
          <w:szCs w:val="20"/>
        </w:rPr>
        <w:t>Medical insurance coverage is quite high (around or above 85 %) across almost all surveyed groups, except in Belgium for both Roma and Caravan dwellers (72</w:t>
      </w:r>
      <w:r w:rsidR="00216435">
        <w:rPr>
          <w:color w:val="000000"/>
          <w:szCs w:val="20"/>
        </w:rPr>
        <w:t> </w:t>
      </w:r>
      <w:r w:rsidRPr="002655BA">
        <w:rPr>
          <w:color w:val="000000"/>
          <w:szCs w:val="20"/>
        </w:rPr>
        <w:t>% and 78</w:t>
      </w:r>
      <w:r w:rsidR="00216435">
        <w:rPr>
          <w:color w:val="000000"/>
          <w:szCs w:val="20"/>
        </w:rPr>
        <w:t> </w:t>
      </w:r>
      <w:r w:rsidRPr="002655BA">
        <w:rPr>
          <w:color w:val="000000"/>
          <w:szCs w:val="20"/>
        </w:rPr>
        <w:t>%).</w:t>
      </w:r>
    </w:p>
    <w:p w14:paraId="6685F1A3" w14:textId="77777777" w:rsidR="002655BA" w:rsidRPr="002655BA" w:rsidRDefault="002655BA" w:rsidP="002655BA">
      <w:pPr>
        <w:pStyle w:val="ListParagraph"/>
        <w:autoSpaceDE/>
        <w:autoSpaceDN/>
        <w:adjustRightInd/>
        <w:spacing w:line="240" w:lineRule="auto"/>
        <w:jc w:val="both"/>
        <w:textAlignment w:val="baseline"/>
        <w:rPr>
          <w:color w:val="000000"/>
          <w:szCs w:val="20"/>
        </w:rPr>
      </w:pPr>
    </w:p>
    <w:p w14:paraId="66D0F2C3" w14:textId="77777777" w:rsidR="00F26246" w:rsidRDefault="00AD23A6" w:rsidP="004E60CB">
      <w:pPr>
        <w:pStyle w:val="ListParagraph"/>
        <w:numPr>
          <w:ilvl w:val="0"/>
          <w:numId w:val="24"/>
        </w:numPr>
        <w:autoSpaceDE/>
        <w:autoSpaceDN/>
        <w:adjustRightInd/>
        <w:spacing w:line="240" w:lineRule="auto"/>
        <w:jc w:val="both"/>
        <w:textAlignment w:val="baseline"/>
        <w:rPr>
          <w:color w:val="000000"/>
          <w:szCs w:val="20"/>
        </w:rPr>
      </w:pPr>
      <w:r w:rsidRPr="00AD23A6">
        <w:rPr>
          <w:color w:val="000000"/>
          <w:szCs w:val="20"/>
        </w:rPr>
        <w:t xml:space="preserve">Roma and Travellers encountered discrimination when accessing the health services </w:t>
      </w:r>
      <w:r w:rsidR="004E60CB" w:rsidRPr="002655BA">
        <w:rPr>
          <w:color w:val="000000"/>
          <w:szCs w:val="20"/>
        </w:rPr>
        <w:t>in the 12 months before the survey</w:t>
      </w:r>
      <w:r w:rsidR="004E60CB" w:rsidRPr="00AD23A6">
        <w:rPr>
          <w:color w:val="000000"/>
          <w:szCs w:val="20"/>
        </w:rPr>
        <w:t xml:space="preserve"> </w:t>
      </w:r>
      <w:r w:rsidRPr="00AD23A6">
        <w:rPr>
          <w:color w:val="000000"/>
          <w:szCs w:val="20"/>
        </w:rPr>
        <w:t>in all surveyed countries, albeit there are some notable differences between survey groups</w:t>
      </w:r>
      <w:r w:rsidR="004E60CB">
        <w:rPr>
          <w:color w:val="000000"/>
          <w:szCs w:val="20"/>
        </w:rPr>
        <w:t xml:space="preserve">. </w:t>
      </w:r>
      <w:r w:rsidR="00B0723E" w:rsidRPr="00B0723E">
        <w:rPr>
          <w:color w:val="000000"/>
          <w:szCs w:val="20"/>
        </w:rPr>
        <w:t xml:space="preserve">One in 10, or fewer, Travellers and Sinti from the Netherlands and Gypsies and Travellers from the United Kingdom reported that they were discriminated against because of being Roma or Travellers in the previous 12 months or five years. Roma and Travellers in Sweden, Travellers in Ireland and Roma in the Netherlands experience discrimination substantially more often when accessing health services. </w:t>
      </w:r>
    </w:p>
    <w:p w14:paraId="78FE1195" w14:textId="77777777" w:rsidR="00F26246" w:rsidRPr="00F26246" w:rsidRDefault="00F26246" w:rsidP="00F26246">
      <w:pPr>
        <w:pStyle w:val="ListParagraph"/>
        <w:rPr>
          <w:color w:val="000000"/>
          <w:szCs w:val="20"/>
        </w:rPr>
      </w:pPr>
    </w:p>
    <w:p w14:paraId="3FC270E4" w14:textId="08FF54E7" w:rsidR="002655BA" w:rsidRPr="002655BA" w:rsidRDefault="00F26246" w:rsidP="005775DC">
      <w:pPr>
        <w:autoSpaceDE/>
        <w:autoSpaceDN/>
        <w:adjustRightInd/>
        <w:spacing w:line="240" w:lineRule="auto"/>
        <w:jc w:val="center"/>
        <w:textAlignment w:val="baseline"/>
        <w:rPr>
          <w:color w:val="000000"/>
          <w:szCs w:val="20"/>
        </w:rPr>
      </w:pPr>
      <w:r w:rsidRPr="00F26246">
        <w:rPr>
          <w:noProof/>
          <w:color w:val="000000"/>
          <w:szCs w:val="20"/>
        </w:rPr>
        <w:drawing>
          <wp:inline distT="0" distB="0" distL="0" distR="0" wp14:anchorId="4668C7C2" wp14:editId="5C0D3EBD">
            <wp:extent cx="5001895" cy="616771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15465" cy="6184450"/>
                    </a:xfrm>
                    <a:prstGeom prst="rect">
                      <a:avLst/>
                    </a:prstGeom>
                  </pic:spPr>
                </pic:pic>
              </a:graphicData>
            </a:graphic>
          </wp:inline>
        </w:drawing>
      </w:r>
    </w:p>
    <w:p w14:paraId="4D021049" w14:textId="77777777" w:rsidR="001E0B59" w:rsidRPr="000F1DD0" w:rsidRDefault="001E0B59" w:rsidP="00823C1E">
      <w:pPr>
        <w:spacing w:line="276" w:lineRule="auto"/>
        <w:jc w:val="both"/>
        <w:rPr>
          <w:b/>
        </w:rPr>
      </w:pPr>
    </w:p>
    <w:bookmarkStart w:id="7" w:name="_Toc108775765"/>
    <w:p w14:paraId="0FCB9EE7" w14:textId="62EE8F31" w:rsidR="00C667CB" w:rsidRPr="00EA25F9" w:rsidRDefault="00484254" w:rsidP="00EA25F9">
      <w:pPr>
        <w:pStyle w:val="Heading1"/>
        <w:spacing w:before="0" w:after="0"/>
        <w:rPr>
          <w:sz w:val="20"/>
          <w:szCs w:val="20"/>
        </w:rPr>
      </w:pPr>
      <w:r>
        <w:fldChar w:fldCharType="begin"/>
      </w:r>
      <w:r>
        <w:instrText>HYPERLINK "https://fra.europa.eu/sites/default/files/fra_uploads/fra-2016-eu-minorities-survey-roma-selected-findings_en.pdf" \h</w:instrText>
      </w:r>
      <w:r>
        <w:fldChar w:fldCharType="separate"/>
      </w:r>
      <w:bookmarkStart w:id="8" w:name="_Toc108794858"/>
      <w:r w:rsidR="000F1DD0" w:rsidRPr="063A292B">
        <w:rPr>
          <w:sz w:val="20"/>
          <w:szCs w:val="20"/>
        </w:rPr>
        <w:t xml:space="preserve">Roma – Selected </w:t>
      </w:r>
      <w:r w:rsidR="0006720C">
        <w:rPr>
          <w:sz w:val="20"/>
          <w:szCs w:val="20"/>
        </w:rPr>
        <w:t>f</w:t>
      </w:r>
      <w:r w:rsidR="000F1DD0" w:rsidRPr="063A292B">
        <w:rPr>
          <w:sz w:val="20"/>
          <w:szCs w:val="20"/>
        </w:rPr>
        <w:t>indings</w:t>
      </w:r>
      <w:r>
        <w:rPr>
          <w:sz w:val="20"/>
          <w:szCs w:val="20"/>
        </w:rPr>
        <w:fldChar w:fldCharType="end"/>
      </w:r>
      <w:bookmarkEnd w:id="7"/>
      <w:r w:rsidR="0006720C">
        <w:rPr>
          <w:sz w:val="20"/>
          <w:szCs w:val="20"/>
        </w:rPr>
        <w:t xml:space="preserve"> from FRA’s s</w:t>
      </w:r>
      <w:r w:rsidR="0006720C" w:rsidRPr="0006720C">
        <w:rPr>
          <w:sz w:val="20"/>
          <w:szCs w:val="20"/>
        </w:rPr>
        <w:t xml:space="preserve">econd </w:t>
      </w:r>
      <w:r w:rsidR="0006720C">
        <w:rPr>
          <w:sz w:val="20"/>
          <w:szCs w:val="20"/>
        </w:rPr>
        <w:t>EU</w:t>
      </w:r>
      <w:r w:rsidR="0006720C" w:rsidRPr="0006720C">
        <w:rPr>
          <w:sz w:val="20"/>
          <w:szCs w:val="20"/>
        </w:rPr>
        <w:t xml:space="preserve"> Minorities and Discrimination Survey</w:t>
      </w:r>
      <w:r w:rsidR="0006720C">
        <w:rPr>
          <w:sz w:val="20"/>
          <w:szCs w:val="20"/>
        </w:rPr>
        <w:t xml:space="preserve"> (FRA, 2016)</w:t>
      </w:r>
      <w:bookmarkEnd w:id="8"/>
    </w:p>
    <w:p w14:paraId="5502189F" w14:textId="010373A4" w:rsidR="00ED361E" w:rsidRPr="00D508A0" w:rsidRDefault="00ED361E" w:rsidP="00ED361E">
      <w:pPr>
        <w:autoSpaceDE/>
        <w:autoSpaceDN/>
        <w:adjustRightInd/>
        <w:spacing w:line="276" w:lineRule="auto"/>
        <w:jc w:val="both"/>
      </w:pPr>
    </w:p>
    <w:p w14:paraId="681ECCFB" w14:textId="7DCD1F0F" w:rsidR="001C3541" w:rsidRDefault="00DE29F4" w:rsidP="008D196A">
      <w:pPr>
        <w:spacing w:line="276" w:lineRule="auto"/>
        <w:jc w:val="both"/>
      </w:pPr>
      <w:r>
        <w:t xml:space="preserve">The </w:t>
      </w:r>
      <w:hyperlink r:id="rId25" w:history="1">
        <w:r w:rsidRPr="00DE29F4">
          <w:rPr>
            <w:rStyle w:val="Hyperlink"/>
          </w:rPr>
          <w:t>Second European Union Minorities and Discrimination Survey. Roma – Selected Findings</w:t>
        </w:r>
      </w:hyperlink>
      <w:r>
        <w:t xml:space="preserve"> report is based on a survey that collected information on almost 34,000 persons living in Roma households in nine European Union (EU) Member States, derived from nearly 8,000 face-to-face interviews with Roma. </w:t>
      </w:r>
    </w:p>
    <w:p w14:paraId="6F94533B" w14:textId="77777777" w:rsidR="00EA25F9" w:rsidRDefault="00EA25F9" w:rsidP="00C667CB">
      <w:pPr>
        <w:spacing w:line="276" w:lineRule="auto"/>
        <w:jc w:val="both"/>
      </w:pPr>
    </w:p>
    <w:p w14:paraId="6A8480CD" w14:textId="2999B348" w:rsidR="008D2618" w:rsidRDefault="000831D4" w:rsidP="00C667CB">
      <w:pPr>
        <w:spacing w:line="276" w:lineRule="auto"/>
        <w:jc w:val="both"/>
        <w:rPr>
          <w:b/>
          <w:bCs/>
        </w:rPr>
      </w:pPr>
      <w:r>
        <w:rPr>
          <w:b/>
          <w:bCs/>
        </w:rPr>
        <w:t>H</w:t>
      </w:r>
      <w:r w:rsidR="000A3CA7" w:rsidRPr="000A3CA7">
        <w:rPr>
          <w:b/>
          <w:bCs/>
        </w:rPr>
        <w:t xml:space="preserve">ealth insurance </w:t>
      </w:r>
      <w:r>
        <w:rPr>
          <w:b/>
          <w:bCs/>
        </w:rPr>
        <w:t xml:space="preserve">coverage </w:t>
      </w:r>
      <w:r w:rsidR="000444B1">
        <w:rPr>
          <w:b/>
          <w:bCs/>
        </w:rPr>
        <w:t>and unmet medical care needs</w:t>
      </w:r>
    </w:p>
    <w:p w14:paraId="4CD16D3A" w14:textId="0CFDF9E5" w:rsidR="000A3CA7" w:rsidRDefault="000A3CA7" w:rsidP="000A3CA7">
      <w:pPr>
        <w:spacing w:line="276" w:lineRule="auto"/>
        <w:ind w:right="90"/>
        <w:jc w:val="both"/>
        <w:textAlignment w:val="baseline"/>
      </w:pPr>
      <w:r w:rsidRPr="000A3CA7">
        <w:t>Availability of health insurance is a major determinant of access to healthcare system</w:t>
      </w:r>
      <w:r>
        <w:t>s</w:t>
      </w:r>
      <w:r w:rsidRPr="000A3CA7">
        <w:t>. EU-MIDIS II asked respondents whether the respective national basic insurance scheme currently covered their health care expenses and whether they had any additional health insurance. The results show that 95 % to 98 % of Roma in Spain, Portugal and Slovakia are covered either by the national basic health insurance scheme or additional insurance. In contrast, only 45 % of Roma in Bulgaria and 54 % of Roma in Romania indicated that this is the case. By comparison, according to the Organisation for Economic Cooperation and Development (OECD), health insurance coverage for the general population ranges from 94 % to 100 % in the Czech Republic, Hungary, Portugal, Slovakia and Spain; in Greece, 86 % of the general population is covered by public or private health insurance. </w:t>
      </w:r>
    </w:p>
    <w:p w14:paraId="73FBC52A" w14:textId="77777777" w:rsidR="002E0480" w:rsidRPr="000A3CA7" w:rsidRDefault="002E0480" w:rsidP="000A3CA7">
      <w:pPr>
        <w:spacing w:line="276" w:lineRule="auto"/>
        <w:ind w:right="90"/>
        <w:jc w:val="both"/>
        <w:textAlignment w:val="baseline"/>
      </w:pPr>
    </w:p>
    <w:p w14:paraId="52C43927" w14:textId="4502A8C1" w:rsidR="000A3CA7" w:rsidRDefault="00E61055" w:rsidP="00C667CB">
      <w:pPr>
        <w:spacing w:line="276" w:lineRule="auto"/>
        <w:jc w:val="both"/>
        <w:rPr>
          <w:b/>
          <w:bCs/>
        </w:rPr>
      </w:pPr>
      <w:r w:rsidRPr="00E61055">
        <w:rPr>
          <w:b/>
          <w:bCs/>
          <w:noProof/>
        </w:rPr>
        <w:drawing>
          <wp:inline distT="0" distB="0" distL="0" distR="0" wp14:anchorId="1210BCDF" wp14:editId="5429CEC5">
            <wp:extent cx="5759450" cy="4042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59450" cy="4042410"/>
                    </a:xfrm>
                    <a:prstGeom prst="rect">
                      <a:avLst/>
                    </a:prstGeom>
                  </pic:spPr>
                </pic:pic>
              </a:graphicData>
            </a:graphic>
          </wp:inline>
        </w:drawing>
      </w:r>
    </w:p>
    <w:p w14:paraId="12EE3BAE" w14:textId="77777777" w:rsidR="00BB6417" w:rsidRDefault="00BB6417" w:rsidP="00C667CB">
      <w:pPr>
        <w:spacing w:line="276" w:lineRule="auto"/>
        <w:jc w:val="both"/>
        <w:rPr>
          <w:b/>
          <w:bCs/>
        </w:rPr>
      </w:pPr>
    </w:p>
    <w:p w14:paraId="085E6F5A" w14:textId="1F90F5D7" w:rsidR="00836A67" w:rsidRDefault="00836A67" w:rsidP="00836A67">
      <w:pPr>
        <w:spacing w:line="276" w:lineRule="auto"/>
        <w:jc w:val="both"/>
      </w:pPr>
      <w:r w:rsidRPr="00836A67">
        <w:t>The survey also asked respondents if they needed a medical examination or treatment during the past 12 months; if so, whether they had that examination/treatment; and, in case they did not, why. Overall, depending on the country, between 1 % and 7 % of respondents indicated that it was not possible for them to get the necessary care or treatment.</w:t>
      </w:r>
    </w:p>
    <w:p w14:paraId="432C6692" w14:textId="77777777" w:rsidR="00836A67" w:rsidRPr="00836A67" w:rsidRDefault="00836A67" w:rsidP="00836A67">
      <w:pPr>
        <w:spacing w:line="276" w:lineRule="auto"/>
        <w:jc w:val="both"/>
      </w:pPr>
    </w:p>
    <w:p w14:paraId="7CE076BF" w14:textId="4075F5AB" w:rsidR="00BB6417" w:rsidRDefault="00BB6417" w:rsidP="00C667CB">
      <w:pPr>
        <w:spacing w:line="276" w:lineRule="auto"/>
        <w:jc w:val="both"/>
        <w:rPr>
          <w:b/>
          <w:bCs/>
        </w:rPr>
      </w:pPr>
      <w:r>
        <w:rPr>
          <w:b/>
          <w:bCs/>
        </w:rPr>
        <w:t>Limitations in usual activity</w:t>
      </w:r>
      <w:r w:rsidRPr="00BB6417">
        <w:t xml:space="preserve"> </w:t>
      </w:r>
      <w:r w:rsidRPr="00BB6417">
        <w:rPr>
          <w:b/>
          <w:bCs/>
        </w:rPr>
        <w:t>because of a long-term health problem</w:t>
      </w:r>
    </w:p>
    <w:p w14:paraId="7C996D48" w14:textId="77777777" w:rsidR="00BB6417" w:rsidRDefault="00BB6417" w:rsidP="00C667CB">
      <w:pPr>
        <w:spacing w:line="276" w:lineRule="auto"/>
        <w:jc w:val="both"/>
        <w:rPr>
          <w:b/>
          <w:bCs/>
        </w:rPr>
      </w:pPr>
    </w:p>
    <w:p w14:paraId="37326370" w14:textId="785AC111" w:rsidR="00C667CB" w:rsidRDefault="00BB6417" w:rsidP="00C667CB">
      <w:pPr>
        <w:spacing w:line="276" w:lineRule="auto"/>
        <w:jc w:val="both"/>
      </w:pPr>
      <w:r w:rsidRPr="00BB6417">
        <w:t>EU-MIDIS II asked respondents if they had been limited (severely or not severely) in their usual activities because of a long-term health problem. In four countries – Bulgaria, the Czech Republic, Croatia and Slovakia – the share of Roma facing long-term activity limitations is higher than the share of the general population experiencing similar problems. In Romania, this is the case with Roma men, and in Spain, for Roma women. Also, among Roma in six of the nine countries surveyed, women are more likely than men to say that they have been severely or somewhat limited in their everyday activities due to a health problem – a pattern that can also be seen in the general population. The biggest difference between women and men’s experiences is in Spain, where 17 % of Roma men say that they have been limited in their daily activities, while almost one in three women (30 %) feel that health problems have limited their activities in some way. On the other hand, in the Czech Republic, Greece and Hungary, there is little or no difference between Roma women and men.</w:t>
      </w:r>
    </w:p>
    <w:p w14:paraId="3EC8EEA8" w14:textId="77777777" w:rsidR="005641E2" w:rsidRDefault="005641E2" w:rsidP="00C667CB">
      <w:pPr>
        <w:spacing w:line="276" w:lineRule="auto"/>
        <w:jc w:val="both"/>
      </w:pPr>
    </w:p>
    <w:p w14:paraId="5110B78E" w14:textId="5F462440" w:rsidR="005641E2" w:rsidRDefault="008C3C2D" w:rsidP="005641E2">
      <w:pPr>
        <w:spacing w:line="276" w:lineRule="auto"/>
        <w:jc w:val="center"/>
      </w:pPr>
      <w:r w:rsidRPr="008C3C2D">
        <w:rPr>
          <w:noProof/>
        </w:rPr>
        <w:drawing>
          <wp:inline distT="0" distB="0" distL="0" distR="0" wp14:anchorId="20E98850" wp14:editId="7ACBAF79">
            <wp:extent cx="4743943" cy="6104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47485" cy="6108962"/>
                    </a:xfrm>
                    <a:prstGeom prst="rect">
                      <a:avLst/>
                    </a:prstGeom>
                  </pic:spPr>
                </pic:pic>
              </a:graphicData>
            </a:graphic>
          </wp:inline>
        </w:drawing>
      </w:r>
    </w:p>
    <w:p w14:paraId="38F939EC" w14:textId="77777777" w:rsidR="005641E2" w:rsidRPr="005641E2" w:rsidRDefault="005641E2" w:rsidP="005641E2">
      <w:pPr>
        <w:autoSpaceDE/>
        <w:autoSpaceDN/>
        <w:adjustRightInd/>
        <w:spacing w:line="276" w:lineRule="auto"/>
        <w:jc w:val="both"/>
        <w:rPr>
          <w:shd w:val="clear" w:color="auto" w:fill="FAF9F8"/>
        </w:rPr>
      </w:pPr>
    </w:p>
    <w:p w14:paraId="56F2F1DB" w14:textId="71D0DA5C" w:rsidR="00426D2C" w:rsidRPr="00426D2C" w:rsidRDefault="00426D2C" w:rsidP="00A000B4">
      <w:pPr>
        <w:autoSpaceDE/>
        <w:autoSpaceDN/>
        <w:adjustRightInd/>
        <w:spacing w:line="276" w:lineRule="auto"/>
        <w:jc w:val="both"/>
        <w:rPr>
          <w:shd w:val="clear" w:color="auto" w:fill="FAF9F8"/>
        </w:rPr>
      </w:pPr>
      <w:r w:rsidRPr="00426D2C">
        <w:rPr>
          <w:shd w:val="clear" w:color="auto" w:fill="FAF9F8"/>
        </w:rPr>
        <w:t xml:space="preserve">Other </w:t>
      </w:r>
      <w:r>
        <w:rPr>
          <w:shd w:val="clear" w:color="auto" w:fill="FAF9F8"/>
        </w:rPr>
        <w:t xml:space="preserve">relevant </w:t>
      </w:r>
      <w:r w:rsidR="002C50F3">
        <w:rPr>
          <w:shd w:val="clear" w:color="auto" w:fill="FAF9F8"/>
        </w:rPr>
        <w:t xml:space="preserve">FRA </w:t>
      </w:r>
      <w:r w:rsidR="002C50F3" w:rsidRPr="002C50F3">
        <w:rPr>
          <w:shd w:val="clear" w:color="auto" w:fill="FAF9F8"/>
        </w:rPr>
        <w:t>data and evidence relevant to the call for contribution</w:t>
      </w:r>
      <w:r w:rsidR="002C50F3">
        <w:rPr>
          <w:shd w:val="clear" w:color="auto" w:fill="FAF9F8"/>
        </w:rPr>
        <w:t xml:space="preserve"> can be found </w:t>
      </w:r>
      <w:r w:rsidR="00871558">
        <w:rPr>
          <w:shd w:val="clear" w:color="auto" w:fill="FAF9F8"/>
        </w:rPr>
        <w:t xml:space="preserve">in the following publications. </w:t>
      </w:r>
    </w:p>
    <w:p w14:paraId="36F0A35C" w14:textId="2E9DCEBB" w:rsidR="2904F735" w:rsidRDefault="2904F735" w:rsidP="2904F735">
      <w:pPr>
        <w:spacing w:line="276" w:lineRule="auto"/>
        <w:jc w:val="both"/>
      </w:pPr>
    </w:p>
    <w:bookmarkStart w:id="9" w:name="_Toc108775766"/>
    <w:p w14:paraId="5C0CDCBA" w14:textId="2385D72D" w:rsidR="00E40628" w:rsidRPr="00504F8D" w:rsidRDefault="0039283A" w:rsidP="00504F8D">
      <w:pPr>
        <w:pStyle w:val="Heading1"/>
        <w:spacing w:before="0" w:after="0"/>
        <w:rPr>
          <w:sz w:val="20"/>
          <w:szCs w:val="20"/>
        </w:rPr>
      </w:pPr>
      <w:r>
        <w:fldChar w:fldCharType="begin"/>
      </w:r>
      <w:r>
        <w:instrText>HYPERLINK "https://fra.europa.eu/sites/default/files/fra_uploads/fra-2020-artificial-intelligence_en.pdf" \h</w:instrText>
      </w:r>
      <w:r>
        <w:fldChar w:fldCharType="separate"/>
      </w:r>
      <w:bookmarkStart w:id="10" w:name="_Toc108794859"/>
      <w:r w:rsidR="0DDC1277" w:rsidRPr="2F08A525">
        <w:rPr>
          <w:sz w:val="20"/>
          <w:szCs w:val="20"/>
        </w:rPr>
        <w:t>Getting the future right- Artificial intelligence and fundamental rights</w:t>
      </w:r>
      <w:r>
        <w:rPr>
          <w:sz w:val="20"/>
          <w:szCs w:val="20"/>
        </w:rPr>
        <w:fldChar w:fldCharType="end"/>
      </w:r>
      <w:r w:rsidR="0DDC1277" w:rsidRPr="2F08A525">
        <w:rPr>
          <w:sz w:val="20"/>
          <w:szCs w:val="20"/>
        </w:rPr>
        <w:t xml:space="preserve"> </w:t>
      </w:r>
      <w:bookmarkEnd w:id="9"/>
      <w:r w:rsidR="003A36DE">
        <w:rPr>
          <w:sz w:val="20"/>
          <w:szCs w:val="20"/>
        </w:rPr>
        <w:t>(FRA, 2020)</w:t>
      </w:r>
      <w:bookmarkEnd w:id="10"/>
    </w:p>
    <w:p w14:paraId="76528829" w14:textId="7C7730E0" w:rsidR="00E40628" w:rsidRDefault="00E40628" w:rsidP="00823C1E">
      <w:pPr>
        <w:autoSpaceDE/>
        <w:autoSpaceDN/>
        <w:adjustRightInd/>
        <w:spacing w:line="276" w:lineRule="auto"/>
        <w:jc w:val="both"/>
        <w:rPr>
          <w:shd w:val="clear" w:color="auto" w:fill="FAF9F8"/>
        </w:rPr>
      </w:pPr>
      <w:r w:rsidRPr="00E40628">
        <w:rPr>
          <w:shd w:val="clear" w:color="auto" w:fill="FAF9F8"/>
        </w:rPr>
        <w:t xml:space="preserve">The </w:t>
      </w:r>
      <w:hyperlink r:id="rId28" w:history="1">
        <w:r w:rsidRPr="00EA25F9">
          <w:rPr>
            <w:rStyle w:val="Hyperlink"/>
            <w:shd w:val="clear" w:color="auto" w:fill="FAF9F8"/>
          </w:rPr>
          <w:t>report</w:t>
        </w:r>
      </w:hyperlink>
      <w:r w:rsidRPr="00E40628">
        <w:rPr>
          <w:shd w:val="clear" w:color="auto" w:fill="FAF9F8"/>
        </w:rPr>
        <w:t xml:space="preserve"> l</w:t>
      </w:r>
      <w:r w:rsidRPr="0076516C">
        <w:rPr>
          <w:rFonts w:eastAsia="Verdana" w:cs="Verdana"/>
          <w:szCs w:val="20"/>
        </w:rPr>
        <w:t xml:space="preserve">ooks into uses of AI systems in both private and public sectors through interviews of around 100 public and private entities that does use AI, including in law enforcement. It analyses the impact of these systems for fundamental rights, including discrimination in health and healthcare. </w:t>
      </w:r>
    </w:p>
    <w:p w14:paraId="2BEE44BD" w14:textId="77777777" w:rsidR="004362CE" w:rsidRDefault="004362CE" w:rsidP="00426D2C">
      <w:pPr>
        <w:autoSpaceDE/>
        <w:autoSpaceDN/>
        <w:adjustRightInd/>
        <w:spacing w:line="276" w:lineRule="auto"/>
        <w:jc w:val="both"/>
        <w:rPr>
          <w:shd w:val="clear" w:color="auto" w:fill="FAF9F8"/>
        </w:rPr>
      </w:pPr>
    </w:p>
    <w:bookmarkStart w:id="11" w:name="_Toc108775767"/>
    <w:p w14:paraId="200927F4" w14:textId="63F631E2" w:rsidR="00A000B4" w:rsidRPr="00504F8D" w:rsidRDefault="00484254" w:rsidP="00504F8D">
      <w:pPr>
        <w:pStyle w:val="Heading1"/>
        <w:spacing w:before="0" w:after="0"/>
        <w:rPr>
          <w:sz w:val="20"/>
          <w:szCs w:val="20"/>
        </w:rPr>
      </w:pPr>
      <w:r>
        <w:fldChar w:fldCharType="begin"/>
      </w:r>
      <w:r>
        <w:instrText>HYPERLINK "https://fra.europa.eu/sites/default/files/fra_uploads/fra-2022-fundamental-rights-report-2022_en.pdf" \h</w:instrText>
      </w:r>
      <w:r>
        <w:fldChar w:fldCharType="separate"/>
      </w:r>
      <w:bookmarkStart w:id="12" w:name="_Toc108794860"/>
      <w:r w:rsidR="00A000B4" w:rsidRPr="063A292B">
        <w:rPr>
          <w:sz w:val="20"/>
          <w:szCs w:val="20"/>
        </w:rPr>
        <w:t>Fundamental Rights Report 2022</w:t>
      </w:r>
      <w:r>
        <w:rPr>
          <w:sz w:val="20"/>
          <w:szCs w:val="20"/>
        </w:rPr>
        <w:fldChar w:fldCharType="end"/>
      </w:r>
      <w:bookmarkEnd w:id="11"/>
      <w:r w:rsidR="003A36DE">
        <w:rPr>
          <w:sz w:val="20"/>
          <w:szCs w:val="20"/>
        </w:rPr>
        <w:t xml:space="preserve"> (FRA, 2022)</w:t>
      </w:r>
      <w:bookmarkEnd w:id="12"/>
    </w:p>
    <w:p w14:paraId="1A4E74D0" w14:textId="57B845A5" w:rsidR="00A000B4" w:rsidRDefault="00A000B4" w:rsidP="000646F9">
      <w:pPr>
        <w:autoSpaceDE/>
        <w:autoSpaceDN/>
        <w:adjustRightInd/>
        <w:spacing w:line="276" w:lineRule="auto"/>
        <w:jc w:val="both"/>
        <w:rPr>
          <w:shd w:val="clear" w:color="auto" w:fill="FAF9F8"/>
        </w:rPr>
      </w:pPr>
      <w:r w:rsidRPr="001329B7">
        <w:t>The COVID-19 pandemic brought to the surface existing racism, xenophobia and related intolerance</w:t>
      </w:r>
      <w:r w:rsidRPr="001329B7">
        <w:rPr>
          <w:shd w:val="clear" w:color="auto" w:fill="FAF9F8"/>
        </w:rPr>
        <w:t xml:space="preserve"> and exacerbated them. The health crisis was increasingly used as a pretext to attack minorities – </w:t>
      </w:r>
      <w:r w:rsidRPr="001329B7">
        <w:t>including migrants, people with immigrant backgrounds and Roma – who were already subject to racial and ethnic discrimination, hate speech and hate crime.</w:t>
      </w:r>
      <w:r w:rsidRPr="001329B7">
        <w:rPr>
          <w:shd w:val="clear" w:color="auto" w:fill="FAF9F8"/>
        </w:rPr>
        <w:t xml:space="preserve"> The </w:t>
      </w:r>
      <w:hyperlink r:id="rId29" w:history="1">
        <w:r w:rsidR="000646F9" w:rsidRPr="000646F9">
          <w:rPr>
            <w:rStyle w:val="Hyperlink"/>
            <w:shd w:val="clear" w:color="auto" w:fill="FAF9F8"/>
          </w:rPr>
          <w:t>Fundamental Rights Report 2022</w:t>
        </w:r>
      </w:hyperlink>
      <w:r w:rsidR="000646F9" w:rsidRPr="000646F9">
        <w:rPr>
          <w:rStyle w:val="Hyperlink"/>
          <w:shd w:val="clear" w:color="auto" w:fill="FAF9F8"/>
        </w:rPr>
        <w:t xml:space="preserve"> </w:t>
      </w:r>
      <w:r w:rsidRPr="001329B7">
        <w:rPr>
          <w:shd w:val="clear" w:color="auto" w:fill="FAF9F8"/>
        </w:rPr>
        <w:t xml:space="preserve">includes some national projects and civil society initiatives which tried to improve the situation of ethnic minorities during the pandemic and facilitate access to health services. </w:t>
      </w:r>
    </w:p>
    <w:p w14:paraId="26603C24" w14:textId="77777777" w:rsidR="00E40628" w:rsidRPr="001329B7" w:rsidRDefault="00E40628" w:rsidP="00823C1E">
      <w:pPr>
        <w:spacing w:line="276" w:lineRule="auto"/>
        <w:jc w:val="both"/>
        <w:rPr>
          <w:shd w:val="clear" w:color="auto" w:fill="FAF9F8"/>
        </w:rPr>
      </w:pPr>
    </w:p>
    <w:bookmarkStart w:id="13" w:name="_Toc108775768"/>
    <w:p w14:paraId="4E3DB295" w14:textId="2430D133" w:rsidR="001329B7" w:rsidRDefault="00484254" w:rsidP="00504F8D">
      <w:pPr>
        <w:pStyle w:val="Heading1"/>
        <w:spacing w:before="0" w:after="0"/>
        <w:rPr>
          <w:b w:val="0"/>
          <w:bCs w:val="0"/>
        </w:rPr>
      </w:pPr>
      <w:r>
        <w:fldChar w:fldCharType="begin"/>
      </w:r>
      <w:r>
        <w:instrText>HYPERLINK "https://fra.europa.eu/en/promising-practices-list" \h</w:instrText>
      </w:r>
      <w:r>
        <w:fldChar w:fldCharType="separate"/>
      </w:r>
      <w:bookmarkStart w:id="14" w:name="_Toc108794861"/>
      <w:r w:rsidR="001329B7" w:rsidRPr="063A292B">
        <w:rPr>
          <w:sz w:val="20"/>
          <w:szCs w:val="20"/>
        </w:rPr>
        <w:t>Compendium of practices for equality data collection</w:t>
      </w:r>
      <w:bookmarkEnd w:id="14"/>
      <w:r>
        <w:rPr>
          <w:sz w:val="20"/>
          <w:szCs w:val="20"/>
        </w:rPr>
        <w:fldChar w:fldCharType="end"/>
      </w:r>
      <w:bookmarkEnd w:id="13"/>
    </w:p>
    <w:p w14:paraId="70FF2C22" w14:textId="16CC5B99" w:rsidR="00A70E91" w:rsidRPr="00C30DAA" w:rsidRDefault="001329B7" w:rsidP="00823C1E">
      <w:pPr>
        <w:spacing w:line="276" w:lineRule="auto"/>
        <w:jc w:val="both"/>
        <w:rPr>
          <w:color w:val="343D55"/>
        </w:rPr>
      </w:pPr>
      <w:r w:rsidRPr="00A70E91">
        <w:t xml:space="preserve">The </w:t>
      </w:r>
      <w:hyperlink r:id="rId30" w:history="1">
        <w:r w:rsidRPr="000646F9">
          <w:rPr>
            <w:rStyle w:val="Hyperlink"/>
          </w:rPr>
          <w:t>Compendium of Practices on Equality Data</w:t>
        </w:r>
      </w:hyperlink>
      <w:r w:rsidRPr="00A70E91">
        <w:t xml:space="preserve"> covers practices on different discrimination grounds</w:t>
      </w:r>
      <w:r w:rsidRPr="00A70E91">
        <w:rPr>
          <w:shd w:val="clear" w:color="auto" w:fill="F2F2F2"/>
        </w:rPr>
        <w:t xml:space="preserve"> </w:t>
      </w:r>
      <w:r w:rsidRPr="00A70E91">
        <w:t>and areas of life in which discrimination, inequality and exclusion can occur. The compendium is</w:t>
      </w:r>
      <w:r w:rsidRPr="00A70E91">
        <w:rPr>
          <w:shd w:val="clear" w:color="auto" w:fill="F2F2F2"/>
        </w:rPr>
        <w:t xml:space="preserve"> </w:t>
      </w:r>
      <w:r w:rsidRPr="00A70E91">
        <w:t>linked to the </w:t>
      </w:r>
      <w:hyperlink r:id="rId31" w:history="1">
        <w:r w:rsidRPr="001329B7">
          <w:rPr>
            <w:rStyle w:val="Hyperlink"/>
            <w:color w:val="004CA6"/>
          </w:rPr>
          <w:t>Guidelines on improving the collection and use of equality data</w:t>
        </w:r>
      </w:hyperlink>
      <w:r w:rsidR="007A22FA">
        <w:rPr>
          <w:rStyle w:val="Hyperlink"/>
          <w:color w:val="004CA6"/>
        </w:rPr>
        <w:t>,</w:t>
      </w:r>
      <w:r w:rsidRPr="001329B7">
        <w:rPr>
          <w:color w:val="343D55"/>
        </w:rPr>
        <w:t> </w:t>
      </w:r>
      <w:r w:rsidR="00053FA2">
        <w:t xml:space="preserve">developed by the </w:t>
      </w:r>
      <w:hyperlink r:id="rId32" w:history="1">
        <w:r w:rsidR="00053FA2" w:rsidRPr="007502DB">
          <w:rPr>
            <w:rStyle w:val="Hyperlink"/>
          </w:rPr>
          <w:t>Subgroup on Equality Data</w:t>
        </w:r>
      </w:hyperlink>
      <w:r w:rsidR="00053FA2">
        <w:t>, a</w:t>
      </w:r>
      <w:r w:rsidRPr="00A70E91">
        <w:t>nd aims to provide</w:t>
      </w:r>
      <w:r w:rsidRPr="00A70E91">
        <w:rPr>
          <w:shd w:val="clear" w:color="auto" w:fill="F2F2F2"/>
        </w:rPr>
        <w:t xml:space="preserve"> </w:t>
      </w:r>
      <w:r w:rsidRPr="00A70E91">
        <w:t>inspiration and practical examples on how to implement them.</w:t>
      </w:r>
      <w:r w:rsidR="00692DA9">
        <w:t xml:space="preserve"> In 2021, the </w:t>
      </w:r>
      <w:r w:rsidR="00FF0268">
        <w:t>Subgroup developed</w:t>
      </w:r>
      <w:r w:rsidR="00FF0268" w:rsidRPr="00FF0268">
        <w:t xml:space="preserve"> </w:t>
      </w:r>
      <w:hyperlink r:id="rId33" w:history="1">
        <w:r w:rsidR="00FF0268" w:rsidRPr="003323FD">
          <w:rPr>
            <w:rStyle w:val="Hyperlink"/>
          </w:rPr>
          <w:t>practical guidance to Member States on improving the collection of data disaggregated by racial or ethnic origin</w:t>
        </w:r>
      </w:hyperlink>
      <w:r w:rsidR="00FF0268" w:rsidRPr="00FF0268">
        <w:t>.</w:t>
      </w:r>
    </w:p>
    <w:sectPr w:rsidR="00A70E91" w:rsidRPr="00C30DAA" w:rsidSect="003A36DE">
      <w:headerReference w:type="default" r:id="rId34"/>
      <w:footerReference w:type="default" r:id="rId35"/>
      <w:headerReference w:type="first" r:id="rId36"/>
      <w:footerReference w:type="first" r:id="rId37"/>
      <w:pgSz w:w="11906" w:h="16838" w:code="9"/>
      <w:pgMar w:top="2087" w:right="1416"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C1EC" w14:textId="77777777" w:rsidR="00526D92" w:rsidRDefault="00526D92" w:rsidP="001833D4">
      <w:pPr>
        <w:spacing w:after="120"/>
      </w:pPr>
      <w:r>
        <w:separator/>
      </w:r>
    </w:p>
  </w:endnote>
  <w:endnote w:type="continuationSeparator" w:id="0">
    <w:p w14:paraId="06BC7C0F" w14:textId="77777777" w:rsidR="00526D92" w:rsidRDefault="00526D92" w:rsidP="001833D4">
      <w:pPr>
        <w:spacing w:after="120"/>
      </w:pPr>
      <w:r>
        <w:continuationSeparator/>
      </w:r>
    </w:p>
  </w:endnote>
  <w:endnote w:type="continuationNotice" w:id="1">
    <w:p w14:paraId="1ED127BA" w14:textId="77777777" w:rsidR="00BC5458" w:rsidRDefault="00BC54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193429"/>
      <w:docPartObj>
        <w:docPartGallery w:val="Page Numbers (Bottom of Page)"/>
        <w:docPartUnique/>
      </w:docPartObj>
    </w:sdtPr>
    <w:sdtEndPr>
      <w:rPr>
        <w:noProof/>
      </w:rPr>
    </w:sdtEndPr>
    <w:sdtContent>
      <w:p w14:paraId="5427470E" w14:textId="2F6826B1" w:rsidR="006F3E57" w:rsidRDefault="006F3E57">
        <w:pPr>
          <w:pStyle w:val="Footer"/>
          <w:jc w:val="right"/>
        </w:pPr>
        <w:r>
          <w:fldChar w:fldCharType="begin"/>
        </w:r>
        <w:r>
          <w:instrText xml:space="preserve"> PAGE   \* MERGEFORMAT </w:instrText>
        </w:r>
        <w:r>
          <w:fldChar w:fldCharType="separate"/>
        </w:r>
        <w:r w:rsidR="00440468">
          <w:rPr>
            <w:noProof/>
          </w:rPr>
          <w:t>9</w:t>
        </w:r>
        <w:r>
          <w:rPr>
            <w:noProof/>
          </w:rPr>
          <w:fldChar w:fldCharType="end"/>
        </w:r>
      </w:p>
    </w:sdtContent>
  </w:sdt>
  <w:p w14:paraId="421411B7" w14:textId="227DEE2F" w:rsidR="00C53A0B" w:rsidRPr="00621F02" w:rsidRDefault="00C53A0B" w:rsidP="00234B3E">
    <w:pPr>
      <w:pStyle w:val="FRA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45BB" w14:textId="77777777" w:rsidR="00106D1F" w:rsidRPr="001833D4" w:rsidRDefault="00106D1F" w:rsidP="00964132">
    <w:pPr>
      <w:spacing w:after="120"/>
      <w:ind w:left="-170"/>
      <w:rPr>
        <w:spacing w:val="-4"/>
        <w:w w:val="95"/>
        <w:kern w:val="16"/>
        <w:sz w:val="12"/>
        <w:szCs w:val="12"/>
      </w:rPr>
    </w:pPr>
    <w:r w:rsidRPr="001833D4">
      <w:rPr>
        <w:noProof/>
        <w:w w:val="95"/>
        <w:sz w:val="12"/>
        <w:szCs w:val="12"/>
      </w:rPr>
      <w:drawing>
        <wp:anchor distT="0" distB="0" distL="114300" distR="114300" simplePos="0" relativeHeight="251658240" behindDoc="0" locked="0" layoutInCell="1" allowOverlap="1" wp14:anchorId="333FED1D" wp14:editId="36785364">
          <wp:simplePos x="0" y="0"/>
          <wp:positionH relativeFrom="margin">
            <wp:posOffset>-101600</wp:posOffset>
          </wp:positionH>
          <wp:positionV relativeFrom="paragraph">
            <wp:posOffset>-125095</wp:posOffset>
          </wp:positionV>
          <wp:extent cx="862962" cy="10800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2" cy="108000"/>
                  </a:xfrm>
                  <a:prstGeom prst="rect">
                    <a:avLst/>
                  </a:prstGeom>
                </pic:spPr>
              </pic:pic>
            </a:graphicData>
          </a:graphic>
          <wp14:sizeRelH relativeFrom="margin">
            <wp14:pctWidth>0</wp14:pctWidth>
          </wp14:sizeRelH>
          <wp14:sizeRelV relativeFrom="margin">
            <wp14:pctHeight>0</wp14:pctHeight>
          </wp14:sizeRelV>
        </wp:anchor>
      </w:drawing>
    </w:r>
  </w:p>
  <w:p w14:paraId="5257FCFC" w14:textId="77777777" w:rsidR="00106D1F" w:rsidRPr="00D23772" w:rsidRDefault="00106D1F" w:rsidP="00234B3E">
    <w:pPr>
      <w:pStyle w:val="FRAFooter"/>
      <w:rPr>
        <w:lang w:val="de-DE"/>
      </w:rPr>
    </w:pPr>
    <w:r w:rsidRPr="00D23772">
      <w:rPr>
        <w:lang w:val="de-DE"/>
      </w:rPr>
      <w:t>European Union</w:t>
    </w:r>
    <w:r w:rsidR="000208E3" w:rsidRPr="00D23772">
      <w:rPr>
        <w:lang w:val="de-DE"/>
      </w:rPr>
      <w:t xml:space="preserve"> Agency for Fundamental Rights </w:t>
    </w:r>
    <w:r w:rsidRPr="00D23772">
      <w:rPr>
        <w:b/>
        <w:color w:val="F9DD16"/>
        <w:lang w:val="de-DE"/>
      </w:rPr>
      <w:t>|</w:t>
    </w:r>
    <w:r w:rsidR="000208E3" w:rsidRPr="00D23772">
      <w:rPr>
        <w:lang w:val="de-DE"/>
      </w:rPr>
      <w:t xml:space="preserve"> </w:t>
    </w:r>
    <w:r w:rsidRPr="00D23772">
      <w:rPr>
        <w:lang w:val="de-DE"/>
      </w:rPr>
      <w:t>Agentur der Euro</w:t>
    </w:r>
    <w:r w:rsidR="000208E3" w:rsidRPr="00D23772">
      <w:rPr>
        <w:lang w:val="de-DE"/>
      </w:rPr>
      <w:t xml:space="preserve">päischen Union für Grundrechte </w:t>
    </w:r>
    <w:r w:rsidRPr="00D23772">
      <w:rPr>
        <w:b/>
        <w:color w:val="F9DD16"/>
        <w:lang w:val="de-DE"/>
      </w:rPr>
      <w:t>|</w:t>
    </w:r>
    <w:r w:rsidR="000208E3" w:rsidRPr="00D23772">
      <w:rPr>
        <w:lang w:val="de-DE"/>
      </w:rPr>
      <w:t xml:space="preserve"> </w:t>
    </w:r>
    <w:r w:rsidRPr="00D23772">
      <w:rPr>
        <w:lang w:val="de-DE"/>
      </w:rPr>
      <w:t>Agence des droits fondamentaux de l’Union Européenne</w:t>
    </w:r>
  </w:p>
  <w:p w14:paraId="14913886" w14:textId="77777777" w:rsidR="00106D1F" w:rsidRPr="00D23772" w:rsidRDefault="000208E3" w:rsidP="00234B3E">
    <w:pPr>
      <w:pStyle w:val="FRAFooter"/>
      <w:rPr>
        <w:lang w:val="de-DE"/>
      </w:rPr>
    </w:pPr>
    <w:r w:rsidRPr="00D23772">
      <w:rPr>
        <w:lang w:val="de-DE"/>
      </w:rPr>
      <w:t>Schwarzenbergplatz 11</w:t>
    </w:r>
    <w:r w:rsidR="00106D1F" w:rsidRPr="00D23772">
      <w:rPr>
        <w:lang w:val="de-DE"/>
      </w:rPr>
      <w:t xml:space="preserve"> </w:t>
    </w:r>
    <w:r w:rsidR="00106D1F" w:rsidRPr="00D23772">
      <w:rPr>
        <w:b/>
        <w:color w:val="F9DD16"/>
        <w:lang w:val="de-DE"/>
      </w:rPr>
      <w:t>|</w:t>
    </w:r>
    <w:r w:rsidRPr="00D23772">
      <w:rPr>
        <w:lang w:val="de-DE"/>
      </w:rPr>
      <w:t xml:space="preserve"> 1040 Vienna</w:t>
    </w:r>
    <w:r w:rsidR="00106D1F" w:rsidRPr="00D23772">
      <w:rPr>
        <w:lang w:val="de-DE"/>
      </w:rPr>
      <w:t xml:space="preserve"> </w:t>
    </w:r>
    <w:r w:rsidR="00106D1F" w:rsidRPr="00D23772">
      <w:rPr>
        <w:b/>
        <w:color w:val="F9DD16"/>
        <w:lang w:val="de-DE"/>
      </w:rPr>
      <w:t>|</w:t>
    </w:r>
    <w:r w:rsidR="00106D1F" w:rsidRPr="00D23772">
      <w:rPr>
        <w:lang w:val="de-DE"/>
      </w:rPr>
      <w:t xml:space="preserve"> </w:t>
    </w:r>
    <w:r w:rsidRPr="00D23772">
      <w:rPr>
        <w:lang w:val="de-DE"/>
      </w:rPr>
      <w:t>Austria</w:t>
    </w:r>
    <w:r w:rsidR="00106D1F" w:rsidRPr="00D23772">
      <w:rPr>
        <w:lang w:val="de-DE"/>
      </w:rPr>
      <w:t xml:space="preserve"> </w:t>
    </w:r>
    <w:r w:rsidR="00106D1F" w:rsidRPr="00D23772">
      <w:rPr>
        <w:b/>
        <w:color w:val="F9DD16"/>
        <w:lang w:val="de-DE"/>
      </w:rPr>
      <w:t>|</w:t>
    </w:r>
    <w:r w:rsidRPr="00D23772">
      <w:rPr>
        <w:lang w:val="de-DE"/>
      </w:rPr>
      <w:t xml:space="preserve"> T +43 (1) 580 30 - 0</w:t>
    </w:r>
    <w:r w:rsidR="00106D1F" w:rsidRPr="00D23772">
      <w:rPr>
        <w:lang w:val="de-DE"/>
      </w:rPr>
      <w:t xml:space="preserve"> </w:t>
    </w:r>
  </w:p>
  <w:p w14:paraId="22323284" w14:textId="77777777" w:rsidR="00106D1F" w:rsidRPr="00621F02" w:rsidRDefault="000208E3" w:rsidP="00234B3E">
    <w:pPr>
      <w:pStyle w:val="FRAFooter"/>
    </w:pPr>
    <w:r w:rsidRPr="00621F02">
      <w:t>fra.europa.eu</w:t>
    </w:r>
    <w:r w:rsidR="00106D1F" w:rsidRPr="00621F02">
      <w:t xml:space="preserve"> </w:t>
    </w:r>
    <w:r w:rsidR="00106D1F" w:rsidRPr="00621F02">
      <w:rPr>
        <w:b/>
        <w:color w:val="F9DD16"/>
      </w:rPr>
      <w:t>|</w:t>
    </w:r>
    <w:r w:rsidR="00106D1F" w:rsidRPr="00621F02">
      <w:t xml:space="preserve"> </w:t>
    </w:r>
    <w:r w:rsidR="00964132" w:rsidRPr="00621F02">
      <w:t>www.facebook.com/fundamentalrights</w:t>
    </w:r>
    <w:r w:rsidR="00106D1F" w:rsidRPr="00621F02">
      <w:t xml:space="preserve"> </w:t>
    </w:r>
    <w:r w:rsidR="00106D1F" w:rsidRPr="00621F02">
      <w:rPr>
        <w:b/>
        <w:color w:val="F9DD16"/>
      </w:rPr>
      <w:t>|</w:t>
    </w:r>
    <w:r w:rsidRPr="00621F02">
      <w:t xml:space="preserve"> twitter.com/</w:t>
    </w:r>
    <w:proofErr w:type="spellStart"/>
    <w:r w:rsidRPr="00621F02">
      <w:t>EURightsAgency</w:t>
    </w:r>
    <w:proofErr w:type="spellEnd"/>
    <w:r w:rsidRPr="00621F02">
      <w:t xml:space="preserve"> </w:t>
    </w:r>
    <w:r w:rsidR="00106D1F" w:rsidRPr="00621F02">
      <w:rPr>
        <w:b/>
        <w:color w:val="F9DD16"/>
      </w:rPr>
      <w:t>|</w:t>
    </w:r>
    <w:r w:rsidR="00106D1F" w:rsidRPr="00621F02">
      <w:t xml:space="preserve"> www.linkedin.com/company/eu-fundamental-rights-agency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EA6D4" w14:textId="77777777" w:rsidR="00526D92" w:rsidRDefault="00526D92" w:rsidP="001833D4">
      <w:pPr>
        <w:spacing w:after="120"/>
      </w:pPr>
      <w:r>
        <w:separator/>
      </w:r>
    </w:p>
  </w:footnote>
  <w:footnote w:type="continuationSeparator" w:id="0">
    <w:p w14:paraId="1E302205" w14:textId="77777777" w:rsidR="00526D92" w:rsidRDefault="00526D92" w:rsidP="001833D4">
      <w:pPr>
        <w:spacing w:after="120"/>
      </w:pPr>
      <w:r>
        <w:continuationSeparator/>
      </w:r>
    </w:p>
  </w:footnote>
  <w:footnote w:type="continuationNotice" w:id="1">
    <w:p w14:paraId="0E07AD56" w14:textId="77777777" w:rsidR="00BC5458" w:rsidRDefault="00BC54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E138" w14:textId="77777777" w:rsidR="00C53A0B" w:rsidRDefault="00234B3E" w:rsidP="00234B3E">
    <w:pPr>
      <w:pStyle w:val="Header"/>
      <w:tabs>
        <w:tab w:val="clear" w:pos="4513"/>
        <w:tab w:val="clear" w:pos="9026"/>
        <w:tab w:val="left" w:pos="6792"/>
      </w:tabs>
      <w:ind w:left="-170"/>
    </w:pPr>
    <w:r>
      <w:rPr>
        <w:noProof/>
      </w:rPr>
      <w:drawing>
        <wp:inline distT="0" distB="0" distL="0" distR="0" wp14:anchorId="3347DE36" wp14:editId="67248480">
          <wp:extent cx="1756800" cy="720000"/>
          <wp:effectExtent l="0" t="0" r="0" b="4445"/>
          <wp:docPr id="18" name="Picture 18"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FC62" w14:textId="77777777" w:rsidR="00106D1F" w:rsidRDefault="00543C72" w:rsidP="00073326">
    <w:pPr>
      <w:ind w:left="-170"/>
    </w:pPr>
    <w:r>
      <w:rPr>
        <w:noProof/>
      </w:rPr>
      <mc:AlternateContent>
        <mc:Choice Requires="wps">
          <w:drawing>
            <wp:anchor distT="4294967295" distB="4294967295" distL="114300" distR="114300" simplePos="0" relativeHeight="251658241" behindDoc="0" locked="1" layoutInCell="0" allowOverlap="0" wp14:anchorId="340AC098" wp14:editId="1B8B56CC">
              <wp:simplePos x="0" y="0"/>
              <wp:positionH relativeFrom="page">
                <wp:posOffset>7275195</wp:posOffset>
              </wp:positionH>
              <wp:positionV relativeFrom="page">
                <wp:posOffset>3695064</wp:posOffset>
              </wp:positionV>
              <wp:extent cx="288290" cy="0"/>
              <wp:effectExtent l="0" t="0" r="355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CEFB58"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72.85pt,290.95pt" to="595.55pt,2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" o:allowincell="f" o:allowoverlap="f" strokecolor="gray">
              <w10:wrap anchorx="page" anchory="page"/>
              <w10:anchorlock/>
            </v:line>
          </w:pict>
        </mc:Fallback>
      </mc:AlternateContent>
    </w:r>
    <w:r w:rsidR="00234B3E">
      <w:rPr>
        <w:noProof/>
      </w:rPr>
      <w:drawing>
        <wp:inline distT="0" distB="0" distL="0" distR="0" wp14:anchorId="4B8D7FD7" wp14:editId="0E6E29A2">
          <wp:extent cx="1756800" cy="720000"/>
          <wp:effectExtent l="0" t="0" r="0" b="4445"/>
          <wp:docPr id="19" name="Picture 19"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0AF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FE05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B834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4D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8695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4055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C4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D07E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ACBD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363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E116A"/>
    <w:multiLevelType w:val="hybridMultilevel"/>
    <w:tmpl w:val="FFFFFFFF"/>
    <w:lvl w:ilvl="0" w:tplc="7902BC3A">
      <w:start w:val="1"/>
      <w:numFmt w:val="bullet"/>
      <w:lvlText w:val=""/>
      <w:lvlJc w:val="left"/>
      <w:pPr>
        <w:ind w:left="720" w:hanging="360"/>
      </w:pPr>
      <w:rPr>
        <w:rFonts w:ascii="Symbol" w:hAnsi="Symbol" w:hint="default"/>
      </w:rPr>
    </w:lvl>
    <w:lvl w:ilvl="1" w:tplc="9306D902">
      <w:start w:val="1"/>
      <w:numFmt w:val="bullet"/>
      <w:lvlText w:val="o"/>
      <w:lvlJc w:val="left"/>
      <w:pPr>
        <w:ind w:left="1440" w:hanging="360"/>
      </w:pPr>
      <w:rPr>
        <w:rFonts w:ascii="Courier New" w:hAnsi="Courier New" w:hint="default"/>
      </w:rPr>
    </w:lvl>
    <w:lvl w:ilvl="2" w:tplc="E3A85676">
      <w:start w:val="1"/>
      <w:numFmt w:val="bullet"/>
      <w:lvlText w:val=""/>
      <w:lvlJc w:val="left"/>
      <w:pPr>
        <w:ind w:left="2160" w:hanging="360"/>
      </w:pPr>
      <w:rPr>
        <w:rFonts w:ascii="Wingdings" w:hAnsi="Wingdings" w:hint="default"/>
      </w:rPr>
    </w:lvl>
    <w:lvl w:ilvl="3" w:tplc="759EC57E">
      <w:start w:val="1"/>
      <w:numFmt w:val="bullet"/>
      <w:lvlText w:val=""/>
      <w:lvlJc w:val="left"/>
      <w:pPr>
        <w:ind w:left="2880" w:hanging="360"/>
      </w:pPr>
      <w:rPr>
        <w:rFonts w:ascii="Symbol" w:hAnsi="Symbol" w:hint="default"/>
      </w:rPr>
    </w:lvl>
    <w:lvl w:ilvl="4" w:tplc="25A6BD0A">
      <w:start w:val="1"/>
      <w:numFmt w:val="bullet"/>
      <w:lvlText w:val="o"/>
      <w:lvlJc w:val="left"/>
      <w:pPr>
        <w:ind w:left="3600" w:hanging="360"/>
      </w:pPr>
      <w:rPr>
        <w:rFonts w:ascii="Courier New" w:hAnsi="Courier New" w:hint="default"/>
      </w:rPr>
    </w:lvl>
    <w:lvl w:ilvl="5" w:tplc="9AF65F9E">
      <w:start w:val="1"/>
      <w:numFmt w:val="bullet"/>
      <w:lvlText w:val=""/>
      <w:lvlJc w:val="left"/>
      <w:pPr>
        <w:ind w:left="4320" w:hanging="360"/>
      </w:pPr>
      <w:rPr>
        <w:rFonts w:ascii="Wingdings" w:hAnsi="Wingdings" w:hint="default"/>
      </w:rPr>
    </w:lvl>
    <w:lvl w:ilvl="6" w:tplc="AA8A1544">
      <w:start w:val="1"/>
      <w:numFmt w:val="bullet"/>
      <w:lvlText w:val=""/>
      <w:lvlJc w:val="left"/>
      <w:pPr>
        <w:ind w:left="5040" w:hanging="360"/>
      </w:pPr>
      <w:rPr>
        <w:rFonts w:ascii="Symbol" w:hAnsi="Symbol" w:hint="default"/>
      </w:rPr>
    </w:lvl>
    <w:lvl w:ilvl="7" w:tplc="14FECB40">
      <w:start w:val="1"/>
      <w:numFmt w:val="bullet"/>
      <w:lvlText w:val="o"/>
      <w:lvlJc w:val="left"/>
      <w:pPr>
        <w:ind w:left="5760" w:hanging="360"/>
      </w:pPr>
      <w:rPr>
        <w:rFonts w:ascii="Courier New" w:hAnsi="Courier New" w:hint="default"/>
      </w:rPr>
    </w:lvl>
    <w:lvl w:ilvl="8" w:tplc="E65CDDE8">
      <w:start w:val="1"/>
      <w:numFmt w:val="bullet"/>
      <w:lvlText w:val=""/>
      <w:lvlJc w:val="left"/>
      <w:pPr>
        <w:ind w:left="6480" w:hanging="360"/>
      </w:pPr>
      <w:rPr>
        <w:rFonts w:ascii="Wingdings" w:hAnsi="Wingdings" w:hint="default"/>
      </w:rPr>
    </w:lvl>
  </w:abstractNum>
  <w:abstractNum w:abstractNumId="11" w15:restartNumberingAfterBreak="0">
    <w:nsid w:val="14996626"/>
    <w:multiLevelType w:val="hybridMultilevel"/>
    <w:tmpl w:val="A36E62B6"/>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C49329"/>
    <w:multiLevelType w:val="hybridMultilevel"/>
    <w:tmpl w:val="FFFFFFFF"/>
    <w:lvl w:ilvl="0" w:tplc="859422B0">
      <w:start w:val="1"/>
      <w:numFmt w:val="bullet"/>
      <w:lvlText w:val=""/>
      <w:lvlJc w:val="left"/>
      <w:pPr>
        <w:ind w:left="720" w:hanging="360"/>
      </w:pPr>
      <w:rPr>
        <w:rFonts w:ascii="Symbol" w:hAnsi="Symbol" w:hint="default"/>
      </w:rPr>
    </w:lvl>
    <w:lvl w:ilvl="1" w:tplc="2814E67C">
      <w:start w:val="1"/>
      <w:numFmt w:val="bullet"/>
      <w:lvlText w:val="o"/>
      <w:lvlJc w:val="left"/>
      <w:pPr>
        <w:ind w:left="1440" w:hanging="360"/>
      </w:pPr>
      <w:rPr>
        <w:rFonts w:ascii="Courier New" w:hAnsi="Courier New" w:hint="default"/>
      </w:rPr>
    </w:lvl>
    <w:lvl w:ilvl="2" w:tplc="B8ECA8D2">
      <w:start w:val="1"/>
      <w:numFmt w:val="bullet"/>
      <w:lvlText w:val=""/>
      <w:lvlJc w:val="left"/>
      <w:pPr>
        <w:ind w:left="2160" w:hanging="360"/>
      </w:pPr>
      <w:rPr>
        <w:rFonts w:ascii="Wingdings" w:hAnsi="Wingdings" w:hint="default"/>
      </w:rPr>
    </w:lvl>
    <w:lvl w:ilvl="3" w:tplc="0DCCA9A6">
      <w:start w:val="1"/>
      <w:numFmt w:val="bullet"/>
      <w:lvlText w:val=""/>
      <w:lvlJc w:val="left"/>
      <w:pPr>
        <w:ind w:left="2880" w:hanging="360"/>
      </w:pPr>
      <w:rPr>
        <w:rFonts w:ascii="Symbol" w:hAnsi="Symbol" w:hint="default"/>
      </w:rPr>
    </w:lvl>
    <w:lvl w:ilvl="4" w:tplc="BFE07CA0">
      <w:start w:val="1"/>
      <w:numFmt w:val="bullet"/>
      <w:lvlText w:val="o"/>
      <w:lvlJc w:val="left"/>
      <w:pPr>
        <w:ind w:left="3600" w:hanging="360"/>
      </w:pPr>
      <w:rPr>
        <w:rFonts w:ascii="Courier New" w:hAnsi="Courier New" w:hint="default"/>
      </w:rPr>
    </w:lvl>
    <w:lvl w:ilvl="5" w:tplc="63E0285A">
      <w:start w:val="1"/>
      <w:numFmt w:val="bullet"/>
      <w:lvlText w:val=""/>
      <w:lvlJc w:val="left"/>
      <w:pPr>
        <w:ind w:left="4320" w:hanging="360"/>
      </w:pPr>
      <w:rPr>
        <w:rFonts w:ascii="Wingdings" w:hAnsi="Wingdings" w:hint="default"/>
      </w:rPr>
    </w:lvl>
    <w:lvl w:ilvl="6" w:tplc="8222B424">
      <w:start w:val="1"/>
      <w:numFmt w:val="bullet"/>
      <w:lvlText w:val=""/>
      <w:lvlJc w:val="left"/>
      <w:pPr>
        <w:ind w:left="5040" w:hanging="360"/>
      </w:pPr>
      <w:rPr>
        <w:rFonts w:ascii="Symbol" w:hAnsi="Symbol" w:hint="default"/>
      </w:rPr>
    </w:lvl>
    <w:lvl w:ilvl="7" w:tplc="6DC83002">
      <w:start w:val="1"/>
      <w:numFmt w:val="bullet"/>
      <w:lvlText w:val="o"/>
      <w:lvlJc w:val="left"/>
      <w:pPr>
        <w:ind w:left="5760" w:hanging="360"/>
      </w:pPr>
      <w:rPr>
        <w:rFonts w:ascii="Courier New" w:hAnsi="Courier New" w:hint="default"/>
      </w:rPr>
    </w:lvl>
    <w:lvl w:ilvl="8" w:tplc="3DC65764">
      <w:start w:val="1"/>
      <w:numFmt w:val="bullet"/>
      <w:lvlText w:val=""/>
      <w:lvlJc w:val="left"/>
      <w:pPr>
        <w:ind w:left="6480" w:hanging="360"/>
      </w:pPr>
      <w:rPr>
        <w:rFonts w:ascii="Wingdings" w:hAnsi="Wingdings" w:hint="default"/>
      </w:rPr>
    </w:lvl>
  </w:abstractNum>
  <w:abstractNum w:abstractNumId="13" w15:restartNumberingAfterBreak="0">
    <w:nsid w:val="1969785B"/>
    <w:multiLevelType w:val="hybridMultilevel"/>
    <w:tmpl w:val="B37AC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B990093"/>
    <w:multiLevelType w:val="hybridMultilevel"/>
    <w:tmpl w:val="4750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F7C7A"/>
    <w:multiLevelType w:val="hybridMultilevel"/>
    <w:tmpl w:val="5636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073E5E"/>
    <w:multiLevelType w:val="hybridMultilevel"/>
    <w:tmpl w:val="E1EEECE8"/>
    <w:lvl w:ilvl="0" w:tplc="4AAE5E8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17120FB"/>
    <w:multiLevelType w:val="hybridMultilevel"/>
    <w:tmpl w:val="07D4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2A21E5"/>
    <w:multiLevelType w:val="hybridMultilevel"/>
    <w:tmpl w:val="FD4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613C5"/>
    <w:multiLevelType w:val="multilevel"/>
    <w:tmpl w:val="548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E80020"/>
    <w:multiLevelType w:val="multilevel"/>
    <w:tmpl w:val="F99A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9441A8"/>
    <w:multiLevelType w:val="multilevel"/>
    <w:tmpl w:val="21AE70F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2" w15:restartNumberingAfterBreak="0">
    <w:nsid w:val="3DB923C2"/>
    <w:multiLevelType w:val="hybridMultilevel"/>
    <w:tmpl w:val="742A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448D9"/>
    <w:multiLevelType w:val="multilevel"/>
    <w:tmpl w:val="D0527ABC"/>
    <w:styleLink w:val="FRAHeadings"/>
    <w:lvl w:ilvl="0">
      <w:start w:val="1"/>
      <w:numFmt w:val="decimal"/>
      <w:pStyle w:val="Heading1Numbered"/>
      <w:lvlText w:val="%1"/>
      <w:lvlJc w:val="left"/>
      <w:pPr>
        <w:ind w:left="907" w:hanging="907"/>
      </w:pPr>
      <w:rPr>
        <w:rFonts w:hint="default"/>
      </w:rPr>
    </w:lvl>
    <w:lvl w:ilvl="1">
      <w:start w:val="1"/>
      <w:numFmt w:val="decimal"/>
      <w:pStyle w:val="Heading2Numbered"/>
      <w:lvlText w:val="%1.%2"/>
      <w:lvlJc w:val="left"/>
      <w:pPr>
        <w:ind w:left="907" w:hanging="907"/>
      </w:pPr>
      <w:rPr>
        <w:rFonts w:hint="default"/>
      </w:rPr>
    </w:lvl>
    <w:lvl w:ilvl="2">
      <w:start w:val="1"/>
      <w:numFmt w:val="decimal"/>
      <w:pStyle w:val="Heading3Numbered"/>
      <w:lvlText w:val="%1.%2.%3"/>
      <w:lvlJc w:val="left"/>
      <w:pPr>
        <w:ind w:left="907" w:hanging="907"/>
      </w:pPr>
      <w:rPr>
        <w:rFonts w:hint="default"/>
      </w:rPr>
    </w:lvl>
    <w:lvl w:ilvl="3">
      <w:start w:val="1"/>
      <w:numFmt w:val="none"/>
      <w:pStyle w:val="Heading4Unnumbered"/>
      <w:lvlText w:val=""/>
      <w:lvlJc w:val="left"/>
      <w:pPr>
        <w:ind w:left="907" w:hanging="907"/>
      </w:pPr>
      <w:rPr>
        <w:rFonts w:hint="default"/>
      </w:rPr>
    </w:lvl>
    <w:lvl w:ilvl="4">
      <w:start w:val="1"/>
      <w:numFmt w:val="decimal"/>
      <w:lvlText w:val="%5."/>
      <w:lvlJc w:val="left"/>
      <w:pPr>
        <w:ind w:left="284" w:firstLine="0"/>
      </w:pPr>
      <w:rPr>
        <w:rFonts w:hint="default"/>
      </w:rPr>
    </w:lvl>
    <w:lvl w:ilvl="5">
      <w:start w:val="1"/>
      <w:numFmt w:val="bullet"/>
      <w:lvlRestart w:val="0"/>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24" w15:restartNumberingAfterBreak="0">
    <w:nsid w:val="66A33BB9"/>
    <w:multiLevelType w:val="hybridMultilevel"/>
    <w:tmpl w:val="C8B6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lvl w:ilvl="0">
        <w:start w:val="1"/>
        <w:numFmt w:val="decimal"/>
        <w:pStyle w:val="Heading1Numbered"/>
        <w:lvlText w:val="%1"/>
        <w:lvlJc w:val="left"/>
        <w:pPr>
          <w:ind w:left="907" w:hanging="907"/>
        </w:pPr>
        <w:rPr>
          <w:rFonts w:hint="default"/>
          <w:b/>
        </w:rPr>
      </w:lvl>
    </w:lvlOverride>
    <w:lvlOverride w:ilvl="1">
      <w:lvl w:ilvl="1">
        <w:start w:val="1"/>
        <w:numFmt w:val="decimal"/>
        <w:pStyle w:val="Heading2Numbered"/>
        <w:lvlText w:val="%1.%2"/>
        <w:lvlJc w:val="left"/>
        <w:pPr>
          <w:ind w:left="907" w:hanging="907"/>
        </w:pPr>
        <w:rPr>
          <w:rFonts w:hint="default"/>
        </w:rPr>
      </w:lvl>
    </w:lvlOverride>
    <w:lvlOverride w:ilvl="2">
      <w:lvl w:ilvl="2">
        <w:start w:val="1"/>
        <w:numFmt w:val="decimal"/>
        <w:pStyle w:val="Heading3Numbered"/>
        <w:lvlText w:val="%1.%2.%3"/>
        <w:lvlJc w:val="left"/>
        <w:pPr>
          <w:ind w:left="1191" w:hanging="907"/>
        </w:pPr>
        <w:rPr>
          <w:rFonts w:hint="default"/>
        </w:rPr>
      </w:lvl>
    </w:lvlOverride>
    <w:lvlOverride w:ilvl="3">
      <w:lvl w:ilvl="3">
        <w:start w:val="1"/>
        <w:numFmt w:val="none"/>
        <w:pStyle w:val="Heading4Unnumbered"/>
        <w:lvlText w:val=""/>
        <w:lvlJc w:val="left"/>
        <w:pPr>
          <w:ind w:left="907" w:hanging="907"/>
        </w:pPr>
        <w:rPr>
          <w:rFonts w:hint="default"/>
        </w:rPr>
      </w:lvl>
    </w:lvlOverride>
    <w:lvlOverride w:ilvl="4">
      <w:lvl w:ilvl="4">
        <w:start w:val="1"/>
        <w:numFmt w:val="decimal"/>
        <w:lvlText w:val="%5."/>
        <w:lvlJc w:val="left"/>
        <w:pPr>
          <w:ind w:left="284" w:firstLine="0"/>
        </w:pPr>
        <w:rPr>
          <w:rFonts w:hint="default"/>
        </w:rPr>
      </w:lvl>
    </w:lvlOverride>
    <w:lvlOverride w:ilvl="5">
      <w:lvl w:ilvl="5">
        <w:start w:val="1"/>
        <w:numFmt w:val="bullet"/>
        <w:lvlRestart w:val="0"/>
        <w:lvlText w:val=""/>
        <w:lvlJc w:val="left"/>
        <w:pPr>
          <w:ind w:left="284" w:firstLine="0"/>
        </w:pPr>
        <w:rPr>
          <w:rFonts w:ascii="Symbol" w:hAnsi="Symbol" w:hint="default"/>
          <w:color w:val="auto"/>
        </w:rPr>
      </w:lvl>
    </w:lvlOverride>
    <w:lvlOverride w:ilvl="6">
      <w:lvl w:ilvl="6">
        <w:start w:val="1"/>
        <w:numFmt w:val="none"/>
        <w:lvlText w:val="%7."/>
        <w:lvlJc w:val="left"/>
        <w:pPr>
          <w:ind w:left="907" w:hanging="907"/>
        </w:pPr>
        <w:rPr>
          <w:rFonts w:hint="default"/>
        </w:rPr>
      </w:lvl>
    </w:lvlOverride>
    <w:lvlOverride w:ilvl="7">
      <w:lvl w:ilvl="7">
        <w:start w:val="1"/>
        <w:numFmt w:val="none"/>
        <w:lvlText w:val="%8."/>
        <w:lvlJc w:val="left"/>
        <w:pPr>
          <w:ind w:left="907" w:hanging="907"/>
        </w:pPr>
        <w:rPr>
          <w:rFonts w:hint="default"/>
        </w:rPr>
      </w:lvl>
    </w:lvlOverride>
    <w:lvlOverride w:ilvl="8">
      <w:lvl w:ilvl="8">
        <w:start w:val="1"/>
        <w:numFmt w:val="none"/>
        <w:lvlText w:val="%9."/>
        <w:lvlJc w:val="right"/>
        <w:pPr>
          <w:ind w:left="907" w:hanging="907"/>
        </w:pPr>
        <w:rPr>
          <w:rFonts w:hint="default"/>
        </w:rPr>
      </w:lvl>
    </w:lvlOverride>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2"/>
  </w:num>
  <w:num w:numId="19">
    <w:abstractNumId w:val="13"/>
  </w:num>
  <w:num w:numId="20">
    <w:abstractNumId w:val="15"/>
  </w:num>
  <w:num w:numId="21">
    <w:abstractNumId w:val="21"/>
  </w:num>
  <w:num w:numId="22">
    <w:abstractNumId w:val="14"/>
  </w:num>
  <w:num w:numId="23">
    <w:abstractNumId w:val="20"/>
  </w:num>
  <w:num w:numId="24">
    <w:abstractNumId w:val="17"/>
  </w:num>
  <w:num w:numId="25">
    <w:abstractNumId w:val="12"/>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92"/>
    <w:rsid w:val="00011829"/>
    <w:rsid w:val="00011E7D"/>
    <w:rsid w:val="000208E3"/>
    <w:rsid w:val="000343F9"/>
    <w:rsid w:val="000428EC"/>
    <w:rsid w:val="00043EBD"/>
    <w:rsid w:val="00044121"/>
    <w:rsid w:val="000444B1"/>
    <w:rsid w:val="00053FA2"/>
    <w:rsid w:val="00054700"/>
    <w:rsid w:val="00056AE7"/>
    <w:rsid w:val="000602B2"/>
    <w:rsid w:val="000620D0"/>
    <w:rsid w:val="00062D7B"/>
    <w:rsid w:val="000646F9"/>
    <w:rsid w:val="0006720C"/>
    <w:rsid w:val="00073326"/>
    <w:rsid w:val="000739DB"/>
    <w:rsid w:val="00082D61"/>
    <w:rsid w:val="000831D4"/>
    <w:rsid w:val="000859A5"/>
    <w:rsid w:val="000959F7"/>
    <w:rsid w:val="000A11BF"/>
    <w:rsid w:val="000A3CA7"/>
    <w:rsid w:val="000A46E7"/>
    <w:rsid w:val="000A59C6"/>
    <w:rsid w:val="000B2B85"/>
    <w:rsid w:val="000B549A"/>
    <w:rsid w:val="000C7BDE"/>
    <w:rsid w:val="000D3753"/>
    <w:rsid w:val="000D4DB0"/>
    <w:rsid w:val="000D562E"/>
    <w:rsid w:val="000E3BC8"/>
    <w:rsid w:val="000F033C"/>
    <w:rsid w:val="000F1DD0"/>
    <w:rsid w:val="000F2AE8"/>
    <w:rsid w:val="00100065"/>
    <w:rsid w:val="001052E9"/>
    <w:rsid w:val="00105562"/>
    <w:rsid w:val="00106C85"/>
    <w:rsid w:val="00106D1F"/>
    <w:rsid w:val="00125F7C"/>
    <w:rsid w:val="0012697E"/>
    <w:rsid w:val="00127463"/>
    <w:rsid w:val="001301E9"/>
    <w:rsid w:val="001329B7"/>
    <w:rsid w:val="00134115"/>
    <w:rsid w:val="001347C0"/>
    <w:rsid w:val="00141059"/>
    <w:rsid w:val="00151DDC"/>
    <w:rsid w:val="00153018"/>
    <w:rsid w:val="00155B3D"/>
    <w:rsid w:val="00156907"/>
    <w:rsid w:val="00156D2C"/>
    <w:rsid w:val="00164831"/>
    <w:rsid w:val="00165EF5"/>
    <w:rsid w:val="00166CA3"/>
    <w:rsid w:val="00174432"/>
    <w:rsid w:val="00175E92"/>
    <w:rsid w:val="001777CD"/>
    <w:rsid w:val="00182118"/>
    <w:rsid w:val="001833D4"/>
    <w:rsid w:val="00191018"/>
    <w:rsid w:val="001A1A5D"/>
    <w:rsid w:val="001A28E9"/>
    <w:rsid w:val="001B5B50"/>
    <w:rsid w:val="001B6F02"/>
    <w:rsid w:val="001C0742"/>
    <w:rsid w:val="001C311F"/>
    <w:rsid w:val="001C3541"/>
    <w:rsid w:val="001D6663"/>
    <w:rsid w:val="001D7998"/>
    <w:rsid w:val="001E0B59"/>
    <w:rsid w:val="001E5EB9"/>
    <w:rsid w:val="001E7B28"/>
    <w:rsid w:val="001F1981"/>
    <w:rsid w:val="001F7237"/>
    <w:rsid w:val="00201639"/>
    <w:rsid w:val="00203B29"/>
    <w:rsid w:val="00206D0F"/>
    <w:rsid w:val="00207068"/>
    <w:rsid w:val="002075EA"/>
    <w:rsid w:val="00214738"/>
    <w:rsid w:val="00216435"/>
    <w:rsid w:val="00223767"/>
    <w:rsid w:val="00233692"/>
    <w:rsid w:val="00234B3E"/>
    <w:rsid w:val="002365CF"/>
    <w:rsid w:val="002459D7"/>
    <w:rsid w:val="00245C77"/>
    <w:rsid w:val="00251A79"/>
    <w:rsid w:val="00252189"/>
    <w:rsid w:val="00254CE5"/>
    <w:rsid w:val="00261DA5"/>
    <w:rsid w:val="00263737"/>
    <w:rsid w:val="0026389C"/>
    <w:rsid w:val="002655BA"/>
    <w:rsid w:val="00270FEE"/>
    <w:rsid w:val="00274651"/>
    <w:rsid w:val="002752E9"/>
    <w:rsid w:val="0027589F"/>
    <w:rsid w:val="002814E7"/>
    <w:rsid w:val="00294DE2"/>
    <w:rsid w:val="002A2389"/>
    <w:rsid w:val="002A60DC"/>
    <w:rsid w:val="002A7161"/>
    <w:rsid w:val="002B6F91"/>
    <w:rsid w:val="002C0300"/>
    <w:rsid w:val="002C350C"/>
    <w:rsid w:val="002C41D5"/>
    <w:rsid w:val="002C47FD"/>
    <w:rsid w:val="002C50F3"/>
    <w:rsid w:val="002C7D64"/>
    <w:rsid w:val="002D58DA"/>
    <w:rsid w:val="002D5C9D"/>
    <w:rsid w:val="002E0480"/>
    <w:rsid w:val="002E30A6"/>
    <w:rsid w:val="002E7227"/>
    <w:rsid w:val="002E77AE"/>
    <w:rsid w:val="002F5877"/>
    <w:rsid w:val="002F5A95"/>
    <w:rsid w:val="002F64C4"/>
    <w:rsid w:val="00300D07"/>
    <w:rsid w:val="00301A57"/>
    <w:rsid w:val="00302A7E"/>
    <w:rsid w:val="00306C97"/>
    <w:rsid w:val="0031173E"/>
    <w:rsid w:val="00320E2F"/>
    <w:rsid w:val="00321BF2"/>
    <w:rsid w:val="0032333E"/>
    <w:rsid w:val="00323CE0"/>
    <w:rsid w:val="00324F92"/>
    <w:rsid w:val="00326D05"/>
    <w:rsid w:val="003271A4"/>
    <w:rsid w:val="003323FD"/>
    <w:rsid w:val="00335A1C"/>
    <w:rsid w:val="003378CA"/>
    <w:rsid w:val="0034618C"/>
    <w:rsid w:val="0036164F"/>
    <w:rsid w:val="00362512"/>
    <w:rsid w:val="00364A0D"/>
    <w:rsid w:val="00371A9E"/>
    <w:rsid w:val="00383639"/>
    <w:rsid w:val="003908F6"/>
    <w:rsid w:val="0039283A"/>
    <w:rsid w:val="00394AC3"/>
    <w:rsid w:val="003A345C"/>
    <w:rsid w:val="003A36DE"/>
    <w:rsid w:val="003A7005"/>
    <w:rsid w:val="003B26D7"/>
    <w:rsid w:val="003B3A2A"/>
    <w:rsid w:val="003B46A9"/>
    <w:rsid w:val="003E28D8"/>
    <w:rsid w:val="003E3804"/>
    <w:rsid w:val="003E7A98"/>
    <w:rsid w:val="004031A8"/>
    <w:rsid w:val="00411E15"/>
    <w:rsid w:val="00412F41"/>
    <w:rsid w:val="00417E73"/>
    <w:rsid w:val="004217DD"/>
    <w:rsid w:val="004254A0"/>
    <w:rsid w:val="00426CE7"/>
    <w:rsid w:val="00426D2C"/>
    <w:rsid w:val="00435734"/>
    <w:rsid w:val="004362CE"/>
    <w:rsid w:val="00440468"/>
    <w:rsid w:val="0044481A"/>
    <w:rsid w:val="0044596A"/>
    <w:rsid w:val="00464895"/>
    <w:rsid w:val="00472836"/>
    <w:rsid w:val="004819ED"/>
    <w:rsid w:val="00483F90"/>
    <w:rsid w:val="00484254"/>
    <w:rsid w:val="004947DF"/>
    <w:rsid w:val="004A3D18"/>
    <w:rsid w:val="004A3FC3"/>
    <w:rsid w:val="004C2F64"/>
    <w:rsid w:val="004D2DFF"/>
    <w:rsid w:val="004D77CE"/>
    <w:rsid w:val="004D7E93"/>
    <w:rsid w:val="004E60CB"/>
    <w:rsid w:val="004E6FB3"/>
    <w:rsid w:val="004F3356"/>
    <w:rsid w:val="004F7A35"/>
    <w:rsid w:val="0050428A"/>
    <w:rsid w:val="00504F8D"/>
    <w:rsid w:val="005058D6"/>
    <w:rsid w:val="00515F1E"/>
    <w:rsid w:val="00526D92"/>
    <w:rsid w:val="00542D46"/>
    <w:rsid w:val="00543C72"/>
    <w:rsid w:val="0056157D"/>
    <w:rsid w:val="005641E2"/>
    <w:rsid w:val="005660C8"/>
    <w:rsid w:val="00567427"/>
    <w:rsid w:val="00572F8E"/>
    <w:rsid w:val="005775DC"/>
    <w:rsid w:val="00585C52"/>
    <w:rsid w:val="00585CAA"/>
    <w:rsid w:val="0059257A"/>
    <w:rsid w:val="00592B27"/>
    <w:rsid w:val="00592F62"/>
    <w:rsid w:val="0059702A"/>
    <w:rsid w:val="005A1F13"/>
    <w:rsid w:val="005A76DE"/>
    <w:rsid w:val="005B214B"/>
    <w:rsid w:val="005B2D2B"/>
    <w:rsid w:val="005B6E2F"/>
    <w:rsid w:val="005D003A"/>
    <w:rsid w:val="005D0F8B"/>
    <w:rsid w:val="005D44D7"/>
    <w:rsid w:val="005E2ED2"/>
    <w:rsid w:val="005E74F3"/>
    <w:rsid w:val="005E7F9B"/>
    <w:rsid w:val="005F227B"/>
    <w:rsid w:val="005F7DE5"/>
    <w:rsid w:val="006007A2"/>
    <w:rsid w:val="0060239A"/>
    <w:rsid w:val="00614EE5"/>
    <w:rsid w:val="00621F02"/>
    <w:rsid w:val="00624670"/>
    <w:rsid w:val="006365E5"/>
    <w:rsid w:val="00650CD5"/>
    <w:rsid w:val="0066251D"/>
    <w:rsid w:val="0066670C"/>
    <w:rsid w:val="006669CA"/>
    <w:rsid w:val="0066729F"/>
    <w:rsid w:val="00667C56"/>
    <w:rsid w:val="00667DAD"/>
    <w:rsid w:val="00671137"/>
    <w:rsid w:val="00674CE6"/>
    <w:rsid w:val="0067758B"/>
    <w:rsid w:val="006920B8"/>
    <w:rsid w:val="00692DA9"/>
    <w:rsid w:val="0069390B"/>
    <w:rsid w:val="00695A14"/>
    <w:rsid w:val="006A0F25"/>
    <w:rsid w:val="006A1157"/>
    <w:rsid w:val="006C1976"/>
    <w:rsid w:val="006C781E"/>
    <w:rsid w:val="006F30E2"/>
    <w:rsid w:val="006F3E57"/>
    <w:rsid w:val="006F4400"/>
    <w:rsid w:val="0070037E"/>
    <w:rsid w:val="007027E7"/>
    <w:rsid w:val="007079F2"/>
    <w:rsid w:val="00725766"/>
    <w:rsid w:val="0073192B"/>
    <w:rsid w:val="00731C1B"/>
    <w:rsid w:val="007374E8"/>
    <w:rsid w:val="007408F1"/>
    <w:rsid w:val="00744FE6"/>
    <w:rsid w:val="007502DB"/>
    <w:rsid w:val="00753EB9"/>
    <w:rsid w:val="0076513E"/>
    <w:rsid w:val="0076516C"/>
    <w:rsid w:val="0076602F"/>
    <w:rsid w:val="00776A8F"/>
    <w:rsid w:val="00776E12"/>
    <w:rsid w:val="007A22FA"/>
    <w:rsid w:val="007C0F78"/>
    <w:rsid w:val="007C25E7"/>
    <w:rsid w:val="007D34B6"/>
    <w:rsid w:val="007D3C27"/>
    <w:rsid w:val="007D6F5A"/>
    <w:rsid w:val="007F6EA1"/>
    <w:rsid w:val="00803431"/>
    <w:rsid w:val="00803B88"/>
    <w:rsid w:val="00807B8D"/>
    <w:rsid w:val="00811E6C"/>
    <w:rsid w:val="00812FA2"/>
    <w:rsid w:val="008137BE"/>
    <w:rsid w:val="008158B4"/>
    <w:rsid w:val="008176CD"/>
    <w:rsid w:val="00823C1E"/>
    <w:rsid w:val="00823C68"/>
    <w:rsid w:val="00836A67"/>
    <w:rsid w:val="00842269"/>
    <w:rsid w:val="00843103"/>
    <w:rsid w:val="00845BA4"/>
    <w:rsid w:val="008476D1"/>
    <w:rsid w:val="0085246B"/>
    <w:rsid w:val="00861082"/>
    <w:rsid w:val="008616E1"/>
    <w:rsid w:val="008633E5"/>
    <w:rsid w:val="0086745B"/>
    <w:rsid w:val="00871558"/>
    <w:rsid w:val="00887A91"/>
    <w:rsid w:val="00893B7B"/>
    <w:rsid w:val="0089542F"/>
    <w:rsid w:val="008B69B2"/>
    <w:rsid w:val="008B7570"/>
    <w:rsid w:val="008C165A"/>
    <w:rsid w:val="008C3396"/>
    <w:rsid w:val="008C3C2D"/>
    <w:rsid w:val="008D196A"/>
    <w:rsid w:val="008D2618"/>
    <w:rsid w:val="008D7EB6"/>
    <w:rsid w:val="008E00C2"/>
    <w:rsid w:val="008E4213"/>
    <w:rsid w:val="008E45B6"/>
    <w:rsid w:val="008E489A"/>
    <w:rsid w:val="008E4BBD"/>
    <w:rsid w:val="008E6074"/>
    <w:rsid w:val="008E6A77"/>
    <w:rsid w:val="008E7953"/>
    <w:rsid w:val="008F5378"/>
    <w:rsid w:val="008F6C35"/>
    <w:rsid w:val="008F7A5C"/>
    <w:rsid w:val="00900616"/>
    <w:rsid w:val="00901F9C"/>
    <w:rsid w:val="009041E9"/>
    <w:rsid w:val="009119B4"/>
    <w:rsid w:val="00915CD4"/>
    <w:rsid w:val="00922291"/>
    <w:rsid w:val="009250FD"/>
    <w:rsid w:val="00927F41"/>
    <w:rsid w:val="00930251"/>
    <w:rsid w:val="00930274"/>
    <w:rsid w:val="00931FEC"/>
    <w:rsid w:val="00932033"/>
    <w:rsid w:val="00934C85"/>
    <w:rsid w:val="009357DA"/>
    <w:rsid w:val="00953511"/>
    <w:rsid w:val="00954986"/>
    <w:rsid w:val="00954B50"/>
    <w:rsid w:val="00957688"/>
    <w:rsid w:val="009611F3"/>
    <w:rsid w:val="00964132"/>
    <w:rsid w:val="00980C24"/>
    <w:rsid w:val="00982919"/>
    <w:rsid w:val="00982FD0"/>
    <w:rsid w:val="00985B77"/>
    <w:rsid w:val="00987BC3"/>
    <w:rsid w:val="00995AE1"/>
    <w:rsid w:val="009B1DB8"/>
    <w:rsid w:val="009B268C"/>
    <w:rsid w:val="009B793D"/>
    <w:rsid w:val="009D5D04"/>
    <w:rsid w:val="009D6A39"/>
    <w:rsid w:val="009F0DBC"/>
    <w:rsid w:val="009F0E37"/>
    <w:rsid w:val="009F2183"/>
    <w:rsid w:val="00A000B4"/>
    <w:rsid w:val="00A14C1C"/>
    <w:rsid w:val="00A14D03"/>
    <w:rsid w:val="00A15D2A"/>
    <w:rsid w:val="00A23EF8"/>
    <w:rsid w:val="00A25916"/>
    <w:rsid w:val="00A25DF2"/>
    <w:rsid w:val="00A31A39"/>
    <w:rsid w:val="00A50648"/>
    <w:rsid w:val="00A5708C"/>
    <w:rsid w:val="00A6185A"/>
    <w:rsid w:val="00A625A9"/>
    <w:rsid w:val="00A634D2"/>
    <w:rsid w:val="00A638BF"/>
    <w:rsid w:val="00A63D35"/>
    <w:rsid w:val="00A70E91"/>
    <w:rsid w:val="00A712E8"/>
    <w:rsid w:val="00A73F5F"/>
    <w:rsid w:val="00A97BDA"/>
    <w:rsid w:val="00AA2DD5"/>
    <w:rsid w:val="00AB4CD4"/>
    <w:rsid w:val="00AC0814"/>
    <w:rsid w:val="00AD23A6"/>
    <w:rsid w:val="00AE1F02"/>
    <w:rsid w:val="00AE1FA7"/>
    <w:rsid w:val="00AF5BC2"/>
    <w:rsid w:val="00B05655"/>
    <w:rsid w:val="00B0723E"/>
    <w:rsid w:val="00B2724B"/>
    <w:rsid w:val="00B31200"/>
    <w:rsid w:val="00B3511E"/>
    <w:rsid w:val="00B47028"/>
    <w:rsid w:val="00B50173"/>
    <w:rsid w:val="00B52E73"/>
    <w:rsid w:val="00B57885"/>
    <w:rsid w:val="00B66184"/>
    <w:rsid w:val="00B66C9F"/>
    <w:rsid w:val="00B7500F"/>
    <w:rsid w:val="00B76850"/>
    <w:rsid w:val="00B923A8"/>
    <w:rsid w:val="00BA251F"/>
    <w:rsid w:val="00BA391B"/>
    <w:rsid w:val="00BB2CC1"/>
    <w:rsid w:val="00BB37AC"/>
    <w:rsid w:val="00BB3C5B"/>
    <w:rsid w:val="00BB6417"/>
    <w:rsid w:val="00BC5458"/>
    <w:rsid w:val="00BC5943"/>
    <w:rsid w:val="00BC6E15"/>
    <w:rsid w:val="00BD6220"/>
    <w:rsid w:val="00BE5669"/>
    <w:rsid w:val="00C015AD"/>
    <w:rsid w:val="00C05EE6"/>
    <w:rsid w:val="00C114FA"/>
    <w:rsid w:val="00C16A49"/>
    <w:rsid w:val="00C20B7A"/>
    <w:rsid w:val="00C22FE4"/>
    <w:rsid w:val="00C25EF2"/>
    <w:rsid w:val="00C264B7"/>
    <w:rsid w:val="00C27282"/>
    <w:rsid w:val="00C30DAA"/>
    <w:rsid w:val="00C33557"/>
    <w:rsid w:val="00C409D8"/>
    <w:rsid w:val="00C45443"/>
    <w:rsid w:val="00C50266"/>
    <w:rsid w:val="00C53A0B"/>
    <w:rsid w:val="00C6433B"/>
    <w:rsid w:val="00C646E1"/>
    <w:rsid w:val="00C667CB"/>
    <w:rsid w:val="00C74683"/>
    <w:rsid w:val="00C76A5D"/>
    <w:rsid w:val="00C82595"/>
    <w:rsid w:val="00CA6923"/>
    <w:rsid w:val="00CD1C1A"/>
    <w:rsid w:val="00CD4198"/>
    <w:rsid w:val="00CD5806"/>
    <w:rsid w:val="00CD652F"/>
    <w:rsid w:val="00D16A9E"/>
    <w:rsid w:val="00D2051D"/>
    <w:rsid w:val="00D22B9E"/>
    <w:rsid w:val="00D23772"/>
    <w:rsid w:val="00D330A7"/>
    <w:rsid w:val="00D439A6"/>
    <w:rsid w:val="00D4786F"/>
    <w:rsid w:val="00D47FA3"/>
    <w:rsid w:val="00D508A0"/>
    <w:rsid w:val="00D52AD0"/>
    <w:rsid w:val="00D67639"/>
    <w:rsid w:val="00D72BDE"/>
    <w:rsid w:val="00D87819"/>
    <w:rsid w:val="00D949C9"/>
    <w:rsid w:val="00D96123"/>
    <w:rsid w:val="00DA7E8A"/>
    <w:rsid w:val="00DB7E37"/>
    <w:rsid w:val="00DC2295"/>
    <w:rsid w:val="00DC4BAE"/>
    <w:rsid w:val="00DD04D8"/>
    <w:rsid w:val="00DD60C9"/>
    <w:rsid w:val="00DE06CF"/>
    <w:rsid w:val="00DE29F4"/>
    <w:rsid w:val="00DF1AD4"/>
    <w:rsid w:val="00E1078B"/>
    <w:rsid w:val="00E201DA"/>
    <w:rsid w:val="00E21FD0"/>
    <w:rsid w:val="00E23137"/>
    <w:rsid w:val="00E25F5E"/>
    <w:rsid w:val="00E40628"/>
    <w:rsid w:val="00E518F5"/>
    <w:rsid w:val="00E54568"/>
    <w:rsid w:val="00E61055"/>
    <w:rsid w:val="00E62926"/>
    <w:rsid w:val="00E84BD3"/>
    <w:rsid w:val="00EA25F9"/>
    <w:rsid w:val="00EA72E5"/>
    <w:rsid w:val="00EB3130"/>
    <w:rsid w:val="00EC0ED2"/>
    <w:rsid w:val="00EC392E"/>
    <w:rsid w:val="00EC39D7"/>
    <w:rsid w:val="00ED3591"/>
    <w:rsid w:val="00ED361E"/>
    <w:rsid w:val="00ED4411"/>
    <w:rsid w:val="00ED4C11"/>
    <w:rsid w:val="00ED54C1"/>
    <w:rsid w:val="00ED5CF2"/>
    <w:rsid w:val="00ED6003"/>
    <w:rsid w:val="00EE24DF"/>
    <w:rsid w:val="00EE46E8"/>
    <w:rsid w:val="00EE52B6"/>
    <w:rsid w:val="00EE66AA"/>
    <w:rsid w:val="00EF6AA1"/>
    <w:rsid w:val="00F023F3"/>
    <w:rsid w:val="00F024F6"/>
    <w:rsid w:val="00F03D90"/>
    <w:rsid w:val="00F04860"/>
    <w:rsid w:val="00F0680A"/>
    <w:rsid w:val="00F16790"/>
    <w:rsid w:val="00F17544"/>
    <w:rsid w:val="00F25409"/>
    <w:rsid w:val="00F26246"/>
    <w:rsid w:val="00F36589"/>
    <w:rsid w:val="00F470CF"/>
    <w:rsid w:val="00F67640"/>
    <w:rsid w:val="00F71322"/>
    <w:rsid w:val="00F73A43"/>
    <w:rsid w:val="00F73A7D"/>
    <w:rsid w:val="00F7407B"/>
    <w:rsid w:val="00F93966"/>
    <w:rsid w:val="00FB1C22"/>
    <w:rsid w:val="00FB2625"/>
    <w:rsid w:val="00FB3E8C"/>
    <w:rsid w:val="00FB439D"/>
    <w:rsid w:val="00FC5B9E"/>
    <w:rsid w:val="00FD3192"/>
    <w:rsid w:val="00FD3246"/>
    <w:rsid w:val="00FE7122"/>
    <w:rsid w:val="00FE71DC"/>
    <w:rsid w:val="00FF0268"/>
    <w:rsid w:val="00FF5F28"/>
    <w:rsid w:val="00FF61CB"/>
    <w:rsid w:val="00FF72F2"/>
    <w:rsid w:val="0378D36B"/>
    <w:rsid w:val="04051544"/>
    <w:rsid w:val="047E2456"/>
    <w:rsid w:val="057D2CD8"/>
    <w:rsid w:val="063A292B"/>
    <w:rsid w:val="06DDEE4F"/>
    <w:rsid w:val="0768AB23"/>
    <w:rsid w:val="07AED007"/>
    <w:rsid w:val="07F3FD71"/>
    <w:rsid w:val="08050577"/>
    <w:rsid w:val="083AB9CD"/>
    <w:rsid w:val="084EF494"/>
    <w:rsid w:val="099D182D"/>
    <w:rsid w:val="09D2CC83"/>
    <w:rsid w:val="0A25023A"/>
    <w:rsid w:val="0C2B918C"/>
    <w:rsid w:val="0C35C257"/>
    <w:rsid w:val="0CB9F951"/>
    <w:rsid w:val="0D629511"/>
    <w:rsid w:val="0DDC1277"/>
    <w:rsid w:val="0EA0BC20"/>
    <w:rsid w:val="0F9C5B1C"/>
    <w:rsid w:val="11AD7AFC"/>
    <w:rsid w:val="131EB6AB"/>
    <w:rsid w:val="1322D9F8"/>
    <w:rsid w:val="1378F701"/>
    <w:rsid w:val="1575E89B"/>
    <w:rsid w:val="15AA5888"/>
    <w:rsid w:val="161ACB70"/>
    <w:rsid w:val="1673D904"/>
    <w:rsid w:val="17467FD6"/>
    <w:rsid w:val="17B12256"/>
    <w:rsid w:val="17FDABC1"/>
    <w:rsid w:val="1819602A"/>
    <w:rsid w:val="181B5C12"/>
    <w:rsid w:val="18323127"/>
    <w:rsid w:val="1899D095"/>
    <w:rsid w:val="18BC51D6"/>
    <w:rsid w:val="18E51CCE"/>
    <w:rsid w:val="1A2D7DF0"/>
    <w:rsid w:val="1A3A29E5"/>
    <w:rsid w:val="1AB89E68"/>
    <w:rsid w:val="1AE95A90"/>
    <w:rsid w:val="1AF0ED0C"/>
    <w:rsid w:val="1B13B91F"/>
    <w:rsid w:val="1B21A934"/>
    <w:rsid w:val="1BBC9F18"/>
    <w:rsid w:val="1D32635E"/>
    <w:rsid w:val="1D363F1D"/>
    <w:rsid w:val="1E9AF967"/>
    <w:rsid w:val="2152C4E0"/>
    <w:rsid w:val="216A1D1E"/>
    <w:rsid w:val="217F31C0"/>
    <w:rsid w:val="21894CA9"/>
    <w:rsid w:val="22B5A73C"/>
    <w:rsid w:val="22F14547"/>
    <w:rsid w:val="23C489CF"/>
    <w:rsid w:val="2465D5F8"/>
    <w:rsid w:val="25BCE5E5"/>
    <w:rsid w:val="25DD3084"/>
    <w:rsid w:val="269A2CD7"/>
    <w:rsid w:val="26B2F2EE"/>
    <w:rsid w:val="271CE56A"/>
    <w:rsid w:val="283A7419"/>
    <w:rsid w:val="28650923"/>
    <w:rsid w:val="2904F735"/>
    <w:rsid w:val="2A7E973A"/>
    <w:rsid w:val="2A980E13"/>
    <w:rsid w:val="2B37FFCF"/>
    <w:rsid w:val="2E30FAD7"/>
    <w:rsid w:val="2E7413C8"/>
    <w:rsid w:val="2F08A525"/>
    <w:rsid w:val="2FC6D437"/>
    <w:rsid w:val="31331E29"/>
    <w:rsid w:val="3370A6AE"/>
    <w:rsid w:val="34257980"/>
    <w:rsid w:val="345C0149"/>
    <w:rsid w:val="3553990D"/>
    <w:rsid w:val="35BDD2C9"/>
    <w:rsid w:val="3662B909"/>
    <w:rsid w:val="36A68108"/>
    <w:rsid w:val="36FAE9B7"/>
    <w:rsid w:val="38112602"/>
    <w:rsid w:val="38E46A8A"/>
    <w:rsid w:val="396A7972"/>
    <w:rsid w:val="3A27A40B"/>
    <w:rsid w:val="3D52ACA0"/>
    <w:rsid w:val="4045190A"/>
    <w:rsid w:val="40885524"/>
    <w:rsid w:val="4383153F"/>
    <w:rsid w:val="45A776F5"/>
    <w:rsid w:val="4671B996"/>
    <w:rsid w:val="46A76DEC"/>
    <w:rsid w:val="46DBF352"/>
    <w:rsid w:val="48299792"/>
    <w:rsid w:val="48DD10D4"/>
    <w:rsid w:val="497935A8"/>
    <w:rsid w:val="499BB6E9"/>
    <w:rsid w:val="49D42CCB"/>
    <w:rsid w:val="4AFCD6C6"/>
    <w:rsid w:val="4B30640D"/>
    <w:rsid w:val="4DD0AD41"/>
    <w:rsid w:val="4E1FDC1A"/>
    <w:rsid w:val="4F81E65E"/>
    <w:rsid w:val="5076F891"/>
    <w:rsid w:val="547D7D25"/>
    <w:rsid w:val="5692130E"/>
    <w:rsid w:val="570684B4"/>
    <w:rsid w:val="57420DBD"/>
    <w:rsid w:val="588FCAFE"/>
    <w:rsid w:val="5920F6BF"/>
    <w:rsid w:val="598E5D53"/>
    <w:rsid w:val="59CCE523"/>
    <w:rsid w:val="59F8970F"/>
    <w:rsid w:val="5C1764E2"/>
    <w:rsid w:val="5C8438EC"/>
    <w:rsid w:val="5CFF1702"/>
    <w:rsid w:val="5DD80FBF"/>
    <w:rsid w:val="5F1D10AF"/>
    <w:rsid w:val="5F4A2A8F"/>
    <w:rsid w:val="60555A16"/>
    <w:rsid w:val="60B0F3C1"/>
    <w:rsid w:val="60BDBCDE"/>
    <w:rsid w:val="61F6916A"/>
    <w:rsid w:val="63DA6B2B"/>
    <w:rsid w:val="6414304D"/>
    <w:rsid w:val="673BF6FE"/>
    <w:rsid w:val="6793F9C4"/>
    <w:rsid w:val="68A6E31D"/>
    <w:rsid w:val="6AC6A6FF"/>
    <w:rsid w:val="6BA5E2F6"/>
    <w:rsid w:val="6C1851C6"/>
    <w:rsid w:val="6C41D74D"/>
    <w:rsid w:val="6C6111F3"/>
    <w:rsid w:val="6D0F0776"/>
    <w:rsid w:val="6D6F1580"/>
    <w:rsid w:val="6DED1AC4"/>
    <w:rsid w:val="6F14C9EB"/>
    <w:rsid w:val="6F745F01"/>
    <w:rsid w:val="6FEC7D3C"/>
    <w:rsid w:val="7104D58E"/>
    <w:rsid w:val="71F190EF"/>
    <w:rsid w:val="72350A72"/>
    <w:rsid w:val="73AA6916"/>
    <w:rsid w:val="73FEC2EE"/>
    <w:rsid w:val="74E01B1F"/>
    <w:rsid w:val="75183FD6"/>
    <w:rsid w:val="75427727"/>
    <w:rsid w:val="76AE8091"/>
    <w:rsid w:val="76B10712"/>
    <w:rsid w:val="771C9943"/>
    <w:rsid w:val="79A471E2"/>
    <w:rsid w:val="79DA2638"/>
    <w:rsid w:val="7A589ABB"/>
    <w:rsid w:val="7AC1A587"/>
    <w:rsid w:val="7BE1E105"/>
    <w:rsid w:val="7C29811B"/>
    <w:rsid w:val="7CD25FB1"/>
    <w:rsid w:val="7CE0735A"/>
    <w:rsid w:val="7CE51867"/>
    <w:rsid w:val="7F16BB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FBDD8D"/>
  <w15:chartTrackingRefBased/>
  <w15:docId w15:val="{2A7C268A-1180-4D72-B260-E4C4933B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C27"/>
    <w:pPr>
      <w:autoSpaceDE w:val="0"/>
      <w:autoSpaceDN w:val="0"/>
      <w:adjustRightInd w:val="0"/>
      <w:spacing w:after="0" w:line="288" w:lineRule="auto"/>
    </w:pPr>
    <w:rPr>
      <w:rFonts w:ascii="Verdana" w:eastAsia="Times New Roman" w:hAnsi="Verdana" w:cs="Times New Roman"/>
      <w:sz w:val="20"/>
      <w:lang w:eastAsia="en-GB"/>
    </w:rPr>
  </w:style>
  <w:style w:type="paragraph" w:styleId="Heading1">
    <w:name w:val="heading 1"/>
    <w:basedOn w:val="Normal"/>
    <w:next w:val="Normal"/>
    <w:link w:val="Heading1Char"/>
    <w:uiPriority w:val="9"/>
    <w:qFormat/>
    <w:rsid w:val="007F6EA1"/>
    <w:pPr>
      <w:keepNext/>
      <w:keepLines/>
      <w:tabs>
        <w:tab w:val="left" w:pos="851"/>
      </w:tabs>
      <w:spacing w:before="360" w:after="240" w:line="240" w:lineRule="auto"/>
      <w:outlineLvl w:val="0"/>
    </w:pPr>
    <w:rPr>
      <w:b/>
      <w:bCs/>
      <w:sz w:val="32"/>
      <w:szCs w:val="32"/>
      <w:lang w:val="en-IE"/>
    </w:rPr>
  </w:style>
  <w:style w:type="paragraph" w:styleId="Heading2">
    <w:name w:val="heading 2"/>
    <w:basedOn w:val="Normal"/>
    <w:next w:val="Normal"/>
    <w:link w:val="Heading2Char"/>
    <w:uiPriority w:val="9"/>
    <w:qFormat/>
    <w:rsid w:val="007F6EA1"/>
    <w:pPr>
      <w:keepNext/>
      <w:keepLines/>
      <w:tabs>
        <w:tab w:val="left" w:pos="851"/>
      </w:tabs>
      <w:spacing w:before="360" w:after="240" w:line="240" w:lineRule="auto"/>
      <w:outlineLvl w:val="1"/>
    </w:pPr>
    <w:rPr>
      <w:b/>
      <w:bCs/>
      <w:sz w:val="28"/>
      <w:szCs w:val="28"/>
      <w:lang w:val="en-IE"/>
    </w:rPr>
  </w:style>
  <w:style w:type="paragraph" w:styleId="Heading3">
    <w:name w:val="heading 3"/>
    <w:basedOn w:val="Normal"/>
    <w:next w:val="Normal"/>
    <w:link w:val="Heading3Char"/>
    <w:uiPriority w:val="9"/>
    <w:qFormat/>
    <w:rsid w:val="007F6EA1"/>
    <w:pPr>
      <w:keepNext/>
      <w:keepLines/>
      <w:tabs>
        <w:tab w:val="left" w:pos="851"/>
      </w:tabs>
      <w:spacing w:before="360" w:after="240" w:line="240" w:lineRule="auto"/>
      <w:outlineLvl w:val="2"/>
    </w:pPr>
    <w:rPr>
      <w:b/>
      <w:bCs/>
      <w:sz w:val="24"/>
      <w:szCs w:val="24"/>
    </w:rPr>
  </w:style>
  <w:style w:type="paragraph" w:styleId="Heading4">
    <w:name w:val="heading 4"/>
    <w:basedOn w:val="Normal"/>
    <w:next w:val="Normal"/>
    <w:link w:val="Heading4Char"/>
    <w:unhideWhenUsed/>
    <w:qFormat/>
    <w:rsid w:val="007F6EA1"/>
    <w:pPr>
      <w:keepNext/>
      <w:keepLines/>
      <w:tabs>
        <w:tab w:val="left" w:pos="1134"/>
      </w:tabs>
      <w:spacing w:before="360" w:after="240" w:line="240" w:lineRule="auto"/>
      <w:outlineLvl w:val="3"/>
    </w:pPr>
    <w:rPr>
      <w:bCs/>
      <w:iCs/>
      <w:sz w:val="24"/>
      <w:szCs w:val="24"/>
      <w:lang w:val="en-IE"/>
    </w:rPr>
  </w:style>
  <w:style w:type="paragraph" w:styleId="Heading5">
    <w:name w:val="heading 5"/>
    <w:basedOn w:val="Normal"/>
    <w:next w:val="Normal"/>
    <w:link w:val="Heading5Char"/>
    <w:unhideWhenUsed/>
    <w:rsid w:val="007F6EA1"/>
    <w:pPr>
      <w:keepNext/>
      <w:keepLines/>
      <w:tabs>
        <w:tab w:val="left" w:pos="1134"/>
      </w:tabs>
      <w:spacing w:before="240" w:after="120" w:line="240" w:lineRule="auto"/>
      <w:outlineLvl w:val="4"/>
    </w:pPr>
    <w:rPr>
      <w:b/>
      <w:szCs w:val="20"/>
      <w:lang w:val="en-IE"/>
    </w:rPr>
  </w:style>
  <w:style w:type="paragraph" w:styleId="Heading6">
    <w:name w:val="heading 6"/>
    <w:basedOn w:val="Normal"/>
    <w:next w:val="Normal"/>
    <w:link w:val="Heading6Char"/>
    <w:unhideWhenUsed/>
    <w:qFormat/>
    <w:rsid w:val="007F6EA1"/>
    <w:pPr>
      <w:spacing w:line="240" w:lineRule="auto"/>
      <w:outlineLvl w:val="5"/>
    </w:pPr>
    <w:rPr>
      <w:bCs/>
    </w:rPr>
  </w:style>
  <w:style w:type="paragraph" w:styleId="Heading7">
    <w:name w:val="heading 7"/>
    <w:basedOn w:val="Normal"/>
    <w:next w:val="Normal"/>
    <w:link w:val="Heading7Char"/>
    <w:unhideWhenUsed/>
    <w:qFormat/>
    <w:rsid w:val="007F6EA1"/>
    <w:pPr>
      <w:spacing w:line="240" w:lineRule="auto"/>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E9"/>
    <w:pPr>
      <w:ind w:left="720"/>
      <w:contextualSpacing/>
    </w:pPr>
  </w:style>
  <w:style w:type="paragraph" w:styleId="NoSpacing">
    <w:name w:val="No Spacing"/>
    <w:uiPriority w:val="1"/>
    <w:qFormat/>
    <w:rsid w:val="001833D4"/>
    <w:pPr>
      <w:autoSpaceDE w:val="0"/>
      <w:autoSpaceDN w:val="0"/>
      <w:adjustRightInd w:val="0"/>
      <w:spacing w:after="0" w:line="240" w:lineRule="auto"/>
      <w:jc w:val="both"/>
    </w:pPr>
    <w:rPr>
      <w:rFonts w:ascii="Verdana" w:eastAsia="Times New Roman" w:hAnsi="Verdana" w:cs="Times New Roman"/>
      <w:sz w:val="20"/>
      <w:lang w:eastAsia="en-GB"/>
    </w:rPr>
  </w:style>
  <w:style w:type="paragraph" w:customStyle="1" w:styleId="FRAdate">
    <w:name w:val="(FRA) date"/>
    <w:basedOn w:val="Normal"/>
    <w:next w:val="Normal"/>
    <w:qFormat/>
    <w:rsid w:val="001833D4"/>
    <w:pPr>
      <w:ind w:left="4820"/>
      <w:jc w:val="right"/>
    </w:pPr>
    <w:rPr>
      <w:szCs w:val="20"/>
      <w:lang w:val="en-IE"/>
    </w:rPr>
  </w:style>
  <w:style w:type="paragraph" w:customStyle="1" w:styleId="FRAReference">
    <w:name w:val="(FRA) Reference"/>
    <w:basedOn w:val="Normal"/>
    <w:next w:val="Normal"/>
    <w:qFormat/>
    <w:rsid w:val="001833D4"/>
    <w:pPr>
      <w:ind w:left="4820"/>
      <w:jc w:val="right"/>
    </w:pPr>
    <w:rPr>
      <w:sz w:val="16"/>
      <w:szCs w:val="16"/>
      <w:lang w:val="en-IE"/>
    </w:rPr>
  </w:style>
  <w:style w:type="paragraph" w:styleId="Title">
    <w:name w:val="Title"/>
    <w:basedOn w:val="Normal"/>
    <w:next w:val="Normal"/>
    <w:link w:val="TitleChar"/>
    <w:uiPriority w:val="10"/>
    <w:qFormat/>
    <w:rsid w:val="001052E9"/>
    <w:pPr>
      <w:spacing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052E9"/>
    <w:rPr>
      <w:rFonts w:ascii="Verdana" w:eastAsiaTheme="majorEastAsia" w:hAnsi="Verdana" w:cstheme="majorBidi"/>
      <w:spacing w:val="-10"/>
      <w:kern w:val="28"/>
      <w:sz w:val="32"/>
      <w:szCs w:val="56"/>
      <w:lang w:eastAsia="en-GB"/>
    </w:rPr>
  </w:style>
  <w:style w:type="paragraph" w:styleId="Subtitle">
    <w:name w:val="Subtitle"/>
    <w:basedOn w:val="Normal"/>
    <w:next w:val="Normal"/>
    <w:link w:val="SubtitleChar"/>
    <w:uiPriority w:val="11"/>
    <w:qFormat/>
    <w:rsid w:val="001833D4"/>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1833D4"/>
    <w:rPr>
      <w:rFonts w:ascii="Verdana" w:eastAsiaTheme="minorEastAsia" w:hAnsi="Verdana"/>
      <w:color w:val="5A5A5A" w:themeColor="text1" w:themeTint="A5"/>
      <w:spacing w:val="15"/>
      <w:lang w:eastAsia="en-GB"/>
    </w:rPr>
  </w:style>
  <w:style w:type="character" w:styleId="SubtleEmphasis">
    <w:name w:val="Subtle Emphasis"/>
    <w:basedOn w:val="DefaultParagraphFont"/>
    <w:uiPriority w:val="19"/>
    <w:qFormat/>
    <w:rsid w:val="001052E9"/>
    <w:rPr>
      <w:i/>
      <w:iCs/>
      <w:color w:val="404040" w:themeColor="text1" w:themeTint="BF"/>
    </w:rPr>
  </w:style>
  <w:style w:type="character" w:customStyle="1" w:styleId="Heading1Char">
    <w:name w:val="Heading 1 Char"/>
    <w:basedOn w:val="DefaultParagraphFont"/>
    <w:link w:val="Heading1"/>
    <w:uiPriority w:val="9"/>
    <w:rsid w:val="007F6EA1"/>
    <w:rPr>
      <w:rFonts w:ascii="Verdana" w:eastAsia="Times New Roman" w:hAnsi="Verdana" w:cs="Times New Roman"/>
      <w:b/>
      <w:bCs/>
      <w:sz w:val="32"/>
      <w:szCs w:val="32"/>
      <w:lang w:val="en-IE" w:eastAsia="en-GB"/>
    </w:rPr>
  </w:style>
  <w:style w:type="character" w:customStyle="1" w:styleId="Heading2Char">
    <w:name w:val="Heading 2 Char"/>
    <w:basedOn w:val="DefaultParagraphFont"/>
    <w:link w:val="Heading2"/>
    <w:uiPriority w:val="9"/>
    <w:rsid w:val="007F6EA1"/>
    <w:rPr>
      <w:rFonts w:ascii="Verdana" w:eastAsia="Times New Roman" w:hAnsi="Verdana" w:cs="Times New Roman"/>
      <w:b/>
      <w:bCs/>
      <w:sz w:val="28"/>
      <w:szCs w:val="28"/>
      <w:lang w:val="en-IE" w:eastAsia="en-GB"/>
    </w:rPr>
  </w:style>
  <w:style w:type="character" w:customStyle="1" w:styleId="Heading3Char">
    <w:name w:val="Heading 3 Char"/>
    <w:basedOn w:val="DefaultParagraphFont"/>
    <w:link w:val="Heading3"/>
    <w:uiPriority w:val="9"/>
    <w:rsid w:val="007F6EA1"/>
    <w:rPr>
      <w:rFonts w:ascii="Verdana" w:eastAsia="Times New Roman" w:hAnsi="Verdana" w:cs="Times New Roman"/>
      <w:b/>
      <w:bCs/>
      <w:sz w:val="24"/>
      <w:szCs w:val="24"/>
      <w:lang w:eastAsia="en-GB"/>
    </w:rPr>
  </w:style>
  <w:style w:type="character" w:customStyle="1" w:styleId="Heading4Char">
    <w:name w:val="Heading 4 Char"/>
    <w:basedOn w:val="DefaultParagraphFont"/>
    <w:link w:val="Heading4"/>
    <w:rsid w:val="007F6EA1"/>
    <w:rPr>
      <w:rFonts w:ascii="Verdana" w:eastAsia="Times New Roman" w:hAnsi="Verdana" w:cs="Times New Roman"/>
      <w:bCs/>
      <w:iCs/>
      <w:sz w:val="24"/>
      <w:szCs w:val="24"/>
      <w:lang w:val="en-IE" w:eastAsia="en-GB"/>
    </w:rPr>
  </w:style>
  <w:style w:type="character" w:customStyle="1" w:styleId="Heading5Char">
    <w:name w:val="Heading 5 Char"/>
    <w:basedOn w:val="DefaultParagraphFont"/>
    <w:link w:val="Heading5"/>
    <w:rsid w:val="007F6EA1"/>
    <w:rPr>
      <w:rFonts w:ascii="Verdana" w:eastAsia="Times New Roman" w:hAnsi="Verdana" w:cs="Times New Roman"/>
      <w:b/>
      <w:sz w:val="20"/>
      <w:szCs w:val="20"/>
      <w:lang w:val="en-IE" w:eastAsia="en-GB"/>
    </w:rPr>
  </w:style>
  <w:style w:type="character" w:customStyle="1" w:styleId="Heading6Char">
    <w:name w:val="Heading 6 Char"/>
    <w:basedOn w:val="DefaultParagraphFont"/>
    <w:link w:val="Heading6"/>
    <w:rsid w:val="007F6EA1"/>
    <w:rPr>
      <w:rFonts w:ascii="Verdana" w:eastAsia="Times New Roman" w:hAnsi="Verdana" w:cs="Times New Roman"/>
      <w:bCs/>
      <w:sz w:val="20"/>
      <w:lang w:eastAsia="en-GB"/>
    </w:rPr>
  </w:style>
  <w:style w:type="character" w:customStyle="1" w:styleId="Heading7Char">
    <w:name w:val="Heading 7 Char"/>
    <w:basedOn w:val="DefaultParagraphFont"/>
    <w:link w:val="Heading7"/>
    <w:rsid w:val="007F6EA1"/>
    <w:rPr>
      <w:rFonts w:ascii="Verdana" w:eastAsia="Times New Roman" w:hAnsi="Verdana" w:cs="Times New Roman"/>
      <w:sz w:val="20"/>
      <w:szCs w:val="24"/>
      <w:lang w:eastAsia="en-GB"/>
    </w:rPr>
  </w:style>
  <w:style w:type="paragraph" w:customStyle="1" w:styleId="Heading1Numbered">
    <w:name w:val="Heading 1 (Numbered)"/>
    <w:basedOn w:val="Normal"/>
    <w:next w:val="Normal"/>
    <w:uiPriority w:val="1"/>
    <w:qFormat/>
    <w:locked/>
    <w:rsid w:val="007F6EA1"/>
    <w:pPr>
      <w:keepNext/>
      <w:numPr>
        <w:numId w:val="1"/>
      </w:numPr>
      <w:tabs>
        <w:tab w:val="left" w:pos="907"/>
      </w:tabs>
      <w:spacing w:before="360" w:after="240" w:line="240" w:lineRule="auto"/>
      <w:outlineLvl w:val="0"/>
    </w:pPr>
    <w:rPr>
      <w:rFonts w:eastAsia="Calibri" w:cs="Arial"/>
      <w:b/>
      <w:sz w:val="32"/>
      <w:szCs w:val="32"/>
      <w:lang w:eastAsia="en-US" w:bidi="en-US"/>
    </w:rPr>
  </w:style>
  <w:style w:type="paragraph" w:customStyle="1" w:styleId="Heading2Numbered">
    <w:name w:val="Heading 2 (Numbered)"/>
    <w:basedOn w:val="Heading1Numbered"/>
    <w:next w:val="Normal"/>
    <w:uiPriority w:val="1"/>
    <w:qFormat/>
    <w:locked/>
    <w:rsid w:val="007F6EA1"/>
    <w:pPr>
      <w:numPr>
        <w:ilvl w:val="1"/>
      </w:numPr>
      <w:outlineLvl w:val="1"/>
    </w:pPr>
    <w:rPr>
      <w:sz w:val="28"/>
      <w:szCs w:val="28"/>
    </w:rPr>
  </w:style>
  <w:style w:type="paragraph" w:customStyle="1" w:styleId="Heading3Numbered">
    <w:name w:val="Heading 3 (Numbered)"/>
    <w:basedOn w:val="Heading2Numbered"/>
    <w:next w:val="Normal"/>
    <w:uiPriority w:val="1"/>
    <w:qFormat/>
    <w:locked/>
    <w:rsid w:val="007F6EA1"/>
    <w:pPr>
      <w:numPr>
        <w:ilvl w:val="2"/>
      </w:numPr>
      <w:outlineLvl w:val="2"/>
    </w:pPr>
    <w:rPr>
      <w:sz w:val="24"/>
      <w:szCs w:val="24"/>
    </w:rPr>
  </w:style>
  <w:style w:type="paragraph" w:customStyle="1" w:styleId="Heading4Unnumbered">
    <w:name w:val="Heading 4 (Un numbered)"/>
    <w:basedOn w:val="Heading3Numbered"/>
    <w:next w:val="Normal"/>
    <w:rsid w:val="007F6EA1"/>
    <w:pPr>
      <w:numPr>
        <w:ilvl w:val="3"/>
      </w:numPr>
      <w:outlineLvl w:val="3"/>
    </w:pPr>
    <w:rPr>
      <w:sz w:val="22"/>
      <w:u w:val="single"/>
    </w:rPr>
  </w:style>
  <w:style w:type="numbering" w:customStyle="1" w:styleId="FRAHeadings">
    <w:name w:val="(FRA) Headings"/>
    <w:uiPriority w:val="99"/>
    <w:rsid w:val="007F6EA1"/>
    <w:pPr>
      <w:numPr>
        <w:numId w:val="1"/>
      </w:numPr>
    </w:pPr>
  </w:style>
  <w:style w:type="character" w:styleId="Emphasis">
    <w:name w:val="Emphasis"/>
    <w:basedOn w:val="DefaultParagraphFont"/>
    <w:uiPriority w:val="20"/>
    <w:qFormat/>
    <w:rsid w:val="001052E9"/>
    <w:rPr>
      <w:i/>
      <w:iCs/>
    </w:rPr>
  </w:style>
  <w:style w:type="character" w:styleId="IntenseEmphasis">
    <w:name w:val="Intense Emphasis"/>
    <w:basedOn w:val="DefaultParagraphFont"/>
    <w:uiPriority w:val="21"/>
    <w:qFormat/>
    <w:rsid w:val="001052E9"/>
    <w:rPr>
      <w:i/>
      <w:iCs/>
      <w:color w:val="5B9BD5" w:themeColor="accent1"/>
    </w:rPr>
  </w:style>
  <w:style w:type="character" w:styleId="Strong">
    <w:name w:val="Strong"/>
    <w:basedOn w:val="DefaultParagraphFont"/>
    <w:uiPriority w:val="22"/>
    <w:qFormat/>
    <w:rsid w:val="001052E9"/>
    <w:rPr>
      <w:b/>
      <w:bCs/>
    </w:rPr>
  </w:style>
  <w:style w:type="paragraph" w:styleId="Quote">
    <w:name w:val="Quote"/>
    <w:basedOn w:val="Normal"/>
    <w:next w:val="Normal"/>
    <w:link w:val="QuoteChar"/>
    <w:uiPriority w:val="29"/>
    <w:qFormat/>
    <w:rsid w:val="001052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52E9"/>
    <w:rPr>
      <w:rFonts w:ascii="Verdana" w:eastAsia="Times New Roman" w:hAnsi="Verdana" w:cs="Times New Roman"/>
      <w:i/>
      <w:iCs/>
      <w:color w:val="404040" w:themeColor="text1" w:themeTint="BF"/>
      <w:sz w:val="20"/>
      <w:lang w:eastAsia="en-GB"/>
    </w:rPr>
  </w:style>
  <w:style w:type="paragraph" w:styleId="IntenseQuote">
    <w:name w:val="Intense Quote"/>
    <w:basedOn w:val="Normal"/>
    <w:next w:val="Normal"/>
    <w:link w:val="IntenseQuoteChar"/>
    <w:uiPriority w:val="30"/>
    <w:qFormat/>
    <w:rsid w:val="001052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52E9"/>
    <w:rPr>
      <w:rFonts w:ascii="Verdana" w:eastAsia="Times New Roman" w:hAnsi="Verdana" w:cs="Times New Roman"/>
      <w:i/>
      <w:iCs/>
      <w:color w:val="5B9BD5" w:themeColor="accent1"/>
      <w:sz w:val="20"/>
      <w:lang w:eastAsia="en-GB"/>
    </w:rPr>
  </w:style>
  <w:style w:type="character" w:styleId="SubtleReference">
    <w:name w:val="Subtle Reference"/>
    <w:basedOn w:val="DefaultParagraphFont"/>
    <w:uiPriority w:val="31"/>
    <w:qFormat/>
    <w:rsid w:val="001052E9"/>
    <w:rPr>
      <w:smallCaps/>
      <w:color w:val="5A5A5A" w:themeColor="text1" w:themeTint="A5"/>
    </w:rPr>
  </w:style>
  <w:style w:type="character" w:styleId="IntenseReference">
    <w:name w:val="Intense Reference"/>
    <w:basedOn w:val="DefaultParagraphFont"/>
    <w:uiPriority w:val="32"/>
    <w:qFormat/>
    <w:rsid w:val="001052E9"/>
    <w:rPr>
      <w:b/>
      <w:bCs/>
      <w:smallCaps/>
      <w:color w:val="5B9BD5" w:themeColor="accent1"/>
      <w:spacing w:val="5"/>
    </w:rPr>
  </w:style>
  <w:style w:type="character" w:styleId="BookTitle">
    <w:name w:val="Book Title"/>
    <w:basedOn w:val="DefaultParagraphFont"/>
    <w:uiPriority w:val="33"/>
    <w:qFormat/>
    <w:rsid w:val="001052E9"/>
    <w:rPr>
      <w:b/>
      <w:bCs/>
      <w:i/>
      <w:iCs/>
      <w:spacing w:val="5"/>
    </w:rPr>
  </w:style>
  <w:style w:type="paragraph" w:customStyle="1" w:styleId="FRASubject">
    <w:name w:val="(FRA) Subject"/>
    <w:basedOn w:val="Normal"/>
    <w:next w:val="Normal"/>
    <w:qFormat/>
    <w:rsid w:val="001833D4"/>
    <w:pPr>
      <w:widowControl w:val="0"/>
      <w:textAlignment w:val="center"/>
    </w:pPr>
    <w:rPr>
      <w:rFonts w:eastAsia="Cambria" w:cs="MinionPro-Regular"/>
      <w:b/>
      <w:color w:val="000000"/>
      <w:sz w:val="22"/>
      <w:lang w:val="en-IE" w:eastAsia="de-DE"/>
    </w:rPr>
  </w:style>
  <w:style w:type="paragraph" w:styleId="Header">
    <w:name w:val="header"/>
    <w:basedOn w:val="Normal"/>
    <w:link w:val="HeaderChar"/>
    <w:uiPriority w:val="99"/>
    <w:unhideWhenUsed/>
    <w:rsid w:val="001833D4"/>
    <w:pPr>
      <w:tabs>
        <w:tab w:val="center" w:pos="4513"/>
        <w:tab w:val="right" w:pos="9026"/>
      </w:tabs>
      <w:spacing w:line="240" w:lineRule="auto"/>
    </w:pPr>
  </w:style>
  <w:style w:type="character" w:customStyle="1" w:styleId="HeaderChar">
    <w:name w:val="Header Char"/>
    <w:basedOn w:val="DefaultParagraphFont"/>
    <w:link w:val="Header"/>
    <w:uiPriority w:val="99"/>
    <w:rsid w:val="001833D4"/>
    <w:rPr>
      <w:rFonts w:ascii="Verdana" w:eastAsia="Times New Roman" w:hAnsi="Verdana" w:cs="Times New Roman"/>
      <w:noProof/>
      <w:sz w:val="20"/>
      <w:lang w:eastAsia="en-GB"/>
    </w:rPr>
  </w:style>
  <w:style w:type="paragraph" w:customStyle="1" w:styleId="FRAFooter">
    <w:name w:val="(FRA) Footer"/>
    <w:basedOn w:val="Normal"/>
    <w:qFormat/>
    <w:rsid w:val="00922291"/>
    <w:pPr>
      <w:ind w:left="-170"/>
    </w:pPr>
    <w:rPr>
      <w:color w:val="404040"/>
      <w:w w:val="95"/>
      <w:sz w:val="12"/>
      <w:szCs w:val="12"/>
    </w:rPr>
  </w:style>
  <w:style w:type="paragraph" w:styleId="Footer">
    <w:name w:val="footer"/>
    <w:basedOn w:val="Normal"/>
    <w:link w:val="FooterChar"/>
    <w:uiPriority w:val="99"/>
    <w:unhideWhenUsed/>
    <w:rsid w:val="00543C72"/>
    <w:pPr>
      <w:tabs>
        <w:tab w:val="center" w:pos="4513"/>
        <w:tab w:val="right" w:pos="9026"/>
      </w:tabs>
      <w:spacing w:line="240" w:lineRule="auto"/>
    </w:pPr>
  </w:style>
  <w:style w:type="character" w:styleId="Hyperlink">
    <w:name w:val="Hyperlink"/>
    <w:basedOn w:val="DefaultParagraphFont"/>
    <w:uiPriority w:val="99"/>
    <w:unhideWhenUsed/>
    <w:rsid w:val="00964132"/>
    <w:rPr>
      <w:color w:val="0563C1" w:themeColor="hyperlink"/>
      <w:u w:val="single"/>
    </w:rPr>
  </w:style>
  <w:style w:type="character" w:customStyle="1" w:styleId="FooterChar">
    <w:name w:val="Footer Char"/>
    <w:basedOn w:val="DefaultParagraphFont"/>
    <w:link w:val="Footer"/>
    <w:uiPriority w:val="99"/>
    <w:rsid w:val="00543C72"/>
    <w:rPr>
      <w:rFonts w:ascii="Verdana" w:eastAsia="Times New Roman" w:hAnsi="Verdana" w:cs="Times New Roman"/>
      <w:noProof/>
      <w:sz w:val="20"/>
      <w:lang w:eastAsia="en-GB"/>
    </w:rPr>
  </w:style>
  <w:style w:type="paragraph" w:styleId="BalloonText">
    <w:name w:val="Balloon Text"/>
    <w:basedOn w:val="Normal"/>
    <w:link w:val="BalloonTextChar"/>
    <w:uiPriority w:val="99"/>
    <w:semiHidden/>
    <w:unhideWhenUsed/>
    <w:rsid w:val="00543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72"/>
    <w:rPr>
      <w:rFonts w:ascii="Segoe UI" w:eastAsia="Times New Roman" w:hAnsi="Segoe UI" w:cs="Segoe UI"/>
      <w:noProof/>
      <w:sz w:val="18"/>
      <w:szCs w:val="18"/>
      <w:lang w:eastAsia="en-GB"/>
    </w:rPr>
  </w:style>
  <w:style w:type="character" w:styleId="PlaceholderText">
    <w:name w:val="Placeholder Text"/>
    <w:basedOn w:val="DefaultParagraphFont"/>
    <w:uiPriority w:val="99"/>
    <w:semiHidden/>
    <w:rsid w:val="00621F02"/>
    <w:rPr>
      <w:color w:val="808080"/>
    </w:rPr>
  </w:style>
  <w:style w:type="paragraph" w:customStyle="1" w:styleId="FRAFot">
    <w:name w:val="(FRA) Fot"/>
    <w:basedOn w:val="Normal"/>
    <w:qFormat/>
    <w:rsid w:val="00073326"/>
    <w:pPr>
      <w:ind w:left="-170"/>
    </w:pPr>
    <w:rPr>
      <w:color w:val="404040"/>
      <w:w w:val="95"/>
      <w:sz w:val="12"/>
      <w:szCs w:val="12"/>
    </w:rPr>
  </w:style>
  <w:style w:type="paragraph" w:customStyle="1" w:styleId="FRAADDRESS">
    <w:name w:val="(FRA) ADDRESS"/>
    <w:basedOn w:val="Normal"/>
    <w:qFormat/>
    <w:rsid w:val="00234B3E"/>
  </w:style>
  <w:style w:type="paragraph" w:styleId="HTMLPreformatted">
    <w:name w:val="HTML Preformatted"/>
    <w:basedOn w:val="Normal"/>
    <w:link w:val="HTMLPreformattedChar"/>
    <w:uiPriority w:val="99"/>
    <w:unhideWhenUsed/>
    <w:rsid w:val="0052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526D92"/>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E518F5"/>
    <w:pPr>
      <w:autoSpaceDE/>
      <w:autoSpaceDN/>
      <w:adjustRightInd/>
      <w:spacing w:line="240" w:lineRule="auto"/>
    </w:pPr>
    <w:rPr>
      <w:rFonts w:asciiTheme="minorHAnsi" w:eastAsiaTheme="minorHAnsi" w:hAnsiTheme="minorHAnsi" w:cstheme="minorBidi"/>
      <w:szCs w:val="20"/>
      <w:lang w:eastAsia="en-US"/>
    </w:rPr>
  </w:style>
  <w:style w:type="character" w:customStyle="1" w:styleId="FootnoteTextChar">
    <w:name w:val="Footnote Text Char"/>
    <w:basedOn w:val="DefaultParagraphFont"/>
    <w:link w:val="FootnoteText"/>
    <w:uiPriority w:val="99"/>
    <w:semiHidden/>
    <w:rsid w:val="00E518F5"/>
    <w:rPr>
      <w:sz w:val="20"/>
      <w:szCs w:val="20"/>
    </w:rPr>
  </w:style>
  <w:style w:type="character" w:styleId="FootnoteReference">
    <w:name w:val="footnote reference"/>
    <w:aliases w:val="referencia nota al pie,Footnote symbol,Footnote,FC,Texto de nota al pie,BVI fnr,Ref. de nota al pie2,Nota de pie,Ref,de nota al pie,Pie de pagina,Texto nota al pie,Appel note de bas de p,Ref. de nota al pie 2,ftref, BVI fnr, Car1"/>
    <w:basedOn w:val="DefaultParagraphFont"/>
    <w:link w:val="BVIfnrCharCar1CarChar"/>
    <w:uiPriority w:val="99"/>
    <w:unhideWhenUsed/>
    <w:rsid w:val="00E518F5"/>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E518F5"/>
    <w:pPr>
      <w:autoSpaceDE/>
      <w:autoSpaceDN/>
      <w:adjustRightInd/>
      <w:spacing w:before="30" w:after="160" w:line="240" w:lineRule="exact"/>
      <w:jc w:val="both"/>
    </w:pPr>
    <w:rPr>
      <w:rFonts w:asciiTheme="minorHAnsi" w:eastAsiaTheme="minorHAnsi" w:hAnsiTheme="minorHAnsi" w:cstheme="minorBidi"/>
      <w:sz w:val="22"/>
      <w:vertAlign w:val="superscript"/>
      <w:lang w:eastAsia="en-US"/>
    </w:rPr>
  </w:style>
  <w:style w:type="paragraph" w:customStyle="1" w:styleId="Briefinglist1">
    <w:name w:val="Briefing list 1"/>
    <w:basedOn w:val="Normal"/>
    <w:rsid w:val="00E518F5"/>
    <w:pPr>
      <w:keepLines/>
      <w:numPr>
        <w:numId w:val="13"/>
      </w:numPr>
      <w:autoSpaceDE/>
      <w:autoSpaceDN/>
      <w:adjustRightInd/>
      <w:spacing w:after="120" w:line="240" w:lineRule="auto"/>
      <w:jc w:val="both"/>
    </w:pPr>
    <w:rPr>
      <w:rFonts w:ascii="Arial" w:hAnsi="Arial" w:cs="Arial"/>
      <w:sz w:val="22"/>
      <w:szCs w:val="24"/>
      <w:lang w:eastAsia="en-US"/>
    </w:rPr>
  </w:style>
  <w:style w:type="paragraph" w:customStyle="1" w:styleId="Default">
    <w:name w:val="Default"/>
    <w:rsid w:val="004254A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254A0"/>
    <w:pPr>
      <w:autoSpaceDE/>
      <w:autoSpaceDN/>
      <w:adjustRightInd/>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F023F3"/>
    <w:rPr>
      <w:sz w:val="16"/>
      <w:szCs w:val="16"/>
    </w:rPr>
  </w:style>
  <w:style w:type="paragraph" w:styleId="CommentText">
    <w:name w:val="annotation text"/>
    <w:basedOn w:val="Normal"/>
    <w:link w:val="CommentTextChar"/>
    <w:uiPriority w:val="99"/>
    <w:semiHidden/>
    <w:unhideWhenUsed/>
    <w:rsid w:val="00F023F3"/>
    <w:pPr>
      <w:spacing w:line="240" w:lineRule="auto"/>
    </w:pPr>
    <w:rPr>
      <w:szCs w:val="20"/>
    </w:rPr>
  </w:style>
  <w:style w:type="character" w:customStyle="1" w:styleId="CommentTextChar">
    <w:name w:val="Comment Text Char"/>
    <w:basedOn w:val="DefaultParagraphFont"/>
    <w:link w:val="CommentText"/>
    <w:uiPriority w:val="99"/>
    <w:semiHidden/>
    <w:rsid w:val="00F023F3"/>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23F3"/>
    <w:rPr>
      <w:b/>
      <w:bCs/>
    </w:rPr>
  </w:style>
  <w:style w:type="character" w:customStyle="1" w:styleId="CommentSubjectChar">
    <w:name w:val="Comment Subject Char"/>
    <w:basedOn w:val="CommentTextChar"/>
    <w:link w:val="CommentSubject"/>
    <w:uiPriority w:val="99"/>
    <w:semiHidden/>
    <w:rsid w:val="00F023F3"/>
    <w:rPr>
      <w:rFonts w:ascii="Verdana" w:eastAsia="Times New Roman" w:hAnsi="Verdana" w:cs="Times New Roman"/>
      <w:b/>
      <w:bCs/>
      <w:sz w:val="20"/>
      <w:szCs w:val="20"/>
      <w:lang w:eastAsia="en-GB"/>
    </w:rPr>
  </w:style>
  <w:style w:type="character" w:customStyle="1" w:styleId="normaltextrun">
    <w:name w:val="normaltextrun"/>
    <w:basedOn w:val="DefaultParagraphFont"/>
    <w:rsid w:val="001329B7"/>
  </w:style>
  <w:style w:type="character" w:styleId="FollowedHyperlink">
    <w:name w:val="FollowedHyperlink"/>
    <w:basedOn w:val="DefaultParagraphFont"/>
    <w:uiPriority w:val="99"/>
    <w:semiHidden/>
    <w:unhideWhenUsed/>
    <w:rsid w:val="000E3BC8"/>
    <w:rPr>
      <w:color w:val="954F72" w:themeColor="followedHyperlink"/>
      <w:u w:val="single"/>
    </w:rPr>
  </w:style>
  <w:style w:type="character" w:customStyle="1" w:styleId="UnresolvedMention">
    <w:name w:val="Unresolved Mention"/>
    <w:basedOn w:val="DefaultParagraphFont"/>
    <w:uiPriority w:val="99"/>
    <w:semiHidden/>
    <w:unhideWhenUsed/>
    <w:rsid w:val="00323CE0"/>
    <w:rPr>
      <w:color w:val="605E5C"/>
      <w:shd w:val="clear" w:color="auto" w:fill="E1DFDD"/>
    </w:rPr>
  </w:style>
  <w:style w:type="paragraph" w:styleId="TOCHeading">
    <w:name w:val="TOC Heading"/>
    <w:basedOn w:val="Heading1"/>
    <w:next w:val="Normal"/>
    <w:uiPriority w:val="39"/>
    <w:unhideWhenUsed/>
    <w:qFormat/>
    <w:rsid w:val="00504F8D"/>
    <w:pPr>
      <w:tabs>
        <w:tab w:val="clear" w:pos="851"/>
      </w:tab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lang w:val="en-US" w:eastAsia="en-US"/>
    </w:rPr>
  </w:style>
  <w:style w:type="paragraph" w:styleId="TOC1">
    <w:name w:val="toc 1"/>
    <w:basedOn w:val="Normal"/>
    <w:next w:val="Normal"/>
    <w:autoRedefine/>
    <w:uiPriority w:val="39"/>
    <w:unhideWhenUsed/>
    <w:rsid w:val="00504F8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2452">
      <w:bodyDiv w:val="1"/>
      <w:marLeft w:val="0"/>
      <w:marRight w:val="0"/>
      <w:marTop w:val="0"/>
      <w:marBottom w:val="0"/>
      <w:divBdr>
        <w:top w:val="none" w:sz="0" w:space="0" w:color="auto"/>
        <w:left w:val="none" w:sz="0" w:space="0" w:color="auto"/>
        <w:bottom w:val="none" w:sz="0" w:space="0" w:color="auto"/>
        <w:right w:val="none" w:sz="0" w:space="0" w:color="auto"/>
      </w:divBdr>
    </w:div>
    <w:div w:id="18490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ra.europa.eu/sites/default/files/inequalities-discrimination-healthcare_en.pdf" TargetMode="External"/><Relationship Id="rId18" Type="http://schemas.openxmlformats.org/officeDocument/2006/relationships/hyperlink" Target="https://fra.europa.eu/sites/default/files/fra_uploads/fra-2018-being-black-in-the-eu_en.pdf"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ra.europa.eu/en/project/2018/roma-and-travellers-survey-2018-2019"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fra.europa.eu/sites/default/files/fra_uploads/fra-2016-eu-minorities-survey-roma-selected-findings_en.pdf" TargetMode="External"/><Relationship Id="rId33" Type="http://schemas.openxmlformats.org/officeDocument/2006/relationships/hyperlink" Target="https://ec.europa.eu/info/policies/justice-and-fundamental-rights/combatting-discrimination/equality-data-collection_e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fra.europa.eu/sites/default/files/fra_uploads/fra-2018-experiences-and-perceptions-of-antisemitism-survey_en.pdf" TargetMode="External"/><Relationship Id="rId29" Type="http://schemas.openxmlformats.org/officeDocument/2006/relationships/hyperlink" Target="https://fra.europa.eu/sites/default/files/fra_uploads/fra-2022-fundamental-rights-report-2022_e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hyperlink" Target="https://ec.europa.eu/info/policies/justice-and-fundamental-rights/combatting-discrimination/equality-data-collection_en"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fra.europa.eu/sites/default/files/fra_uploads/fra-2017-eu-midis-ii-main-results_en.pdf" TargetMode="External"/><Relationship Id="rId23" Type="http://schemas.openxmlformats.org/officeDocument/2006/relationships/image" Target="media/image3.png"/><Relationship Id="rId28" Type="http://schemas.openxmlformats.org/officeDocument/2006/relationships/hyperlink" Target="https://fra.europa.eu/sites/default/files/fra_uploads/fra-2020-artificial-intelligence_en.pdf"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fra.europa.eu/sites/default/files/fra_uploads/fra-2017-eu-minorities-survey-muslims-selected-findings_en.pdf" TargetMode="External"/><Relationship Id="rId31" Type="http://schemas.openxmlformats.org/officeDocument/2006/relationships/hyperlink" Target="https://ec.europa.eu/info/sites/default/files/en-guidelines-improving-collection-and-use-of-equality-data.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ra.europa.eu/sites/default/files/inequalities-multiple-discrimination-healthcare-annex_en_0.pdf" TargetMode="External"/><Relationship Id="rId22" Type="http://schemas.openxmlformats.org/officeDocument/2006/relationships/hyperlink" Target="https://fra.europa.eu/en/project/2018/roma-and-travellers-survey-2018-2019" TargetMode="External"/><Relationship Id="rId27" Type="http://schemas.openxmlformats.org/officeDocument/2006/relationships/image" Target="media/image6.png"/><Relationship Id="rId30" Type="http://schemas.openxmlformats.org/officeDocument/2006/relationships/hyperlink" Target="https://fra.europa.eu/en/promising-practices-list"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a6fe20c-64d6-4fb0-9a91-9f82bd0f7ad4" ContentTypeId="0x010100B2B0FEC6C27749438DD5EAE37B50C0DE01" PreviousValue="false" LastSyncTimeStamp="2021-04-19T12:38:19.04Z"/>
</file>

<file path=customXml/item2.xml><?xml version="1.0" encoding="utf-8"?>
<ct:contentTypeSchema xmlns:ct="http://schemas.microsoft.com/office/2006/metadata/contentType" xmlns:ma="http://schemas.microsoft.com/office/2006/metadata/properties/metaAttributes" ct:_="" ma:_="" ma:contentTypeName="FRA_DMS" ma:contentTypeID="0x010100B2B0FEC6C27749438DD5EAE37B50C0DE0100134AA26B2E48B74E8C1B2B8669736D2C" ma:contentTypeVersion="2" ma:contentTypeDescription="FRA document, default document management policies and retention period will apply" ma:contentTypeScope="" ma:versionID="2a05b9c358b73e08b701e747b315d9be">
  <xsd:schema xmlns:xsd="http://www.w3.org/2001/XMLSchema" xmlns:xs="http://www.w3.org/2001/XMLSchema" xmlns:p="http://schemas.microsoft.com/office/2006/metadata/properties" xmlns:ns2="e382cedb-31b7-492d-9241-ad72ff2d4458" targetNamespace="http://schemas.microsoft.com/office/2006/metadata/properties" ma:root="true" ma:fieldsID="2dbf2ef9fd6d0b651761a886b3246481" ns2:_="">
    <xsd:import namespace="e382cedb-31b7-492d-9241-ad72ff2d4458"/>
    <xsd:element name="properties">
      <xsd:complexType>
        <xsd:sequence>
          <xsd:element name="documentManagement">
            <xsd:complexType>
              <xsd:all>
                <xsd:element ref="ns2:ob649871756f44669ccdffff1d743be3" minOccurs="0"/>
                <xsd:element ref="ns2:TaxCatchAll" minOccurs="0"/>
                <xsd:element ref="ns2:TaxCatchAllLabel" minOccurs="0"/>
                <xsd:element ref="ns2:i917bf3a28214fe0b6195a706281c36e" minOccurs="0"/>
                <xsd:element ref="ns2:f8dc4d72b3344ad3a2d114f7c16d92e9" minOccurs="0"/>
                <xsd:element ref="ns2:n9bd870510bf4d31ab2623b934991ffd"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2cedb-31b7-492d-9241-ad72ff2d4458" elementFormDefault="qualified">
    <xsd:import namespace="http://schemas.microsoft.com/office/2006/documentManagement/types"/>
    <xsd:import namespace="http://schemas.microsoft.com/office/infopath/2007/PartnerControls"/>
    <xsd:element name="ob649871756f44669ccdffff1d743be3" ma:index="8" ma:taxonomy="true" ma:internalName="ob649871756f44669ccdffff1d743be3" ma:taxonomyFieldName="Year" ma:displayName="Year" ma:default="13;#2020|d0cd549d-8eb5-4f79-b4fc-3ae36d022cb2" ma:fieldId="{8b649871-756f-4466-9ccd-ffff1d743be3}" ma:sspId="ba6fe20c-64d6-4fb0-9a91-9f82bd0f7ad4" ma:termSetId="4447fd88-b4bf-4405-954c-7961506ae7c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7f12e1-ca47-4961-bed8-589d1f4b48e5}" ma:internalName="TaxCatchAll" ma:showField="CatchAllData" ma:web="823ff859-06f1-497c-bc60-34453f1f2e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7f12e1-ca47-4961-bed8-589d1f4b48e5}" ma:internalName="TaxCatchAllLabel" ma:readOnly="true" ma:showField="CatchAllDataLabel" ma:web="823ff859-06f1-497c-bc60-34453f1f2e79">
      <xsd:complexType>
        <xsd:complexContent>
          <xsd:extension base="dms:MultiChoiceLookup">
            <xsd:sequence>
              <xsd:element name="Value" type="dms:Lookup" maxOccurs="unbounded" minOccurs="0" nillable="true"/>
            </xsd:sequence>
          </xsd:extension>
        </xsd:complexContent>
      </xsd:complexType>
    </xsd:element>
    <xsd:element name="i917bf3a28214fe0b6195a706281c36e" ma:index="12" nillable="true" ma:taxonomy="true" ma:internalName="i917bf3a28214fe0b6195a706281c36e" ma:taxonomyFieldName="Content_x0020_Language" ma:displayName="Content Language" ma:fieldId="{2917bf3a-2821-4fe0-b619-5a706281c36e}" ma:sspId="ba6fe20c-64d6-4fb0-9a91-9f82bd0f7ad4" ma:termSetId="33a78d32-655a-4e6f-9417-97d8e502369a" ma:anchorId="00000000-0000-0000-0000-000000000000" ma:open="false" ma:isKeyword="false">
      <xsd:complexType>
        <xsd:sequence>
          <xsd:element ref="pc:Terms" minOccurs="0" maxOccurs="1"/>
        </xsd:sequence>
      </xsd:complexType>
    </xsd:element>
    <xsd:element name="f8dc4d72b3344ad3a2d114f7c16d92e9" ma:index="14" nillable="true" ma:taxonomy="true" ma:internalName="f8dc4d72b3344ad3a2d114f7c16d92e9" ma:taxonomyFieldName="Group_x0020_By" ma:displayName="Group By" ma:default="" ma:fieldId="{f8dc4d72-b334-4ad3-a2d1-14f7c16d92e9}" ma:sspId="ba6fe20c-64d6-4fb0-9a91-9f82bd0f7ad4" ma:termSetId="445086b2-e771-4d08-89a5-71e707d692c4" ma:anchorId="00000000-0000-0000-0000-000000000000" ma:open="true" ma:isKeyword="false">
      <xsd:complexType>
        <xsd:sequence>
          <xsd:element ref="pc:Terms" minOccurs="0" maxOccurs="1"/>
        </xsd:sequence>
      </xsd:complexType>
    </xsd:element>
    <xsd:element name="n9bd870510bf4d31ab2623b934991ffd" ma:index="16" nillable="true" ma:taxonomy="true" ma:internalName="n9bd870510bf4d31ab2623b934991ffd" ma:taxonomyFieldName="Group_x0020_2nd" ma:displayName="Group 2nd" ma:default="" ma:fieldId="{79bd8705-10bf-4d31-ab26-23b934991ffd}" ma:sspId="ba6fe20c-64d6-4fb0-9a91-9f82bd0f7ad4" ma:termSetId="445086b2-e771-4d08-89a5-71e707d692c4" ma:anchorId="00000000-0000-0000-0000-000000000000" ma:open="true" ma:isKeyword="false">
      <xsd:complexType>
        <xsd:sequence>
          <xsd:element ref="pc:Terms" minOccurs="0" maxOccurs="1"/>
        </xsd:sequence>
      </xsd:complex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Lock xmlns="e382cedb-31b7-492d-9241-ad72ff2d4458" xsi:nil="true"/>
    <DLCPolicyLabelClientValue xmlns="e382cedb-31b7-492d-9241-ad72ff2d4458" xsi:nil="true"/>
    <ob649871756f44669ccdffff1d743be3 xmlns="e382cedb-31b7-492d-9241-ad72ff2d445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d0cd549d-8eb5-4f79-b4fc-3ae36d022cb2</TermId>
        </TermInfo>
      </Terms>
    </ob649871756f44669ccdffff1d743be3>
    <n9bd870510bf4d31ab2623b934991ffd xmlns="e382cedb-31b7-492d-9241-ad72ff2d4458">
      <Terms xmlns="http://schemas.microsoft.com/office/infopath/2007/PartnerControls"/>
    </n9bd870510bf4d31ab2623b934991ffd>
    <i917bf3a28214fe0b6195a706281c36e xmlns="e382cedb-31b7-492d-9241-ad72ff2d4458">
      <Terms xmlns="http://schemas.microsoft.com/office/infopath/2007/PartnerControls"/>
    </i917bf3a28214fe0b6195a706281c36e>
    <TaxCatchAll xmlns="e382cedb-31b7-492d-9241-ad72ff2d4458">
      <Value>13</Value>
    </TaxCatchAll>
    <f8dc4d72b3344ad3a2d114f7c16d92e9 xmlns="e382cedb-31b7-492d-9241-ad72ff2d4458">
      <Terms xmlns="http://schemas.microsoft.com/office/infopath/2007/PartnerControls"/>
    </f8dc4d72b3344ad3a2d114f7c16d92e9>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9D721-C4CC-4D4D-980F-6EFF1FF05CC7}">
  <ds:schemaRefs>
    <ds:schemaRef ds:uri="Microsoft.SharePoint.Taxonomy.ContentTypeSync"/>
  </ds:schemaRefs>
</ds:datastoreItem>
</file>

<file path=customXml/itemProps2.xml><?xml version="1.0" encoding="utf-8"?>
<ds:datastoreItem xmlns:ds="http://schemas.openxmlformats.org/officeDocument/2006/customXml" ds:itemID="{FFB37016-6934-4BC1-8309-C16516AFB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2cedb-31b7-492d-9241-ad72ff2d4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C990B-54B5-4DF8-936B-C4CD0839140F}">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382cedb-31b7-492d-9241-ad72ff2d4458"/>
    <ds:schemaRef ds:uri="http://www.w3.org/XML/1998/namespace"/>
    <ds:schemaRef ds:uri="http://purl.org/dc/dcmitype/"/>
  </ds:schemaRefs>
</ds:datastoreItem>
</file>

<file path=customXml/itemProps4.xml><?xml version="1.0" encoding="utf-8"?>
<ds:datastoreItem xmlns:ds="http://schemas.openxmlformats.org/officeDocument/2006/customXml" ds:itemID="{C2F5E6B2-0B25-4A10-AE41-36D98037FA27}">
  <ds:schemaRefs>
    <ds:schemaRef ds:uri="http://schemas.microsoft.com/sharepoint/events"/>
  </ds:schemaRefs>
</ds:datastoreItem>
</file>

<file path=customXml/itemProps5.xml><?xml version="1.0" encoding="utf-8"?>
<ds:datastoreItem xmlns:ds="http://schemas.openxmlformats.org/officeDocument/2006/customXml" ds:itemID="{3E860B61-CD22-4DF1-9070-F3D5691539FD}">
  <ds:schemaRefs>
    <ds:schemaRef ds:uri="http://schemas.microsoft.com/sharepoint/v3/contenttype/forms"/>
  </ds:schemaRefs>
</ds:datastoreItem>
</file>

<file path=customXml/itemProps6.xml><?xml version="1.0" encoding="utf-8"?>
<ds:datastoreItem xmlns:ds="http://schemas.openxmlformats.org/officeDocument/2006/customXml" ds:itemID="{F74C491E-5C85-4D22-8AF1-119D41BC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2745</Words>
  <Characters>15650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FRA - Letter</vt:lpstr>
    </vt:vector>
  </TitlesOfParts>
  <Company>EU Fundamental Rights Agency</Company>
  <LinksUpToDate>false</LinksUpToDate>
  <CharactersWithSpaces>18359</CharactersWithSpaces>
  <SharedDoc>false</SharedDoc>
  <HLinks>
    <vt:vector size="168" baseType="variant">
      <vt:variant>
        <vt:i4>2228241</vt:i4>
      </vt:variant>
      <vt:variant>
        <vt:i4>105</vt:i4>
      </vt:variant>
      <vt:variant>
        <vt:i4>0</vt:i4>
      </vt:variant>
      <vt:variant>
        <vt:i4>5</vt:i4>
      </vt:variant>
      <vt:variant>
        <vt:lpwstr>https://ec.europa.eu/info/policies/justice-and-fundamental-rights/combatting-discrimination/equality-data-collection_en</vt:lpwstr>
      </vt:variant>
      <vt:variant>
        <vt:lpwstr/>
      </vt:variant>
      <vt:variant>
        <vt:i4>2228241</vt:i4>
      </vt:variant>
      <vt:variant>
        <vt:i4>102</vt:i4>
      </vt:variant>
      <vt:variant>
        <vt:i4>0</vt:i4>
      </vt:variant>
      <vt:variant>
        <vt:i4>5</vt:i4>
      </vt:variant>
      <vt:variant>
        <vt:lpwstr>https://ec.europa.eu/info/policies/justice-and-fundamental-rights/combatting-discrimination/equality-data-collection_en</vt:lpwstr>
      </vt:variant>
      <vt:variant>
        <vt:lpwstr/>
      </vt:variant>
      <vt:variant>
        <vt:i4>5046295</vt:i4>
      </vt:variant>
      <vt:variant>
        <vt:i4>99</vt:i4>
      </vt:variant>
      <vt:variant>
        <vt:i4>0</vt:i4>
      </vt:variant>
      <vt:variant>
        <vt:i4>5</vt:i4>
      </vt:variant>
      <vt:variant>
        <vt:lpwstr>https://ec.europa.eu/info/sites/default/files/en-guidelines-improving-collection-and-use-of-equality-data.pdf</vt:lpwstr>
      </vt:variant>
      <vt:variant>
        <vt:lpwstr/>
      </vt:variant>
      <vt:variant>
        <vt:i4>71</vt:i4>
      </vt:variant>
      <vt:variant>
        <vt:i4>96</vt:i4>
      </vt:variant>
      <vt:variant>
        <vt:i4>0</vt:i4>
      </vt:variant>
      <vt:variant>
        <vt:i4>5</vt:i4>
      </vt:variant>
      <vt:variant>
        <vt:lpwstr>https://fra.europa.eu/en/promising-practices-list</vt:lpwstr>
      </vt:variant>
      <vt:variant>
        <vt:lpwstr/>
      </vt:variant>
      <vt:variant>
        <vt:i4>71</vt:i4>
      </vt:variant>
      <vt:variant>
        <vt:i4>93</vt:i4>
      </vt:variant>
      <vt:variant>
        <vt:i4>0</vt:i4>
      </vt:variant>
      <vt:variant>
        <vt:i4>5</vt:i4>
      </vt:variant>
      <vt:variant>
        <vt:lpwstr>https://fra.europa.eu/en/promising-practices-list</vt:lpwstr>
      </vt:variant>
      <vt:variant>
        <vt:lpwstr/>
      </vt:variant>
      <vt:variant>
        <vt:i4>1966095</vt:i4>
      </vt:variant>
      <vt:variant>
        <vt:i4>90</vt:i4>
      </vt:variant>
      <vt:variant>
        <vt:i4>0</vt:i4>
      </vt:variant>
      <vt:variant>
        <vt:i4>5</vt:i4>
      </vt:variant>
      <vt:variant>
        <vt:lpwstr>https://fra.europa.eu/sites/default/files/fra_uploads/fra-2022-fundamental-rights-report-2022_en.pdf</vt:lpwstr>
      </vt:variant>
      <vt:variant>
        <vt:lpwstr/>
      </vt:variant>
      <vt:variant>
        <vt:i4>1966095</vt:i4>
      </vt:variant>
      <vt:variant>
        <vt:i4>87</vt:i4>
      </vt:variant>
      <vt:variant>
        <vt:i4>0</vt:i4>
      </vt:variant>
      <vt:variant>
        <vt:i4>5</vt:i4>
      </vt:variant>
      <vt:variant>
        <vt:lpwstr>https://fra.europa.eu/sites/default/files/fra_uploads/fra-2022-fundamental-rights-report-2022_en.pdf</vt:lpwstr>
      </vt:variant>
      <vt:variant>
        <vt:lpwstr/>
      </vt:variant>
      <vt:variant>
        <vt:i4>6619259</vt:i4>
      </vt:variant>
      <vt:variant>
        <vt:i4>84</vt:i4>
      </vt:variant>
      <vt:variant>
        <vt:i4>0</vt:i4>
      </vt:variant>
      <vt:variant>
        <vt:i4>5</vt:i4>
      </vt:variant>
      <vt:variant>
        <vt:lpwstr>https://fra.europa.eu/sites/default/files/fra_uploads/fra-2020-artificial-intelligence_en.pdf</vt:lpwstr>
      </vt:variant>
      <vt:variant>
        <vt:lpwstr/>
      </vt:variant>
      <vt:variant>
        <vt:i4>6619259</vt:i4>
      </vt:variant>
      <vt:variant>
        <vt:i4>81</vt:i4>
      </vt:variant>
      <vt:variant>
        <vt:i4>0</vt:i4>
      </vt:variant>
      <vt:variant>
        <vt:i4>5</vt:i4>
      </vt:variant>
      <vt:variant>
        <vt:lpwstr>https://fra.europa.eu/sites/default/files/fra_uploads/fra-2020-artificial-intelligence_en.pdf</vt:lpwstr>
      </vt:variant>
      <vt:variant>
        <vt:lpwstr/>
      </vt:variant>
      <vt:variant>
        <vt:i4>6946935</vt:i4>
      </vt:variant>
      <vt:variant>
        <vt:i4>78</vt:i4>
      </vt:variant>
      <vt:variant>
        <vt:i4>0</vt:i4>
      </vt:variant>
      <vt:variant>
        <vt:i4>5</vt:i4>
      </vt:variant>
      <vt:variant>
        <vt:lpwstr>https://fra.europa.eu/sites/default/files/fra_uploads/fra-2016-eu-minorities-survey-roma-selected-findings_en.pdf</vt:lpwstr>
      </vt:variant>
      <vt:variant>
        <vt:lpwstr/>
      </vt:variant>
      <vt:variant>
        <vt:i4>6946935</vt:i4>
      </vt:variant>
      <vt:variant>
        <vt:i4>75</vt:i4>
      </vt:variant>
      <vt:variant>
        <vt:i4>0</vt:i4>
      </vt:variant>
      <vt:variant>
        <vt:i4>5</vt:i4>
      </vt:variant>
      <vt:variant>
        <vt:lpwstr>https://fra.europa.eu/sites/default/files/fra_uploads/fra-2016-eu-minorities-survey-roma-selected-findings_en.pdf</vt:lpwstr>
      </vt:variant>
      <vt:variant>
        <vt:lpwstr/>
      </vt:variant>
      <vt:variant>
        <vt:i4>2424864</vt:i4>
      </vt:variant>
      <vt:variant>
        <vt:i4>72</vt:i4>
      </vt:variant>
      <vt:variant>
        <vt:i4>0</vt:i4>
      </vt:variant>
      <vt:variant>
        <vt:i4>5</vt:i4>
      </vt:variant>
      <vt:variant>
        <vt:lpwstr>https://fra.europa.eu/en/project/2018/roma-and-travellers-survey-2018-2019</vt:lpwstr>
      </vt:variant>
      <vt:variant>
        <vt:lpwstr/>
      </vt:variant>
      <vt:variant>
        <vt:i4>2424864</vt:i4>
      </vt:variant>
      <vt:variant>
        <vt:i4>69</vt:i4>
      </vt:variant>
      <vt:variant>
        <vt:i4>0</vt:i4>
      </vt:variant>
      <vt:variant>
        <vt:i4>5</vt:i4>
      </vt:variant>
      <vt:variant>
        <vt:lpwstr>https://fra.europa.eu/en/project/2018/roma-and-travellers-survey-2018-2019</vt:lpwstr>
      </vt:variant>
      <vt:variant>
        <vt:lpwstr/>
      </vt:variant>
      <vt:variant>
        <vt:i4>2424864</vt:i4>
      </vt:variant>
      <vt:variant>
        <vt:i4>66</vt:i4>
      </vt:variant>
      <vt:variant>
        <vt:i4>0</vt:i4>
      </vt:variant>
      <vt:variant>
        <vt:i4>5</vt:i4>
      </vt:variant>
      <vt:variant>
        <vt:lpwstr>https://fra.europa.eu/en/project/2018/roma-and-travellers-survey-2018-2019</vt:lpwstr>
      </vt:variant>
      <vt:variant>
        <vt:lpwstr/>
      </vt:variant>
      <vt:variant>
        <vt:i4>196623</vt:i4>
      </vt:variant>
      <vt:variant>
        <vt:i4>63</vt:i4>
      </vt:variant>
      <vt:variant>
        <vt:i4>0</vt:i4>
      </vt:variant>
      <vt:variant>
        <vt:i4>5</vt:i4>
      </vt:variant>
      <vt:variant>
        <vt:lpwstr>https://fra.europa.eu/sites/default/files/fra_uploads/fra-2018-experiences-and-perceptions-of-antisemitism-survey_en.pdf</vt:lpwstr>
      </vt:variant>
      <vt:variant>
        <vt:lpwstr/>
      </vt:variant>
      <vt:variant>
        <vt:i4>393245</vt:i4>
      </vt:variant>
      <vt:variant>
        <vt:i4>60</vt:i4>
      </vt:variant>
      <vt:variant>
        <vt:i4>0</vt:i4>
      </vt:variant>
      <vt:variant>
        <vt:i4>5</vt:i4>
      </vt:variant>
      <vt:variant>
        <vt:lpwstr>https://fra.europa.eu/sites/default/files/fra_uploads/fra-2017-eu-minorities-survey-muslims-selected-findings_en.pdf</vt:lpwstr>
      </vt:variant>
      <vt:variant>
        <vt:lpwstr/>
      </vt:variant>
      <vt:variant>
        <vt:i4>4849679</vt:i4>
      </vt:variant>
      <vt:variant>
        <vt:i4>57</vt:i4>
      </vt:variant>
      <vt:variant>
        <vt:i4>0</vt:i4>
      </vt:variant>
      <vt:variant>
        <vt:i4>5</vt:i4>
      </vt:variant>
      <vt:variant>
        <vt:lpwstr>https://fra.europa.eu/sites/default/files/fra_uploads/fra-2018-being-black-in-the-eu_en.pdf</vt:lpwstr>
      </vt:variant>
      <vt:variant>
        <vt:lpwstr/>
      </vt:variant>
      <vt:variant>
        <vt:i4>8126501</vt:i4>
      </vt:variant>
      <vt:variant>
        <vt:i4>54</vt:i4>
      </vt:variant>
      <vt:variant>
        <vt:i4>0</vt:i4>
      </vt:variant>
      <vt:variant>
        <vt:i4>5</vt:i4>
      </vt:variant>
      <vt:variant>
        <vt:lpwstr>https://fra.europa.eu/sites/default/files/fra_uploads/fra-2017-eu-midis-ii-main-results_en.pdf</vt:lpwstr>
      </vt:variant>
      <vt:variant>
        <vt:lpwstr/>
      </vt:variant>
      <vt:variant>
        <vt:i4>3014778</vt:i4>
      </vt:variant>
      <vt:variant>
        <vt:i4>51</vt:i4>
      </vt:variant>
      <vt:variant>
        <vt:i4>0</vt:i4>
      </vt:variant>
      <vt:variant>
        <vt:i4>5</vt:i4>
      </vt:variant>
      <vt:variant>
        <vt:lpwstr>https://fra.europa.eu/sites/default/files/inequalities-multiple-discrimination-healthcare-annex_en_0.pdf</vt:lpwstr>
      </vt:variant>
      <vt:variant>
        <vt:lpwstr/>
      </vt:variant>
      <vt:variant>
        <vt:i4>2883613</vt:i4>
      </vt:variant>
      <vt:variant>
        <vt:i4>48</vt:i4>
      </vt:variant>
      <vt:variant>
        <vt:i4>0</vt:i4>
      </vt:variant>
      <vt:variant>
        <vt:i4>5</vt:i4>
      </vt:variant>
      <vt:variant>
        <vt:lpwstr>https://fra.europa.eu/sites/default/files/inequalities-discrimination-healthcare_en.pdf</vt:lpwstr>
      </vt:variant>
      <vt:variant>
        <vt:lpwstr/>
      </vt:variant>
      <vt:variant>
        <vt:i4>2883613</vt:i4>
      </vt:variant>
      <vt:variant>
        <vt:i4>45</vt:i4>
      </vt:variant>
      <vt:variant>
        <vt:i4>0</vt:i4>
      </vt:variant>
      <vt:variant>
        <vt:i4>5</vt:i4>
      </vt:variant>
      <vt:variant>
        <vt:lpwstr>https://fra.europa.eu/sites/default/files/inequalities-discrimination-healthcare_en.pdf</vt:lpwstr>
      </vt:variant>
      <vt:variant>
        <vt:lpwstr/>
      </vt:variant>
      <vt:variant>
        <vt:i4>1179704</vt:i4>
      </vt:variant>
      <vt:variant>
        <vt:i4>38</vt:i4>
      </vt:variant>
      <vt:variant>
        <vt:i4>0</vt:i4>
      </vt:variant>
      <vt:variant>
        <vt:i4>5</vt:i4>
      </vt:variant>
      <vt:variant>
        <vt:lpwstr/>
      </vt:variant>
      <vt:variant>
        <vt:lpwstr>_Toc108794861</vt:lpwstr>
      </vt:variant>
      <vt:variant>
        <vt:i4>1179704</vt:i4>
      </vt:variant>
      <vt:variant>
        <vt:i4>32</vt:i4>
      </vt:variant>
      <vt:variant>
        <vt:i4>0</vt:i4>
      </vt:variant>
      <vt:variant>
        <vt:i4>5</vt:i4>
      </vt:variant>
      <vt:variant>
        <vt:lpwstr/>
      </vt:variant>
      <vt:variant>
        <vt:lpwstr>_Toc108794860</vt:lpwstr>
      </vt:variant>
      <vt:variant>
        <vt:i4>1114168</vt:i4>
      </vt:variant>
      <vt:variant>
        <vt:i4>26</vt:i4>
      </vt:variant>
      <vt:variant>
        <vt:i4>0</vt:i4>
      </vt:variant>
      <vt:variant>
        <vt:i4>5</vt:i4>
      </vt:variant>
      <vt:variant>
        <vt:lpwstr/>
      </vt:variant>
      <vt:variant>
        <vt:lpwstr>_Toc108794859</vt:lpwstr>
      </vt:variant>
      <vt:variant>
        <vt:i4>1114168</vt:i4>
      </vt:variant>
      <vt:variant>
        <vt:i4>20</vt:i4>
      </vt:variant>
      <vt:variant>
        <vt:i4>0</vt:i4>
      </vt:variant>
      <vt:variant>
        <vt:i4>5</vt:i4>
      </vt:variant>
      <vt:variant>
        <vt:lpwstr/>
      </vt:variant>
      <vt:variant>
        <vt:lpwstr>_Toc108794858</vt:lpwstr>
      </vt:variant>
      <vt:variant>
        <vt:i4>1114168</vt:i4>
      </vt:variant>
      <vt:variant>
        <vt:i4>14</vt:i4>
      </vt:variant>
      <vt:variant>
        <vt:i4>0</vt:i4>
      </vt:variant>
      <vt:variant>
        <vt:i4>5</vt:i4>
      </vt:variant>
      <vt:variant>
        <vt:lpwstr/>
      </vt:variant>
      <vt:variant>
        <vt:lpwstr>_Toc108794857</vt:lpwstr>
      </vt:variant>
      <vt:variant>
        <vt:i4>1114168</vt:i4>
      </vt:variant>
      <vt:variant>
        <vt:i4>8</vt:i4>
      </vt:variant>
      <vt:variant>
        <vt:i4>0</vt:i4>
      </vt:variant>
      <vt:variant>
        <vt:i4>5</vt:i4>
      </vt:variant>
      <vt:variant>
        <vt:lpwstr/>
      </vt:variant>
      <vt:variant>
        <vt:lpwstr>_Toc108794856</vt:lpwstr>
      </vt:variant>
      <vt:variant>
        <vt:i4>1114168</vt:i4>
      </vt:variant>
      <vt:variant>
        <vt:i4>2</vt:i4>
      </vt:variant>
      <vt:variant>
        <vt:i4>0</vt:i4>
      </vt:variant>
      <vt:variant>
        <vt:i4>5</vt:i4>
      </vt:variant>
      <vt:variant>
        <vt:lpwstr/>
      </vt:variant>
      <vt:variant>
        <vt:lpwstr>_Toc108794855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 - Letter</dc:title>
  <dc:subject/>
  <dc:creator>FRA</dc:creator>
  <cp:keywords>FRA</cp:keywords>
  <dc:description/>
  <cp:lastModifiedBy>Carmen Celina Arevalo Flores</cp:lastModifiedBy>
  <cp:revision>2</cp:revision>
  <cp:lastPrinted>2016-05-03T12:12:00Z</cp:lastPrinted>
  <dcterms:created xsi:type="dcterms:W3CDTF">2022-07-19T14:48:00Z</dcterms:created>
  <dcterms:modified xsi:type="dcterms:W3CDTF">2022-07-19T14:48:00Z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0x010100B2B0FEC6C27749438DD5EAE37B50C0DE0100134AA26B2E48B74E8C1B2B8669736D2C</vt:lpwstr>
  </property>
  <property fmtid="{D5CDD505-2E9C-101B-9397-08002B2CF9AE}" pid="3" name="Group 2nd">
    <vt:lpwstr/>
  </property>
  <property fmtid="{D5CDD505-2E9C-101B-9397-08002B2CF9AE}" pid="4" name="Mission_x0020_Type">
    <vt:lpwstr/>
  </property>
  <property fmtid="{D5CDD505-2E9C-101B-9397-08002B2CF9AE}" pid="5" name="Content Language">
    <vt:lpwstr/>
  </property>
  <property fmtid="{D5CDD505-2E9C-101B-9397-08002B2CF9AE}" pid="6" name="fd2c6619740248599d8ad7716d185ce9">
    <vt:lpwstr/>
  </property>
  <property fmtid="{D5CDD505-2E9C-101B-9397-08002B2CF9AE}" pid="7" name="Group By">
    <vt:lpwstr/>
  </property>
  <property fmtid="{D5CDD505-2E9C-101B-9397-08002B2CF9AE}" pid="8" name="jcddcc4ae6e44b38a82b39a36efa5cff">
    <vt:lpwstr/>
  </property>
  <property fmtid="{D5CDD505-2E9C-101B-9397-08002B2CF9AE}" pid="9" name="Mission_x0020_Location">
    <vt:lpwstr/>
  </property>
  <property fmtid="{D5CDD505-2E9C-101B-9397-08002B2CF9AE}" pid="10" name="Year">
    <vt:lpwstr>13;#2020|d0cd549d-8eb5-4f79-b4fc-3ae36d022cb2</vt:lpwstr>
  </property>
  <property fmtid="{D5CDD505-2E9C-101B-9397-08002B2CF9AE}" pid="11" name="Mission Location">
    <vt:lpwstr/>
  </property>
  <property fmtid="{D5CDD505-2E9C-101B-9397-08002B2CF9AE}" pid="12" name="Mission Type">
    <vt:lpwstr/>
  </property>
  <property fmtid="{D5CDD505-2E9C-101B-9397-08002B2CF9AE}" pid="13" name="SharedWithUsers">
    <vt:lpwstr>13;#LATCHEVA Rossalina (FRA);#20;#VAR ONGEL Melodi (FRA)</vt:lpwstr>
  </property>
</Properties>
</file>