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1FDDC777" w14:textId="77777777" w:rsidTr="0040017C">
        <w:trPr>
          <w:trHeight w:val="851"/>
        </w:trPr>
        <w:tc>
          <w:tcPr>
            <w:tcW w:w="1259" w:type="dxa"/>
            <w:tcBorders>
              <w:top w:val="nil"/>
              <w:left w:val="nil"/>
              <w:bottom w:val="single" w:sz="4" w:space="0" w:color="auto"/>
              <w:right w:val="nil"/>
            </w:tcBorders>
          </w:tcPr>
          <w:p w14:paraId="7CD026DB" w14:textId="7F052ED1" w:rsidR="00E52109" w:rsidRPr="002A32CB" w:rsidRDefault="00EB1B09" w:rsidP="0040017C">
            <w:pPr>
              <w:pStyle w:val="HMG"/>
            </w:pPr>
            <w:bookmarkStart w:id="0" w:name="_GoBack"/>
            <w:bookmarkEnd w:id="0"/>
            <w:r>
              <w:t xml:space="preserve">  </w:t>
            </w:r>
          </w:p>
        </w:tc>
        <w:tc>
          <w:tcPr>
            <w:tcW w:w="2236" w:type="dxa"/>
            <w:tcBorders>
              <w:top w:val="nil"/>
              <w:left w:val="nil"/>
              <w:bottom w:val="single" w:sz="4" w:space="0" w:color="auto"/>
              <w:right w:val="nil"/>
            </w:tcBorders>
            <w:vAlign w:val="bottom"/>
          </w:tcPr>
          <w:p w14:paraId="586FAC46" w14:textId="0069C07C"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4F30D810" w14:textId="0EE39479" w:rsidR="00E52109" w:rsidRDefault="002A7085" w:rsidP="00CA7DCF">
            <w:pPr>
              <w:suppressAutoHyphens w:val="0"/>
              <w:spacing w:after="20"/>
              <w:jc w:val="right"/>
            </w:pPr>
            <w:r w:rsidRPr="002A7085">
              <w:rPr>
                <w:sz w:val="40"/>
              </w:rPr>
              <w:t>A</w:t>
            </w:r>
            <w:r w:rsidR="00D15D94">
              <w:t>/HRC/</w:t>
            </w:r>
            <w:r w:rsidR="009F26B1">
              <w:t>51/</w:t>
            </w:r>
            <w:r w:rsidR="000A4207">
              <w:t>5</w:t>
            </w:r>
            <w:r w:rsidR="00033089">
              <w:t>8</w:t>
            </w:r>
          </w:p>
        </w:tc>
      </w:tr>
      <w:tr w:rsidR="00E52109" w14:paraId="53384DE1" w14:textId="77777777" w:rsidTr="0040017C">
        <w:trPr>
          <w:trHeight w:val="2835"/>
        </w:trPr>
        <w:tc>
          <w:tcPr>
            <w:tcW w:w="1259" w:type="dxa"/>
            <w:tcBorders>
              <w:top w:val="single" w:sz="4" w:space="0" w:color="auto"/>
              <w:left w:val="nil"/>
              <w:bottom w:val="single" w:sz="12" w:space="0" w:color="auto"/>
              <w:right w:val="nil"/>
            </w:tcBorders>
          </w:tcPr>
          <w:p w14:paraId="1A39D80E" w14:textId="34403B30"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382250ED" w14:textId="68C4225A" w:rsidR="00E52109" w:rsidRDefault="00EC49B0" w:rsidP="0040017C">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1C701E00" w14:textId="77777777" w:rsidR="002A7085" w:rsidRPr="00691AFB" w:rsidRDefault="002A7085" w:rsidP="002A7085">
            <w:pPr>
              <w:spacing w:before="240" w:line="240" w:lineRule="exact"/>
            </w:pPr>
            <w:r w:rsidRPr="00691AFB">
              <w:t>Distr.: General</w:t>
            </w:r>
          </w:p>
          <w:p w14:paraId="143BA6AB" w14:textId="6BE8142A" w:rsidR="002A7085" w:rsidRPr="00691AFB" w:rsidRDefault="00F944AF" w:rsidP="002A7085">
            <w:pPr>
              <w:spacing w:line="240" w:lineRule="exact"/>
            </w:pPr>
            <w:r>
              <w:t>6 September</w:t>
            </w:r>
            <w:r w:rsidR="00524CCD">
              <w:t xml:space="preserve"> </w:t>
            </w:r>
            <w:r w:rsidR="002A7085" w:rsidRPr="00691AFB">
              <w:t>202</w:t>
            </w:r>
            <w:r w:rsidR="001F0A01">
              <w:t>2</w:t>
            </w:r>
          </w:p>
          <w:p w14:paraId="4F75983B" w14:textId="77777777" w:rsidR="002A7085" w:rsidRPr="00691AFB" w:rsidRDefault="002A7085" w:rsidP="002A7085">
            <w:pPr>
              <w:spacing w:line="240" w:lineRule="exact"/>
            </w:pPr>
          </w:p>
          <w:p w14:paraId="5D8F0825" w14:textId="6D5DEC6B" w:rsidR="002A7085" w:rsidRDefault="002A7085" w:rsidP="002A7085">
            <w:pPr>
              <w:suppressAutoHyphens w:val="0"/>
            </w:pPr>
            <w:r w:rsidRPr="00691AFB">
              <w:t>Original: English</w:t>
            </w:r>
          </w:p>
        </w:tc>
      </w:tr>
    </w:tbl>
    <w:p w14:paraId="7A33DE95" w14:textId="77777777" w:rsidR="002A7085" w:rsidRPr="00691AFB" w:rsidRDefault="002A7085" w:rsidP="002A7085">
      <w:pPr>
        <w:spacing w:before="120"/>
        <w:rPr>
          <w:b/>
          <w:bCs/>
          <w:sz w:val="24"/>
          <w:szCs w:val="24"/>
        </w:rPr>
      </w:pPr>
      <w:r w:rsidRPr="00691AFB">
        <w:rPr>
          <w:b/>
          <w:bCs/>
          <w:sz w:val="24"/>
          <w:szCs w:val="24"/>
        </w:rPr>
        <w:t>Human Rights Council</w:t>
      </w:r>
    </w:p>
    <w:p w14:paraId="32EEEA73" w14:textId="63BC6CF0" w:rsidR="002A7085" w:rsidRPr="00426129" w:rsidRDefault="00524CCD" w:rsidP="002A7085">
      <w:pPr>
        <w:rPr>
          <w:b/>
          <w:bCs/>
        </w:rPr>
      </w:pPr>
      <w:r w:rsidRPr="00426129">
        <w:rPr>
          <w:b/>
          <w:bCs/>
        </w:rPr>
        <w:t>Fifty</w:t>
      </w:r>
      <w:r w:rsidR="002A7085" w:rsidRPr="00426129">
        <w:rPr>
          <w:b/>
          <w:bCs/>
        </w:rPr>
        <w:t>-</w:t>
      </w:r>
      <w:r w:rsidRPr="00426129">
        <w:rPr>
          <w:b/>
          <w:bCs/>
        </w:rPr>
        <w:t>first</w:t>
      </w:r>
      <w:r w:rsidR="00330C71" w:rsidRPr="00426129">
        <w:rPr>
          <w:b/>
          <w:bCs/>
        </w:rPr>
        <w:t xml:space="preserve"> </w:t>
      </w:r>
      <w:r w:rsidR="002A7085" w:rsidRPr="00426129">
        <w:rPr>
          <w:b/>
          <w:bCs/>
        </w:rPr>
        <w:t>session</w:t>
      </w:r>
    </w:p>
    <w:p w14:paraId="43361CC4" w14:textId="58BD7EA2" w:rsidR="00330C71" w:rsidRPr="00F944AF" w:rsidRDefault="00F944AF" w:rsidP="002A7085">
      <w:pPr>
        <w:rPr>
          <w:bCs/>
        </w:rPr>
      </w:pPr>
      <w:r>
        <w:rPr>
          <w:bCs/>
        </w:rPr>
        <w:t>12 September–</w:t>
      </w:r>
      <w:r w:rsidR="00524CCD" w:rsidRPr="00F944AF">
        <w:rPr>
          <w:bCs/>
        </w:rPr>
        <w:t>7 October</w:t>
      </w:r>
    </w:p>
    <w:p w14:paraId="5E6609A9" w14:textId="35C11D0A" w:rsidR="002A7085" w:rsidRDefault="002A7085" w:rsidP="002A7085">
      <w:r w:rsidRPr="00426129">
        <w:t>Agenda item</w:t>
      </w:r>
      <w:r w:rsidR="00F944AF">
        <w:t>s 2 and</w:t>
      </w:r>
      <w:r w:rsidR="009461F6">
        <w:t xml:space="preserve"> </w:t>
      </w:r>
      <w:r w:rsidRPr="00426129">
        <w:t>10</w:t>
      </w:r>
    </w:p>
    <w:p w14:paraId="6F6D2A0F" w14:textId="77777777" w:rsidR="00F944AF" w:rsidRDefault="00F944AF" w:rsidP="00F944AF">
      <w:pPr>
        <w:suppressAutoHyphens w:val="0"/>
        <w:kinsoku/>
        <w:overflowPunct/>
        <w:autoSpaceDE/>
        <w:adjustRightInd/>
        <w:snapToGrid/>
        <w:spacing w:line="240" w:lineRule="auto"/>
        <w:rPr>
          <w:rFonts w:eastAsia="SimSun"/>
          <w:b/>
          <w:lang w:eastAsia="zh-CN"/>
        </w:rPr>
      </w:pPr>
      <w:r>
        <w:rPr>
          <w:rFonts w:eastAsia="SimSun"/>
          <w:b/>
          <w:lang w:eastAsia="zh-CN"/>
        </w:rPr>
        <w:t>Annual report of the United Nations High Commissioner</w:t>
      </w:r>
    </w:p>
    <w:p w14:paraId="49F38373" w14:textId="77777777" w:rsidR="00F944AF" w:rsidRDefault="00F944AF" w:rsidP="00F944AF">
      <w:pPr>
        <w:suppressAutoHyphens w:val="0"/>
        <w:kinsoku/>
        <w:overflowPunct/>
        <w:autoSpaceDE/>
        <w:adjustRightInd/>
        <w:snapToGrid/>
        <w:spacing w:line="240" w:lineRule="auto"/>
        <w:rPr>
          <w:rFonts w:eastAsia="SimSun"/>
          <w:b/>
          <w:lang w:eastAsia="zh-CN"/>
        </w:rPr>
      </w:pPr>
      <w:r>
        <w:rPr>
          <w:rFonts w:eastAsia="SimSun"/>
          <w:b/>
          <w:lang w:eastAsia="zh-CN"/>
        </w:rPr>
        <w:t>for Human Rights and reports of the Office of the</w:t>
      </w:r>
    </w:p>
    <w:p w14:paraId="4C83DCB4" w14:textId="1E06B250" w:rsidR="00F944AF" w:rsidRPr="00426129" w:rsidRDefault="00F944AF" w:rsidP="00F944AF">
      <w:r>
        <w:rPr>
          <w:rFonts w:eastAsia="SimSun"/>
          <w:b/>
          <w:lang w:eastAsia="zh-CN"/>
        </w:rPr>
        <w:t>High Commissioner and the Secretary-General</w:t>
      </w:r>
    </w:p>
    <w:p w14:paraId="4F60D711" w14:textId="77777777" w:rsidR="002A7085" w:rsidRPr="00691AFB" w:rsidRDefault="002A7085" w:rsidP="00F944AF">
      <w:pPr>
        <w:spacing w:before="120"/>
      </w:pPr>
      <w:r w:rsidRPr="00691AFB">
        <w:rPr>
          <w:b/>
        </w:rPr>
        <w:t>Technical assistance and capacity-building</w:t>
      </w:r>
    </w:p>
    <w:p w14:paraId="512790E6" w14:textId="1293C893" w:rsidR="002A7085" w:rsidRPr="00691AFB" w:rsidRDefault="002A7085" w:rsidP="002A7085">
      <w:pPr>
        <w:pStyle w:val="HChG"/>
      </w:pPr>
      <w:bookmarkStart w:id="1" w:name="_Hlk110846699"/>
      <w:r w:rsidRPr="00691AFB">
        <w:tab/>
      </w:r>
      <w:r w:rsidR="00F944AF">
        <w:tab/>
      </w:r>
      <w:r w:rsidR="00F944AF">
        <w:rPr>
          <w:bCs/>
          <w:szCs w:val="24"/>
          <w:lang w:val="en-US"/>
        </w:rPr>
        <w:t>I</w:t>
      </w:r>
      <w:r w:rsidR="009E6873">
        <w:rPr>
          <w:bCs/>
          <w:szCs w:val="24"/>
          <w:lang w:val="en-US"/>
        </w:rPr>
        <w:t>mplementation of Human Rights C</w:t>
      </w:r>
      <w:r w:rsidR="00F944AF" w:rsidRPr="00CF7A49">
        <w:rPr>
          <w:bCs/>
          <w:szCs w:val="24"/>
          <w:lang w:val="en-US"/>
        </w:rPr>
        <w:t>ouncil Resolution 45/33 and on the progress and results of technical cooperation and capacity building for the promotion and protection of human rights in the Philippines</w:t>
      </w:r>
    </w:p>
    <w:bookmarkEnd w:id="1"/>
    <w:p w14:paraId="75EEACB4" w14:textId="3AB86E9C" w:rsidR="002A7085" w:rsidRDefault="002A7085" w:rsidP="002A7085">
      <w:pPr>
        <w:pStyle w:val="H1G"/>
        <w:rPr>
          <w:b w:val="0"/>
          <w:sz w:val="20"/>
        </w:rPr>
      </w:pPr>
      <w:r w:rsidRPr="00691AFB">
        <w:tab/>
      </w:r>
      <w:r w:rsidRPr="00691AFB">
        <w:tab/>
      </w:r>
      <w:r w:rsidR="00F944AF" w:rsidRPr="00343FFD">
        <w:rPr>
          <w:lang w:eastAsia="zh-CN"/>
        </w:rPr>
        <w:t>Report of the United Nations Hi</w:t>
      </w:r>
      <w:r w:rsidR="00F944AF">
        <w:rPr>
          <w:lang w:eastAsia="zh-CN"/>
        </w:rPr>
        <w:t>gh Commissioner for Human Rights</w:t>
      </w:r>
      <w:r w:rsidR="00F944AF" w:rsidRPr="00F944AF">
        <w:rPr>
          <w:rStyle w:val="FootnoteReference"/>
          <w:b w:val="0"/>
          <w:sz w:val="20"/>
          <w:vertAlign w:val="baseline"/>
          <w:lang w:eastAsia="zh-CN"/>
        </w:rPr>
        <w:footnoteReference w:customMarkFollows="1" w:id="2"/>
        <w:t>*</w:t>
      </w:r>
    </w:p>
    <w:tbl>
      <w:tblPr>
        <w:tblStyle w:val="TableGrid"/>
        <w:tblW w:w="0" w:type="auto"/>
        <w:jc w:val="center"/>
        <w:tblLook w:val="05E0" w:firstRow="1" w:lastRow="1" w:firstColumn="1" w:lastColumn="1" w:noHBand="0" w:noVBand="1"/>
      </w:tblPr>
      <w:tblGrid>
        <w:gridCol w:w="9629"/>
      </w:tblGrid>
      <w:tr w:rsidR="00AC1EF8" w14:paraId="665BD81D" w14:textId="77777777" w:rsidTr="00AC1EF8">
        <w:trPr>
          <w:jc w:val="center"/>
        </w:trPr>
        <w:tc>
          <w:tcPr>
            <w:tcW w:w="9637" w:type="dxa"/>
            <w:tcBorders>
              <w:bottom w:val="nil"/>
            </w:tcBorders>
          </w:tcPr>
          <w:p w14:paraId="01FD1D5B" w14:textId="7BC073D0" w:rsidR="00AC1EF8" w:rsidRPr="00AC1EF8" w:rsidRDefault="00AC1EF8" w:rsidP="00AC1EF8">
            <w:pPr>
              <w:tabs>
                <w:tab w:val="left" w:pos="255"/>
              </w:tabs>
              <w:suppressAutoHyphens w:val="0"/>
              <w:spacing w:before="240" w:after="120"/>
              <w:rPr>
                <w:sz w:val="24"/>
              </w:rPr>
            </w:pPr>
            <w:r>
              <w:tab/>
            </w:r>
            <w:r>
              <w:rPr>
                <w:i/>
                <w:sz w:val="24"/>
              </w:rPr>
              <w:t>Summary</w:t>
            </w:r>
          </w:p>
        </w:tc>
      </w:tr>
      <w:tr w:rsidR="00AC1EF8" w14:paraId="56FB5844" w14:textId="77777777" w:rsidTr="00AC1EF8">
        <w:trPr>
          <w:jc w:val="center"/>
        </w:trPr>
        <w:tc>
          <w:tcPr>
            <w:tcW w:w="9637" w:type="dxa"/>
            <w:tcBorders>
              <w:top w:val="nil"/>
              <w:bottom w:val="nil"/>
            </w:tcBorders>
            <w:shd w:val="clear" w:color="auto" w:fill="auto"/>
          </w:tcPr>
          <w:p w14:paraId="6C7EC93F" w14:textId="1F6E89EF" w:rsidR="00AC1EF8" w:rsidRDefault="00AC1EF8" w:rsidP="00F944AF">
            <w:pPr>
              <w:pStyle w:val="SingleTxtG"/>
              <w:ind w:firstLine="567"/>
            </w:pPr>
            <w:r>
              <w:tab/>
            </w:r>
            <w:r w:rsidRPr="00691AFB">
              <w:t>Th</w:t>
            </w:r>
            <w:r w:rsidR="000A4207">
              <w:t>e</w:t>
            </w:r>
            <w:r w:rsidR="0058715B">
              <w:t xml:space="preserve"> </w:t>
            </w:r>
            <w:r w:rsidR="000A4207" w:rsidRPr="000A4207">
              <w:t xml:space="preserve">present </w:t>
            </w:r>
            <w:r w:rsidR="00B072DE" w:rsidRPr="00B072DE">
              <w:t>report examines the implementation of Human Rights Council resolution 45/33 and the progress and results of technical cooperation and capacity-building for the promotion and protection of human rights in the Philippines, including through a United Nations Joint Programme on human rights (UNJP) being implemented with the Government of the Philippines and national partners. The High Commissioner also provides recommendations aiming to promote a transformative approach to human rights-based reforms, strengthen an institutional culture of respect for human rights, ensure justice and redress for victims, and contribute towards the prevention of violations recurring</w:t>
            </w:r>
            <w:r w:rsidR="000A4207" w:rsidRPr="000A4207">
              <w:t>.</w:t>
            </w:r>
          </w:p>
        </w:tc>
      </w:tr>
      <w:tr w:rsidR="00AC1EF8" w14:paraId="64267F51" w14:textId="77777777" w:rsidTr="00AC1EF8">
        <w:trPr>
          <w:jc w:val="center"/>
        </w:trPr>
        <w:tc>
          <w:tcPr>
            <w:tcW w:w="9637" w:type="dxa"/>
            <w:tcBorders>
              <w:top w:val="nil"/>
            </w:tcBorders>
          </w:tcPr>
          <w:p w14:paraId="03761594" w14:textId="77777777" w:rsidR="00AC1EF8" w:rsidRDefault="00AC1EF8" w:rsidP="00AC1EF8">
            <w:pPr>
              <w:suppressAutoHyphens w:val="0"/>
            </w:pPr>
          </w:p>
        </w:tc>
      </w:tr>
    </w:tbl>
    <w:p w14:paraId="5689DE50" w14:textId="77777777" w:rsidR="0015702E" w:rsidRPr="00E01611" w:rsidRDefault="002A7085" w:rsidP="002A7085">
      <w:pPr>
        <w:spacing w:after="120"/>
        <w:rPr>
          <w:lang w:val="en-US"/>
        </w:rPr>
      </w:pPr>
      <w:r w:rsidRPr="00E01611">
        <w:rPr>
          <w:lang w:val="en-US"/>
        </w:rPr>
        <w:br w:type="page"/>
      </w:r>
    </w:p>
    <w:p w14:paraId="122D4FD7" w14:textId="3DD79AE4" w:rsidR="002A7085" w:rsidRDefault="002A7085" w:rsidP="00B072DE">
      <w:pPr>
        <w:pStyle w:val="HChG"/>
      </w:pPr>
      <w:r w:rsidRPr="00B072DE">
        <w:lastRenderedPageBreak/>
        <w:tab/>
        <w:t>I.</w:t>
      </w:r>
      <w:r w:rsidRPr="00B072DE">
        <w:tab/>
      </w:r>
      <w:bookmarkStart w:id="2" w:name="_Toc17789904"/>
      <w:bookmarkStart w:id="3" w:name="_Toc44414825"/>
      <w:r w:rsidRPr="00B072DE">
        <w:t>Introduction</w:t>
      </w:r>
      <w:bookmarkEnd w:id="2"/>
      <w:bookmarkEnd w:id="3"/>
    </w:p>
    <w:p w14:paraId="135D375F" w14:textId="77B6208D" w:rsidR="00B072DE" w:rsidRPr="00B072DE" w:rsidRDefault="00153F29" w:rsidP="00B072DE">
      <w:pPr>
        <w:pStyle w:val="SingleTxtG"/>
        <w:rPr>
          <w:rStyle w:val="PageNumber"/>
          <w:b w:val="0"/>
          <w:sz w:val="20"/>
        </w:rPr>
      </w:pPr>
      <w:r>
        <w:t>1.</w:t>
      </w:r>
      <w:r>
        <w:tab/>
      </w:r>
      <w:r w:rsidR="00B072DE" w:rsidRPr="00B072DE">
        <w:t>The present report, submitted pursuant to Human Rights Council resolution 45/33</w:t>
      </w:r>
      <w:r w:rsidR="00B072DE" w:rsidRPr="00B072DE">
        <w:rPr>
          <w:vertAlign w:val="superscript"/>
        </w:rPr>
        <w:footnoteReference w:id="3"/>
      </w:r>
      <w:r w:rsidR="00B072DE" w:rsidRPr="00B072DE">
        <w:t>, updates on the implementation of the resolution and on the progress and results of technical cooperation and capacity-building for the promotion</w:t>
      </w:r>
      <w:r w:rsidR="00B072DE" w:rsidRPr="00B072DE">
        <w:rPr>
          <w:rStyle w:val="PageNumber"/>
          <w:b w:val="0"/>
          <w:sz w:val="20"/>
        </w:rPr>
        <w:t xml:space="preserve"> and protection of human rights in the Philippines since the adoption of the resolution</w:t>
      </w:r>
      <w:r w:rsidR="006D2AA5">
        <w:rPr>
          <w:rStyle w:val="PageNumber"/>
          <w:b w:val="0"/>
          <w:sz w:val="20"/>
        </w:rPr>
        <w:t xml:space="preserve"> in </w:t>
      </w:r>
      <w:r w:rsidR="00061BA7">
        <w:rPr>
          <w:rStyle w:val="PageNumber"/>
          <w:b w:val="0"/>
          <w:sz w:val="20"/>
        </w:rPr>
        <w:t>October 2020</w:t>
      </w:r>
      <w:r w:rsidR="007D1818">
        <w:rPr>
          <w:rStyle w:val="PageNumber"/>
          <w:b w:val="0"/>
          <w:sz w:val="20"/>
        </w:rPr>
        <w:t>.</w:t>
      </w:r>
    </w:p>
    <w:p w14:paraId="0171C6E6" w14:textId="40CEB805" w:rsidR="00B072DE" w:rsidRPr="00B072DE" w:rsidRDefault="00153F29" w:rsidP="00B072DE">
      <w:pPr>
        <w:pStyle w:val="SingleTxtG"/>
        <w:rPr>
          <w:rStyle w:val="PageNumber"/>
          <w:b w:val="0"/>
          <w:sz w:val="20"/>
        </w:rPr>
      </w:pPr>
      <w:r>
        <w:rPr>
          <w:rStyle w:val="PageNumber"/>
          <w:b w:val="0"/>
          <w:sz w:val="20"/>
        </w:rPr>
        <w:t>2.</w:t>
      </w:r>
      <w:r>
        <w:rPr>
          <w:rStyle w:val="PageNumber"/>
          <w:b w:val="0"/>
          <w:sz w:val="20"/>
        </w:rPr>
        <w:tab/>
      </w:r>
      <w:r w:rsidR="00B072DE" w:rsidRPr="00B072DE">
        <w:rPr>
          <w:rStyle w:val="PageNumber"/>
          <w:b w:val="0"/>
          <w:sz w:val="20"/>
        </w:rPr>
        <w:t>The Office the High Commissioner for Human Rights (OHCHR)</w:t>
      </w:r>
      <w:r w:rsidR="00EB1B09">
        <w:rPr>
          <w:rStyle w:val="PageNumber"/>
          <w:b w:val="0"/>
          <w:sz w:val="20"/>
        </w:rPr>
        <w:t>, including through a new United Nations Joint Programme on Human Rights (UNJP)</w:t>
      </w:r>
      <w:r w:rsidR="006A5FF6">
        <w:rPr>
          <w:rStyle w:val="FootnoteReference"/>
        </w:rPr>
        <w:footnoteReference w:id="4"/>
      </w:r>
      <w:r w:rsidR="00EB1B09">
        <w:rPr>
          <w:rStyle w:val="PageNumber"/>
          <w:b w:val="0"/>
          <w:sz w:val="20"/>
        </w:rPr>
        <w:t>,</w:t>
      </w:r>
      <w:r w:rsidR="00A33387">
        <w:rPr>
          <w:rStyle w:val="PageNumber"/>
          <w:b w:val="0"/>
          <w:sz w:val="20"/>
        </w:rPr>
        <w:t xml:space="preserve"> </w:t>
      </w:r>
      <w:r w:rsidR="00B072DE" w:rsidRPr="00B072DE">
        <w:rPr>
          <w:rStyle w:val="PageNumber"/>
          <w:b w:val="0"/>
          <w:sz w:val="20"/>
        </w:rPr>
        <w:t xml:space="preserve">continued technical cooperation activities with the Department of Justice (DoJ), the Department of </w:t>
      </w:r>
      <w:r w:rsidR="00B67228">
        <w:rPr>
          <w:rStyle w:val="PageNumber"/>
          <w:b w:val="0"/>
          <w:sz w:val="20"/>
        </w:rPr>
        <w:t>Interior</w:t>
      </w:r>
      <w:r w:rsidR="008C173E" w:rsidRPr="00B072DE">
        <w:rPr>
          <w:rStyle w:val="PageNumber"/>
          <w:b w:val="0"/>
          <w:sz w:val="20"/>
        </w:rPr>
        <w:t xml:space="preserve"> </w:t>
      </w:r>
      <w:r w:rsidR="00B072DE" w:rsidRPr="00B072DE">
        <w:rPr>
          <w:rStyle w:val="PageNumber"/>
          <w:b w:val="0"/>
          <w:sz w:val="20"/>
        </w:rPr>
        <w:t xml:space="preserve">and Local Government (DILG), the Philippine National Police (PNP), the </w:t>
      </w:r>
      <w:bookmarkStart w:id="4" w:name="_Hlk111105710"/>
      <w:r w:rsidR="00B072DE" w:rsidRPr="00B072DE">
        <w:rPr>
          <w:rStyle w:val="PageNumber"/>
          <w:b w:val="0"/>
          <w:sz w:val="20"/>
        </w:rPr>
        <w:t xml:space="preserve">Anti-Terrorism Council Programme Management Center (ATC-PMC), </w:t>
      </w:r>
      <w:bookmarkEnd w:id="4"/>
      <w:r w:rsidR="00B072DE" w:rsidRPr="00B072DE">
        <w:rPr>
          <w:rStyle w:val="PageNumber"/>
          <w:b w:val="0"/>
          <w:sz w:val="20"/>
        </w:rPr>
        <w:t xml:space="preserve">the Dangerous Drugs Board (DDB), the Presidential Human Rights Committee Secretariat (PHRCS), the Commission on Human Rights of the Philippines (CHRP), other governmental actors, civil society and other actors. The High Commissioner is grateful to the Government for its cooperation in the preparation of this report.  The Government provided written inputs </w:t>
      </w:r>
      <w:r w:rsidR="006A5FF6">
        <w:rPr>
          <w:rStyle w:val="PageNumber"/>
          <w:b w:val="0"/>
          <w:sz w:val="20"/>
        </w:rPr>
        <w:t>in July and August</w:t>
      </w:r>
      <w:r w:rsidR="009756FB">
        <w:rPr>
          <w:rStyle w:val="PageNumber"/>
          <w:b w:val="0"/>
          <w:sz w:val="20"/>
        </w:rPr>
        <w:t xml:space="preserve"> </w:t>
      </w:r>
      <w:r w:rsidR="00B072DE" w:rsidRPr="00B072DE">
        <w:rPr>
          <w:rStyle w:val="PageNumber"/>
          <w:b w:val="0"/>
          <w:sz w:val="20"/>
        </w:rPr>
        <w:t>2022</w:t>
      </w:r>
      <w:r w:rsidR="0014377F" w:rsidRPr="00F34263">
        <w:rPr>
          <w:rStyle w:val="PageNumber"/>
          <w:b w:val="0"/>
          <w:sz w:val="20"/>
          <w:vertAlign w:val="superscript"/>
        </w:rPr>
        <w:footnoteReference w:id="5"/>
      </w:r>
      <w:r w:rsidR="0014377F" w:rsidRPr="00B072DE">
        <w:rPr>
          <w:rStyle w:val="PageNumber"/>
          <w:b w:val="0"/>
          <w:sz w:val="20"/>
        </w:rPr>
        <w:t xml:space="preserve"> </w:t>
      </w:r>
      <w:r w:rsidR="00B072DE" w:rsidRPr="00B072DE">
        <w:rPr>
          <w:rStyle w:val="PageNumber"/>
          <w:b w:val="0"/>
          <w:sz w:val="20"/>
        </w:rPr>
        <w:t xml:space="preserve"> in response to a list of questions, and factual comments on the report</w:t>
      </w:r>
      <w:r w:rsidR="008564D6">
        <w:rPr>
          <w:rStyle w:val="FootnoteReference"/>
        </w:rPr>
        <w:footnoteReference w:id="6"/>
      </w:r>
      <w:r w:rsidR="003E4EB4">
        <w:rPr>
          <w:rStyle w:val="PageNumber"/>
          <w:b w:val="0"/>
          <w:sz w:val="20"/>
        </w:rPr>
        <w:t>.</w:t>
      </w:r>
    </w:p>
    <w:p w14:paraId="5582ABAF" w14:textId="3C8079FA" w:rsidR="00B072DE" w:rsidRPr="009C1731" w:rsidRDefault="00B072DE" w:rsidP="00B072DE">
      <w:pPr>
        <w:pStyle w:val="HChG"/>
      </w:pPr>
      <w:r>
        <w:tab/>
        <w:t>II.</w:t>
      </w:r>
      <w:r>
        <w:tab/>
      </w:r>
      <w:r w:rsidRPr="009C1731">
        <w:t>Context</w:t>
      </w:r>
    </w:p>
    <w:p w14:paraId="11013EF6" w14:textId="4BB8402B" w:rsidR="00B072DE" w:rsidRPr="00A0323C" w:rsidRDefault="00153F29" w:rsidP="00B072DE">
      <w:pPr>
        <w:pStyle w:val="SingleTxtG"/>
        <w:rPr>
          <w:bCs/>
        </w:rPr>
      </w:pPr>
      <w:r>
        <w:t>3.</w:t>
      </w:r>
      <w:r>
        <w:tab/>
      </w:r>
      <w:r w:rsidR="00B072DE" w:rsidRPr="00A0323C">
        <w:t>On 9 May 2022, presidential elections</w:t>
      </w:r>
      <w:r w:rsidR="00963283">
        <w:t xml:space="preserve"> were held in the Philippines</w:t>
      </w:r>
      <w:r w:rsidR="00B072DE" w:rsidRPr="00A0323C">
        <w:t>.</w:t>
      </w:r>
      <w:r w:rsidR="00CD6BEA">
        <w:t xml:space="preserve"> </w:t>
      </w:r>
      <w:r w:rsidR="00B072DE" w:rsidRPr="00A0323C">
        <w:t>The new administration</w:t>
      </w:r>
      <w:r w:rsidR="00963283">
        <w:t xml:space="preserve">, headed by H.E. Mr Ferdinand Marcos Jr as President and H.E. Ms. Sara </w:t>
      </w:r>
      <w:r w:rsidR="00BE602F">
        <w:t xml:space="preserve">Z. </w:t>
      </w:r>
      <w:r w:rsidR="00963283">
        <w:t>Duterte as Vice-President,</w:t>
      </w:r>
      <w:r w:rsidR="00B072DE" w:rsidRPr="00A0323C">
        <w:t xml:space="preserve"> took office on 30 June 2022.</w:t>
      </w:r>
      <w:r w:rsidR="00B072DE" w:rsidRPr="00A0323C">
        <w:rPr>
          <w:color w:val="FFFFFF" w:themeColor="background1"/>
        </w:rPr>
        <w:t xml:space="preserve"> </w:t>
      </w:r>
      <w:r w:rsidR="00B072DE" w:rsidRPr="00A0323C">
        <w:rPr>
          <w:bCs/>
        </w:rPr>
        <w:t xml:space="preserve"> </w:t>
      </w:r>
    </w:p>
    <w:p w14:paraId="61422C20" w14:textId="5426905E" w:rsidR="00B072DE" w:rsidRPr="00DF2514" w:rsidRDefault="00153F29" w:rsidP="00B072DE">
      <w:pPr>
        <w:pStyle w:val="SingleTxtG"/>
      </w:pPr>
      <w:r>
        <w:t>4.</w:t>
      </w:r>
      <w:r>
        <w:tab/>
      </w:r>
      <w:r w:rsidR="00B072DE">
        <w:t>T</w:t>
      </w:r>
      <w:r w:rsidR="00B072DE" w:rsidRPr="009C1731">
        <w:t>he COVID-19 continued to have a negative impact on the human rights situation in the Philippines. Prolonged lockdown</w:t>
      </w:r>
      <w:r w:rsidR="007F50DA">
        <w:t>s,</w:t>
      </w:r>
      <w:r w:rsidR="000E3415">
        <w:t xml:space="preserve"> </w:t>
      </w:r>
      <w:r w:rsidR="00B072DE" w:rsidRPr="009C1731">
        <w:t>school closures</w:t>
      </w:r>
      <w:r w:rsidR="002C501B" w:rsidRPr="009C1731">
        <w:t xml:space="preserve">, </w:t>
      </w:r>
      <w:r w:rsidR="002C501B">
        <w:t>economic</w:t>
      </w:r>
      <w:r w:rsidR="007F50DA">
        <w:t xml:space="preserve"> impacts</w:t>
      </w:r>
      <w:r w:rsidR="00B072DE" w:rsidRPr="009C1731">
        <w:t xml:space="preserve"> and sharp decline of remittances particularly affected vulnerable populations, including youth, women, </w:t>
      </w:r>
      <w:r w:rsidR="00B072DE">
        <w:t xml:space="preserve">and </w:t>
      </w:r>
      <w:r w:rsidR="00B072DE" w:rsidRPr="009C1731">
        <w:t>overseas Filipino workers.</w:t>
      </w:r>
      <w:r w:rsidR="00B072DE" w:rsidRPr="009C1731">
        <w:rPr>
          <w:vertAlign w:val="superscript"/>
        </w:rPr>
        <w:footnoteReference w:id="7"/>
      </w:r>
      <w:r w:rsidR="00B072DE" w:rsidRPr="009C1731">
        <w:t xml:space="preserve"> The</w:t>
      </w:r>
      <w:r w:rsidR="00BE31F0">
        <w:t xml:space="preserve"> pandemic and</w:t>
      </w:r>
      <w:r w:rsidR="00B072DE" w:rsidRPr="009C1731">
        <w:t xml:space="preserve"> shortages of healthcare workers exacerbated strains on the healthcare system.</w:t>
      </w:r>
      <w:r w:rsidR="00B072DE" w:rsidRPr="009C1731">
        <w:rPr>
          <w:vertAlign w:val="superscript"/>
        </w:rPr>
        <w:footnoteReference w:id="8"/>
      </w:r>
      <w:r w:rsidR="00B072DE" w:rsidRPr="009C1731">
        <w:t xml:space="preserve"> The U</w:t>
      </w:r>
      <w:r w:rsidR="00481283">
        <w:t>nited</w:t>
      </w:r>
      <w:r w:rsidR="00386988">
        <w:t xml:space="preserve"> </w:t>
      </w:r>
      <w:r w:rsidR="00B072DE" w:rsidRPr="009C1731">
        <w:t>N</w:t>
      </w:r>
      <w:r w:rsidR="00481283">
        <w:t>ations</w:t>
      </w:r>
      <w:r w:rsidR="00B072DE" w:rsidRPr="00DF2514">
        <w:t xml:space="preserve"> </w:t>
      </w:r>
      <w:r w:rsidR="00B072DE">
        <w:t>C</w:t>
      </w:r>
      <w:r w:rsidR="00B072DE" w:rsidRPr="00DF2514">
        <w:t xml:space="preserve">ountry </w:t>
      </w:r>
      <w:r w:rsidR="00B072DE">
        <w:t>T</w:t>
      </w:r>
      <w:r w:rsidR="00B072DE" w:rsidRPr="00DF2514">
        <w:t xml:space="preserve">eam </w:t>
      </w:r>
      <w:r w:rsidR="00B072DE">
        <w:t>(UNCT)</w:t>
      </w:r>
      <w:r w:rsidR="00893893">
        <w:t xml:space="preserve"> supported the Government by implementing</w:t>
      </w:r>
      <w:r w:rsidR="00AB644A">
        <w:t xml:space="preserve"> </w:t>
      </w:r>
      <w:r w:rsidR="00B072DE" w:rsidRPr="00DF2514">
        <w:t xml:space="preserve">the Socio-economic and Peacebuilding Framework for </w:t>
      </w:r>
      <w:r w:rsidR="00F8531E">
        <w:t>COVID</w:t>
      </w:r>
      <w:r w:rsidR="00B072DE" w:rsidRPr="00DF2514">
        <w:t>-19 Recovery in the Philippines.</w:t>
      </w:r>
      <w:r w:rsidR="00B072DE" w:rsidRPr="009C1731">
        <w:rPr>
          <w:vertAlign w:val="superscript"/>
        </w:rPr>
        <w:footnoteReference w:id="9"/>
      </w:r>
    </w:p>
    <w:p w14:paraId="1EB4B305" w14:textId="5E43838D" w:rsidR="00B072DE" w:rsidRPr="009C1731" w:rsidRDefault="00153F29" w:rsidP="00B072DE">
      <w:pPr>
        <w:pStyle w:val="SingleTxtG"/>
      </w:pPr>
      <w:r>
        <w:t>5.</w:t>
      </w:r>
      <w:r>
        <w:tab/>
      </w:r>
      <w:r w:rsidR="00B072DE" w:rsidRPr="009C1731">
        <w:t xml:space="preserve">The enforcement of </w:t>
      </w:r>
      <w:r w:rsidR="00B072DE">
        <w:t xml:space="preserve">COVID-19 </w:t>
      </w:r>
      <w:r w:rsidR="00B072DE" w:rsidRPr="009C1731">
        <w:t xml:space="preserve">restrictions also </w:t>
      </w:r>
      <w:r w:rsidR="00B072DE">
        <w:t>affected</w:t>
      </w:r>
      <w:r w:rsidR="00B072DE" w:rsidRPr="009C1731">
        <w:t xml:space="preserve"> civil and political rights, with reports of restrictions on freedom of movement and the right to peaceful association.</w:t>
      </w:r>
      <w:r w:rsidR="00B072DE" w:rsidRPr="009C1731">
        <w:rPr>
          <w:vertAlign w:val="superscript"/>
        </w:rPr>
        <w:footnoteReference w:id="10"/>
      </w:r>
      <w:r w:rsidR="00B072DE" w:rsidRPr="009C1731">
        <w:t xml:space="preserve"> </w:t>
      </w:r>
      <w:r w:rsidR="00B072DE" w:rsidRPr="00F34263">
        <w:t xml:space="preserve">The High Commissioner and various </w:t>
      </w:r>
      <w:r w:rsidR="000C6C24">
        <w:t>U</w:t>
      </w:r>
      <w:r w:rsidR="00481283">
        <w:t>nited</w:t>
      </w:r>
      <w:r w:rsidR="00386988">
        <w:t xml:space="preserve"> </w:t>
      </w:r>
      <w:r w:rsidR="000C6C24">
        <w:t>N</w:t>
      </w:r>
      <w:r w:rsidR="00481283">
        <w:t>ations</w:t>
      </w:r>
      <w:r w:rsidR="000C6C24">
        <w:t xml:space="preserve"> Special Rapporteurs </w:t>
      </w:r>
      <w:r w:rsidR="00B072DE" w:rsidRPr="00F34263">
        <w:t>had previously</w:t>
      </w:r>
      <w:r w:rsidR="00B072DE" w:rsidRPr="009C1731">
        <w:t xml:space="preserve"> expressed concerns regarding the </w:t>
      </w:r>
      <w:r w:rsidR="00555992">
        <w:t xml:space="preserve">alleged </w:t>
      </w:r>
      <w:r w:rsidR="00B072DE" w:rsidRPr="009C1731">
        <w:t>use of lethal force by police officers in the implementation of COVID-19 measures.</w:t>
      </w:r>
      <w:r w:rsidR="00B072DE" w:rsidRPr="00F34263">
        <w:rPr>
          <w:vertAlign w:val="superscript"/>
        </w:rPr>
        <w:footnoteReference w:id="11"/>
      </w:r>
      <w:r w:rsidR="009450BA">
        <w:t xml:space="preserve"> Most restrictions have since been lifted. </w:t>
      </w:r>
    </w:p>
    <w:p w14:paraId="0147C793" w14:textId="00818E20" w:rsidR="00B072DE" w:rsidRPr="009C1731" w:rsidRDefault="00153F29" w:rsidP="00F34263">
      <w:pPr>
        <w:pStyle w:val="SingleTxtG"/>
      </w:pPr>
      <w:r>
        <w:t>6.</w:t>
      </w:r>
      <w:r>
        <w:tab/>
      </w:r>
      <w:r w:rsidR="00B072DE" w:rsidRPr="00C51CF3">
        <w:t>Climate change and extreme weather events also continued to affe</w:t>
      </w:r>
      <w:r w:rsidR="00B072DE" w:rsidRPr="006F6B53">
        <w:t>ct the enjoyment of human rights. In December 2021, Typhoon</w:t>
      </w:r>
      <w:r w:rsidR="00A33387">
        <w:t xml:space="preserve"> Rai (locally known as</w:t>
      </w:r>
      <w:r w:rsidR="00B072DE" w:rsidRPr="006F6B53">
        <w:t xml:space="preserve"> Odette</w:t>
      </w:r>
      <w:r w:rsidR="00A33387">
        <w:t>)</w:t>
      </w:r>
      <w:r w:rsidR="00B072DE" w:rsidRPr="006F6B53">
        <w:t xml:space="preserve"> struck the Philippines, affecting approximately </w:t>
      </w:r>
      <w:r w:rsidR="00A33387">
        <w:t xml:space="preserve">12 </w:t>
      </w:r>
      <w:r w:rsidR="00B072DE" w:rsidRPr="006F6B53">
        <w:t xml:space="preserve">million people in 11 of Philippines’ 17 regions. </w:t>
      </w:r>
      <w:r w:rsidR="00A33387" w:rsidRPr="00A33387">
        <w:t xml:space="preserve">The </w:t>
      </w:r>
      <w:r w:rsidR="00A33387" w:rsidRPr="00A33387">
        <w:lastRenderedPageBreak/>
        <w:t>cumulative number of displaced persons reached 3.9 million, of which 6,800 remained displaced as of mid-June 2022.</w:t>
      </w:r>
      <w:r w:rsidR="00A33387">
        <w:rPr>
          <w:rStyle w:val="FootnoteReference"/>
        </w:rPr>
        <w:footnoteReference w:id="12"/>
      </w:r>
      <w:r w:rsidR="00B072DE" w:rsidRPr="009C1731" w:rsidDel="00C51CF3">
        <w:t xml:space="preserve"> </w:t>
      </w:r>
      <w:r w:rsidR="00B072DE" w:rsidRPr="009C1731">
        <w:t xml:space="preserve">As of July 2022, emergency response efforts by the Government, </w:t>
      </w:r>
      <w:r w:rsidR="00B072DE">
        <w:t>U</w:t>
      </w:r>
      <w:r w:rsidR="00481283">
        <w:t>nited</w:t>
      </w:r>
      <w:r w:rsidR="00386988">
        <w:t xml:space="preserve"> </w:t>
      </w:r>
      <w:r w:rsidR="00B072DE">
        <w:t>N</w:t>
      </w:r>
      <w:r w:rsidR="00481283">
        <w:t>ations</w:t>
      </w:r>
      <w:r w:rsidR="00B072DE" w:rsidRPr="009C1731">
        <w:t xml:space="preserve"> and various humanitarian partners provided life-saving assistance to over a million people.</w:t>
      </w:r>
      <w:r w:rsidR="00B072DE" w:rsidRPr="00272C1E">
        <w:rPr>
          <w:rStyle w:val="FootnoteReference"/>
          <w:szCs w:val="18"/>
          <w:lang w:val="en-US"/>
        </w:rPr>
        <w:footnoteReference w:id="13"/>
      </w:r>
      <w:r w:rsidR="00A33387">
        <w:t xml:space="preserve"> </w:t>
      </w:r>
      <w:r w:rsidR="00A33387" w:rsidRPr="00A33387">
        <w:t>Humanitarian partners continued to work with national and local authorities to ensure long-term solutions for affected communities and to build resilience against future shocks, including through anticipatory action.</w:t>
      </w:r>
    </w:p>
    <w:p w14:paraId="5D5BD7E9" w14:textId="2F573055" w:rsidR="00246F6E" w:rsidRDefault="00153F29">
      <w:pPr>
        <w:pStyle w:val="SingleTxtG"/>
      </w:pPr>
      <w:r>
        <w:t>7.</w:t>
      </w:r>
      <w:r>
        <w:tab/>
      </w:r>
      <w:r w:rsidR="00B072DE">
        <w:t>O</w:t>
      </w:r>
      <w:r w:rsidR="00B072DE" w:rsidRPr="009C1731">
        <w:t>ngoing internal armed conflicts</w:t>
      </w:r>
      <w:r w:rsidR="0040125E">
        <w:t xml:space="preserve">, including with </w:t>
      </w:r>
      <w:r w:rsidR="00B072DE" w:rsidRPr="009C1731">
        <w:t>the</w:t>
      </w:r>
      <w:r w:rsidR="00872C16">
        <w:t xml:space="preserve"> </w:t>
      </w:r>
      <w:r w:rsidR="00B072DE" w:rsidRPr="009C1731">
        <w:t>Communist Party of the Philippines–New People's Army (CPP-NPA)</w:t>
      </w:r>
      <w:r w:rsidR="0014377F">
        <w:rPr>
          <w:rStyle w:val="FootnoteReference"/>
        </w:rPr>
        <w:footnoteReference w:id="14"/>
      </w:r>
      <w:r w:rsidR="0014377F" w:rsidDel="0014377F">
        <w:t xml:space="preserve"> </w:t>
      </w:r>
      <w:r w:rsidR="00B072DE" w:rsidRPr="009C1731">
        <w:t xml:space="preserve">continued to impact on human rights, with </w:t>
      </w:r>
      <w:r w:rsidR="0040125E">
        <w:t>alleged</w:t>
      </w:r>
      <w:r w:rsidR="0040125E" w:rsidRPr="009C1731">
        <w:t xml:space="preserve"> </w:t>
      </w:r>
      <w:r w:rsidR="00B072DE" w:rsidRPr="009C1731">
        <w:t xml:space="preserve">human rights violations </w:t>
      </w:r>
      <w:r w:rsidR="00AB644A">
        <w:t>and abuses committed.</w:t>
      </w:r>
      <w:r w:rsidR="00B072DE" w:rsidRPr="009C1731">
        <w:t xml:space="preserve"> Inequality and social marginalization</w:t>
      </w:r>
      <w:r w:rsidR="00FE4CE2">
        <w:t>,</w:t>
      </w:r>
      <w:r w:rsidR="00B072DE" w:rsidRPr="009C1731">
        <w:t xml:space="preserve"> including land dispossession, persistent inadequacies in </w:t>
      </w:r>
      <w:r w:rsidR="00B072DE" w:rsidRPr="00F34263">
        <w:t>access to services, and prejudice between demographic groups</w:t>
      </w:r>
      <w:r w:rsidR="00FE4CE2">
        <w:t>,</w:t>
      </w:r>
      <w:r w:rsidR="00B072DE" w:rsidRPr="00153F29">
        <w:rPr>
          <w:vertAlign w:val="superscript"/>
        </w:rPr>
        <w:footnoteReference w:id="15"/>
      </w:r>
      <w:r w:rsidR="00B072DE" w:rsidRPr="00F34263">
        <w:t xml:space="preserve"> have </w:t>
      </w:r>
      <w:r w:rsidR="0092283E" w:rsidRPr="00F34263">
        <w:t>fuelled</w:t>
      </w:r>
      <w:r w:rsidR="00B072DE" w:rsidRPr="00F34263">
        <w:t xml:space="preserve"> social instability and conflicts.</w:t>
      </w:r>
      <w:r w:rsidR="00B072DE" w:rsidRPr="00F34263">
        <w:rPr>
          <w:vertAlign w:val="superscript"/>
        </w:rPr>
        <w:footnoteReference w:id="16"/>
      </w:r>
      <w:r w:rsidR="00B072DE" w:rsidRPr="00F34263">
        <w:rPr>
          <w:vertAlign w:val="superscript"/>
        </w:rPr>
        <w:t xml:space="preserve"> </w:t>
      </w:r>
      <w:r w:rsidR="00A33387" w:rsidRPr="00A33387">
        <w:rPr>
          <w:lang w:val="en-US"/>
        </w:rPr>
        <w:t>In October 2021, the Government adopted legislation extending the transition period</w:t>
      </w:r>
      <w:r w:rsidR="00420A99">
        <w:rPr>
          <w:lang w:val="en-US"/>
        </w:rPr>
        <w:t xml:space="preserve"> under the peace agreement</w:t>
      </w:r>
      <w:r w:rsidR="00A33387" w:rsidRPr="00A33387">
        <w:rPr>
          <w:lang w:val="en-US"/>
        </w:rPr>
        <w:t xml:space="preserve"> in </w:t>
      </w:r>
      <w:r w:rsidR="00420A99">
        <w:rPr>
          <w:lang w:val="en-US"/>
        </w:rPr>
        <w:t xml:space="preserve">the </w:t>
      </w:r>
      <w:r w:rsidR="00420A99" w:rsidRPr="00F34263">
        <w:t>Bangsamoro Autonomous Region of Muslim Mindanao</w:t>
      </w:r>
      <w:r w:rsidR="00420A99">
        <w:t xml:space="preserve"> (</w:t>
      </w:r>
      <w:r w:rsidR="00420A99" w:rsidRPr="00A33387">
        <w:rPr>
          <w:lang w:val="en-US"/>
        </w:rPr>
        <w:t>BARMM</w:t>
      </w:r>
      <w:r w:rsidR="00420A99">
        <w:rPr>
          <w:lang w:val="en-US"/>
        </w:rPr>
        <w:t>)</w:t>
      </w:r>
      <w:r w:rsidR="00A33387" w:rsidRPr="00A33387">
        <w:rPr>
          <w:lang w:val="en-US"/>
        </w:rPr>
        <w:t xml:space="preserve"> from 2022 to 2025.</w:t>
      </w:r>
      <w:r w:rsidR="00A33387" w:rsidRPr="00A33387">
        <w:rPr>
          <w:vertAlign w:val="superscript"/>
          <w:lang w:val="en-US"/>
        </w:rPr>
        <w:footnoteReference w:id="17"/>
      </w:r>
      <w:r w:rsidR="00A33387" w:rsidRPr="00A33387">
        <w:rPr>
          <w:lang w:val="en-US"/>
        </w:rPr>
        <w:t xml:space="preserve"> </w:t>
      </w:r>
    </w:p>
    <w:p w14:paraId="40C382B7" w14:textId="39D3C425" w:rsidR="00344119" w:rsidRDefault="00246F6E" w:rsidP="00A630C1">
      <w:pPr>
        <w:pStyle w:val="SingleTxtG"/>
      </w:pPr>
      <w:r>
        <w:t>8</w:t>
      </w:r>
      <w:r w:rsidR="00153F29">
        <w:t>.</w:t>
      </w:r>
      <w:r w:rsidR="00153F29">
        <w:tab/>
      </w:r>
      <w:r w:rsidR="00B072DE" w:rsidRPr="00F34263">
        <w:t xml:space="preserve">The leadership of the CHRP ended </w:t>
      </w:r>
      <w:r w:rsidR="00FE4CE2">
        <w:t>its</w:t>
      </w:r>
      <w:r w:rsidR="00FE4CE2" w:rsidRPr="00F34263">
        <w:t xml:space="preserve"> </w:t>
      </w:r>
      <w:r w:rsidR="00B072DE" w:rsidRPr="00F34263">
        <w:t>seven-year term on 5 May 2022</w:t>
      </w:r>
      <w:r w:rsidR="003E4EB4">
        <w:t>.</w:t>
      </w:r>
      <w:r w:rsidR="00B072DE" w:rsidRPr="00267F93">
        <w:rPr>
          <w:vertAlign w:val="superscript"/>
        </w:rPr>
        <w:footnoteReference w:id="18"/>
      </w:r>
      <w:r w:rsidR="00B072DE" w:rsidRPr="00F34263">
        <w:t xml:space="preserve"> </w:t>
      </w:r>
      <w:r w:rsidR="00FE4CE2">
        <w:t>N</w:t>
      </w:r>
      <w:r w:rsidR="00B072DE" w:rsidRPr="00F34263">
        <w:t xml:space="preserve">ew leadership has yet </w:t>
      </w:r>
      <w:r w:rsidR="00FE4CE2">
        <w:t xml:space="preserve">to </w:t>
      </w:r>
      <w:r w:rsidR="00FF659E">
        <w:t>be</w:t>
      </w:r>
      <w:r w:rsidR="00B072DE" w:rsidRPr="00F34263">
        <w:t xml:space="preserve"> appointed by the new administration. Once appointed, the new commissioners are set to serve until 2029. </w:t>
      </w:r>
      <w:r w:rsidR="00420A99" w:rsidRPr="0070489E">
        <w:t>The CHRP is accredited with “A” in compliance with the Paris Principles.</w:t>
      </w:r>
    </w:p>
    <w:p w14:paraId="1E74BFAD" w14:textId="687B0E8A" w:rsidR="00344119" w:rsidRPr="00A630C1" w:rsidRDefault="00246F6E" w:rsidP="00A630C1">
      <w:pPr>
        <w:pStyle w:val="SingleTxtG"/>
        <w:rPr>
          <w:lang w:val="en-US"/>
        </w:rPr>
      </w:pPr>
      <w:r>
        <w:t>9</w:t>
      </w:r>
      <w:r w:rsidR="00344119">
        <w:t xml:space="preserve">.  </w:t>
      </w:r>
      <w:r w:rsidR="00344119">
        <w:tab/>
      </w:r>
      <w:r w:rsidR="00C441A0">
        <w:t xml:space="preserve">On 10 November 2021, the Government requested that the Prosecutor of the International Criminal Court (ICC) defer his investigation of </w:t>
      </w:r>
      <w:r w:rsidR="00C441A0" w:rsidRPr="00C441A0">
        <w:t xml:space="preserve">alleged crimes against humanity committed </w:t>
      </w:r>
      <w:r w:rsidR="004C01FC">
        <w:t>in</w:t>
      </w:r>
      <w:r w:rsidR="00C441A0" w:rsidRPr="00C441A0">
        <w:t xml:space="preserve"> the Philippines between 1 November 2011 and 16 March 2019 in the context of the “war on drugs”, in view </w:t>
      </w:r>
      <w:r w:rsidR="00C441A0">
        <w:t xml:space="preserve">of the Government’s own investigations of and proceedings on relevant alleged crimes. </w:t>
      </w:r>
      <w:r w:rsidR="00344119" w:rsidRPr="00344119">
        <w:rPr>
          <w:lang w:val="en-US"/>
        </w:rPr>
        <w:t xml:space="preserve">On 24 June 2022, the Prosecutor </w:t>
      </w:r>
      <w:r w:rsidR="00C441A0">
        <w:rPr>
          <w:lang w:val="en-US"/>
        </w:rPr>
        <w:t xml:space="preserve">formally </w:t>
      </w:r>
      <w:r w:rsidR="00344119" w:rsidRPr="00344119">
        <w:rPr>
          <w:lang w:val="en-US"/>
        </w:rPr>
        <w:t xml:space="preserve">requested </w:t>
      </w:r>
      <w:r w:rsidR="00C441A0">
        <w:rPr>
          <w:lang w:val="en-US"/>
        </w:rPr>
        <w:t xml:space="preserve">the ICC’s Pre-Trial Chamber for </w:t>
      </w:r>
      <w:r w:rsidR="00344119" w:rsidRPr="00344119">
        <w:rPr>
          <w:lang w:val="en-US"/>
        </w:rPr>
        <w:t xml:space="preserve">authorization to resume </w:t>
      </w:r>
      <w:r w:rsidR="00C441A0">
        <w:rPr>
          <w:lang w:val="en-US"/>
        </w:rPr>
        <w:t xml:space="preserve">his </w:t>
      </w:r>
      <w:r w:rsidR="00344119" w:rsidRPr="00344119">
        <w:rPr>
          <w:lang w:val="en-US"/>
        </w:rPr>
        <w:t xml:space="preserve">investigation into </w:t>
      </w:r>
      <w:r w:rsidR="00C441A0">
        <w:rPr>
          <w:lang w:val="en-US"/>
        </w:rPr>
        <w:t>the situation in the Philippines.</w:t>
      </w:r>
      <w:r w:rsidR="00344119" w:rsidRPr="00344119">
        <w:rPr>
          <w:vertAlign w:val="superscript"/>
          <w:lang w:val="en-US"/>
        </w:rPr>
        <w:footnoteReference w:id="19"/>
      </w:r>
      <w:r w:rsidR="00D4377E">
        <w:rPr>
          <w:lang w:val="en-US"/>
        </w:rPr>
        <w:t xml:space="preserve"> </w:t>
      </w:r>
      <w:r w:rsidR="00FE4CE2">
        <w:rPr>
          <w:lang w:val="en-US"/>
        </w:rPr>
        <w:t>Litigation on the matter is continuing.</w:t>
      </w:r>
      <w:r w:rsidR="00D4377E">
        <w:rPr>
          <w:lang w:val="en-US"/>
        </w:rPr>
        <w:t xml:space="preserve"> On </w:t>
      </w:r>
      <w:r w:rsidR="00B03FD2">
        <w:rPr>
          <w:lang w:val="en-US"/>
        </w:rPr>
        <w:t>1 August 2022</w:t>
      </w:r>
      <w:r w:rsidR="00D4377E">
        <w:rPr>
          <w:lang w:val="en-US"/>
        </w:rPr>
        <w:t xml:space="preserve">, the new administration announced it would not rejoin the </w:t>
      </w:r>
      <w:r w:rsidR="00C441A0">
        <w:rPr>
          <w:lang w:val="en-US"/>
        </w:rPr>
        <w:t xml:space="preserve">Rome Statute of the </w:t>
      </w:r>
      <w:r w:rsidR="00D4377E">
        <w:rPr>
          <w:lang w:val="en-US"/>
        </w:rPr>
        <w:t>ICC</w:t>
      </w:r>
      <w:r w:rsidR="00A630C1">
        <w:rPr>
          <w:lang w:val="en-US"/>
        </w:rPr>
        <w:t>.</w:t>
      </w:r>
      <w:r w:rsidR="00B03FD2">
        <w:rPr>
          <w:rStyle w:val="FootnoteReference"/>
          <w:lang w:val="en-US"/>
        </w:rPr>
        <w:footnoteReference w:id="20"/>
      </w:r>
    </w:p>
    <w:p w14:paraId="68A641D6" w14:textId="7DA5E53B" w:rsidR="00B072DE" w:rsidRPr="009C1731" w:rsidRDefault="00F34263" w:rsidP="00F34263">
      <w:pPr>
        <w:pStyle w:val="HChG"/>
        <w:rPr>
          <w:lang w:val="en-US"/>
        </w:rPr>
      </w:pPr>
      <w:r>
        <w:rPr>
          <w:lang w:val="en-US"/>
        </w:rPr>
        <w:tab/>
      </w:r>
      <w:r w:rsidR="00B072DE" w:rsidRPr="009C1731">
        <w:rPr>
          <w:lang w:val="en-US"/>
        </w:rPr>
        <w:t>III.</w:t>
      </w:r>
      <w:r w:rsidR="00B072DE" w:rsidRPr="009C1731">
        <w:rPr>
          <w:lang w:val="en-US"/>
        </w:rPr>
        <w:tab/>
        <w:t>Progress in the implementation of resolution 45/33 implementation and progress and results of technical cooperation and capacity building for the promotion and protection of human rights</w:t>
      </w:r>
    </w:p>
    <w:p w14:paraId="121251CC" w14:textId="53E9C5C2" w:rsidR="00B072DE" w:rsidRPr="009C1731" w:rsidRDefault="00153F29" w:rsidP="00816707">
      <w:pPr>
        <w:pStyle w:val="SingleTxtG"/>
      </w:pPr>
      <w:r>
        <w:t>1</w:t>
      </w:r>
      <w:r w:rsidR="00246F6E">
        <w:t>0</w:t>
      </w:r>
      <w:r>
        <w:t>.</w:t>
      </w:r>
      <w:r>
        <w:tab/>
      </w:r>
      <w:r w:rsidR="00B072DE" w:rsidRPr="009C1731">
        <w:t>In resolution 45/33, the Human Rights Council encouraged the Government to address the issues raised in the High Commissioner</w:t>
      </w:r>
      <w:r w:rsidR="00B072DE">
        <w:t>’s</w:t>
      </w:r>
      <w:r w:rsidR="00B072DE" w:rsidRPr="009C1731">
        <w:t xml:space="preserve"> report A/HRC/44/22 and other remaining challenges in relation to the situation of human rights throughout the country. It also took note of “the proposed United Nations joint programme on human rights to provide technical assistance and capacity-building for, </w:t>
      </w:r>
      <w:r w:rsidR="00B072DE" w:rsidRPr="00FE7194">
        <w:rPr>
          <w:i/>
        </w:rPr>
        <w:t>inter alia</w:t>
      </w:r>
      <w:r w:rsidR="00B072DE" w:rsidRPr="009C1731">
        <w:t xml:space="preserve">, domestic investigative and accountability measures, data </w:t>
      </w:r>
      <w:r w:rsidR="00D42DD2">
        <w:t>gathering</w:t>
      </w:r>
      <w:r w:rsidR="00B072DE" w:rsidRPr="009C1731">
        <w:t xml:space="preserve"> on alleged police violations, civic space and engagement with civil society and the Commission on Human Rights, national mechanism for reporting and follow-up, counterterrorism legislation, and human rights-based approaches to drug control.”  The </w:t>
      </w:r>
      <w:r w:rsidR="00B072DE" w:rsidRPr="009C1731">
        <w:lastRenderedPageBreak/>
        <w:t xml:space="preserve">following section examines progress and challenges in each of the six areas, which are also the focus of the </w:t>
      </w:r>
      <w:r w:rsidR="00B072DE">
        <w:t>UNJP</w:t>
      </w:r>
      <w:r w:rsidR="00B072DE" w:rsidRPr="009C1731">
        <w:t>.</w:t>
      </w:r>
    </w:p>
    <w:p w14:paraId="0C1CAC99" w14:textId="4A5491EC" w:rsidR="00B072DE" w:rsidRPr="009C1731" w:rsidRDefault="00153F29" w:rsidP="00816707">
      <w:pPr>
        <w:pStyle w:val="SingleTxtG"/>
      </w:pPr>
      <w:r>
        <w:rPr>
          <w:bCs/>
        </w:rPr>
        <w:t>1</w:t>
      </w:r>
      <w:r w:rsidR="00246F6E">
        <w:rPr>
          <w:bCs/>
        </w:rPr>
        <w:t>1</w:t>
      </w:r>
      <w:r>
        <w:rPr>
          <w:bCs/>
        </w:rPr>
        <w:t>.</w:t>
      </w:r>
      <w:r>
        <w:rPr>
          <w:bCs/>
        </w:rPr>
        <w:tab/>
      </w:r>
      <w:r w:rsidR="00B072DE" w:rsidRPr="009C1731">
        <w:rPr>
          <w:bCs/>
        </w:rPr>
        <w:t xml:space="preserve">On 22 July 2021, the Secretary of Justice, Secretary of Foreign Affairs, and the </w:t>
      </w:r>
      <w:r w:rsidR="00B072DE">
        <w:rPr>
          <w:bCs/>
        </w:rPr>
        <w:t>U</w:t>
      </w:r>
      <w:r w:rsidR="00481283">
        <w:rPr>
          <w:bCs/>
        </w:rPr>
        <w:t>nited</w:t>
      </w:r>
      <w:r w:rsidR="00386988">
        <w:rPr>
          <w:bCs/>
        </w:rPr>
        <w:t xml:space="preserve"> </w:t>
      </w:r>
      <w:r w:rsidR="00B072DE">
        <w:rPr>
          <w:bCs/>
        </w:rPr>
        <w:t>N</w:t>
      </w:r>
      <w:r w:rsidR="00481283">
        <w:rPr>
          <w:bCs/>
        </w:rPr>
        <w:t>ations</w:t>
      </w:r>
      <w:r w:rsidR="00B072DE" w:rsidRPr="009C1731">
        <w:rPr>
          <w:bCs/>
        </w:rPr>
        <w:t xml:space="preserve"> Resident Coordinator</w:t>
      </w:r>
      <w:r w:rsidR="00B072DE">
        <w:rPr>
          <w:bCs/>
        </w:rPr>
        <w:t xml:space="preserve"> (UNRC)</w:t>
      </w:r>
      <w:r w:rsidR="00B072DE" w:rsidRPr="009C1731">
        <w:rPr>
          <w:bCs/>
        </w:rPr>
        <w:t xml:space="preserve"> signed the framework for </w:t>
      </w:r>
      <w:r w:rsidR="00B072DE">
        <w:rPr>
          <w:bCs/>
        </w:rPr>
        <w:t>a</w:t>
      </w:r>
      <w:r w:rsidR="00B072DE" w:rsidRPr="009C1731">
        <w:rPr>
          <w:bCs/>
        </w:rPr>
        <w:t xml:space="preserve"> three-year </w:t>
      </w:r>
      <w:r w:rsidR="00B072DE">
        <w:rPr>
          <w:bCs/>
        </w:rPr>
        <w:t>UNJP</w:t>
      </w:r>
      <w:r w:rsidR="00B072DE" w:rsidRPr="009C1731">
        <w:rPr>
          <w:bCs/>
        </w:rPr>
        <w:t xml:space="preserve">, </w:t>
      </w:r>
      <w:r w:rsidR="00B072DE">
        <w:rPr>
          <w:bCs/>
        </w:rPr>
        <w:t xml:space="preserve">with </w:t>
      </w:r>
      <w:r w:rsidR="00B072DE" w:rsidRPr="009C1731">
        <w:rPr>
          <w:bCs/>
        </w:rPr>
        <w:t>the</w:t>
      </w:r>
      <w:r w:rsidR="00B072DE">
        <w:rPr>
          <w:bCs/>
        </w:rPr>
        <w:t xml:space="preserve"> </w:t>
      </w:r>
      <w:r w:rsidR="00B072DE" w:rsidRPr="009C1731">
        <w:rPr>
          <w:bCs/>
        </w:rPr>
        <w:t>CHRP</w:t>
      </w:r>
      <w:r w:rsidR="00B072DE">
        <w:rPr>
          <w:bCs/>
        </w:rPr>
        <w:t xml:space="preserve"> present</w:t>
      </w:r>
      <w:r w:rsidR="00B072DE" w:rsidRPr="009C1731">
        <w:rPr>
          <w:bCs/>
        </w:rPr>
        <w:t>.</w:t>
      </w:r>
      <w:r w:rsidR="00344119">
        <w:rPr>
          <w:bCs/>
        </w:rPr>
        <w:t xml:space="preserve"> </w:t>
      </w:r>
      <w:r w:rsidR="00344119" w:rsidRPr="00344119">
        <w:rPr>
          <w:bCs/>
          <w:lang w:val="en-PH"/>
        </w:rPr>
        <w:t>The signing followed extensive consultations between October 2020 and July 2021</w:t>
      </w:r>
      <w:r w:rsidR="00481283">
        <w:rPr>
          <w:bCs/>
          <w:lang w:val="en-PH"/>
        </w:rPr>
        <w:t xml:space="preserve"> </w:t>
      </w:r>
      <w:r w:rsidR="00344119" w:rsidRPr="00344119">
        <w:rPr>
          <w:bCs/>
          <w:lang w:val="en-PH"/>
        </w:rPr>
        <w:t xml:space="preserve">with the Government, the CHRP and civil society actors. </w:t>
      </w:r>
      <w:r w:rsidR="00B072DE" w:rsidRPr="009C1731">
        <w:t xml:space="preserve">In a meeting with the </w:t>
      </w:r>
      <w:r w:rsidR="00B072DE">
        <w:t>UNRC</w:t>
      </w:r>
      <w:r w:rsidR="00B072DE" w:rsidRPr="009C1731">
        <w:t xml:space="preserve"> on 1</w:t>
      </w:r>
      <w:r w:rsidR="00344119">
        <w:t>0</w:t>
      </w:r>
      <w:r w:rsidR="00B072DE" w:rsidRPr="009C1731">
        <w:t xml:space="preserve"> June 2022, </w:t>
      </w:r>
      <w:r w:rsidR="00970590">
        <w:t xml:space="preserve">the then </w:t>
      </w:r>
      <w:r w:rsidR="00B072DE" w:rsidRPr="009C1731">
        <w:t xml:space="preserve">President-elect expressed support for </w:t>
      </w:r>
      <w:r w:rsidR="00B072DE">
        <w:t xml:space="preserve">the </w:t>
      </w:r>
      <w:r w:rsidR="00B072DE" w:rsidRPr="009C1731">
        <w:t>continu</w:t>
      </w:r>
      <w:r w:rsidR="00B072DE">
        <w:t>ed</w:t>
      </w:r>
      <w:r w:rsidR="00B072DE" w:rsidRPr="009C1731">
        <w:t xml:space="preserve"> implementation of the </w:t>
      </w:r>
      <w:r w:rsidR="00B072DE">
        <w:t>UNJP</w:t>
      </w:r>
      <w:r w:rsidR="00B072DE" w:rsidRPr="009C1731">
        <w:t xml:space="preserve">. </w:t>
      </w:r>
    </w:p>
    <w:p w14:paraId="55A2C8F3" w14:textId="0C18A473" w:rsidR="00B072DE" w:rsidRPr="009C1731" w:rsidRDefault="008E0664" w:rsidP="00816707">
      <w:pPr>
        <w:pStyle w:val="SingleTxtG"/>
      </w:pPr>
      <w:r>
        <w:t>1</w:t>
      </w:r>
      <w:r w:rsidR="00707974">
        <w:t>2</w:t>
      </w:r>
      <w:r>
        <w:t>.</w:t>
      </w:r>
      <w:r>
        <w:tab/>
      </w:r>
      <w:r w:rsidR="00B072DE">
        <w:t xml:space="preserve">With a consultative </w:t>
      </w:r>
      <w:r w:rsidR="00B072DE" w:rsidRPr="009C1731">
        <w:t>governance structure</w:t>
      </w:r>
      <w:r w:rsidR="00B072DE">
        <w:t xml:space="preserve">, the UNJP </w:t>
      </w:r>
      <w:r w:rsidR="00B072DE" w:rsidRPr="009C1731">
        <w:t xml:space="preserve">brings together diverse stakeholders, including </w:t>
      </w:r>
      <w:r w:rsidR="00254644">
        <w:t xml:space="preserve">Government agencies, </w:t>
      </w:r>
      <w:r w:rsidR="00B072DE" w:rsidRPr="009C1731">
        <w:t xml:space="preserve">the CHRP and </w:t>
      </w:r>
      <w:r w:rsidR="00FB5566">
        <w:t>civil society organizations (</w:t>
      </w:r>
      <w:r w:rsidR="00B072DE">
        <w:t>CSO</w:t>
      </w:r>
      <w:r w:rsidR="00FB5566">
        <w:t>)</w:t>
      </w:r>
      <w:r w:rsidR="00B072DE">
        <w:t xml:space="preserve"> </w:t>
      </w:r>
      <w:r w:rsidR="00B072DE" w:rsidRPr="009C1731">
        <w:t>representatives and development partners</w:t>
      </w:r>
      <w:r w:rsidR="001F6281">
        <w:t>.</w:t>
      </w:r>
      <w:r w:rsidR="00254644">
        <w:rPr>
          <w:rStyle w:val="FootnoteReference"/>
        </w:rPr>
        <w:footnoteReference w:id="21"/>
      </w:r>
      <w:r w:rsidR="00B072DE" w:rsidRPr="009C1731">
        <w:t xml:space="preserve">The </w:t>
      </w:r>
      <w:r w:rsidR="00B072DE">
        <w:t xml:space="preserve">UNJP </w:t>
      </w:r>
      <w:r w:rsidR="00B072DE" w:rsidRPr="009C1731">
        <w:t xml:space="preserve">Steering Committee, responsible for </w:t>
      </w:r>
      <w:r w:rsidR="00B072DE">
        <w:t>its</w:t>
      </w:r>
      <w:r w:rsidR="00B072DE" w:rsidRPr="009C1731">
        <w:t xml:space="preserve"> overall strategic direction</w:t>
      </w:r>
      <w:r w:rsidR="00B072DE">
        <w:t xml:space="preserve">, </w:t>
      </w:r>
      <w:r w:rsidR="00B072DE" w:rsidRPr="009C1731">
        <w:t>held its inception meeting on 20 December 202</w:t>
      </w:r>
      <w:r w:rsidR="00481283">
        <w:t>1</w:t>
      </w:r>
      <w:r w:rsidR="00B072DE" w:rsidRPr="009C1731">
        <w:t xml:space="preserve">, adopting the workplan for the initial phase of the </w:t>
      </w:r>
      <w:r w:rsidR="00B072DE">
        <w:t>UNJP</w:t>
      </w:r>
      <w:r w:rsidR="00B072DE" w:rsidRPr="009C1731">
        <w:t xml:space="preserve">.  Six technical working groups convene monthly to discuss progress </w:t>
      </w:r>
      <w:r w:rsidR="00B072DE">
        <w:t xml:space="preserve">on </w:t>
      </w:r>
      <w:r w:rsidR="00B072DE" w:rsidRPr="009C1731">
        <w:t xml:space="preserve">the </w:t>
      </w:r>
      <w:r w:rsidR="00B072DE">
        <w:t xml:space="preserve">implementation of the key </w:t>
      </w:r>
      <w:r w:rsidR="00B072DE" w:rsidRPr="009C1731">
        <w:t xml:space="preserve">areas. </w:t>
      </w:r>
      <w:r w:rsidR="00843847" w:rsidRPr="00843847">
        <w:t>Each technical working group is co-chaired by a participating U</w:t>
      </w:r>
      <w:r w:rsidR="000424DC">
        <w:t xml:space="preserve">nited </w:t>
      </w:r>
      <w:r w:rsidR="00843847" w:rsidRPr="00843847">
        <w:t>N</w:t>
      </w:r>
      <w:r w:rsidR="000424DC">
        <w:t>ations</w:t>
      </w:r>
      <w:r w:rsidR="00843847" w:rsidRPr="00843847">
        <w:t xml:space="preserve"> entity and a government counterpart, with the participation of relevant government agencies, the CHRP and civil society representatives as full members. </w:t>
      </w:r>
      <w:r w:rsidR="00B072DE" w:rsidRPr="009C1731">
        <w:t xml:space="preserve">In some cases, challenges in agreeing on civil society participation led to delays in constituting the working groups. As of 1 July 2022, </w:t>
      </w:r>
      <w:r w:rsidR="00843847">
        <w:t>three</w:t>
      </w:r>
      <w:r w:rsidR="00843847" w:rsidRPr="009C1731">
        <w:t xml:space="preserve"> </w:t>
      </w:r>
      <w:r w:rsidR="00B072DE" w:rsidRPr="009C1731">
        <w:t>technical working groups were constituted and meeting regularly.</w:t>
      </w:r>
    </w:p>
    <w:p w14:paraId="6D5B1A05" w14:textId="04EB3DED" w:rsidR="00B072DE" w:rsidRPr="009C1731" w:rsidRDefault="008E0664" w:rsidP="00816707">
      <w:pPr>
        <w:pStyle w:val="SingleTxtG"/>
      </w:pPr>
      <w:r>
        <w:t>1</w:t>
      </w:r>
      <w:r w:rsidR="00707974">
        <w:t>3</w:t>
      </w:r>
      <w:r>
        <w:t>.</w:t>
      </w:r>
      <w:r>
        <w:tab/>
      </w:r>
      <w:r w:rsidR="00B072DE" w:rsidRPr="009C1731">
        <w:t xml:space="preserve">The </w:t>
      </w:r>
      <w:r w:rsidR="00B072DE">
        <w:t xml:space="preserve">UNJP </w:t>
      </w:r>
      <w:r w:rsidR="00B072DE" w:rsidRPr="009C1731">
        <w:t>overall</w:t>
      </w:r>
      <w:r w:rsidR="00B072DE">
        <w:t xml:space="preserve"> three-year</w:t>
      </w:r>
      <w:r w:rsidR="00B072DE" w:rsidRPr="009C1731">
        <w:t xml:space="preserve"> budget is </w:t>
      </w:r>
      <w:r w:rsidR="00B072DE">
        <w:t xml:space="preserve">USD </w:t>
      </w:r>
      <w:r w:rsidR="00B072DE" w:rsidRPr="009C1731">
        <w:t xml:space="preserve">10,212,314. As of 30 June 2022, resource partner contributions </w:t>
      </w:r>
      <w:r w:rsidR="00FC5368" w:rsidRPr="009C1731">
        <w:t>totalled</w:t>
      </w:r>
      <w:r w:rsidR="00B072DE" w:rsidRPr="009C1731">
        <w:t xml:space="preserve"> USD 2,879,616</w:t>
      </w:r>
      <w:r w:rsidR="009C7990">
        <w:t>.</w:t>
      </w:r>
      <w:r w:rsidR="00843847">
        <w:rPr>
          <w:rStyle w:val="FootnoteReference"/>
        </w:rPr>
        <w:footnoteReference w:id="22"/>
      </w:r>
      <w:r w:rsidR="00B072DE" w:rsidRPr="009C1731">
        <w:t xml:space="preserve"> </w:t>
      </w:r>
      <w:r w:rsidR="00970590">
        <w:t>In addition to the Philippines itself, r</w:t>
      </w:r>
      <w:r w:rsidR="00B072DE" w:rsidRPr="009C1731">
        <w:t xml:space="preserve">esource partners included Australia, Germany, Ireland, the Netherlands, Norway, the Republic of Korea and the United Kingdom, and pledges were also received from the European Union. The majority of the funding for the programme was administered through a Multi-Partner Trust Fund mechanism. The </w:t>
      </w:r>
      <w:r w:rsidR="00B072DE">
        <w:t>U</w:t>
      </w:r>
      <w:r w:rsidR="00481283">
        <w:t>nited</w:t>
      </w:r>
      <w:r w:rsidR="00481522">
        <w:t xml:space="preserve"> </w:t>
      </w:r>
      <w:r w:rsidR="00B072DE">
        <w:t>N</w:t>
      </w:r>
      <w:r w:rsidR="00481283">
        <w:t>ations</w:t>
      </w:r>
      <w:r w:rsidR="00B072DE" w:rsidRPr="009C1731">
        <w:t xml:space="preserve"> conducted a risk assessment for the </w:t>
      </w:r>
      <w:r w:rsidR="00B072DE">
        <w:t>UNJP</w:t>
      </w:r>
      <w:r w:rsidR="00B072DE" w:rsidRPr="009C1731">
        <w:t xml:space="preserve"> and applied the Human Rights Due Diligence Policy in line with U</w:t>
      </w:r>
      <w:r w:rsidR="000424DC">
        <w:t xml:space="preserve">nited </w:t>
      </w:r>
      <w:r w:rsidR="00B072DE" w:rsidRPr="009C1731">
        <w:t>N</w:t>
      </w:r>
      <w:r w:rsidR="000424DC">
        <w:t>ations</w:t>
      </w:r>
      <w:r w:rsidR="00B072DE" w:rsidRPr="009C1731">
        <w:t xml:space="preserve"> requirements.</w:t>
      </w:r>
    </w:p>
    <w:p w14:paraId="7971B32C" w14:textId="7DEC79E8" w:rsidR="00B072DE" w:rsidRPr="009C1731" w:rsidRDefault="000B0760" w:rsidP="000B0760">
      <w:pPr>
        <w:pStyle w:val="H1G"/>
        <w:rPr>
          <w:lang w:val="en-US"/>
        </w:rPr>
      </w:pPr>
      <w:bookmarkStart w:id="5" w:name="_Hlk110846719"/>
      <w:r>
        <w:tab/>
        <w:t>A.</w:t>
      </w:r>
      <w:r>
        <w:tab/>
      </w:r>
      <w:r w:rsidR="00B072DE" w:rsidRPr="009C1731">
        <w:t>Domestic investigative and accountability measures</w:t>
      </w:r>
    </w:p>
    <w:bookmarkEnd w:id="5"/>
    <w:p w14:paraId="2E82D066" w14:textId="57218F4D" w:rsidR="00B072DE" w:rsidRPr="009C1731" w:rsidRDefault="008E0664" w:rsidP="00741880">
      <w:pPr>
        <w:pStyle w:val="SingleTxtG"/>
      </w:pPr>
      <w:r>
        <w:t>1</w:t>
      </w:r>
      <w:r w:rsidR="00707974">
        <w:t>4</w:t>
      </w:r>
      <w:r>
        <w:t>.</w:t>
      </w:r>
      <w:r>
        <w:tab/>
      </w:r>
      <w:r w:rsidR="00B072DE" w:rsidRPr="009C1731">
        <w:t>Human Rights Council Resolution 45/33</w:t>
      </w:r>
      <w:r w:rsidR="00B072DE">
        <w:t xml:space="preserve"> </w:t>
      </w:r>
      <w:r w:rsidR="00B072DE" w:rsidRPr="009C1731">
        <w:t xml:space="preserve">underlined the importance for the Government to ensure accountability for human rights violations and abuses, and in this regard to conduct independent, full and transparent investigations and to prosecute all </w:t>
      </w:r>
      <w:r w:rsidR="00ED0643">
        <w:t xml:space="preserve">perpetrators of </w:t>
      </w:r>
      <w:r w:rsidR="00B072DE" w:rsidRPr="009C1731">
        <w:t xml:space="preserve">serious crimes, including violations and abuses of human rights, in accordance with due process under national courts of law and in full compliance with its international human rights obligations. </w:t>
      </w:r>
    </w:p>
    <w:p w14:paraId="6A62653B" w14:textId="3D83546A" w:rsidR="00B072DE" w:rsidRDefault="008E0664" w:rsidP="00741880">
      <w:pPr>
        <w:pStyle w:val="SingleTxtG"/>
      </w:pPr>
      <w:r>
        <w:t>1</w:t>
      </w:r>
      <w:r w:rsidR="00707974">
        <w:t>5</w:t>
      </w:r>
      <w:r>
        <w:t>.</w:t>
      </w:r>
      <w:r>
        <w:tab/>
      </w:r>
      <w:r w:rsidR="00B072DE" w:rsidRPr="009C1731">
        <w:t xml:space="preserve">The Government took some initiatives to advance accountability for human rights violations and abuses.  However, access to justice for victims of human rights violations and abuses remained very limited. Institutional and structural shortcomings in law enforcement and the judiciary remained, </w:t>
      </w:r>
      <w:r w:rsidR="00B072DE">
        <w:t>despite</w:t>
      </w:r>
      <w:r w:rsidR="00B072DE" w:rsidRPr="009C1731">
        <w:t xml:space="preserve"> efforts to address some cases. These shortcomings included limited oversight of human rights investigations, inadequate investigation capacity and inter-agency cooperation, limited forensic capacity and protracted judicial processes.   </w:t>
      </w:r>
      <w:r w:rsidR="00B072DE">
        <w:t>I</w:t>
      </w:r>
      <w:r w:rsidR="00B072DE" w:rsidRPr="009C1731">
        <w:t>nadequate victim and witness support and protection and fear of reprisals also impacted victims’ engagement.</w:t>
      </w:r>
    </w:p>
    <w:p w14:paraId="50A98B51" w14:textId="0F327575" w:rsidR="00B072DE" w:rsidRPr="006B26B9" w:rsidRDefault="008362D7" w:rsidP="00741880">
      <w:pPr>
        <w:pStyle w:val="SingleTxtG"/>
      </w:pPr>
      <w:r>
        <w:t>1</w:t>
      </w:r>
      <w:r w:rsidR="00707974">
        <w:t>6</w:t>
      </w:r>
      <w:r>
        <w:t>.</w:t>
      </w:r>
      <w:r>
        <w:tab/>
      </w:r>
      <w:r w:rsidR="00B072DE" w:rsidRPr="009C1731">
        <w:t>The Government took initial steps towards investigati</w:t>
      </w:r>
      <w:r w:rsidR="00B072DE">
        <w:t xml:space="preserve">ng </w:t>
      </w:r>
      <w:r w:rsidR="00B072DE" w:rsidRPr="009C1731">
        <w:t>some killings in the context of anti-drug operations</w:t>
      </w:r>
      <w:r w:rsidR="00496270">
        <w:t>, but during the reporting period, these steps did not result in convictions</w:t>
      </w:r>
      <w:r w:rsidR="00B072DE" w:rsidRPr="009C1731">
        <w:t xml:space="preserve">. In June 2020, then Secretary of Justice Menardo Guevarra announced the establishment of an Interagency Review Panel (IRP) to review 5,655 killings in the context </w:t>
      </w:r>
      <w:r w:rsidR="00B072DE" w:rsidRPr="009C1731">
        <w:lastRenderedPageBreak/>
        <w:t>of anti-drug operations.</w:t>
      </w:r>
      <w:r w:rsidR="00B072DE" w:rsidRPr="00477B98">
        <w:rPr>
          <w:rStyle w:val="FootnoteReference"/>
          <w:szCs w:val="18"/>
        </w:rPr>
        <w:footnoteReference w:id="23"/>
      </w:r>
      <w:r w:rsidR="00B072DE" w:rsidRPr="00477B98">
        <w:rPr>
          <w:sz w:val="14"/>
          <w:szCs w:val="14"/>
        </w:rPr>
        <w:t xml:space="preserve"> </w:t>
      </w:r>
      <w:r w:rsidR="00B072DE" w:rsidRPr="009C1731">
        <w:t>However</w:t>
      </w:r>
      <w:r w:rsidR="00B072DE">
        <w:t>,</w:t>
      </w:r>
      <w:r w:rsidR="00B072DE" w:rsidRPr="009C1731">
        <w:t xml:space="preserve"> the D</w:t>
      </w:r>
      <w:r w:rsidR="009450BA">
        <w:t>o</w:t>
      </w:r>
      <w:r w:rsidR="00B072DE" w:rsidRPr="009C1731">
        <w:t xml:space="preserve">J encountered obstacles to its review, including </w:t>
      </w:r>
      <w:r w:rsidR="00B072DE">
        <w:t xml:space="preserve">the </w:t>
      </w:r>
      <w:r w:rsidR="00B072DE" w:rsidRPr="009C1731">
        <w:t xml:space="preserve">lack of </w:t>
      </w:r>
      <w:r w:rsidR="00BA3FFA">
        <w:t xml:space="preserve">availability </w:t>
      </w:r>
      <w:r w:rsidR="00970590">
        <w:t xml:space="preserve">of </w:t>
      </w:r>
      <w:r w:rsidR="00BA3FFA">
        <w:t xml:space="preserve">and </w:t>
      </w:r>
      <w:r w:rsidR="00B072DE" w:rsidRPr="009C1731">
        <w:t>access to re</w:t>
      </w:r>
      <w:r w:rsidR="00970590">
        <w:t>levant re</w:t>
      </w:r>
      <w:r w:rsidR="00B072DE" w:rsidRPr="009C1731">
        <w:t xml:space="preserve">cords. </w:t>
      </w:r>
      <w:r w:rsidR="00BA3FFA" w:rsidRPr="00BA3FFA">
        <w:rPr>
          <w:lang w:val="en-PH"/>
        </w:rPr>
        <w:t>On 19 October 2021, the D</w:t>
      </w:r>
      <w:r w:rsidR="009450BA">
        <w:rPr>
          <w:lang w:val="en-PH"/>
        </w:rPr>
        <w:t>o</w:t>
      </w:r>
      <w:r w:rsidR="00BA3FFA" w:rsidRPr="00BA3FFA">
        <w:rPr>
          <w:lang w:val="en-PH"/>
        </w:rPr>
        <w:t xml:space="preserve">J published an initial list of 52 reviewed cases which were handed to the National Bureau of Investigation </w:t>
      </w:r>
      <w:r w:rsidR="00ED0643">
        <w:rPr>
          <w:lang w:val="en-PH"/>
        </w:rPr>
        <w:t xml:space="preserve">(NBI) </w:t>
      </w:r>
      <w:r w:rsidR="00BA3FFA" w:rsidRPr="00BA3FFA">
        <w:rPr>
          <w:lang w:val="en-PH"/>
        </w:rPr>
        <w:t>for criminal investigation.</w:t>
      </w:r>
      <w:r w:rsidR="00BA3FFA" w:rsidRPr="00BA3FFA">
        <w:rPr>
          <w:vertAlign w:val="superscript"/>
          <w:lang w:val="en-PH"/>
        </w:rPr>
        <w:footnoteReference w:id="24"/>
      </w:r>
      <w:r w:rsidR="00BA3FFA" w:rsidRPr="00BA3FFA">
        <w:rPr>
          <w:lang w:val="en-PH"/>
        </w:rPr>
        <w:t xml:space="preserve"> </w:t>
      </w:r>
      <w:r w:rsidR="00B072DE">
        <w:t>On 3 August 2022</w:t>
      </w:r>
      <w:r w:rsidR="00B072DE" w:rsidRPr="009C1731">
        <w:t xml:space="preserve">, </w:t>
      </w:r>
      <w:r w:rsidR="00B072DE">
        <w:t xml:space="preserve">the Government informed that </w:t>
      </w:r>
      <w:r w:rsidR="00B072DE" w:rsidRPr="009C1731">
        <w:t>250</w:t>
      </w:r>
      <w:r w:rsidR="00B072DE">
        <w:t xml:space="preserve"> new</w:t>
      </w:r>
      <w:r w:rsidR="00B072DE" w:rsidRPr="009C1731">
        <w:t xml:space="preserve"> cases</w:t>
      </w:r>
      <w:r w:rsidR="00B072DE">
        <w:t xml:space="preserve"> related to deaths arising from anti-illegal drugs operations in Central Luzon </w:t>
      </w:r>
      <w:r w:rsidR="00B072DE" w:rsidRPr="009C1731">
        <w:t xml:space="preserve">reviewed by the IRP had been handed to the </w:t>
      </w:r>
      <w:r w:rsidR="00B072DE">
        <w:t xml:space="preserve">NBI </w:t>
      </w:r>
      <w:r w:rsidR="00B072DE" w:rsidRPr="009C1731">
        <w:t>for criminal investigation</w:t>
      </w:r>
      <w:r w:rsidR="00B072DE">
        <w:t xml:space="preserve">, adding to the </w:t>
      </w:r>
      <w:r w:rsidR="00B072DE" w:rsidRPr="009C1731">
        <w:t xml:space="preserve">52 </w:t>
      </w:r>
      <w:r w:rsidR="00B072DE">
        <w:t xml:space="preserve">initial </w:t>
      </w:r>
      <w:r w:rsidR="00B072DE" w:rsidRPr="009C1731">
        <w:t>cases made public on 19 October 2021.</w:t>
      </w:r>
      <w:r w:rsidR="00B072DE" w:rsidRPr="00272C1E">
        <w:rPr>
          <w:rStyle w:val="FootnoteReference"/>
          <w:szCs w:val="18"/>
        </w:rPr>
        <w:footnoteReference w:id="25"/>
      </w:r>
      <w:r w:rsidR="00B072DE" w:rsidRPr="00272C1E">
        <w:rPr>
          <w:sz w:val="14"/>
          <w:szCs w:val="14"/>
        </w:rPr>
        <w:t xml:space="preserve"> </w:t>
      </w:r>
      <w:r w:rsidR="00477B98">
        <w:rPr>
          <w:sz w:val="14"/>
          <w:szCs w:val="14"/>
        </w:rPr>
        <w:t xml:space="preserve"> </w:t>
      </w:r>
      <w:r w:rsidR="0040125E">
        <w:t xml:space="preserve">On 17 August, Secretary of Justice informed diplomats that seven cases had been filed for prosecution involving at least 25 officers;  two of these cases are now pending in court where </w:t>
      </w:r>
      <w:r w:rsidR="00496270">
        <w:t>nine</w:t>
      </w:r>
      <w:r w:rsidR="0040125E">
        <w:t xml:space="preserve"> police officers have been indicted.</w:t>
      </w:r>
      <w:r w:rsidR="009D14B6">
        <w:rPr>
          <w:rStyle w:val="FootnoteReference"/>
        </w:rPr>
        <w:footnoteReference w:id="26"/>
      </w:r>
      <w:r w:rsidR="0040125E">
        <w:t xml:space="preserve">  </w:t>
      </w:r>
      <w:r w:rsidR="00BA3FFA" w:rsidRPr="00BA3FFA">
        <w:rPr>
          <w:lang w:val="en-PH"/>
        </w:rPr>
        <w:t xml:space="preserve">Arrest warrants were </w:t>
      </w:r>
      <w:r w:rsidR="0040125E">
        <w:rPr>
          <w:lang w:val="en-PH"/>
        </w:rPr>
        <w:t xml:space="preserve">also </w:t>
      </w:r>
      <w:r w:rsidR="00BA3FFA" w:rsidRPr="00BA3FFA">
        <w:rPr>
          <w:lang w:val="en-PH"/>
        </w:rPr>
        <w:t>issued against three police officers suspected of the killing of Diego Bello DelaFuente</w:t>
      </w:r>
      <w:r w:rsidR="00970590">
        <w:rPr>
          <w:lang w:val="en-PH"/>
        </w:rPr>
        <w:t>. H</w:t>
      </w:r>
      <w:r w:rsidR="00BA3FFA" w:rsidRPr="00BA3FFA">
        <w:rPr>
          <w:lang w:val="en-PH"/>
        </w:rPr>
        <w:t>owever</w:t>
      </w:r>
      <w:r w:rsidR="00970590">
        <w:rPr>
          <w:lang w:val="en-PH"/>
        </w:rPr>
        <w:t>,</w:t>
      </w:r>
      <w:r w:rsidR="00BA3FFA" w:rsidRPr="00BA3FFA">
        <w:rPr>
          <w:lang w:val="en-PH"/>
        </w:rPr>
        <w:t xml:space="preserve"> on 6 July 2022</w:t>
      </w:r>
      <w:r w:rsidR="00970590">
        <w:rPr>
          <w:lang w:val="en-PH"/>
        </w:rPr>
        <w:t>,</w:t>
      </w:r>
      <w:r w:rsidR="00BA3FFA" w:rsidRPr="00BA3FFA">
        <w:rPr>
          <w:lang w:val="en-PH"/>
        </w:rPr>
        <w:t xml:space="preserve"> the </w:t>
      </w:r>
      <w:r w:rsidR="008E35CD">
        <w:rPr>
          <w:lang w:val="en-PH"/>
        </w:rPr>
        <w:t>CHRP</w:t>
      </w:r>
      <w:r w:rsidR="00BA3FFA" w:rsidRPr="00BA3FFA">
        <w:rPr>
          <w:lang w:val="en-PH"/>
        </w:rPr>
        <w:t xml:space="preserve"> expressed concern about delays in executing the warrants.</w:t>
      </w:r>
      <w:r w:rsidR="00BA3FFA" w:rsidRPr="00BA3FFA">
        <w:rPr>
          <w:vertAlign w:val="superscript"/>
          <w:lang w:val="en-PH"/>
        </w:rPr>
        <w:footnoteReference w:id="27"/>
      </w:r>
      <w:r w:rsidR="00BA3FFA">
        <w:rPr>
          <w:lang w:val="en-PH"/>
        </w:rPr>
        <w:t xml:space="preserve"> </w:t>
      </w:r>
      <w:r w:rsidR="009450BA">
        <w:t>A</w:t>
      </w:r>
      <w:r w:rsidR="00B072DE" w:rsidRPr="009C1731">
        <w:t>s of the end of July 2022, none of the</w:t>
      </w:r>
      <w:r w:rsidR="00B072DE">
        <w:t xml:space="preserve"> initial </w:t>
      </w:r>
      <w:r w:rsidR="00B072DE" w:rsidRPr="009C1731">
        <w:t>52 cases had resulted in convictions.</w:t>
      </w:r>
      <w:r w:rsidR="00B072DE" w:rsidRPr="00477B98">
        <w:rPr>
          <w:rStyle w:val="FootnoteReference"/>
          <w:szCs w:val="18"/>
        </w:rPr>
        <w:footnoteReference w:id="28"/>
      </w:r>
      <w:r w:rsidR="00B072DE" w:rsidRPr="009C1731">
        <w:t xml:space="preserve"> </w:t>
      </w:r>
      <w:r w:rsidR="00B072DE" w:rsidRPr="006B26B9">
        <w:t>Transparency and public scrutiny in investigative processes and outcomes</w:t>
      </w:r>
      <w:r w:rsidR="00B072DE">
        <w:t>,</w:t>
      </w:r>
      <w:r w:rsidR="00B072DE" w:rsidRPr="006B26B9">
        <w:t xml:space="preserve"> remain a challenge.</w:t>
      </w:r>
    </w:p>
    <w:p w14:paraId="7EA834AB" w14:textId="14411C61" w:rsidR="00B072DE" w:rsidRPr="00741880" w:rsidRDefault="008362D7" w:rsidP="00B03FD2">
      <w:pPr>
        <w:pStyle w:val="SingleTxtG"/>
      </w:pPr>
      <w:r>
        <w:t>1</w:t>
      </w:r>
      <w:r w:rsidR="00707974">
        <w:t>7</w:t>
      </w:r>
      <w:r>
        <w:t>.</w:t>
      </w:r>
      <w:r>
        <w:tab/>
      </w:r>
      <w:r w:rsidR="009450BA">
        <w:rPr>
          <w:lang w:val="en-PH"/>
        </w:rPr>
        <w:t>Charges were filed</w:t>
      </w:r>
      <w:r w:rsidR="00BA3FFA" w:rsidRPr="00BA3FFA">
        <w:rPr>
          <w:lang w:val="en-PH"/>
        </w:rPr>
        <w:t xml:space="preserve"> in one other drug-related case. </w:t>
      </w:r>
      <w:r w:rsidR="00B072DE" w:rsidRPr="009C1731">
        <w:t xml:space="preserve">On 25 August 2021, seven police officers of the Intelligence Section/Drug Enforcement Unit of the San Jose del Monte, Bulacan police station were charged with the arbitrary detention and murder of six men during an anti-drug operation in 2020. The six were reportedly detained as they passed by </w:t>
      </w:r>
      <w:r w:rsidR="00BA3FFA">
        <w:t xml:space="preserve">the </w:t>
      </w:r>
      <w:r w:rsidR="00B072DE" w:rsidRPr="009C1731">
        <w:t>house</w:t>
      </w:r>
      <w:r w:rsidR="00BA3FFA">
        <w:t xml:space="preserve"> of a suspect</w:t>
      </w:r>
      <w:r w:rsidR="00B072DE" w:rsidRPr="009C1731">
        <w:t xml:space="preserve"> and </w:t>
      </w:r>
      <w:r w:rsidR="008E35CD">
        <w:t xml:space="preserve">were </w:t>
      </w:r>
      <w:r w:rsidR="00B072DE" w:rsidRPr="009C1731">
        <w:t>subsequently</w:t>
      </w:r>
      <w:r w:rsidR="00B072DE">
        <w:t xml:space="preserve"> </w:t>
      </w:r>
      <w:r w:rsidR="00B072DE" w:rsidRPr="009C1731">
        <w:t>killed. While police claimed they resisted arrest, the investigation revealed a photo of the six in the police station, with their hands tied behind their backs, prior to being killed.</w:t>
      </w:r>
      <w:r w:rsidR="00ED0643">
        <w:rPr>
          <w:rStyle w:val="FootnoteReference"/>
        </w:rPr>
        <w:footnoteReference w:id="29"/>
      </w:r>
      <w:r w:rsidR="00B072DE" w:rsidRPr="009C1731">
        <w:t xml:space="preserve"> </w:t>
      </w:r>
    </w:p>
    <w:p w14:paraId="1DCF7313" w14:textId="294EA894" w:rsidR="00B072DE" w:rsidRPr="00741880" w:rsidRDefault="00666C6D" w:rsidP="00741880">
      <w:pPr>
        <w:pStyle w:val="SingleTxtG"/>
      </w:pPr>
      <w:r>
        <w:t>1</w:t>
      </w:r>
      <w:r w:rsidR="00707974">
        <w:t>8</w:t>
      </w:r>
      <w:r w:rsidR="008362D7">
        <w:t>.</w:t>
      </w:r>
      <w:r w:rsidR="008362D7">
        <w:tab/>
      </w:r>
      <w:r w:rsidR="00AB644A">
        <w:t>The</w:t>
      </w:r>
      <w:r w:rsidR="00B072DE" w:rsidRPr="00741880">
        <w:t xml:space="preserve"> Inter-Agency Committee on Extra-Legal Killings, Enforced Disappearances, Torture and Other Grave Violations of the Right to Life, Liberty and Security of Persons (AO35 Mechanism) has been </w:t>
      </w:r>
      <w:r w:rsidR="00084E94">
        <w:t>established</w:t>
      </w:r>
      <w:r w:rsidR="00084E94" w:rsidRPr="00741880">
        <w:t xml:space="preserve"> </w:t>
      </w:r>
      <w:r w:rsidR="00B072DE" w:rsidRPr="00741880">
        <w:t xml:space="preserve">since 2012 to investigate </w:t>
      </w:r>
      <w:r w:rsidR="00EF2B63">
        <w:t>“</w:t>
      </w:r>
      <w:r w:rsidR="004750C6" w:rsidRPr="004750C6">
        <w:t>unsolved cases of political violence</w:t>
      </w:r>
      <w:r w:rsidR="006A2391">
        <w:t>”</w:t>
      </w:r>
      <w:r w:rsidR="00970590">
        <w:t>,</w:t>
      </w:r>
      <w:r w:rsidR="006A2391">
        <w:rPr>
          <w:rStyle w:val="FootnoteReference"/>
        </w:rPr>
        <w:footnoteReference w:id="30"/>
      </w:r>
      <w:r w:rsidR="004750C6" w:rsidRPr="004750C6">
        <w:t xml:space="preserve"> </w:t>
      </w:r>
      <w:r w:rsidR="00084E94">
        <w:t xml:space="preserve">including </w:t>
      </w:r>
      <w:r w:rsidR="00B072DE" w:rsidRPr="00741880">
        <w:t>the killings of human rights defenders and environmental activists falling under its mandate.</w:t>
      </w:r>
      <w:r w:rsidR="00B072DE" w:rsidRPr="00741880">
        <w:rPr>
          <w:rStyle w:val="FootnoteReference"/>
          <w:sz w:val="20"/>
        </w:rPr>
        <w:footnoteReference w:id="31"/>
      </w:r>
      <w:r w:rsidR="00B072DE" w:rsidRPr="00741880">
        <w:t xml:space="preserve"> </w:t>
      </w:r>
      <w:r w:rsidR="00033B80">
        <w:t>According to Government information, a</w:t>
      </w:r>
      <w:r w:rsidR="00B072DE" w:rsidRPr="00741880">
        <w:t xml:space="preserve">s of </w:t>
      </w:r>
      <w:r w:rsidR="00975E2A">
        <w:t>August</w:t>
      </w:r>
      <w:r w:rsidR="00975E2A" w:rsidRPr="00741880">
        <w:t xml:space="preserve"> </w:t>
      </w:r>
      <w:r w:rsidR="00B072DE" w:rsidRPr="00741880">
        <w:t xml:space="preserve">2022, </w:t>
      </w:r>
      <w:r w:rsidR="00975E2A">
        <w:t>386</w:t>
      </w:r>
      <w:r w:rsidR="00975E2A" w:rsidRPr="00741880">
        <w:t xml:space="preserve"> </w:t>
      </w:r>
      <w:r w:rsidR="00B072DE" w:rsidRPr="00741880">
        <w:t>cases were being investigated by the AO35</w:t>
      </w:r>
      <w:r w:rsidR="00ED0643">
        <w:t xml:space="preserve"> Mechanism</w:t>
      </w:r>
      <w:r w:rsidR="00B072DE" w:rsidRPr="00741880">
        <w:t>, the majority comprising killings.</w:t>
      </w:r>
    </w:p>
    <w:p w14:paraId="1E50FF62" w14:textId="11309CB6" w:rsidR="00B072DE" w:rsidRPr="00741880" w:rsidRDefault="00707974" w:rsidP="004B7550">
      <w:pPr>
        <w:pStyle w:val="SingleTxtG"/>
      </w:pPr>
      <w:r>
        <w:t>19</w:t>
      </w:r>
      <w:r w:rsidR="008362D7">
        <w:t>.</w:t>
      </w:r>
      <w:r w:rsidR="008362D7">
        <w:tab/>
      </w:r>
      <w:r w:rsidR="00B072DE" w:rsidRPr="00741880">
        <w:t xml:space="preserve">On 7 March 2021, nine </w:t>
      </w:r>
      <w:r w:rsidR="008C1B76">
        <w:t>persons</w:t>
      </w:r>
      <w:r w:rsidR="00B072DE" w:rsidRPr="00741880">
        <w:t xml:space="preserve"> were killed in joint police and military operations in Southern Luzon based on search warrants issued in the context of its counter-insurgency campaign against the NPA. Amongst those killed were </w:t>
      </w:r>
      <w:r w:rsidR="008C1B76">
        <w:t xml:space="preserve">human rights defenders </w:t>
      </w:r>
      <w:r w:rsidR="00B072DE" w:rsidRPr="00741880">
        <w:t xml:space="preserve">Emanuel Asuncion, </w:t>
      </w:r>
      <w:r w:rsidR="009450BA">
        <w:t>Ana Mariz</w:t>
      </w:r>
      <w:r w:rsidR="009450BA" w:rsidRPr="00741880">
        <w:t xml:space="preserve"> </w:t>
      </w:r>
      <w:r w:rsidR="00B072DE" w:rsidRPr="00741880">
        <w:t>Lemita-Evangelista</w:t>
      </w:r>
      <w:r w:rsidR="008C1B76">
        <w:t xml:space="preserve">, </w:t>
      </w:r>
      <w:r w:rsidR="00B072DE" w:rsidRPr="00741880">
        <w:t xml:space="preserve">Ariel Evangelista, Melvin Dasigao and Mark Lee Coros Bacasno. Two indigenous peoples' </w:t>
      </w:r>
      <w:r w:rsidR="003B47C9">
        <w:t>rights defenders</w:t>
      </w:r>
      <w:r w:rsidR="00B072DE" w:rsidRPr="00741880">
        <w:t xml:space="preserve"> and two housing rights </w:t>
      </w:r>
      <w:r w:rsidR="003B47C9">
        <w:t>defenders</w:t>
      </w:r>
      <w:r w:rsidR="00B072DE" w:rsidRPr="00741880">
        <w:t xml:space="preserve"> were also killed.</w:t>
      </w:r>
      <w:r w:rsidR="00B072DE" w:rsidRPr="00CB163E">
        <w:rPr>
          <w:rStyle w:val="FootnoteReference"/>
          <w:sz w:val="20"/>
        </w:rPr>
        <w:footnoteReference w:id="32"/>
      </w:r>
      <w:r w:rsidR="00B072DE" w:rsidRPr="00741880">
        <w:t xml:space="preserve"> In </w:t>
      </w:r>
      <w:r w:rsidR="004B7550">
        <w:t xml:space="preserve">December 2021 and </w:t>
      </w:r>
      <w:r w:rsidR="00B072DE" w:rsidRPr="00741880">
        <w:t xml:space="preserve">January 2022, murder charges were filed against </w:t>
      </w:r>
      <w:r w:rsidR="004B7550">
        <w:t>34</w:t>
      </w:r>
      <w:r w:rsidR="00B072DE" w:rsidRPr="00741880">
        <w:t xml:space="preserve"> police officers over the killing of </w:t>
      </w:r>
      <w:r w:rsidR="004B7550">
        <w:t>three</w:t>
      </w:r>
      <w:r w:rsidR="004B7550" w:rsidRPr="00741880">
        <w:t xml:space="preserve"> </w:t>
      </w:r>
      <w:r w:rsidR="00B072DE" w:rsidRPr="00741880">
        <w:t xml:space="preserve">of nine activists killed </w:t>
      </w:r>
      <w:r w:rsidR="009450BA">
        <w:t>on</w:t>
      </w:r>
      <w:r w:rsidR="00B072DE" w:rsidRPr="00741880">
        <w:t xml:space="preserve"> 7 March. The NBI reportedly found that the police officers had a “deliberate intent to kill” during the deadly police operation.</w:t>
      </w:r>
      <w:r w:rsidR="00B072DE" w:rsidRPr="00CB163E">
        <w:rPr>
          <w:rStyle w:val="FootnoteReference"/>
          <w:sz w:val="20"/>
        </w:rPr>
        <w:footnoteReference w:id="33"/>
      </w:r>
      <w:r w:rsidR="00B072DE" w:rsidRPr="00741880">
        <w:t xml:space="preserve"> It was not known</w:t>
      </w:r>
      <w:r w:rsidR="00970590">
        <w:t>,</w:t>
      </w:r>
      <w:r w:rsidR="00B072DE" w:rsidRPr="00741880">
        <w:t xml:space="preserve"> as of July 2022, whether the police officers had been detained. On 3 August 2022, the Government informed that the AO35 </w:t>
      </w:r>
      <w:r w:rsidR="00970590">
        <w:t>Mechanism</w:t>
      </w:r>
      <w:r w:rsidR="00970590" w:rsidRPr="00741880">
        <w:t xml:space="preserve"> </w:t>
      </w:r>
      <w:r w:rsidR="00B072DE" w:rsidRPr="00741880">
        <w:t xml:space="preserve">recently completed its investigation related to the </w:t>
      </w:r>
      <w:r w:rsidR="008C1B76">
        <w:t>abovementioned killings</w:t>
      </w:r>
      <w:r w:rsidR="00B072DE" w:rsidRPr="00741880">
        <w:t xml:space="preserve"> in Southern Luzon and </w:t>
      </w:r>
      <w:r w:rsidR="00B072DE" w:rsidRPr="00741880">
        <w:lastRenderedPageBreak/>
        <w:t>would soon initiate prosecution against a number of law enforcement officers involved in serving the warrants that led the killings.</w:t>
      </w:r>
      <w:r w:rsidR="00B072DE" w:rsidRPr="00CB163E">
        <w:rPr>
          <w:vertAlign w:val="superscript"/>
        </w:rPr>
        <w:footnoteReference w:id="34"/>
      </w:r>
    </w:p>
    <w:p w14:paraId="61534AA2" w14:textId="09FBD78B" w:rsidR="00B072DE" w:rsidRPr="00CB163E" w:rsidRDefault="008362D7" w:rsidP="00CB163E">
      <w:pPr>
        <w:pStyle w:val="SingleTxtG"/>
      </w:pPr>
      <w:r>
        <w:t>2</w:t>
      </w:r>
      <w:r w:rsidR="00707974">
        <w:t>0</w:t>
      </w:r>
      <w:r>
        <w:t>.</w:t>
      </w:r>
      <w:r>
        <w:tab/>
      </w:r>
      <w:r w:rsidR="00B072DE" w:rsidRPr="00CB163E">
        <w:t xml:space="preserve">Numerous </w:t>
      </w:r>
      <w:r w:rsidR="002E79DF">
        <w:t>reports</w:t>
      </w:r>
      <w:r w:rsidR="002E79DF" w:rsidRPr="00CB163E">
        <w:t xml:space="preserve"> </w:t>
      </w:r>
      <w:r w:rsidR="00B072DE" w:rsidRPr="00CB163E">
        <w:t xml:space="preserve">of abuses by members of </w:t>
      </w:r>
      <w:r w:rsidR="00CC09F8">
        <w:t xml:space="preserve">the CPP-NPA </w:t>
      </w:r>
      <w:r w:rsidR="00B072DE" w:rsidRPr="00CB163E">
        <w:t>were also received. From 1 January 2020 to 31 May 2022, the Armed Forces of the Philippines (AFP) reported 749 cases of abuses by non-state armed groups, resulting in the killing of 123 civilians.</w:t>
      </w:r>
      <w:r w:rsidR="00B072DE" w:rsidRPr="00CB163E">
        <w:rPr>
          <w:rStyle w:val="FootnoteReference"/>
          <w:sz w:val="20"/>
        </w:rPr>
        <w:footnoteReference w:id="35"/>
      </w:r>
      <w:r w:rsidR="00B072DE" w:rsidRPr="00CB163E">
        <w:t xml:space="preserve"> The AFP </w:t>
      </w:r>
      <w:r w:rsidR="00751348">
        <w:t xml:space="preserve">reported that it </w:t>
      </w:r>
      <w:r w:rsidR="00B072DE" w:rsidRPr="00CB163E">
        <w:t xml:space="preserve">submitted </w:t>
      </w:r>
      <w:r w:rsidR="004B7550">
        <w:t>317</w:t>
      </w:r>
      <w:r w:rsidR="004B7550" w:rsidRPr="00CB163E">
        <w:t xml:space="preserve"> </w:t>
      </w:r>
      <w:r w:rsidR="00B072DE" w:rsidRPr="00CB163E">
        <w:t xml:space="preserve">cases of alleged killings of civilians to the AO35 </w:t>
      </w:r>
      <w:r w:rsidR="00105C40">
        <w:t>M</w:t>
      </w:r>
      <w:r w:rsidR="00B072DE" w:rsidRPr="00CB163E">
        <w:t xml:space="preserve">echanism, and a base list of </w:t>
      </w:r>
      <w:r w:rsidR="004B7550">
        <w:t>1,730</w:t>
      </w:r>
      <w:r w:rsidR="00B072DE" w:rsidRPr="00CB163E">
        <w:t xml:space="preserve"> “probable violations” of Republic Act 9851 on crimes against international humanitarian law, genocide and other crimes against humanity.</w:t>
      </w:r>
      <w:r w:rsidR="006A2391">
        <w:rPr>
          <w:rStyle w:val="FootnoteReference"/>
        </w:rPr>
        <w:footnoteReference w:id="36"/>
      </w:r>
      <w:r w:rsidR="00B072DE" w:rsidRPr="00CB163E">
        <w:t xml:space="preserve"> The AFP also submitted a compilation of such cases to OHCHR and the CHRP.</w:t>
      </w:r>
    </w:p>
    <w:p w14:paraId="192029D4" w14:textId="1D88B7E1" w:rsidR="00B072DE" w:rsidRPr="00741880" w:rsidRDefault="006E4B5D" w:rsidP="00CB163E">
      <w:pPr>
        <w:pStyle w:val="SingleTxtG"/>
      </w:pPr>
      <w:r>
        <w:t>2</w:t>
      </w:r>
      <w:r w:rsidR="00707974">
        <w:t>1</w:t>
      </w:r>
      <w:r>
        <w:t>.</w:t>
      </w:r>
      <w:r>
        <w:tab/>
      </w:r>
      <w:r w:rsidR="00B072DE" w:rsidRPr="00CB163E">
        <w:t>On 24 September 2021, three former soldiers were sentenced to 40 years’ imprisonment for the killing in 1986 of labour leaders Leonor Alay-ay and Rolando Olalia. Nine suspects are reportedly still at large.</w:t>
      </w:r>
      <w:r w:rsidR="00B072DE" w:rsidRPr="00716629">
        <w:rPr>
          <w:rStyle w:val="FootnoteReference"/>
          <w:sz w:val="20"/>
        </w:rPr>
        <w:footnoteReference w:id="37"/>
      </w:r>
      <w:r w:rsidR="00B072DE" w:rsidRPr="00CB163E">
        <w:t xml:space="preserve"> On 31 May 2022, the Court of Appeal</w:t>
      </w:r>
      <w:r w:rsidR="00B072DE" w:rsidRPr="00741880">
        <w:t xml:space="preserve"> confirmed the conviction of retired Army General Jovito Palparan and two other army officers, sentencing them to up to 40</w:t>
      </w:r>
      <w:r w:rsidR="009450BA">
        <w:t xml:space="preserve"> </w:t>
      </w:r>
      <w:r w:rsidR="00B072DE" w:rsidRPr="00741880">
        <w:t>year</w:t>
      </w:r>
      <w:r w:rsidR="009450BA">
        <w:t>s’</w:t>
      </w:r>
      <w:r w:rsidR="00B072DE" w:rsidRPr="00741880">
        <w:t xml:space="preserve"> imprisonment for the 2006 kidnapping and illegal detention of university students Karen Empeno and Sherlyn </w:t>
      </w:r>
      <w:r w:rsidR="00D42DD2">
        <w:t>Cadapan</w:t>
      </w:r>
      <w:r w:rsidR="00B072DE" w:rsidRPr="00741880">
        <w:t>, whose whereabouts remain unknown.</w:t>
      </w:r>
      <w:r w:rsidR="00B072DE" w:rsidRPr="00716629">
        <w:rPr>
          <w:rStyle w:val="FootnoteReference"/>
          <w:sz w:val="20"/>
        </w:rPr>
        <w:footnoteReference w:id="38"/>
      </w:r>
    </w:p>
    <w:p w14:paraId="5C77FCFA" w14:textId="09F2BEE0" w:rsidR="00B072DE" w:rsidRPr="009C1731" w:rsidRDefault="006E4B5D" w:rsidP="00741880">
      <w:pPr>
        <w:pStyle w:val="SingleTxtG"/>
        <w:rPr>
          <w:color w:val="212529"/>
        </w:rPr>
      </w:pPr>
      <w:r>
        <w:t>2</w:t>
      </w:r>
      <w:r w:rsidR="00707974">
        <w:t>2</w:t>
      </w:r>
      <w:r>
        <w:t>.</w:t>
      </w:r>
      <w:r>
        <w:tab/>
      </w:r>
      <w:r w:rsidR="00B072DE" w:rsidRPr="009C1731">
        <w:t>The UN</w:t>
      </w:r>
      <w:r w:rsidR="00B072DE">
        <w:t xml:space="preserve">JP </w:t>
      </w:r>
      <w:r w:rsidR="00372BD5">
        <w:t>is</w:t>
      </w:r>
      <w:r w:rsidR="00B072DE" w:rsidRPr="009C1731">
        <w:t xml:space="preserve"> supporting the capacity and improved functioning of the AO35 </w:t>
      </w:r>
      <w:r w:rsidR="00105C40">
        <w:t>M</w:t>
      </w:r>
      <w:r w:rsidR="00B072DE" w:rsidRPr="009C1731">
        <w:t xml:space="preserve">echanism </w:t>
      </w:r>
      <w:r w:rsidR="00B072DE" w:rsidRPr="009C1731">
        <w:rPr>
          <w:color w:val="000000"/>
        </w:rPr>
        <w:t xml:space="preserve">to strengthen accountability efforts; supporting initiatives to strengthen </w:t>
      </w:r>
      <w:r w:rsidR="00B072DE" w:rsidRPr="009C1731">
        <w:t xml:space="preserve">victims and witnesses’ access to justice, restitution, support, and protection and the establishment of </w:t>
      </w:r>
      <w:r w:rsidR="00B072DE" w:rsidRPr="009C1731">
        <w:rPr>
          <w:color w:val="000000"/>
        </w:rPr>
        <w:t>a permanent national</w:t>
      </w:r>
      <w:r w:rsidR="00B072DE" w:rsidRPr="009C1731">
        <w:t xml:space="preserve"> preventative mechanism under O</w:t>
      </w:r>
      <w:r w:rsidR="00B072DE">
        <w:t xml:space="preserve">ptional </w:t>
      </w:r>
      <w:r w:rsidR="00B072DE" w:rsidRPr="009C1731">
        <w:t>P</w:t>
      </w:r>
      <w:r w:rsidR="00B072DE">
        <w:t xml:space="preserve">rotocol of the </w:t>
      </w:r>
      <w:r w:rsidR="00B072DE" w:rsidRPr="009C1731">
        <w:t>C</w:t>
      </w:r>
      <w:r w:rsidR="00B072DE">
        <w:t xml:space="preserve">onvention </w:t>
      </w:r>
      <w:r w:rsidR="00970590">
        <w:t>a</w:t>
      </w:r>
      <w:r w:rsidR="00B072DE">
        <w:t xml:space="preserve">gainst </w:t>
      </w:r>
      <w:r w:rsidR="00B072DE" w:rsidRPr="009C1731">
        <w:t>T</w:t>
      </w:r>
      <w:r w:rsidR="00B072DE">
        <w:t>orture</w:t>
      </w:r>
      <w:r w:rsidR="00970590">
        <w:t xml:space="preserve"> and Other Cruel, Inhuman or Degrading Treatment or Punishment</w:t>
      </w:r>
      <w:r w:rsidR="00B072DE">
        <w:t xml:space="preserve"> (OPCAT)</w:t>
      </w:r>
      <w:r w:rsidR="00B072DE" w:rsidRPr="009C1731">
        <w:t xml:space="preserve">. The UNJP also </w:t>
      </w:r>
      <w:r w:rsidR="00B072DE" w:rsidRPr="009C1731">
        <w:rPr>
          <w:color w:val="000000"/>
        </w:rPr>
        <w:t>supports the D</w:t>
      </w:r>
      <w:r w:rsidR="009450BA">
        <w:rPr>
          <w:color w:val="000000"/>
        </w:rPr>
        <w:t>o</w:t>
      </w:r>
      <w:r w:rsidR="00B072DE" w:rsidRPr="009C1731">
        <w:rPr>
          <w:color w:val="000000"/>
        </w:rPr>
        <w:t>J to establish a National Referral Pathway Mechanism to contribute to efforts to investigate and prosecute a broader range of human rights violations and help complainants in accessing appropriate domestic mechanisms.</w:t>
      </w:r>
    </w:p>
    <w:p w14:paraId="592A5680" w14:textId="40915B09" w:rsidR="00B03FD2" w:rsidRDefault="006E4B5D" w:rsidP="00741880">
      <w:pPr>
        <w:pStyle w:val="SingleTxtG"/>
      </w:pPr>
      <w:r>
        <w:t>2</w:t>
      </w:r>
      <w:r w:rsidR="00707974">
        <w:t>3</w:t>
      </w:r>
      <w:r>
        <w:t>.</w:t>
      </w:r>
      <w:r>
        <w:tab/>
      </w:r>
      <w:r w:rsidR="00FC4723" w:rsidRPr="00FC4723">
        <w:t>The UN</w:t>
      </w:r>
      <w:r w:rsidR="00FC4723">
        <w:t>JP</w:t>
      </w:r>
      <w:r w:rsidR="00FC4723" w:rsidRPr="00FC4723">
        <w:t xml:space="preserve"> </w:t>
      </w:r>
      <w:r w:rsidR="00DC408D">
        <w:t>engaged</w:t>
      </w:r>
      <w:r w:rsidR="00DC408D" w:rsidRPr="00FC4723">
        <w:t xml:space="preserve"> </w:t>
      </w:r>
      <w:r w:rsidR="00FC4723" w:rsidRPr="00FC4723">
        <w:t xml:space="preserve">with the AO35 Mechanism </w:t>
      </w:r>
      <w:r w:rsidR="00DC408D">
        <w:t>to conduct</w:t>
      </w:r>
      <w:r w:rsidR="00B072DE" w:rsidRPr="009C1731">
        <w:t xml:space="preserve"> needs assessment </w:t>
      </w:r>
      <w:r w:rsidR="006B5FCB" w:rsidRPr="006B5FCB">
        <w:t xml:space="preserve">to develop recommendations </w:t>
      </w:r>
      <w:r w:rsidR="00DC408D">
        <w:t xml:space="preserve">to increase its </w:t>
      </w:r>
      <w:r w:rsidR="006B5FCB" w:rsidRPr="006B5FCB">
        <w:t>effectiveness</w:t>
      </w:r>
      <w:r w:rsidR="00B072DE" w:rsidRPr="009C1731">
        <w:t xml:space="preserve">, and </w:t>
      </w:r>
      <w:r w:rsidR="00DC408D">
        <w:t xml:space="preserve">held </w:t>
      </w:r>
      <w:r w:rsidR="006B5FCB">
        <w:t xml:space="preserve">an initial consultation </w:t>
      </w:r>
      <w:r w:rsidR="00B072DE" w:rsidRPr="009C1731">
        <w:t xml:space="preserve">on the development of pathways for accountability. </w:t>
      </w:r>
      <w:r w:rsidR="00084E94">
        <w:t>To</w:t>
      </w:r>
      <w:r w:rsidR="00B072DE" w:rsidRPr="009C1731">
        <w:t xml:space="preserve"> strengthen investigative and forensic capacity, the </w:t>
      </w:r>
      <w:r w:rsidR="00B072DE">
        <w:t>UNJP</w:t>
      </w:r>
      <w:r w:rsidR="00B072DE" w:rsidRPr="009C1731">
        <w:t xml:space="preserve"> held consultations between the D</w:t>
      </w:r>
      <w:r w:rsidR="009450BA">
        <w:t>o</w:t>
      </w:r>
      <w:r w:rsidR="00B072DE" w:rsidRPr="009C1731">
        <w:t xml:space="preserve">J, PNP, CHRP and </w:t>
      </w:r>
      <w:r w:rsidR="00B072DE">
        <w:t>CSO</w:t>
      </w:r>
      <w:r w:rsidR="00B072DE" w:rsidRPr="009C1731">
        <w:t xml:space="preserve"> actors, and experts on the Minnesota Protocol on the investigation of potentially unlawful deaths (Minnesota Protocol), </w:t>
      </w:r>
      <w:r w:rsidR="001A7319">
        <w:t xml:space="preserve">and </w:t>
      </w:r>
      <w:r w:rsidR="001A7319" w:rsidRPr="009C1731">
        <w:t>the</w:t>
      </w:r>
      <w:r w:rsidR="00B072DE" w:rsidRPr="009C1731">
        <w:t xml:space="preserve"> Special Rapporteur on e</w:t>
      </w:r>
      <w:r w:rsidR="00B072DE" w:rsidRPr="009C1731">
        <w:rPr>
          <w:color w:val="111111"/>
          <w:shd w:val="clear" w:color="auto" w:fill="FFFFFF"/>
        </w:rPr>
        <w:t>xtrajudicial, summary or arbitrary executions</w:t>
      </w:r>
      <w:r w:rsidR="00B072DE" w:rsidRPr="009C1731">
        <w:t xml:space="preserve">. </w:t>
      </w:r>
      <w:r w:rsidR="00B072DE">
        <w:t>T</w:t>
      </w:r>
      <w:r w:rsidR="00B072DE" w:rsidRPr="009C1731">
        <w:t>argeted training on the Minnesota Protocol involving police officers, medical practitioners, D</w:t>
      </w:r>
      <w:r w:rsidR="009450BA">
        <w:t>o</w:t>
      </w:r>
      <w:r w:rsidR="00B072DE" w:rsidRPr="009C1731">
        <w:t>J officials, judicial officers and CSOs</w:t>
      </w:r>
      <w:r w:rsidR="00B072DE">
        <w:t xml:space="preserve"> will be implemented as a follow-up</w:t>
      </w:r>
      <w:r w:rsidR="00B072DE" w:rsidRPr="009C1731">
        <w:t>. The Minnesota Protocol was translated into</w:t>
      </w:r>
      <w:r w:rsidR="00B072DE">
        <w:t xml:space="preserve"> the national language,</w:t>
      </w:r>
      <w:r w:rsidR="00B072DE" w:rsidRPr="009C1731">
        <w:t xml:space="preserve"> </w:t>
      </w:r>
      <w:r w:rsidR="009C640C">
        <w:t>Filipino</w:t>
      </w:r>
      <w:r w:rsidR="00B072DE" w:rsidRPr="009C1731">
        <w:t xml:space="preserve">. </w:t>
      </w:r>
    </w:p>
    <w:p w14:paraId="27B08F84" w14:textId="235E42EF" w:rsidR="00B072DE" w:rsidRPr="009C1731" w:rsidRDefault="00B03FD2" w:rsidP="00B03FD2">
      <w:pPr>
        <w:pStyle w:val="SingleTxtG"/>
        <w:rPr>
          <w:color w:val="212529"/>
        </w:rPr>
      </w:pPr>
      <w:r>
        <w:t>2</w:t>
      </w:r>
      <w:r w:rsidR="00707974">
        <w:t>4</w:t>
      </w:r>
      <w:r>
        <w:t>.</w:t>
      </w:r>
      <w:r>
        <w:tab/>
      </w:r>
      <w:r w:rsidR="005D4522" w:rsidRPr="009C1731">
        <w:t>The Philippines ratified the O</w:t>
      </w:r>
      <w:r w:rsidR="005D4522">
        <w:t xml:space="preserve">PCAT </w:t>
      </w:r>
      <w:r w:rsidR="005D4522" w:rsidRPr="009C1731">
        <w:t>in 2012</w:t>
      </w:r>
      <w:r w:rsidR="00970590">
        <w:t>,</w:t>
      </w:r>
      <w:r w:rsidR="005D4522" w:rsidRPr="009C1731">
        <w:t xml:space="preserve"> but has yet</w:t>
      </w:r>
      <w:r w:rsidR="005D4522">
        <w:t xml:space="preserve"> to</w:t>
      </w:r>
      <w:r w:rsidR="005D4522" w:rsidRPr="009C1731">
        <w:t xml:space="preserve"> adopt legislation </w:t>
      </w:r>
      <w:r w:rsidR="005D4522">
        <w:t xml:space="preserve">to </w:t>
      </w:r>
      <w:r w:rsidR="005D4522" w:rsidRPr="009C1731">
        <w:t xml:space="preserve">allow for the establishment of a permanent </w:t>
      </w:r>
      <w:r w:rsidR="00ED0643" w:rsidRPr="00ED0643">
        <w:t>National Preventive Mechanism</w:t>
      </w:r>
      <w:r w:rsidR="00ED0643">
        <w:t xml:space="preserve"> (</w:t>
      </w:r>
      <w:r w:rsidR="005D4522">
        <w:t>NPM</w:t>
      </w:r>
      <w:r w:rsidR="00ED0643">
        <w:t>)</w:t>
      </w:r>
      <w:r w:rsidR="005D4522" w:rsidRPr="009C1731">
        <w:t xml:space="preserve">, though an interim mechanism </w:t>
      </w:r>
      <w:r w:rsidR="005D4522">
        <w:t>was</w:t>
      </w:r>
      <w:r w:rsidR="005D4522" w:rsidRPr="009C1731">
        <w:t xml:space="preserve"> operational.</w:t>
      </w:r>
      <w:r w:rsidR="005D4522" w:rsidRPr="00477B98">
        <w:rPr>
          <w:rStyle w:val="FootnoteReference"/>
          <w:szCs w:val="18"/>
        </w:rPr>
        <w:footnoteReference w:id="39"/>
      </w:r>
      <w:r w:rsidR="005D4522" w:rsidRPr="00477B98">
        <w:rPr>
          <w:sz w:val="14"/>
          <w:szCs w:val="14"/>
        </w:rPr>
        <w:t xml:space="preserve"> </w:t>
      </w:r>
      <w:r w:rsidR="006B5FCB" w:rsidRPr="006B5FCB">
        <w:t>The UN</w:t>
      </w:r>
      <w:r w:rsidR="006B5FCB">
        <w:rPr>
          <w:lang w:val="en-PH"/>
        </w:rPr>
        <w:t xml:space="preserve">JP </w:t>
      </w:r>
      <w:r w:rsidR="006B5FCB" w:rsidRPr="006B5FCB">
        <w:t xml:space="preserve">conducted </w:t>
      </w:r>
      <w:r w:rsidR="006B5FCB" w:rsidRPr="006B5FCB">
        <w:rPr>
          <w:lang w:val="en-PH"/>
        </w:rPr>
        <w:t>consultations</w:t>
      </w:r>
      <w:r w:rsidR="006B5FCB" w:rsidRPr="006B5FCB">
        <w:t xml:space="preserve"> </w:t>
      </w:r>
      <w:r w:rsidR="006B5FCB" w:rsidRPr="006B5FCB">
        <w:rPr>
          <w:lang w:val="en-PH"/>
        </w:rPr>
        <w:t>on consolidation</w:t>
      </w:r>
      <w:r w:rsidR="006B5FCB" w:rsidRPr="006B5FCB">
        <w:t xml:space="preserve"> of the different </w:t>
      </w:r>
      <w:r w:rsidR="006B5FCB" w:rsidRPr="006B5FCB">
        <w:rPr>
          <w:lang w:val="en-PH"/>
        </w:rPr>
        <w:t>versions of</w:t>
      </w:r>
      <w:r w:rsidR="006B5FCB" w:rsidRPr="006B5FCB">
        <w:t xml:space="preserve"> the draft legislation and capacity building needs of the </w:t>
      </w:r>
      <w:r w:rsidR="006B5FCB" w:rsidRPr="006B5FCB">
        <w:rPr>
          <w:lang w:val="en-PH"/>
        </w:rPr>
        <w:t>Interim</w:t>
      </w:r>
      <w:r w:rsidR="006B5FCB" w:rsidRPr="006B5FCB">
        <w:t xml:space="preserve"> N</w:t>
      </w:r>
      <w:r w:rsidR="006B5FCB" w:rsidRPr="006B5FCB">
        <w:rPr>
          <w:lang w:val="en-PH"/>
        </w:rPr>
        <w:t>P</w:t>
      </w:r>
      <w:r w:rsidR="006B5FCB" w:rsidRPr="006B5FCB">
        <w:t xml:space="preserve">M. An initial assessment of victim support and protection </w:t>
      </w:r>
      <w:r w:rsidR="006B5FCB" w:rsidRPr="006B5FCB">
        <w:rPr>
          <w:lang w:val="en-PH"/>
        </w:rPr>
        <w:t>needs,</w:t>
      </w:r>
      <w:r w:rsidR="006B5FCB" w:rsidRPr="006B5FCB">
        <w:t xml:space="preserve"> and mapping of domestic judicial and non-judicial remedies has been initiated.</w:t>
      </w:r>
    </w:p>
    <w:p w14:paraId="3B7E8942" w14:textId="7CAB8B90" w:rsidR="00B072DE" w:rsidRPr="000B0760" w:rsidRDefault="000B0760" w:rsidP="000B0760">
      <w:pPr>
        <w:pStyle w:val="H1G"/>
      </w:pPr>
      <w:r>
        <w:tab/>
      </w:r>
      <w:r w:rsidRPr="000B0760">
        <w:t>B.</w:t>
      </w:r>
      <w:r w:rsidRPr="000B0760">
        <w:tab/>
      </w:r>
      <w:r w:rsidR="00B072DE" w:rsidRPr="000B0760">
        <w:t>Data-gathering on alleged violations</w:t>
      </w:r>
    </w:p>
    <w:p w14:paraId="00646C57" w14:textId="7B9898E5" w:rsidR="00B072DE" w:rsidRPr="009C1731" w:rsidRDefault="006E4B5D" w:rsidP="00385F1B">
      <w:pPr>
        <w:pStyle w:val="SingleTxtG"/>
      </w:pPr>
      <w:r>
        <w:t>2</w:t>
      </w:r>
      <w:r w:rsidR="00707974">
        <w:t>5</w:t>
      </w:r>
      <w:r>
        <w:t>.</w:t>
      </w:r>
      <w:r>
        <w:tab/>
      </w:r>
      <w:r w:rsidR="00B072DE" w:rsidRPr="009C1731">
        <w:t>In September 2021</w:t>
      </w:r>
      <w:r w:rsidR="00B072DE">
        <w:t>,</w:t>
      </w:r>
      <w:r w:rsidR="00B072DE" w:rsidRPr="009C1731">
        <w:t xml:space="preserve"> at the 76</w:t>
      </w:r>
      <w:r w:rsidR="00B072DE" w:rsidRPr="009C1731">
        <w:rPr>
          <w:vertAlign w:val="superscript"/>
        </w:rPr>
        <w:t>th</w:t>
      </w:r>
      <w:r w:rsidR="00B072DE" w:rsidRPr="009C1731">
        <w:t xml:space="preserve"> session of the General Assembly, </w:t>
      </w:r>
      <w:r w:rsidR="00970590">
        <w:t xml:space="preserve">the then </w:t>
      </w:r>
      <w:r w:rsidR="00B072DE" w:rsidRPr="009C1731">
        <w:t xml:space="preserve"> President</w:t>
      </w:r>
      <w:r w:rsidR="00970590">
        <w:t>, H.E. Mr. Rodrigo</w:t>
      </w:r>
      <w:r w:rsidR="00B072DE" w:rsidRPr="009C1731">
        <w:t xml:space="preserve"> Duterte</w:t>
      </w:r>
      <w:r w:rsidR="00970590">
        <w:t>,</w:t>
      </w:r>
      <w:r w:rsidR="00B072DE" w:rsidRPr="009C1731">
        <w:t xml:space="preserve"> stated that he had given instructions to the DoJ and the PNP to review police operations in the context of anti-drug operations, and that “[t]hose found to have acted beyond bounds during operations shall be made accountable before our laws</w:t>
      </w:r>
      <w:r w:rsidR="00B072DE">
        <w:t>.</w:t>
      </w:r>
      <w:r w:rsidR="00B072DE" w:rsidRPr="009C1731">
        <w:t>”</w:t>
      </w:r>
      <w:r w:rsidR="00B072DE" w:rsidRPr="00477B98">
        <w:rPr>
          <w:rStyle w:val="FootnoteReference"/>
          <w:szCs w:val="18"/>
        </w:rPr>
        <w:footnoteReference w:id="40"/>
      </w:r>
      <w:r w:rsidR="00B072DE" w:rsidRPr="00477B98">
        <w:rPr>
          <w:sz w:val="14"/>
          <w:szCs w:val="14"/>
        </w:rPr>
        <w:t xml:space="preserve"> </w:t>
      </w:r>
      <w:r w:rsidR="00B03FD2" w:rsidRPr="00B03FD2">
        <w:lastRenderedPageBreak/>
        <w:t xml:space="preserve">However, the former President also made public statements </w:t>
      </w:r>
      <w:r w:rsidR="008C1B76">
        <w:t>defending his anti-narcotics campaign</w:t>
      </w:r>
      <w:r w:rsidR="00B03FD2">
        <w:t>.</w:t>
      </w:r>
      <w:r w:rsidR="00776577">
        <w:rPr>
          <w:rStyle w:val="FootnoteReference"/>
        </w:rPr>
        <w:footnoteReference w:id="41"/>
      </w:r>
      <w:r w:rsidR="00B03FD2" w:rsidRPr="00B03FD2">
        <w:t xml:space="preserve"> </w:t>
      </w:r>
      <w:r w:rsidR="00B072DE" w:rsidRPr="009C1731">
        <w:t xml:space="preserve"> </w:t>
      </w:r>
    </w:p>
    <w:p w14:paraId="4DBE78C6" w14:textId="282E7EAE" w:rsidR="00B072DE" w:rsidRPr="009C1731" w:rsidRDefault="006E4B5D" w:rsidP="00385F1B">
      <w:pPr>
        <w:pStyle w:val="SingleTxtG"/>
      </w:pPr>
      <w:r>
        <w:t>2</w:t>
      </w:r>
      <w:r w:rsidR="00707974">
        <w:t>6</w:t>
      </w:r>
      <w:r>
        <w:t>.</w:t>
      </w:r>
      <w:r>
        <w:tab/>
      </w:r>
      <w:r w:rsidR="00B072DE" w:rsidRPr="009C1731">
        <w:t xml:space="preserve">On 29 June 2021, </w:t>
      </w:r>
      <w:r w:rsidR="00B072DE">
        <w:t xml:space="preserve">the </w:t>
      </w:r>
      <w:r w:rsidR="00B072DE" w:rsidRPr="009C1731">
        <w:t xml:space="preserve">Supreme Court issued rules requiring police officers to wear body-work cameras when executing warrants and repealing a 2004 decision </w:t>
      </w:r>
      <w:r w:rsidR="00B072DE">
        <w:t xml:space="preserve">that </w:t>
      </w:r>
      <w:r w:rsidR="00B072DE" w:rsidRPr="009C1731">
        <w:t>allowed Manila and Quezon City executive judges to issue search warrants in locations “outside their territorial jurisdiction</w:t>
      </w:r>
      <w:r w:rsidR="00B072DE">
        <w:t>.</w:t>
      </w:r>
      <w:r w:rsidR="00B072DE" w:rsidRPr="009C1731">
        <w:t xml:space="preserve">” </w:t>
      </w:r>
      <w:r w:rsidR="00B072DE">
        <w:t xml:space="preserve">It </w:t>
      </w:r>
      <w:r w:rsidR="00B072DE" w:rsidRPr="009C1731">
        <w:t>cited “increasing reports of civilian deaths in the execution of warrants issued by trial courts, the causes and conditions surrounding such deaths being widely disputed</w:t>
      </w:r>
      <w:r w:rsidR="00B072DE">
        <w:t>.</w:t>
      </w:r>
      <w:r w:rsidR="00B072DE" w:rsidRPr="009C1731">
        <w:t>”</w:t>
      </w:r>
      <w:r w:rsidR="00B072DE" w:rsidRPr="00477B98">
        <w:rPr>
          <w:rStyle w:val="FootnoteReference"/>
          <w:szCs w:val="18"/>
        </w:rPr>
        <w:footnoteReference w:id="42"/>
      </w:r>
    </w:p>
    <w:p w14:paraId="7B50B6CB" w14:textId="65FC09C6" w:rsidR="00B072DE" w:rsidRPr="009C1731" w:rsidRDefault="00666C6D" w:rsidP="00385F1B">
      <w:pPr>
        <w:pStyle w:val="SingleTxtG"/>
      </w:pPr>
      <w:r>
        <w:t>2</w:t>
      </w:r>
      <w:r w:rsidR="00707974">
        <w:t>7</w:t>
      </w:r>
      <w:r w:rsidR="006E4B5D">
        <w:t>.</w:t>
      </w:r>
      <w:r w:rsidR="006E4B5D">
        <w:tab/>
      </w:r>
      <w:r w:rsidR="006B5FCB" w:rsidRPr="006B5FCB">
        <w:t xml:space="preserve">Deaths continue to be reported in anti-illegal drug operations, with </w:t>
      </w:r>
      <w:r w:rsidR="006B5FCB">
        <w:t>t</w:t>
      </w:r>
      <w:r w:rsidR="006B5FCB" w:rsidRPr="009C1731">
        <w:t>he Philippine Drug Enforcement Agency (PDEA)</w:t>
      </w:r>
      <w:r w:rsidR="004C448B">
        <w:t xml:space="preserve"> </w:t>
      </w:r>
      <w:r w:rsidR="006B5FCB">
        <w:t>publishing</w:t>
      </w:r>
      <w:r w:rsidR="006B5FCB" w:rsidRPr="009C1731">
        <w:t xml:space="preserve"> monthly figures of persons killed during such operations.</w:t>
      </w:r>
      <w:r w:rsidR="006B5FCB" w:rsidRPr="00477B98">
        <w:rPr>
          <w:rStyle w:val="FootnoteReference"/>
          <w:szCs w:val="18"/>
        </w:rPr>
        <w:footnoteReference w:id="43"/>
      </w:r>
      <w:r w:rsidR="006B5FCB">
        <w:t xml:space="preserve">  The PDEA </w:t>
      </w:r>
      <w:r w:rsidR="00B072DE" w:rsidRPr="009C1731">
        <w:t>reported a decrease in killings in the context of anti-drug police operations, with 448 persons reportedly killed in 2020, 21</w:t>
      </w:r>
      <w:r w:rsidR="00A640A3">
        <w:t>4</w:t>
      </w:r>
      <w:r w:rsidR="00B072DE" w:rsidRPr="009C1731">
        <w:t xml:space="preserve"> in 2021, and 2</w:t>
      </w:r>
      <w:r w:rsidR="00A640A3">
        <w:t>7</w:t>
      </w:r>
      <w:r w:rsidR="00B072DE" w:rsidRPr="009C1731">
        <w:t xml:space="preserve"> between January and 31 May 2022.</w:t>
      </w:r>
      <w:r w:rsidR="00B072DE" w:rsidRPr="00477B98">
        <w:rPr>
          <w:rStyle w:val="FootnoteReference"/>
          <w:szCs w:val="18"/>
        </w:rPr>
        <w:footnoteReference w:id="44"/>
      </w:r>
      <w:r w:rsidR="00B072DE" w:rsidRPr="00477B98">
        <w:rPr>
          <w:sz w:val="14"/>
          <w:szCs w:val="14"/>
        </w:rPr>
        <w:t xml:space="preserve"> </w:t>
      </w:r>
      <w:r w:rsidR="006B5FCB" w:rsidRPr="006B5FCB">
        <w:rPr>
          <w:lang w:val="en-PH"/>
        </w:rPr>
        <w:t>PDEA figures record that</w:t>
      </w:r>
      <w:r w:rsidR="00970590">
        <w:rPr>
          <w:lang w:val="en-PH"/>
        </w:rPr>
        <w:t>,</w:t>
      </w:r>
      <w:r w:rsidR="006B5FCB" w:rsidRPr="006B5FCB">
        <w:rPr>
          <w:lang w:val="en-PH"/>
        </w:rPr>
        <w:t xml:space="preserve"> from</w:t>
      </w:r>
      <w:r w:rsidR="00B61519">
        <w:rPr>
          <w:lang w:val="en-PH"/>
        </w:rPr>
        <w:t xml:space="preserve"> 1</w:t>
      </w:r>
      <w:r w:rsidR="006B5FCB" w:rsidRPr="006B5FCB">
        <w:rPr>
          <w:lang w:val="en-PH"/>
        </w:rPr>
        <w:t xml:space="preserve"> </w:t>
      </w:r>
      <w:r w:rsidR="002C501B" w:rsidRPr="006B5FCB">
        <w:rPr>
          <w:lang w:val="en-PH"/>
        </w:rPr>
        <w:t>July 2016</w:t>
      </w:r>
      <w:r w:rsidR="006B5FCB" w:rsidRPr="006B5FCB">
        <w:rPr>
          <w:lang w:val="en-PH"/>
        </w:rPr>
        <w:t xml:space="preserve"> to </w:t>
      </w:r>
      <w:r w:rsidR="00B61519">
        <w:rPr>
          <w:lang w:val="en-PH"/>
        </w:rPr>
        <w:t xml:space="preserve">31 </w:t>
      </w:r>
      <w:r w:rsidR="006B5FCB" w:rsidRPr="006B5FCB">
        <w:rPr>
          <w:lang w:val="en-PH"/>
        </w:rPr>
        <w:t>May 2022, 6,252 people died during drug operations</w:t>
      </w:r>
      <w:r w:rsidR="00970590">
        <w:rPr>
          <w:lang w:val="en-PH"/>
        </w:rPr>
        <w:t>,</w:t>
      </w:r>
      <w:r w:rsidR="006B5FCB" w:rsidRPr="006B5FCB">
        <w:rPr>
          <w:lang w:val="en-PH"/>
        </w:rPr>
        <w:t xml:space="preserve"> and 239,218 anti-illegal drug operations were conducted with 345,216 people arrested.</w:t>
      </w:r>
      <w:r w:rsidR="006B5FCB" w:rsidRPr="006B5FCB">
        <w:rPr>
          <w:vertAlign w:val="superscript"/>
          <w:lang w:val="en-PH"/>
        </w:rPr>
        <w:footnoteReference w:id="45"/>
      </w:r>
      <w:r w:rsidR="006B5FCB" w:rsidRPr="006B5FCB">
        <w:rPr>
          <w:lang w:val="en-PH"/>
        </w:rPr>
        <w:t xml:space="preserve"> </w:t>
      </w:r>
      <w:r w:rsidR="007B2934">
        <w:rPr>
          <w:lang w:val="en-PH"/>
        </w:rPr>
        <w:t xml:space="preserve">According to Government information citing </w:t>
      </w:r>
      <w:r w:rsidR="007B2934" w:rsidRPr="007B2934">
        <w:rPr>
          <w:lang w:val="en-PH"/>
        </w:rPr>
        <w:t>PDEA</w:t>
      </w:r>
      <w:r w:rsidR="007B2934">
        <w:rPr>
          <w:lang w:val="en-PH"/>
        </w:rPr>
        <w:t xml:space="preserve"> figures</w:t>
      </w:r>
      <w:r w:rsidR="007B2934" w:rsidRPr="007B2934">
        <w:rPr>
          <w:lang w:val="en-PH"/>
        </w:rPr>
        <w:t>, 67.69 percent of the drug cases filed from 2016 to July 2022 nationwide</w:t>
      </w:r>
      <w:r w:rsidR="007B2934">
        <w:rPr>
          <w:lang w:val="en-PH"/>
        </w:rPr>
        <w:t xml:space="preserve"> </w:t>
      </w:r>
      <w:r w:rsidR="007B2934" w:rsidRPr="007B2934">
        <w:rPr>
          <w:lang w:val="en-PH"/>
        </w:rPr>
        <w:t>are yet to be resolved.</w:t>
      </w:r>
      <w:r w:rsidR="006B5FCB" w:rsidRPr="006B5FCB">
        <w:rPr>
          <w:vertAlign w:val="superscript"/>
          <w:lang w:val="en-PH"/>
        </w:rPr>
        <w:footnoteReference w:id="46"/>
      </w:r>
    </w:p>
    <w:p w14:paraId="1F6D9767" w14:textId="49538EAA" w:rsidR="00B072DE" w:rsidRPr="009C1731" w:rsidRDefault="00666C6D" w:rsidP="00385F1B">
      <w:pPr>
        <w:pStyle w:val="SingleTxtG"/>
      </w:pPr>
      <w:r>
        <w:t>2</w:t>
      </w:r>
      <w:r w:rsidR="00707974">
        <w:t>8</w:t>
      </w:r>
      <w:r w:rsidR="006E4B5D">
        <w:t>.</w:t>
      </w:r>
      <w:r w:rsidR="006E4B5D">
        <w:tab/>
      </w:r>
      <w:r w:rsidR="00B072DE" w:rsidRPr="009C1731">
        <w:t xml:space="preserve">OHCHR continued to receive allegations of human rights violations by members of the </w:t>
      </w:r>
      <w:r w:rsidR="00B072DE">
        <w:t>PNP</w:t>
      </w:r>
      <w:r w:rsidR="00B072DE" w:rsidRPr="009C1731">
        <w:t>, however it was not possible for OHCHR to verify these cases or the number of such violations.  The Government informed OHCHR that the “PDEA immediately investigates reports on alleged human rights violations</w:t>
      </w:r>
      <w:r w:rsidR="00807CEB">
        <w:t>” and that, as</w:t>
      </w:r>
      <w:r w:rsidR="00477B98">
        <w:t xml:space="preserve"> </w:t>
      </w:r>
      <w:r w:rsidR="00B072DE" w:rsidRPr="009C1731">
        <w:t xml:space="preserve">of 31 July 2020, all </w:t>
      </w:r>
      <w:r w:rsidR="00A640A3" w:rsidRPr="00A640A3">
        <w:t xml:space="preserve">PDEA-initiated operations </w:t>
      </w:r>
      <w:r w:rsidR="00807CEB">
        <w:t>that had been investigated</w:t>
      </w:r>
      <w:r w:rsidR="00807CEB" w:rsidRPr="009C1731">
        <w:t xml:space="preserve"> </w:t>
      </w:r>
      <w:r w:rsidR="00B072DE" w:rsidRPr="009C1731">
        <w:t>were determined to have the absence of human rights violations</w:t>
      </w:r>
      <w:r w:rsidR="00B072DE">
        <w:t>.</w:t>
      </w:r>
      <w:r w:rsidR="00B072DE" w:rsidRPr="00477B98">
        <w:rPr>
          <w:rStyle w:val="FootnoteReference"/>
          <w:szCs w:val="18"/>
        </w:rPr>
        <w:footnoteReference w:id="47"/>
      </w:r>
      <w:r w:rsidR="00B072DE" w:rsidRPr="00477B98">
        <w:rPr>
          <w:sz w:val="14"/>
          <w:szCs w:val="14"/>
        </w:rPr>
        <w:t xml:space="preserve"> </w:t>
      </w:r>
      <w:r w:rsidR="00B072DE" w:rsidRPr="009C1731">
        <w:t xml:space="preserve"> </w:t>
      </w:r>
      <w:r w:rsidR="006B5FCB" w:rsidRPr="006B5FCB">
        <w:rPr>
          <w:lang w:val="en-PH"/>
        </w:rPr>
        <w:t xml:space="preserve">The Government also stated that the PNP leadership condemned unlawful killing and that the “conduct of police operations, which include the serving of search or arrest warrant, buy bust operations, …, the objective is not to kill anyone but only to arrest the suspect and prevent the commission of crimes’’. </w:t>
      </w:r>
      <w:r w:rsidR="00B072DE" w:rsidRPr="00065BE6">
        <w:t>In April 2022, the CHRP issued a report on their investigations into drug-related killings</w:t>
      </w:r>
      <w:r w:rsidR="00B072DE">
        <w:t>,</w:t>
      </w:r>
      <w:r w:rsidR="00B072DE" w:rsidRPr="00065BE6">
        <w:t xml:space="preserve"> which observed, </w:t>
      </w:r>
      <w:r w:rsidR="00B072DE" w:rsidRPr="00DF2514">
        <w:rPr>
          <w:i/>
        </w:rPr>
        <w:t>inter alia</w:t>
      </w:r>
      <w:r w:rsidR="00B072DE" w:rsidRPr="00065BE6">
        <w:t xml:space="preserve">, the lack of effective, </w:t>
      </w:r>
      <w:r w:rsidR="00836913" w:rsidRPr="00065BE6">
        <w:t>prompt,</w:t>
      </w:r>
      <w:r w:rsidR="00B072DE" w:rsidRPr="00065BE6">
        <w:t xml:space="preserve"> and transparent accountability mechanisms, and </w:t>
      </w:r>
      <w:r w:rsidR="00970590">
        <w:t xml:space="preserve">lack of </w:t>
      </w:r>
      <w:r w:rsidR="00B072DE" w:rsidRPr="00065BE6">
        <w:t xml:space="preserve">access to documentation </w:t>
      </w:r>
      <w:r w:rsidR="00B072DE">
        <w:t>despite</w:t>
      </w:r>
      <w:r w:rsidR="00B072DE" w:rsidRPr="00065BE6">
        <w:t xml:space="preserve"> the mandate of the CHRP</w:t>
      </w:r>
      <w:r w:rsidR="00B072DE" w:rsidRPr="009C1731">
        <w:t>.</w:t>
      </w:r>
      <w:r w:rsidR="00B072DE" w:rsidRPr="00477B98">
        <w:rPr>
          <w:rStyle w:val="FootnoteReference"/>
          <w:szCs w:val="18"/>
        </w:rPr>
        <w:footnoteReference w:id="48"/>
      </w:r>
    </w:p>
    <w:p w14:paraId="61AC1855" w14:textId="3F47E982" w:rsidR="00B072DE" w:rsidRPr="009C1731" w:rsidRDefault="00707974" w:rsidP="00385F1B">
      <w:pPr>
        <w:pStyle w:val="SingleTxtG"/>
      </w:pPr>
      <w:r>
        <w:t>29</w:t>
      </w:r>
      <w:r w:rsidR="006E4B5D">
        <w:t>.</w:t>
      </w:r>
      <w:r w:rsidR="006E4B5D">
        <w:tab/>
      </w:r>
      <w:r w:rsidR="00B072DE" w:rsidRPr="009C1731">
        <w:t xml:space="preserve">The </w:t>
      </w:r>
      <w:r w:rsidR="00B072DE">
        <w:t>PNP</w:t>
      </w:r>
      <w:r w:rsidR="00B072DE" w:rsidRPr="009C1731">
        <w:t xml:space="preserve"> implemented the Human Rights Recording, Analysis and Information System (HuRAISE</w:t>
      </w:r>
      <w:r w:rsidR="00B072DE">
        <w:t>).</w:t>
      </w:r>
      <w:r w:rsidR="00B072DE" w:rsidRPr="00477B98">
        <w:rPr>
          <w:rStyle w:val="FootnoteReference"/>
          <w:szCs w:val="18"/>
        </w:rPr>
        <w:footnoteReference w:id="49"/>
      </w:r>
      <w:r w:rsidR="00B072DE" w:rsidRPr="00477B98">
        <w:rPr>
          <w:sz w:val="14"/>
          <w:szCs w:val="14"/>
        </w:rPr>
        <w:t xml:space="preserve"> </w:t>
      </w:r>
      <w:r w:rsidR="00B072DE" w:rsidRPr="009C1731">
        <w:t>This serves as “an institutional mechanism for generating empirical data on human rights, with corresponding analysis in order to address misconduct among personnel</w:t>
      </w:r>
      <w:r w:rsidR="00B072DE">
        <w:t>.</w:t>
      </w:r>
      <w:r w:rsidR="00B072DE" w:rsidRPr="009C1731">
        <w:t>”</w:t>
      </w:r>
      <w:r w:rsidR="00B072DE" w:rsidRPr="003E4EB4">
        <w:rPr>
          <w:rStyle w:val="FootnoteReference"/>
          <w:szCs w:val="18"/>
        </w:rPr>
        <w:footnoteReference w:id="50"/>
      </w:r>
      <w:r w:rsidR="00B072DE" w:rsidRPr="003E4EB4">
        <w:rPr>
          <w:sz w:val="14"/>
          <w:szCs w:val="14"/>
        </w:rPr>
        <w:t xml:space="preserve"> </w:t>
      </w:r>
      <w:r w:rsidR="00B072DE" w:rsidRPr="009C1731">
        <w:t xml:space="preserve">Analysis of data in the PNP HuRAISE system </w:t>
      </w:r>
      <w:r w:rsidR="00776577">
        <w:t xml:space="preserve">by the </w:t>
      </w:r>
      <w:r w:rsidR="00776577" w:rsidRPr="009C1731">
        <w:t>PNP Human Rights Affairs Office (HRAO</w:t>
      </w:r>
      <w:r w:rsidR="00061BA7" w:rsidRPr="009C1731">
        <w:t xml:space="preserve">) </w:t>
      </w:r>
      <w:r w:rsidR="00061BA7">
        <w:t>is</w:t>
      </w:r>
      <w:r w:rsidR="00B072DE" w:rsidRPr="009C1731">
        <w:t xml:space="preserve"> ongoing. In addition, the </w:t>
      </w:r>
      <w:r w:rsidR="008F43CD">
        <w:t xml:space="preserve">HRAO </w:t>
      </w:r>
      <w:r w:rsidR="00B072DE" w:rsidRPr="009C1731">
        <w:t xml:space="preserve">will implement </w:t>
      </w:r>
      <w:r w:rsidR="00B072DE">
        <w:t>a</w:t>
      </w:r>
      <w:r w:rsidR="00B072DE" w:rsidRPr="009C1731">
        <w:t>n online standardised test on human rights to all PNP officers.</w:t>
      </w:r>
      <w:r w:rsidR="00B072DE" w:rsidRPr="00477B98">
        <w:rPr>
          <w:rStyle w:val="FootnoteReference"/>
          <w:szCs w:val="18"/>
        </w:rPr>
        <w:footnoteReference w:id="51"/>
      </w:r>
    </w:p>
    <w:p w14:paraId="69F867B0" w14:textId="44D5E396" w:rsidR="00B072DE" w:rsidRPr="009C1731" w:rsidRDefault="006E4B5D" w:rsidP="00385F1B">
      <w:pPr>
        <w:pStyle w:val="SingleTxtG"/>
      </w:pPr>
      <w:r>
        <w:t>3</w:t>
      </w:r>
      <w:r w:rsidR="00707974">
        <w:t>0</w:t>
      </w:r>
      <w:r>
        <w:t>.</w:t>
      </w:r>
      <w:r>
        <w:tab/>
      </w:r>
      <w:r w:rsidR="00B072DE" w:rsidRPr="009C1731">
        <w:t xml:space="preserve">The </w:t>
      </w:r>
      <w:r w:rsidR="00B072DE">
        <w:t>UNJP</w:t>
      </w:r>
      <w:r w:rsidR="00B072DE" w:rsidRPr="009C1731">
        <w:t xml:space="preserve"> supports efforts that are already underway within the PNP HRAO to improve police data and accountability for human rights violations. This includes an ongoing needs assessment and study of PNP accountability mechanisms to identify gaps and the rollout of training on the Minnesota Protocol. The </w:t>
      </w:r>
      <w:r w:rsidR="00B072DE">
        <w:t>UNJP</w:t>
      </w:r>
      <w:r w:rsidR="00B072DE" w:rsidRPr="009C1731">
        <w:t xml:space="preserve"> will work on best practice for reporting and follow up, and through the technical working group</w:t>
      </w:r>
      <w:r w:rsidR="00B072DE">
        <w:t>,</w:t>
      </w:r>
      <w:r w:rsidR="00B072DE" w:rsidRPr="009C1731">
        <w:t xml:space="preserve"> support existing efforts on community and civil society dialogues </w:t>
      </w:r>
      <w:r w:rsidR="003C1849">
        <w:t xml:space="preserve">and engagement </w:t>
      </w:r>
      <w:r w:rsidR="00B072DE">
        <w:t xml:space="preserve">with </w:t>
      </w:r>
      <w:r w:rsidR="00B072DE" w:rsidRPr="009C1731">
        <w:t>the PNP.</w:t>
      </w:r>
    </w:p>
    <w:p w14:paraId="4063A4E2" w14:textId="1D35A57A" w:rsidR="00B072DE" w:rsidRPr="009C1731" w:rsidRDefault="00676A97" w:rsidP="00676A97">
      <w:pPr>
        <w:pStyle w:val="H1G"/>
      </w:pPr>
      <w:r>
        <w:rPr>
          <w:lang w:val="en-US"/>
        </w:rPr>
        <w:lastRenderedPageBreak/>
        <w:tab/>
        <w:t>C.</w:t>
      </w:r>
      <w:r>
        <w:rPr>
          <w:lang w:val="en-US"/>
        </w:rPr>
        <w:tab/>
      </w:r>
      <w:r w:rsidR="00B072DE" w:rsidRPr="009C1731">
        <w:t xml:space="preserve">Civic space and engagement with civil society and the </w:t>
      </w:r>
      <w:r w:rsidR="00B072DE">
        <w:t>CHRP</w:t>
      </w:r>
    </w:p>
    <w:p w14:paraId="62198B73" w14:textId="0400AAF0" w:rsidR="00B072DE" w:rsidRPr="009C1731" w:rsidRDefault="006E4B5D" w:rsidP="00F403D2">
      <w:pPr>
        <w:pStyle w:val="SingleTxtG"/>
      </w:pPr>
      <w:r>
        <w:t>3</w:t>
      </w:r>
      <w:r w:rsidR="00707974">
        <w:t>1</w:t>
      </w:r>
      <w:r>
        <w:t>.</w:t>
      </w:r>
      <w:r>
        <w:tab/>
      </w:r>
      <w:r w:rsidR="00B072DE" w:rsidRPr="009C1731">
        <w:t xml:space="preserve">The Philippines has a large and active civil society, and constitutional guarantees for freedom of expression, </w:t>
      </w:r>
      <w:r w:rsidR="00836913" w:rsidRPr="009C1731">
        <w:t>association,</w:t>
      </w:r>
      <w:r w:rsidR="00B072DE" w:rsidRPr="009C1731">
        <w:t xml:space="preserve"> and peaceful assembly. </w:t>
      </w:r>
      <w:r w:rsidR="00B072DE">
        <w:t>T</w:t>
      </w:r>
      <w:r w:rsidR="00B072DE" w:rsidRPr="009C1731">
        <w:t xml:space="preserve">he Government took </w:t>
      </w:r>
      <w:r w:rsidR="00B072DE">
        <w:t xml:space="preserve">some </w:t>
      </w:r>
      <w:r w:rsidR="00B072DE" w:rsidRPr="009C1731">
        <w:t xml:space="preserve">steps to engage with some </w:t>
      </w:r>
      <w:r w:rsidR="00B072DE">
        <w:t xml:space="preserve">CSOs, such as </w:t>
      </w:r>
      <w:r w:rsidR="00E309B0">
        <w:t xml:space="preserve">the first ever </w:t>
      </w:r>
      <w:r w:rsidR="00B072DE" w:rsidRPr="009C1731">
        <w:t>virtual Philippines Human Rights Defenders National Assembly</w:t>
      </w:r>
      <w:r w:rsidR="00B072DE">
        <w:t xml:space="preserve"> in December 2021</w:t>
      </w:r>
      <w:r w:rsidR="00B072DE" w:rsidRPr="009C1731">
        <w:t xml:space="preserve">, with </w:t>
      </w:r>
      <w:r w:rsidR="00B072DE">
        <w:t xml:space="preserve">the </w:t>
      </w:r>
      <w:r w:rsidR="00B072DE" w:rsidRPr="009C1731">
        <w:t xml:space="preserve">participation of the Special Rapporteur on Human Rights Defenders.  </w:t>
      </w:r>
    </w:p>
    <w:p w14:paraId="16332E44" w14:textId="1EB6F080" w:rsidR="00B072DE" w:rsidRPr="009C1731" w:rsidRDefault="006E4B5D" w:rsidP="00F25F1E">
      <w:pPr>
        <w:pStyle w:val="SingleTxtG"/>
      </w:pPr>
      <w:r>
        <w:t>3</w:t>
      </w:r>
      <w:r w:rsidR="00707974">
        <w:t>2</w:t>
      </w:r>
      <w:r>
        <w:t>.</w:t>
      </w:r>
      <w:r>
        <w:tab/>
      </w:r>
      <w:r w:rsidR="00B072DE" w:rsidRPr="009C1731">
        <w:t xml:space="preserve">Despite repeated calls for </w:t>
      </w:r>
      <w:r w:rsidR="00B072DE">
        <w:t>protecting</w:t>
      </w:r>
      <w:r w:rsidR="00B072DE" w:rsidRPr="009C1731">
        <w:t xml:space="preserve"> human rights</w:t>
      </w:r>
      <w:r w:rsidR="00B072DE">
        <w:t xml:space="preserve"> and environmental </w:t>
      </w:r>
      <w:r w:rsidR="00B072DE" w:rsidRPr="009C1731">
        <w:t>defenders, journalists, lawyers, labour rights activists,</w:t>
      </w:r>
      <w:r w:rsidR="00B072DE">
        <w:t xml:space="preserve"> and </w:t>
      </w:r>
      <w:r w:rsidR="00B072DE" w:rsidRPr="009C1731">
        <w:t>humanitarian workers, OHCHR continued to receive reports of killings, arbitrary detention</w:t>
      </w:r>
      <w:r w:rsidR="00B072DE">
        <w:t>,</w:t>
      </w:r>
      <w:r w:rsidR="00B072DE" w:rsidRPr="009C1731">
        <w:t xml:space="preserve"> physical and legal intimidation against them. </w:t>
      </w:r>
      <w:r w:rsidR="00B072DE">
        <w:t xml:space="preserve">They are often targets of </w:t>
      </w:r>
      <w:r w:rsidR="00B072DE" w:rsidRPr="009C1731">
        <w:t>“</w:t>
      </w:r>
      <w:r w:rsidR="00B072DE">
        <w:t>r</w:t>
      </w:r>
      <w:r w:rsidR="00B072DE" w:rsidRPr="009C1731">
        <w:t>ed-tagging”</w:t>
      </w:r>
      <w:r w:rsidR="00B072DE">
        <w:t xml:space="preserve">, </w:t>
      </w:r>
      <w:r w:rsidR="00B072DE" w:rsidRPr="004B4D37">
        <w:t xml:space="preserve">a tactic </w:t>
      </w:r>
      <w:r w:rsidR="00B072DE">
        <w:t xml:space="preserve">deployed to </w:t>
      </w:r>
      <w:r w:rsidR="00B072DE" w:rsidRPr="004B4D37">
        <w:t>accus</w:t>
      </w:r>
      <w:r w:rsidR="00B072DE">
        <w:t>e</w:t>
      </w:r>
      <w:r w:rsidR="00B072DE" w:rsidRPr="004B4D37">
        <w:t xml:space="preserve"> individuals of fronting for the </w:t>
      </w:r>
      <w:r w:rsidR="000470DE">
        <w:t>CPP-</w:t>
      </w:r>
      <w:r w:rsidR="009C640C">
        <w:t>NPA</w:t>
      </w:r>
      <w:r w:rsidR="00B072DE">
        <w:t xml:space="preserve">. This </w:t>
      </w:r>
      <w:r w:rsidR="00B072DE" w:rsidRPr="009C1731">
        <w:t>continued</w:t>
      </w:r>
      <w:r w:rsidR="00B072DE">
        <w:t xml:space="preserve"> to </w:t>
      </w:r>
      <w:r w:rsidR="00B072DE" w:rsidRPr="009C1731">
        <w:t>put human rights defenders at risk</w:t>
      </w:r>
      <w:r w:rsidR="00B072DE">
        <w:t>,</w:t>
      </w:r>
      <w:r w:rsidR="00B072DE" w:rsidRPr="009C1731">
        <w:t xml:space="preserve"> hampering legitimate human rights activities</w:t>
      </w:r>
      <w:r w:rsidR="00B072DE">
        <w:t xml:space="preserve"> while </w:t>
      </w:r>
      <w:r w:rsidR="00B072DE" w:rsidRPr="009C1731">
        <w:t xml:space="preserve">eroding trust between </w:t>
      </w:r>
      <w:r w:rsidR="00B072DE">
        <w:t xml:space="preserve">the </w:t>
      </w:r>
      <w:r w:rsidR="00B072DE" w:rsidRPr="009C1731">
        <w:t>Government and civil society actors.</w:t>
      </w:r>
      <w:r w:rsidR="00FB5566">
        <w:rPr>
          <w:rStyle w:val="FootnoteReference"/>
        </w:rPr>
        <w:footnoteReference w:id="52"/>
      </w:r>
      <w:r w:rsidR="00A16B0F" w:rsidRPr="00A16B0F">
        <w:t xml:space="preserve"> </w:t>
      </w:r>
      <w:r w:rsidR="00A16B0F" w:rsidRPr="009C1731">
        <w:t>In June 2022, incoming National Security Advisor Clarita Carlos called for an end to red-tagging and for a focus on addressing inequalities and lack of opportunities</w:t>
      </w:r>
      <w:r w:rsidR="003307C1">
        <w:t>.</w:t>
      </w:r>
      <w:r w:rsidR="00A16B0F" w:rsidRPr="00D85C96">
        <w:rPr>
          <w:rStyle w:val="FootnoteReference"/>
          <w:szCs w:val="18"/>
        </w:rPr>
        <w:footnoteReference w:id="53"/>
      </w:r>
    </w:p>
    <w:p w14:paraId="623C1E8D" w14:textId="630552DF" w:rsidR="00B072DE" w:rsidRPr="009C1731" w:rsidRDefault="006E4B5D" w:rsidP="00F403D2">
      <w:pPr>
        <w:pStyle w:val="SingleTxtG"/>
      </w:pPr>
      <w:r>
        <w:t>3</w:t>
      </w:r>
      <w:r w:rsidR="00707974">
        <w:t>3</w:t>
      </w:r>
      <w:r>
        <w:t>.</w:t>
      </w:r>
      <w:r>
        <w:tab/>
      </w:r>
      <w:r w:rsidR="00B072DE" w:rsidRPr="009C1731">
        <w:t>On 30 December 2020, nine indigenous Tumandok leaders were killed in joint military and police operations to execute search warrants in Iloilo Province after being accused of possession of firearms and affiliation with CPP-NPA</w:t>
      </w:r>
      <w:r w:rsidR="00B072DE">
        <w:t>.</w:t>
      </w:r>
      <w:r w:rsidR="00B072DE" w:rsidRPr="00D85C96">
        <w:rPr>
          <w:rStyle w:val="FootnoteReference"/>
          <w:szCs w:val="18"/>
        </w:rPr>
        <w:footnoteReference w:id="54"/>
      </w:r>
      <w:r w:rsidR="00B072DE" w:rsidRPr="00D85C96">
        <w:rPr>
          <w:sz w:val="14"/>
          <w:szCs w:val="14"/>
        </w:rPr>
        <w:t xml:space="preserve"> </w:t>
      </w:r>
      <w:r w:rsidR="00B072DE" w:rsidRPr="009C1731">
        <w:t xml:space="preserve">Sixteen other persons, including six human rights defenders, were detained during the operations. </w:t>
      </w:r>
      <w:r w:rsidR="00272914">
        <w:t xml:space="preserve">A </w:t>
      </w:r>
      <w:r w:rsidR="00B072DE" w:rsidRPr="009C1731">
        <w:t>Tumandok leader and witness in the case, Julie Catamin</w:t>
      </w:r>
      <w:r w:rsidR="00272914">
        <w:t>,</w:t>
      </w:r>
      <w:r w:rsidR="00B072DE" w:rsidRPr="009C1731">
        <w:t xml:space="preserve"> was subsequently killed by unknown persons on 28 February 2021, while a lawyer representing the victims survived a killing attempt on 3 March 2021. On 22 January 2022, the Working Group on Enforced and Involuntary Disappearances (WGEID) sent an allegation letter regarding the alleged enforced disappearance of human rights defender Steve Abua who disappeared in November 2021. In its response to the WGEID in March 2022, the Government stated that it continues to investigate the case</w:t>
      </w:r>
      <w:r w:rsidR="00DD5FFB">
        <w:t xml:space="preserve"> but has not found evidence of his enforced disappearance</w:t>
      </w:r>
      <w:r w:rsidR="00B072DE" w:rsidRPr="009C1731">
        <w:t>.</w:t>
      </w:r>
      <w:r w:rsidR="00B072DE" w:rsidRPr="00D85C96">
        <w:rPr>
          <w:rStyle w:val="FootnoteReference"/>
          <w:szCs w:val="18"/>
        </w:rPr>
        <w:footnoteReference w:id="55"/>
      </w:r>
    </w:p>
    <w:p w14:paraId="2B1E568E" w14:textId="5E490D80" w:rsidR="00B072DE" w:rsidRPr="009C1731" w:rsidRDefault="006E4B5D" w:rsidP="00A30DEF">
      <w:pPr>
        <w:pStyle w:val="SingleTxtG"/>
      </w:pPr>
      <w:r>
        <w:t>3</w:t>
      </w:r>
      <w:r w:rsidR="00707974">
        <w:t>4</w:t>
      </w:r>
      <w:r>
        <w:t>.</w:t>
      </w:r>
      <w:r>
        <w:tab/>
      </w:r>
      <w:r w:rsidR="00B072DE" w:rsidRPr="009C1731">
        <w:t xml:space="preserve">On 23 March 2021, the Supreme Court </w:t>
      </w:r>
      <w:r w:rsidR="00B072DE" w:rsidRPr="009C1731">
        <w:rPr>
          <w:i/>
          <w:iCs/>
        </w:rPr>
        <w:t>en banc</w:t>
      </w:r>
      <w:r w:rsidR="00B072DE" w:rsidRPr="009C1731">
        <w:t xml:space="preserve"> issued a statement expressing “serious and urgent concerns regarding the killing of lawyers and threats to judges”</w:t>
      </w:r>
      <w:r w:rsidR="003307C1">
        <w:t>,</w:t>
      </w:r>
      <w:r w:rsidR="00B072DE" w:rsidRPr="000F5344">
        <w:rPr>
          <w:rStyle w:val="FootnoteReference"/>
          <w:szCs w:val="18"/>
        </w:rPr>
        <w:footnoteReference w:id="56"/>
      </w:r>
      <w:r w:rsidR="00B072DE" w:rsidRPr="000F5344">
        <w:rPr>
          <w:sz w:val="14"/>
          <w:szCs w:val="14"/>
        </w:rPr>
        <w:t xml:space="preserve"> </w:t>
      </w:r>
      <w:r w:rsidR="00B072DE" w:rsidRPr="009C1731">
        <w:t>and the following day the Senate adopted a resolution “strongly condemning (such) killings and acts of violence</w:t>
      </w:r>
      <w:r w:rsidR="00B072DE">
        <w:t>.</w:t>
      </w:r>
      <w:r w:rsidR="00B072DE" w:rsidRPr="009C1731">
        <w:t>”</w:t>
      </w:r>
      <w:r w:rsidR="00B072DE" w:rsidRPr="00D85C96">
        <w:rPr>
          <w:rStyle w:val="FootnoteReference"/>
          <w:szCs w:val="18"/>
        </w:rPr>
        <w:footnoteReference w:id="57"/>
      </w:r>
      <w:r w:rsidR="00B072DE" w:rsidRPr="00D85C96">
        <w:rPr>
          <w:sz w:val="14"/>
          <w:szCs w:val="14"/>
        </w:rPr>
        <w:t xml:space="preserve"> </w:t>
      </w:r>
      <w:r w:rsidR="00B072DE" w:rsidRPr="009C1731">
        <w:t>This followed a report by the Free Legal Assistance Group that 61 lawyers had been killed since 2016, most of them by unknown perpetrators.</w:t>
      </w:r>
      <w:r w:rsidR="00D96B2B">
        <w:rPr>
          <w:rStyle w:val="FootnoteReference"/>
        </w:rPr>
        <w:footnoteReference w:id="58"/>
      </w:r>
      <w:r w:rsidR="00B072DE" w:rsidRPr="009C1731">
        <w:t xml:space="preserve">  </w:t>
      </w:r>
    </w:p>
    <w:p w14:paraId="7228C539" w14:textId="2F4AEE15" w:rsidR="00B072DE" w:rsidRPr="009C1731" w:rsidRDefault="00666C6D" w:rsidP="00A30DEF">
      <w:pPr>
        <w:pStyle w:val="SingleTxtG"/>
      </w:pPr>
      <w:r>
        <w:t>3</w:t>
      </w:r>
      <w:r w:rsidR="00707974">
        <w:t>5</w:t>
      </w:r>
      <w:r w:rsidR="006E4B5D">
        <w:t>.</w:t>
      </w:r>
      <w:r w:rsidR="006E4B5D">
        <w:tab/>
      </w:r>
      <w:r w:rsidR="00B072DE" w:rsidRPr="009C1731">
        <w:t xml:space="preserve">Several </w:t>
      </w:r>
      <w:r w:rsidR="008E416C">
        <w:t xml:space="preserve">women </w:t>
      </w:r>
      <w:r w:rsidR="00B072DE" w:rsidRPr="009C1731">
        <w:t xml:space="preserve">human rights defenders faced criminal prosecution on questionable grounds. </w:t>
      </w:r>
      <w:r w:rsidR="00B072DE" w:rsidRPr="009C1731">
        <w:rPr>
          <w:bCs/>
        </w:rPr>
        <w:t>Maria Salome Crisostomo-Ujano</w:t>
      </w:r>
      <w:r w:rsidR="00B072DE" w:rsidRPr="009C1731">
        <w:t>, the national coordinator of Philippines Against Child Trafficking was detained on 14 November 2021</w:t>
      </w:r>
      <w:r w:rsidR="00272914">
        <w:t>,</w:t>
      </w:r>
      <w:r w:rsidR="00B072DE" w:rsidRPr="009C1731">
        <w:t xml:space="preserve"> based on an arrest warrant for rebellion from 2004</w:t>
      </w:r>
      <w:r w:rsidR="00272914">
        <w:t>,</w:t>
      </w:r>
      <w:r w:rsidR="00B072DE" w:rsidRPr="009C1731">
        <w:t xml:space="preserve"> and remained in custody.</w:t>
      </w:r>
      <w:r w:rsidR="00B072DE" w:rsidRPr="000F5344">
        <w:rPr>
          <w:rStyle w:val="FootnoteReference"/>
          <w:szCs w:val="18"/>
        </w:rPr>
        <w:footnoteReference w:id="59"/>
      </w:r>
      <w:r w:rsidR="00B072DE" w:rsidRPr="000F5344">
        <w:rPr>
          <w:sz w:val="14"/>
          <w:szCs w:val="14"/>
        </w:rPr>
        <w:t xml:space="preserve"> </w:t>
      </w:r>
      <w:r w:rsidR="00B072DE" w:rsidRPr="009C1731">
        <w:t xml:space="preserve">Environmental activist </w:t>
      </w:r>
      <w:r w:rsidR="00B072DE" w:rsidRPr="009C1731">
        <w:rPr>
          <w:bCs/>
        </w:rPr>
        <w:t>Daisy Macapanpan</w:t>
      </w:r>
      <w:r w:rsidR="00B072DE" w:rsidRPr="009C1731">
        <w:t xml:space="preserve"> was arrested on 11 June 2022 after delivering a speech protesting a hydropower project</w:t>
      </w:r>
      <w:r w:rsidR="002438AF" w:rsidRPr="002438AF">
        <w:t xml:space="preserve"> </w:t>
      </w:r>
      <w:r w:rsidR="00836913">
        <w:t>on charges</w:t>
      </w:r>
      <w:r w:rsidR="002438AF">
        <w:t xml:space="preserve"> in relation to an incident in 2008</w:t>
      </w:r>
      <w:r w:rsidR="00B072DE" w:rsidRPr="009C1731">
        <w:t>.</w:t>
      </w:r>
      <w:r w:rsidR="00B072DE" w:rsidRPr="000F5344">
        <w:rPr>
          <w:rStyle w:val="FootnoteReference"/>
          <w:szCs w:val="18"/>
        </w:rPr>
        <w:footnoteReference w:id="60"/>
      </w:r>
      <w:r w:rsidR="00B072DE" w:rsidRPr="009C1731">
        <w:t xml:space="preserve"> </w:t>
      </w:r>
      <w:r w:rsidR="00604175" w:rsidRPr="009C640C">
        <w:t>She was released after posting bail on 10 August</w:t>
      </w:r>
      <w:r w:rsidR="00604175">
        <w:t xml:space="preserve">. </w:t>
      </w:r>
      <w:r w:rsidR="00B072DE" w:rsidRPr="009C1731">
        <w:t xml:space="preserve">Former Senator </w:t>
      </w:r>
      <w:r w:rsidR="00B072DE" w:rsidRPr="009C1731">
        <w:rPr>
          <w:bCs/>
        </w:rPr>
        <w:t>Leila de Lima</w:t>
      </w:r>
      <w:r w:rsidR="00B072DE" w:rsidRPr="009C1731">
        <w:t>, whose arrest h</w:t>
      </w:r>
      <w:r w:rsidR="00B072DE">
        <w:t xml:space="preserve">ad been found arbitrary by the Working </w:t>
      </w:r>
      <w:r w:rsidR="00B072DE" w:rsidRPr="009C1731">
        <w:t>G</w:t>
      </w:r>
      <w:r w:rsidR="00B072DE">
        <w:t xml:space="preserve">roup on </w:t>
      </w:r>
      <w:r w:rsidR="00B072DE" w:rsidRPr="009C1731">
        <w:t>A</w:t>
      </w:r>
      <w:r w:rsidR="00B072DE">
        <w:t xml:space="preserve">rbitrary </w:t>
      </w:r>
      <w:r w:rsidR="00B072DE" w:rsidRPr="009C1731">
        <w:t>D</w:t>
      </w:r>
      <w:r w:rsidR="00B072DE">
        <w:t>etention (WGAD)</w:t>
      </w:r>
      <w:r w:rsidR="00B072DE" w:rsidRPr="009C1731">
        <w:t xml:space="preserve"> in 2018, remained in pretrial detention</w:t>
      </w:r>
      <w:r w:rsidR="00B072DE" w:rsidRPr="009756FB">
        <w:rPr>
          <w:rStyle w:val="FootnoteReference"/>
          <w:szCs w:val="18"/>
        </w:rPr>
        <w:footnoteReference w:id="61"/>
      </w:r>
      <w:r w:rsidR="00B072DE">
        <w:t xml:space="preserve"> despite </w:t>
      </w:r>
      <w:r w:rsidR="00B072DE" w:rsidRPr="009C1731">
        <w:t xml:space="preserve">key </w:t>
      </w:r>
      <w:r w:rsidR="00B072DE" w:rsidRPr="009C1731">
        <w:lastRenderedPageBreak/>
        <w:t>prosecution witnesses retract</w:t>
      </w:r>
      <w:r w:rsidR="00B072DE">
        <w:t>ing</w:t>
      </w:r>
      <w:r w:rsidR="00B072DE" w:rsidRPr="009C1731">
        <w:t xml:space="preserve"> their testimonies</w:t>
      </w:r>
      <w:r w:rsidR="00B072DE">
        <w:t xml:space="preserve"> in May 2022</w:t>
      </w:r>
      <w:r w:rsidR="00B072DE" w:rsidRPr="009C1731">
        <w:t>.</w:t>
      </w:r>
      <w:r w:rsidR="00080D67">
        <w:rPr>
          <w:rStyle w:val="FootnoteReference"/>
        </w:rPr>
        <w:footnoteReference w:id="62"/>
      </w:r>
      <w:r w:rsidR="00046A44">
        <w:t xml:space="preserve"> </w:t>
      </w:r>
      <w:r w:rsidR="00046A44" w:rsidRPr="00046A44">
        <w:rPr>
          <w:lang w:val="en-PH"/>
        </w:rPr>
        <w:t xml:space="preserve">As of June 2022, </w:t>
      </w:r>
      <w:r w:rsidR="00F25F1E" w:rsidRPr="00046A44">
        <w:rPr>
          <w:lang w:val="en-PH"/>
        </w:rPr>
        <w:t>several</w:t>
      </w:r>
      <w:r w:rsidR="00046A44" w:rsidRPr="00046A44">
        <w:rPr>
          <w:lang w:val="en-PH"/>
        </w:rPr>
        <w:t xml:space="preserve"> human rights defenders, including from Karapatan, were also facing perjury charges.</w:t>
      </w:r>
      <w:r w:rsidR="00046A44" w:rsidRPr="009756FB">
        <w:rPr>
          <w:sz w:val="18"/>
          <w:szCs w:val="18"/>
          <w:vertAlign w:val="superscript"/>
          <w:lang w:val="en-PH"/>
        </w:rPr>
        <w:footnoteReference w:id="63"/>
      </w:r>
    </w:p>
    <w:p w14:paraId="59CA78A3" w14:textId="62DAB601" w:rsidR="00B072DE" w:rsidRPr="00A30DEF" w:rsidRDefault="00666C6D" w:rsidP="00A30DEF">
      <w:pPr>
        <w:pStyle w:val="SingleTxtG"/>
      </w:pPr>
      <w:r>
        <w:t>3</w:t>
      </w:r>
      <w:r w:rsidR="00707974">
        <w:t>6</w:t>
      </w:r>
      <w:r w:rsidR="006E4B5D">
        <w:t>.</w:t>
      </w:r>
      <w:r w:rsidR="006E4B5D">
        <w:tab/>
      </w:r>
      <w:r w:rsidR="00B072DE" w:rsidRPr="00A30DEF">
        <w:t>The Government took some steps aimed at protecting journalists and media workers. The Presidential Task Force on Media Security (PTFoMS), established in 2016,</w:t>
      </w:r>
      <w:r w:rsidR="00B072DE" w:rsidRPr="00610A74">
        <w:rPr>
          <w:rStyle w:val="FootnoteReference"/>
          <w:sz w:val="20"/>
        </w:rPr>
        <w:footnoteReference w:id="64"/>
      </w:r>
      <w:r w:rsidR="00B072DE" w:rsidRPr="00A30DEF">
        <w:t xml:space="preserve"> provided updates on 112 cases of killings of journalists in the UNESCO observatory, most of which were classified as ongoing or unresolved.</w:t>
      </w:r>
      <w:r w:rsidR="00B072DE" w:rsidRPr="00A30DEF">
        <w:rPr>
          <w:rStyle w:val="FootnoteReference"/>
          <w:sz w:val="20"/>
        </w:rPr>
        <w:footnoteReference w:id="65"/>
      </w:r>
      <w:r w:rsidR="00B072DE" w:rsidRPr="00A30DEF">
        <w:t xml:space="preserve"> In January 2022, PTFoMS and the PNP established “Media Security Vanguards” (MSVs) to strengthen the protection of journalists ahead of the 2022 presidential elections</w:t>
      </w:r>
      <w:r w:rsidR="00B072DE" w:rsidRPr="00A30DEF">
        <w:rPr>
          <w:rStyle w:val="FootnoteReference"/>
          <w:sz w:val="20"/>
        </w:rPr>
        <w:footnoteReference w:id="66"/>
      </w:r>
      <w:r w:rsidR="00B072DE" w:rsidRPr="00A30DEF">
        <w:t xml:space="preserve"> </w:t>
      </w:r>
      <w:r w:rsidR="00A16B0F">
        <w:t>by expediting</w:t>
      </w:r>
      <w:r w:rsidR="00B072DE" w:rsidRPr="00A30DEF">
        <w:t xml:space="preserve"> the investigation and resolution of complaints.</w:t>
      </w:r>
      <w:r w:rsidR="00B072DE" w:rsidRPr="00A30DEF">
        <w:rPr>
          <w:rStyle w:val="FootnoteReference"/>
          <w:sz w:val="20"/>
        </w:rPr>
        <w:footnoteReference w:id="67"/>
      </w:r>
      <w:r w:rsidR="00B072DE" w:rsidRPr="00A30DEF">
        <w:t xml:space="preserve"> </w:t>
      </w:r>
    </w:p>
    <w:p w14:paraId="03018A45" w14:textId="3FE40008" w:rsidR="00B072DE" w:rsidRPr="00A30DEF" w:rsidRDefault="00666C6D" w:rsidP="00A30DEF">
      <w:pPr>
        <w:pStyle w:val="SingleTxtG"/>
      </w:pPr>
      <w:r>
        <w:t>3</w:t>
      </w:r>
      <w:r w:rsidR="00707974">
        <w:t>7</w:t>
      </w:r>
      <w:r w:rsidR="006E4B5D">
        <w:t>.</w:t>
      </w:r>
      <w:r w:rsidR="006E4B5D">
        <w:tab/>
      </w:r>
      <w:r w:rsidR="00B072DE" w:rsidRPr="00A30DEF">
        <w:t>Between June 2020 and June 2022, UNESCO documented six killings of journalists and media workers in the Philippines.</w:t>
      </w:r>
      <w:r w:rsidR="00B072DE" w:rsidRPr="00A30DEF">
        <w:rPr>
          <w:rStyle w:val="FootnoteReference"/>
          <w:sz w:val="20"/>
        </w:rPr>
        <w:footnoteReference w:id="68"/>
      </w:r>
      <w:r w:rsidR="00B072DE" w:rsidRPr="00A30DEF">
        <w:t xml:space="preserve"> OHCHR also received reports of restrictions on critical media outlets and harassment of media workers. Maria Ressa, the 2021 Nobel Peace Prize laureate, continued to face legal action linked to her work with Rappler. In June 2022, the Philippine Securities and Exchange Commission upheld its earlier ruling to revoke the operating license of Rappler</w:t>
      </w:r>
      <w:r w:rsidR="00CC3D38">
        <w:t xml:space="preserve"> for violation of foreign equity rules</w:t>
      </w:r>
      <w:r w:rsidR="00272914">
        <w:t>, while i</w:t>
      </w:r>
      <w:r w:rsidR="00B072DE" w:rsidRPr="00A30DEF">
        <w:t xml:space="preserve">n July 2022, the Court of Appeals upheld a cyber-libel conviction against </w:t>
      </w:r>
      <w:r w:rsidR="00272914">
        <w:t>her</w:t>
      </w:r>
      <w:r w:rsidR="00904A0E">
        <w:t>.</w:t>
      </w:r>
      <w:r w:rsidR="00B072DE" w:rsidRPr="00A30DEF">
        <w:rPr>
          <w:rStyle w:val="FootnoteReference"/>
          <w:sz w:val="20"/>
        </w:rPr>
        <w:footnoteReference w:id="69"/>
      </w:r>
      <w:r w:rsidR="00B072DE" w:rsidRPr="00A30DEF">
        <w:t xml:space="preserve"> On 10 December 2020, </w:t>
      </w:r>
      <w:r w:rsidR="009C640C" w:rsidRPr="009C640C">
        <w:t xml:space="preserve">a journalist was among seven </w:t>
      </w:r>
      <w:r w:rsidR="002C501B" w:rsidRPr="009C640C">
        <w:t xml:space="preserve">persons </w:t>
      </w:r>
      <w:r w:rsidR="002C501B" w:rsidRPr="00A30DEF">
        <w:t>detained</w:t>
      </w:r>
      <w:r w:rsidR="00B072DE" w:rsidRPr="00A30DEF">
        <w:t xml:space="preserve"> on suspicion of possession of illegal weapons.</w:t>
      </w:r>
      <w:r w:rsidR="00B072DE" w:rsidRPr="00A30DEF">
        <w:rPr>
          <w:rStyle w:val="FootnoteReference"/>
          <w:sz w:val="20"/>
        </w:rPr>
        <w:footnoteReference w:id="70"/>
      </w:r>
      <w:r w:rsidR="00B072DE" w:rsidRPr="00A30DEF">
        <w:t xml:space="preserve"> She was held in pre-trial detention until her case was quashed in March 2021</w:t>
      </w:r>
      <w:r w:rsidR="00272914">
        <w:t>,</w:t>
      </w:r>
      <w:r w:rsidR="00B072DE" w:rsidRPr="00A30DEF">
        <w:t xml:space="preserve"> but the Mandaluyong City judge who </w:t>
      </w:r>
      <w:r w:rsidR="00272914">
        <w:t>had rule</w:t>
      </w:r>
      <w:r w:rsidR="005B30DC">
        <w:t>d</w:t>
      </w:r>
      <w:r w:rsidR="00272914">
        <w:t xml:space="preserve"> in her </w:t>
      </w:r>
      <w:r w:rsidR="000470DE">
        <w:t>favour</w:t>
      </w:r>
      <w:r w:rsidR="002C501B">
        <w:t xml:space="preserve"> </w:t>
      </w:r>
      <w:r w:rsidR="002C501B" w:rsidRPr="00A30DEF">
        <w:t>was</w:t>
      </w:r>
      <w:r w:rsidR="00B072DE" w:rsidRPr="00A30DEF">
        <w:t xml:space="preserve"> subsequently red-tagged.</w:t>
      </w:r>
      <w:r w:rsidR="00B072DE" w:rsidRPr="00A30DEF">
        <w:rPr>
          <w:rStyle w:val="FootnoteReference"/>
          <w:sz w:val="20"/>
        </w:rPr>
        <w:footnoteReference w:id="71"/>
      </w:r>
      <w:r w:rsidR="00B072DE" w:rsidRPr="00A30DEF">
        <w:t xml:space="preserve"> Six labour rights activists were detained in the same operation, four of whom remained in pretrial detention as of July 2022.</w:t>
      </w:r>
    </w:p>
    <w:p w14:paraId="5394FC5A" w14:textId="28E21896" w:rsidR="00B072DE" w:rsidRPr="00A30DEF" w:rsidRDefault="00666C6D" w:rsidP="00A30DEF">
      <w:pPr>
        <w:pStyle w:val="SingleTxtG"/>
      </w:pPr>
      <w:r>
        <w:t>3</w:t>
      </w:r>
      <w:r w:rsidR="00707974">
        <w:t>8</w:t>
      </w:r>
      <w:r w:rsidR="006E4B5D">
        <w:t>.</w:t>
      </w:r>
      <w:r w:rsidR="006E4B5D">
        <w:tab/>
      </w:r>
      <w:r w:rsidR="00B072DE" w:rsidRPr="00A30DEF">
        <w:t xml:space="preserve">In October 2021, </w:t>
      </w:r>
      <w:r w:rsidR="008E416C">
        <w:t>several s</w:t>
      </w:r>
      <w:r w:rsidR="00B072DE" w:rsidRPr="00A30DEF">
        <w:t xml:space="preserve">pecial </w:t>
      </w:r>
      <w:r w:rsidR="00816FFB">
        <w:t>p</w:t>
      </w:r>
      <w:r w:rsidR="00B072DE" w:rsidRPr="00A30DEF">
        <w:t>rocedures</w:t>
      </w:r>
      <w:r w:rsidR="008E416C">
        <w:t xml:space="preserve"> mandate holders</w:t>
      </w:r>
      <w:r w:rsidR="00B072DE" w:rsidRPr="00A30DEF">
        <w:rPr>
          <w:rStyle w:val="FootnoteReference"/>
          <w:sz w:val="20"/>
        </w:rPr>
        <w:footnoteReference w:id="72"/>
      </w:r>
      <w:r w:rsidR="00B072DE" w:rsidRPr="00A30DEF">
        <w:t xml:space="preserve"> expressed concern about state-linked cyber-attacks against independent media outlets and human rights network Karapatan. In response, the Government reiterated its commitment to “always respect the varying views and perspectives expressed in different platforms, including dissenting voices” and to protect their freedom of expression from online hacking and cyber-attacks</w:t>
      </w:r>
      <w:r w:rsidR="00272914">
        <w:t>,</w:t>
      </w:r>
      <w:r w:rsidR="00B072DE" w:rsidRPr="00A30DEF">
        <w:rPr>
          <w:rStyle w:val="FootnoteReference"/>
          <w:sz w:val="20"/>
        </w:rPr>
        <w:footnoteReference w:id="73"/>
      </w:r>
      <w:r w:rsidR="00F25F1E">
        <w:t xml:space="preserve"> </w:t>
      </w:r>
      <w:r w:rsidR="00B072DE" w:rsidRPr="00A30DEF">
        <w:t>but the cyber-attacks reportedly continued.</w:t>
      </w:r>
      <w:r w:rsidR="00B072DE" w:rsidRPr="00A30DEF">
        <w:rPr>
          <w:rStyle w:val="FootnoteReference"/>
          <w:sz w:val="20"/>
        </w:rPr>
        <w:footnoteReference w:id="74"/>
      </w:r>
    </w:p>
    <w:p w14:paraId="7D1243BC" w14:textId="52944FCF" w:rsidR="00B072DE" w:rsidRPr="00A30DEF" w:rsidRDefault="00707974" w:rsidP="00A30DEF">
      <w:pPr>
        <w:pStyle w:val="SingleTxtG"/>
      </w:pPr>
      <w:r>
        <w:t>39</w:t>
      </w:r>
      <w:r w:rsidR="006E4B5D">
        <w:t>.</w:t>
      </w:r>
      <w:r w:rsidR="006E4B5D">
        <w:tab/>
      </w:r>
      <w:r w:rsidR="00CD43A6" w:rsidRPr="00A30DEF">
        <w:t>To</w:t>
      </w:r>
      <w:r w:rsidR="00B072DE" w:rsidRPr="00A30DEF">
        <w:t xml:space="preserve"> facilitate documentation of violations and abuses against human rights defenders, CHRP and </w:t>
      </w:r>
      <w:r w:rsidR="00272914">
        <w:t xml:space="preserve">the </w:t>
      </w:r>
      <w:r w:rsidR="00B072DE" w:rsidRPr="00A30DEF">
        <w:t xml:space="preserve">Philippine Statistics Authority </w:t>
      </w:r>
      <w:r w:rsidR="00272914">
        <w:t>concluded</w:t>
      </w:r>
      <w:r w:rsidR="00272914" w:rsidRPr="00A30DEF">
        <w:t xml:space="preserve"> </w:t>
      </w:r>
      <w:r w:rsidR="00B072DE" w:rsidRPr="00A30DEF">
        <w:t xml:space="preserve">an agreement to cooperate on establishing a methodology for gathering data on violations against human rights defenders under Sustainable Development Goal (SDG) 16.10.1. In April 2022, OHCHR facilitated a four-day workshop to strengthen data collection, disaggregation, </w:t>
      </w:r>
      <w:r w:rsidR="00836913" w:rsidRPr="00A30DEF">
        <w:t>dissemination,</w:t>
      </w:r>
      <w:r w:rsidR="00B072DE" w:rsidRPr="00A30DEF">
        <w:t xml:space="preserve"> and analysis of SDG indicators</w:t>
      </w:r>
      <w:r w:rsidR="00295478">
        <w:t xml:space="preserve"> </w:t>
      </w:r>
      <w:r w:rsidR="00295478" w:rsidRPr="00295478">
        <w:rPr>
          <w:lang w:val="en-PH"/>
        </w:rPr>
        <w:t>16.1.2 and 16.10.1</w:t>
      </w:r>
      <w:r w:rsidR="00B072DE" w:rsidRPr="00A30DEF">
        <w:t>.</w:t>
      </w:r>
    </w:p>
    <w:p w14:paraId="3EAD36CD" w14:textId="77B2C499" w:rsidR="00B072DE" w:rsidRPr="00A30DEF" w:rsidRDefault="006E4B5D" w:rsidP="00A30DEF">
      <w:pPr>
        <w:pStyle w:val="SingleTxtG"/>
      </w:pPr>
      <w:r>
        <w:t>4</w:t>
      </w:r>
      <w:r w:rsidR="00707974">
        <w:t>0</w:t>
      </w:r>
      <w:r>
        <w:t>.</w:t>
      </w:r>
      <w:r>
        <w:tab/>
      </w:r>
      <w:r w:rsidR="00B072DE" w:rsidRPr="00A30DEF">
        <w:t xml:space="preserve">On 12 January 2022, the House of Representatives adopted House Bill 10576 on the Protection of Human Rights Defenders in its third and final reading, but the bill was not </w:t>
      </w:r>
      <w:r w:rsidR="00B072DE" w:rsidRPr="00A30DEF">
        <w:lastRenderedPageBreak/>
        <w:t>tabled in the Senate.</w:t>
      </w:r>
      <w:r w:rsidR="00B072DE" w:rsidRPr="003C1F13">
        <w:rPr>
          <w:rStyle w:val="FootnoteReference"/>
          <w:sz w:val="20"/>
        </w:rPr>
        <w:footnoteReference w:id="75"/>
      </w:r>
      <w:r w:rsidR="00B072DE" w:rsidRPr="00A30DEF">
        <w:t xml:space="preserve"> The UNJP </w:t>
      </w:r>
      <w:r w:rsidR="00CC3D38">
        <w:t>has raised awareness around the</w:t>
      </w:r>
      <w:r w:rsidR="00B072DE" w:rsidRPr="00A30DEF">
        <w:t xml:space="preserve"> legislation, and the Special Rapporteur on Human Rights Defenders </w:t>
      </w:r>
      <w:r w:rsidR="00CC3D38">
        <w:t>has advocated its adoption</w:t>
      </w:r>
      <w:r w:rsidR="00B072DE" w:rsidRPr="00A30DEF">
        <w:t>.</w:t>
      </w:r>
      <w:r w:rsidR="00B072DE" w:rsidRPr="003C1F13">
        <w:rPr>
          <w:rStyle w:val="FootnoteReference"/>
          <w:sz w:val="20"/>
        </w:rPr>
        <w:footnoteReference w:id="76"/>
      </w:r>
      <w:r w:rsidR="00B072DE" w:rsidRPr="00A30DEF">
        <w:t xml:space="preserve"> In September 2022, the UNJP co-hosted a seminar with the CHRP on human rights defenders legislation, engaging similar experiences from legislators in Mongolia, the first country in Asia to have enacted such legislation. From May to July 2022, the UNJP </w:t>
      </w:r>
      <w:r w:rsidR="00CC3D38">
        <w:t xml:space="preserve">worked with partners to </w:t>
      </w:r>
      <w:r w:rsidR="00B072DE" w:rsidRPr="00A30DEF">
        <w:t>assess the use and applicability of local initiatives</w:t>
      </w:r>
      <w:r w:rsidR="00295478" w:rsidRPr="00295478">
        <w:rPr>
          <w:color w:val="000000" w:themeColor="text1"/>
          <w:sz w:val="24"/>
          <w:szCs w:val="24"/>
          <w:lang w:eastAsia="en-GB"/>
        </w:rPr>
        <w:t xml:space="preserve"> </w:t>
      </w:r>
      <w:r w:rsidR="00295478" w:rsidRPr="00295478">
        <w:t xml:space="preserve">and </w:t>
      </w:r>
      <w:r w:rsidR="00295478" w:rsidRPr="00295478">
        <w:rPr>
          <w:lang w:val="en-PH"/>
        </w:rPr>
        <w:t>ordinances</w:t>
      </w:r>
      <w:r w:rsidR="00295478" w:rsidRPr="00295478">
        <w:t xml:space="preserve"> on human rights</w:t>
      </w:r>
      <w:r w:rsidR="00272914">
        <w:t>,</w:t>
      </w:r>
      <w:r w:rsidR="00295478" w:rsidRPr="00295478">
        <w:t xml:space="preserve"> including </w:t>
      </w:r>
      <w:r w:rsidR="00295478" w:rsidRPr="00295478">
        <w:rPr>
          <w:lang w:val="en-PH"/>
        </w:rPr>
        <w:t>on</w:t>
      </w:r>
      <w:r w:rsidR="00B072DE" w:rsidRPr="00A30DEF">
        <w:t xml:space="preserve"> the protection of human rights defenders. </w:t>
      </w:r>
    </w:p>
    <w:p w14:paraId="54A6C584" w14:textId="62D354F6" w:rsidR="00B072DE" w:rsidRPr="00A30DEF" w:rsidRDefault="006E4B5D" w:rsidP="00A30DEF">
      <w:pPr>
        <w:pStyle w:val="SingleTxtG"/>
      </w:pPr>
      <w:r>
        <w:t>4</w:t>
      </w:r>
      <w:r w:rsidR="00707974">
        <w:t>1</w:t>
      </w:r>
      <w:r>
        <w:t>.</w:t>
      </w:r>
      <w:r>
        <w:tab/>
      </w:r>
      <w:r w:rsidR="00B072DE" w:rsidRPr="00A30DEF">
        <w:t xml:space="preserve">The UNJP engaged with the CHRP and CSOs to strengthen their capacity in critical human rights areas. These included freedom of expression, the safety of journalists, advocacy on the Human Rights Defenders Bill and the protection of defenders. The UNJP </w:t>
      </w:r>
      <w:r w:rsidR="00272914">
        <w:t xml:space="preserve">also </w:t>
      </w:r>
      <w:r w:rsidR="00B072DE" w:rsidRPr="00A30DEF">
        <w:t>facilitated capacity building on engaging with international human rights mechanisms and the Berkeley Protocol on Open-Source Investigations, which provides guidelines on international standards for conducting online research into alleged violations and using public digital information.</w:t>
      </w:r>
      <w:r w:rsidR="00B072DE" w:rsidRPr="00705EB1">
        <w:rPr>
          <w:rStyle w:val="FootnoteReference"/>
          <w:sz w:val="20"/>
        </w:rPr>
        <w:footnoteReference w:id="77"/>
      </w:r>
      <w:r w:rsidR="00B072DE" w:rsidRPr="00A30DEF">
        <w:t xml:space="preserve"> In the election context, the UNJP also worked on freedom of expression, including fact checking webinars and virtual town hall meetings on disinformation and the promotion of media literacy and training for citizen journalists, and the PNP on the safety of journalists and access to information. </w:t>
      </w:r>
    </w:p>
    <w:p w14:paraId="5F89C4B3" w14:textId="7F8FAF62" w:rsidR="00B072DE" w:rsidRPr="009C1731" w:rsidRDefault="00F97257" w:rsidP="00F97257">
      <w:pPr>
        <w:pStyle w:val="H1G"/>
      </w:pPr>
      <w:r>
        <w:tab/>
        <w:t>D.</w:t>
      </w:r>
      <w:r>
        <w:tab/>
      </w:r>
      <w:r w:rsidR="00B072DE" w:rsidRPr="009C1731">
        <w:t>National mechanism for reporting and follow-up</w:t>
      </w:r>
    </w:p>
    <w:p w14:paraId="043DBE30" w14:textId="77777777" w:rsidR="00C1486D" w:rsidRDefault="00BB38A8" w:rsidP="000119C1">
      <w:pPr>
        <w:pStyle w:val="SingleTxtG"/>
      </w:pPr>
      <w:r>
        <w:t>4</w:t>
      </w:r>
      <w:r w:rsidR="00707974">
        <w:t>2</w:t>
      </w:r>
      <w:r>
        <w:t>.</w:t>
      </w:r>
      <w:r>
        <w:tab/>
      </w:r>
      <w:r w:rsidR="00B072DE" w:rsidRPr="009C1731">
        <w:t>During the reporting period, the Philippines submitted reports</w:t>
      </w:r>
      <w:r w:rsidR="00B072DE" w:rsidRPr="00FE0E1B">
        <w:rPr>
          <w:rStyle w:val="FootnoteReference"/>
          <w:szCs w:val="18"/>
        </w:rPr>
        <w:footnoteReference w:id="78"/>
      </w:r>
      <w:r w:rsidR="00B072DE" w:rsidRPr="009C1731">
        <w:t xml:space="preserve"> to the Committee on Economic, Social and Cultural Rights, the Committee on the Elimination of All Forms of Discrimination Against Women and Committee on the Elimination of Racial Discrimination and replies to lists of questions of the Human Rights Committee and the Committee on the Rights of the Child. </w:t>
      </w:r>
      <w:r w:rsidR="007F179D">
        <w:t xml:space="preserve">The Philippines will undergo the </w:t>
      </w:r>
      <w:r w:rsidR="007F179D" w:rsidRPr="009C1731">
        <w:t>fourth</w:t>
      </w:r>
      <w:r w:rsidR="00B072DE" w:rsidRPr="009C1731">
        <w:t xml:space="preserve"> cycle of the Universal Periodic Review</w:t>
      </w:r>
      <w:r w:rsidR="007F179D">
        <w:t xml:space="preserve"> in November 2022.</w:t>
      </w:r>
    </w:p>
    <w:p w14:paraId="02198BFA" w14:textId="40A34B06" w:rsidR="00B072DE" w:rsidRPr="009C1731" w:rsidRDefault="00BB38A8" w:rsidP="000119C1">
      <w:pPr>
        <w:pStyle w:val="SingleTxtG"/>
      </w:pPr>
      <w:r>
        <w:t>4</w:t>
      </w:r>
      <w:r w:rsidR="00707974">
        <w:t>3</w:t>
      </w:r>
      <w:r>
        <w:t>.</w:t>
      </w:r>
      <w:r w:rsidR="00907C4D">
        <w:tab/>
      </w:r>
      <w:r w:rsidR="00B072DE" w:rsidRPr="009C1731">
        <w:t xml:space="preserve">In 2021, </w:t>
      </w:r>
      <w:r w:rsidR="00272914">
        <w:t xml:space="preserve">in its first invitations since 2015, </w:t>
      </w:r>
      <w:r w:rsidR="00B072DE" w:rsidRPr="009C1731">
        <w:t xml:space="preserve">the Government invited two </w:t>
      </w:r>
      <w:r w:rsidR="006A2371">
        <w:t>s</w:t>
      </w:r>
      <w:r w:rsidR="00B072DE" w:rsidRPr="009C1731">
        <w:t xml:space="preserve">pecial </w:t>
      </w:r>
      <w:r w:rsidR="006A2371">
        <w:t>p</w:t>
      </w:r>
      <w:r w:rsidR="00B072DE" w:rsidRPr="009C1731">
        <w:t xml:space="preserve">rocedures mandate holders to conduct official visits to the country, </w:t>
      </w:r>
      <w:r w:rsidR="00272914">
        <w:t xml:space="preserve">being </w:t>
      </w:r>
      <w:r w:rsidR="00B072DE" w:rsidRPr="009C1731">
        <w:t xml:space="preserve">the sale and exploitation of </w:t>
      </w:r>
      <w:r w:rsidR="00B072DE">
        <w:t>c</w:t>
      </w:r>
      <w:r w:rsidR="00B072DE" w:rsidRPr="009C1731">
        <w:t>hildren</w:t>
      </w:r>
      <w:r w:rsidR="00B072DE">
        <w:t xml:space="preserve"> mandate</w:t>
      </w:r>
      <w:r w:rsidR="00B072DE" w:rsidRPr="009C1731">
        <w:t xml:space="preserve"> in 2022 and the </w:t>
      </w:r>
      <w:r w:rsidR="00B072DE">
        <w:t>f</w:t>
      </w:r>
      <w:r w:rsidR="00B072DE" w:rsidRPr="009C1731">
        <w:t xml:space="preserve">reedom of </w:t>
      </w:r>
      <w:r w:rsidR="00B072DE">
        <w:t>o</w:t>
      </w:r>
      <w:r w:rsidR="00B072DE" w:rsidRPr="009C1731">
        <w:t xml:space="preserve">pinion and </w:t>
      </w:r>
      <w:r w:rsidR="00B072DE">
        <w:t>e</w:t>
      </w:r>
      <w:r w:rsidR="00B072DE" w:rsidRPr="009C1731">
        <w:t>xpression</w:t>
      </w:r>
      <w:r w:rsidR="00B072DE">
        <w:t xml:space="preserve"> one</w:t>
      </w:r>
      <w:r w:rsidR="00B072DE" w:rsidRPr="009C1731">
        <w:t xml:space="preserve"> in 2023. Between September 2020 and </w:t>
      </w:r>
      <w:r w:rsidR="00B072DE">
        <w:t>August</w:t>
      </w:r>
      <w:r w:rsidR="00B072DE" w:rsidRPr="009C1731">
        <w:t xml:space="preserve"> 2022, 21 </w:t>
      </w:r>
      <w:r w:rsidR="00D6499D">
        <w:t>s</w:t>
      </w:r>
      <w:r w:rsidR="00B072DE" w:rsidRPr="009C1731">
        <w:t xml:space="preserve">pecial </w:t>
      </w:r>
      <w:r w:rsidR="00D6499D">
        <w:t>p</w:t>
      </w:r>
      <w:r w:rsidR="00B072DE" w:rsidRPr="009C1731">
        <w:t>rocedures mandate</w:t>
      </w:r>
      <w:r w:rsidR="00751348">
        <w:t xml:space="preserve"> holders</w:t>
      </w:r>
      <w:r w:rsidR="00B072DE" w:rsidRPr="009C1731">
        <w:t xml:space="preserve"> sent </w:t>
      </w:r>
      <w:r w:rsidR="00B072DE">
        <w:t>nine</w:t>
      </w:r>
      <w:r w:rsidR="00B072DE" w:rsidRPr="009C1731">
        <w:t xml:space="preserve"> communications; the Government provided seven replies to five communications.</w:t>
      </w:r>
      <w:r w:rsidR="00B072DE" w:rsidRPr="009756FB">
        <w:rPr>
          <w:rStyle w:val="FootnoteReference"/>
          <w:szCs w:val="18"/>
        </w:rPr>
        <w:footnoteReference w:id="79"/>
      </w:r>
      <w:r w:rsidR="00B072DE" w:rsidRPr="009756FB">
        <w:rPr>
          <w:sz w:val="14"/>
          <w:szCs w:val="14"/>
        </w:rPr>
        <w:t xml:space="preserve"> </w:t>
      </w:r>
      <w:r w:rsidR="00B072DE" w:rsidRPr="009C1731">
        <w:t>The Government also submitted information to the Working Group on Enforced and Involuntary Disappearances (WGEID)</w:t>
      </w:r>
      <w:r w:rsidR="00BD77CF">
        <w:t xml:space="preserve"> on the status of 625 cases reported between 1975 and 2012</w:t>
      </w:r>
      <w:r w:rsidR="00B072DE" w:rsidRPr="009C1731">
        <w:t>. The WGEID decided to close 12 cases based on the information provided, while information provided on 185 cases was considered to be insufficient to clarify those cases.</w:t>
      </w:r>
      <w:r w:rsidR="00B072DE" w:rsidRPr="009756FB">
        <w:rPr>
          <w:rStyle w:val="FootnoteReference"/>
          <w:szCs w:val="18"/>
        </w:rPr>
        <w:footnoteReference w:id="80"/>
      </w:r>
      <w:r w:rsidR="00B072DE" w:rsidRPr="009756FB">
        <w:rPr>
          <w:sz w:val="14"/>
          <w:szCs w:val="14"/>
        </w:rPr>
        <w:t xml:space="preserve"> </w:t>
      </w:r>
      <w:r w:rsidR="00B072DE" w:rsidRPr="009C1731">
        <w:t>As of September 2021, 590 cases</w:t>
      </w:r>
      <w:r w:rsidR="00B072DE">
        <w:t xml:space="preserve">, including </w:t>
      </w:r>
      <w:r w:rsidR="00B072DE" w:rsidRPr="009C1731">
        <w:t xml:space="preserve">74 </w:t>
      </w:r>
      <w:r w:rsidR="00C37813">
        <w:t xml:space="preserve">involving </w:t>
      </w:r>
      <w:r w:rsidR="00B072DE" w:rsidRPr="009C1731">
        <w:t>female</w:t>
      </w:r>
      <w:r w:rsidR="00C37813">
        <w:t xml:space="preserve"> victims</w:t>
      </w:r>
      <w:r w:rsidR="00B072DE">
        <w:t xml:space="preserve">, </w:t>
      </w:r>
      <w:r w:rsidR="00B072DE" w:rsidRPr="009C1731">
        <w:t>remained open.</w:t>
      </w:r>
      <w:r w:rsidR="00B072DE" w:rsidRPr="009756FB">
        <w:rPr>
          <w:rStyle w:val="FootnoteReference"/>
          <w:szCs w:val="18"/>
        </w:rPr>
        <w:footnoteReference w:id="81"/>
      </w:r>
    </w:p>
    <w:p w14:paraId="1DB091AD" w14:textId="5E911443" w:rsidR="00705EB1" w:rsidRDefault="00666C6D" w:rsidP="00705EB1">
      <w:pPr>
        <w:pStyle w:val="SingleTxtG"/>
      </w:pPr>
      <w:r>
        <w:t>4</w:t>
      </w:r>
      <w:r w:rsidR="00707974">
        <w:t>4</w:t>
      </w:r>
      <w:r w:rsidR="00BB38A8">
        <w:t>.</w:t>
      </w:r>
      <w:r w:rsidR="00BB38A8">
        <w:tab/>
      </w:r>
      <w:r w:rsidR="00B072DE" w:rsidRPr="009C1731">
        <w:t>The UN</w:t>
      </w:r>
      <w:r w:rsidR="00B072DE">
        <w:t>JP</w:t>
      </w:r>
      <w:r w:rsidR="00B072DE" w:rsidRPr="009C1731">
        <w:t xml:space="preserve"> support</w:t>
      </w:r>
      <w:r w:rsidR="00B072DE">
        <w:t>ed</w:t>
      </w:r>
      <w:r w:rsidR="00B072DE" w:rsidRPr="009C1731">
        <w:t xml:space="preserve"> implementation of</w:t>
      </w:r>
      <w:r w:rsidR="00F83A7A">
        <w:t xml:space="preserve"> international human rights mechanism</w:t>
      </w:r>
      <w:r w:rsidR="00B072DE" w:rsidRPr="009C1731">
        <w:t xml:space="preserve"> recommendations in law and policy. The PHRCS and the </w:t>
      </w:r>
      <w:r w:rsidR="00B072DE">
        <w:t>UNJP</w:t>
      </w:r>
      <w:r w:rsidR="00B072DE" w:rsidRPr="009C1731">
        <w:t xml:space="preserve"> worked together, with the support of OHCHR, to strengthen the PHRCS in its role as National Mechanism for Reporting and Follow-up (NMRF). The U</w:t>
      </w:r>
      <w:r w:rsidR="00B072DE">
        <w:t>NJP</w:t>
      </w:r>
      <w:r w:rsidR="00B072DE" w:rsidRPr="009C1731">
        <w:t xml:space="preserve"> facilitated six online workshops in 2021 and 2022 for PHRCS</w:t>
      </w:r>
      <w:r w:rsidR="00B072DE">
        <w:t xml:space="preserve"> members</w:t>
      </w:r>
      <w:r w:rsidR="00B072DE" w:rsidRPr="009C1731">
        <w:t xml:space="preserve"> and </w:t>
      </w:r>
      <w:r w:rsidR="00B072DE">
        <w:t xml:space="preserve">other </w:t>
      </w:r>
      <w:r w:rsidR="00B072DE" w:rsidRPr="009C1731">
        <w:t xml:space="preserve">officials. The sessions focused on increasing the understanding of the main functions of the NMRF. In June 2022, the UNJP initiated the roll-out of the </w:t>
      </w:r>
      <w:r w:rsidR="00295478" w:rsidRPr="00295478">
        <w:rPr>
          <w:lang w:val="en-PH"/>
        </w:rPr>
        <w:t xml:space="preserve">National Recommendations Tracking Database which strengthens the information </w:t>
      </w:r>
      <w:r w:rsidR="00295478" w:rsidRPr="00295478">
        <w:rPr>
          <w:lang w:val="en-PH"/>
        </w:rPr>
        <w:lastRenderedPageBreak/>
        <w:t>management capacity on human rights reporting.</w:t>
      </w:r>
      <w:r w:rsidR="00295478" w:rsidRPr="00295478">
        <w:rPr>
          <w:lang w:val="en-US"/>
        </w:rPr>
        <w:t> </w:t>
      </w:r>
      <w:r w:rsidR="00295478">
        <w:rPr>
          <w:lang w:val="en-US"/>
        </w:rPr>
        <w:t xml:space="preserve">The </w:t>
      </w:r>
      <w:r w:rsidR="00B072DE" w:rsidRPr="009C1731">
        <w:t xml:space="preserve">Philippines </w:t>
      </w:r>
      <w:r w:rsidR="00295478">
        <w:t>is</w:t>
      </w:r>
      <w:r w:rsidR="00295478" w:rsidRPr="009C1731">
        <w:t xml:space="preserve"> </w:t>
      </w:r>
      <w:r w:rsidR="00B072DE" w:rsidRPr="009C1731">
        <w:t xml:space="preserve">among the first countries </w:t>
      </w:r>
      <w:r w:rsidR="00295478">
        <w:t xml:space="preserve">globally </w:t>
      </w:r>
      <w:r w:rsidR="00B072DE" w:rsidRPr="009C1731">
        <w:t xml:space="preserve">to use the new interface. </w:t>
      </w:r>
    </w:p>
    <w:p w14:paraId="513B6558" w14:textId="73C76AA9" w:rsidR="00B072DE" w:rsidRPr="009C1731" w:rsidRDefault="001819A7" w:rsidP="00705EB1">
      <w:pPr>
        <w:pStyle w:val="H1G"/>
      </w:pPr>
      <w:r>
        <w:tab/>
        <w:t>E.</w:t>
      </w:r>
      <w:r>
        <w:tab/>
      </w:r>
      <w:r w:rsidR="00295478">
        <w:t>Human rights-based approach to c</w:t>
      </w:r>
      <w:r w:rsidR="00B072DE" w:rsidRPr="009C1731">
        <w:t xml:space="preserve">ounter-terrorism </w:t>
      </w:r>
    </w:p>
    <w:p w14:paraId="4D3BA818" w14:textId="7EC32E2B" w:rsidR="00B072DE" w:rsidRPr="009C1731" w:rsidRDefault="00666C6D" w:rsidP="00D87CA3">
      <w:pPr>
        <w:pStyle w:val="SingleTxtG"/>
      </w:pPr>
      <w:r>
        <w:t>4</w:t>
      </w:r>
      <w:r w:rsidR="00707974">
        <w:t>5</w:t>
      </w:r>
      <w:r w:rsidR="00BB38A8">
        <w:t>.</w:t>
      </w:r>
      <w:r w:rsidR="00BB38A8">
        <w:tab/>
      </w:r>
      <w:r w:rsidR="00B072DE" w:rsidRPr="009C1731">
        <w:t>On 3 July 2020, the Government adopted the Anti-Terrorism Act (Republic Act 11479, ATA).</w:t>
      </w:r>
      <w:r w:rsidR="00B072DE" w:rsidRPr="009756FB">
        <w:rPr>
          <w:rStyle w:val="FootnoteReference"/>
          <w:szCs w:val="18"/>
        </w:rPr>
        <w:footnoteReference w:id="82"/>
      </w:r>
      <w:r w:rsidR="00B072DE" w:rsidRPr="009756FB">
        <w:rPr>
          <w:sz w:val="14"/>
          <w:szCs w:val="14"/>
        </w:rPr>
        <w:t xml:space="preserve"> </w:t>
      </w:r>
      <w:r w:rsidR="00B072DE" w:rsidRPr="009C1731">
        <w:t xml:space="preserve">While </w:t>
      </w:r>
      <w:r w:rsidR="00272914">
        <w:t xml:space="preserve">fully </w:t>
      </w:r>
      <w:r w:rsidR="00B072DE" w:rsidRPr="009C1731">
        <w:t xml:space="preserve">recognizing the need to protect the population from terrorist attacks, OHCHR and </w:t>
      </w:r>
      <w:r w:rsidR="00D6499D">
        <w:t>s</w:t>
      </w:r>
      <w:r w:rsidR="00B072DE" w:rsidRPr="009C1731">
        <w:t xml:space="preserve">pecial </w:t>
      </w:r>
      <w:r w:rsidR="00D6499D">
        <w:t>p</w:t>
      </w:r>
      <w:r w:rsidR="00B072DE" w:rsidRPr="009C1731">
        <w:t>rocedures</w:t>
      </w:r>
      <w:r w:rsidR="00D6499D">
        <w:t xml:space="preserve"> mandate holders</w:t>
      </w:r>
      <w:r w:rsidR="00B072DE" w:rsidRPr="009C1731">
        <w:t xml:space="preserve"> </w:t>
      </w:r>
      <w:r w:rsidR="009A0AE7">
        <w:t>remain</w:t>
      </w:r>
      <w:r w:rsidR="001D2CB5">
        <w:t>ed</w:t>
      </w:r>
      <w:r w:rsidR="009A0AE7" w:rsidRPr="009C1731">
        <w:t xml:space="preserve"> </w:t>
      </w:r>
      <w:r w:rsidR="00B072DE" w:rsidRPr="009C1731">
        <w:t xml:space="preserve">concerned that the law does not fully conform </w:t>
      </w:r>
      <w:r w:rsidR="00061BA7">
        <w:t>with</w:t>
      </w:r>
      <w:r w:rsidR="00B072DE" w:rsidRPr="009C1731">
        <w:t xml:space="preserve"> international human rights standards, in particular its broad definition of terrorism, and that its implementation could result in human rights violations.</w:t>
      </w:r>
      <w:r w:rsidR="00B072DE" w:rsidRPr="009756FB">
        <w:rPr>
          <w:rStyle w:val="FootnoteReference"/>
          <w:szCs w:val="18"/>
        </w:rPr>
        <w:footnoteReference w:id="83"/>
      </w:r>
    </w:p>
    <w:p w14:paraId="69E07ADC" w14:textId="4FD26CC5" w:rsidR="00B072DE" w:rsidRPr="009C1731" w:rsidRDefault="00666C6D" w:rsidP="00D87CA3">
      <w:pPr>
        <w:pStyle w:val="SingleTxtG"/>
      </w:pPr>
      <w:r>
        <w:t>4</w:t>
      </w:r>
      <w:r w:rsidR="00707974">
        <w:t>6</w:t>
      </w:r>
      <w:r w:rsidR="00BB38A8">
        <w:t>.</w:t>
      </w:r>
      <w:r w:rsidR="00BB38A8">
        <w:tab/>
      </w:r>
      <w:r w:rsidR="00B072DE" w:rsidRPr="009C1731">
        <w:t>C</w:t>
      </w:r>
      <w:r w:rsidR="00B072DE">
        <w:t>SOs</w:t>
      </w:r>
      <w:r w:rsidR="00B072DE" w:rsidRPr="009C1731">
        <w:t xml:space="preserve"> filed some 37 petitions to the Supreme Court, questioning the constitutionality of provisions in the ATA. On 9 December 2021, the Supreme Court </w:t>
      </w:r>
      <w:r w:rsidR="00C1486D">
        <w:t xml:space="preserve">upheld the constitutionality of most provisions, but </w:t>
      </w:r>
      <w:r w:rsidR="00272914">
        <w:t>struck down</w:t>
      </w:r>
      <w:r w:rsidR="00272914" w:rsidRPr="009C1731">
        <w:t xml:space="preserve"> </w:t>
      </w:r>
      <w:r w:rsidR="00B072DE" w:rsidRPr="009C1731">
        <w:t>parts of Sections 4 and Section 25. Of particular importance was the striking</w:t>
      </w:r>
      <w:r w:rsidR="00272914">
        <w:t xml:space="preserve"> down</w:t>
      </w:r>
      <w:r w:rsidR="00B072DE" w:rsidRPr="009C1731">
        <w:t xml:space="preserve"> of a </w:t>
      </w:r>
      <w:r w:rsidR="00272914">
        <w:t xml:space="preserve">component of </w:t>
      </w:r>
      <w:r w:rsidR="00B072DE" w:rsidRPr="009C1731">
        <w:t>Section 4</w:t>
      </w:r>
      <w:r w:rsidR="00B072DE">
        <w:t xml:space="preserve"> defining terrorism</w:t>
      </w:r>
      <w:r w:rsidR="002C501B">
        <w:t>,</w:t>
      </w:r>
      <w:r w:rsidR="00B072DE" w:rsidRPr="000A22D6">
        <w:rPr>
          <w:rStyle w:val="FootnoteReference"/>
          <w:szCs w:val="18"/>
        </w:rPr>
        <w:footnoteReference w:id="84"/>
      </w:r>
      <w:r w:rsidR="000A22D6">
        <w:t xml:space="preserve"> </w:t>
      </w:r>
      <w:r w:rsidR="00B072DE" w:rsidRPr="009C1731">
        <w:t>which the Supreme Court found was “overbroad and violative of freedom of expression</w:t>
      </w:r>
      <w:r w:rsidR="00B072DE">
        <w:t>.</w:t>
      </w:r>
      <w:r w:rsidR="00B072DE" w:rsidRPr="009C1731">
        <w:t>”</w:t>
      </w:r>
      <w:r w:rsidR="00B072DE" w:rsidRPr="009756FB">
        <w:rPr>
          <w:rStyle w:val="FootnoteReference"/>
          <w:szCs w:val="18"/>
        </w:rPr>
        <w:footnoteReference w:id="85"/>
      </w:r>
      <w:r w:rsidR="00B072DE" w:rsidRPr="009756FB">
        <w:rPr>
          <w:sz w:val="14"/>
          <w:szCs w:val="14"/>
        </w:rPr>
        <w:t xml:space="preserve"> </w:t>
      </w:r>
      <w:r w:rsidR="00B072DE" w:rsidRPr="009C1731">
        <w:t xml:space="preserve">However, provisions allowing for the detention without warrant or charge for up to 24 days, broad powers for members of the security forces to conduct surveillance, and the powers of </w:t>
      </w:r>
      <w:r w:rsidR="00061BA7" w:rsidRPr="009C1731">
        <w:t xml:space="preserve">the </w:t>
      </w:r>
      <w:r w:rsidR="00061BA7">
        <w:t>ATC</w:t>
      </w:r>
      <w:r w:rsidR="00B072DE" w:rsidRPr="009C1731">
        <w:t xml:space="preserve"> to designate groups and individuals as “terrorists” without due process </w:t>
      </w:r>
      <w:r w:rsidR="00272914">
        <w:t xml:space="preserve">were upheld and </w:t>
      </w:r>
      <w:r w:rsidR="00B072DE" w:rsidRPr="009C1731">
        <w:t>remained in force.</w:t>
      </w:r>
      <w:r w:rsidR="001025A2">
        <w:rPr>
          <w:rStyle w:val="FootnoteReference"/>
        </w:rPr>
        <w:footnoteReference w:id="86"/>
      </w:r>
      <w:r w:rsidR="00B072DE" w:rsidRPr="009C1731">
        <w:t xml:space="preserve"> The Government argue</w:t>
      </w:r>
      <w:r w:rsidR="00B072DE">
        <w:t>d</w:t>
      </w:r>
      <w:r w:rsidR="00B072DE" w:rsidRPr="009C1731">
        <w:t xml:space="preserve"> that the law contain</w:t>
      </w:r>
      <w:r w:rsidR="00272914">
        <w:t>ed</w:t>
      </w:r>
      <w:r w:rsidR="00B072DE" w:rsidRPr="009C1731">
        <w:t xml:space="preserve"> safeguards, such as the requirement to immediately inform a judge of the arrest, and to inform the detainee of his or her rights.</w:t>
      </w:r>
      <w:r w:rsidR="00B072DE" w:rsidRPr="009756FB">
        <w:rPr>
          <w:rStyle w:val="FootnoteReference"/>
          <w:szCs w:val="18"/>
        </w:rPr>
        <w:footnoteReference w:id="87"/>
      </w:r>
    </w:p>
    <w:p w14:paraId="299F7C15" w14:textId="1529C477" w:rsidR="00B072DE" w:rsidRPr="009C1731" w:rsidRDefault="00666C6D" w:rsidP="00D87CA3">
      <w:pPr>
        <w:pStyle w:val="SingleTxtG"/>
      </w:pPr>
      <w:r>
        <w:t>4</w:t>
      </w:r>
      <w:r w:rsidR="00707974">
        <w:t>7</w:t>
      </w:r>
      <w:r w:rsidR="00BB38A8">
        <w:t>.</w:t>
      </w:r>
      <w:r w:rsidR="00BB38A8">
        <w:tab/>
      </w:r>
      <w:r w:rsidR="00B072DE" w:rsidRPr="009C1731">
        <w:t>According to Government information, as of June 2021, 29 cases had been filed under the ATA, of which three had been dismissed</w:t>
      </w:r>
      <w:r w:rsidR="00927725">
        <w:t>,</w:t>
      </w:r>
      <w:r w:rsidR="00B072DE" w:rsidRPr="00A96414">
        <w:rPr>
          <w:rStyle w:val="FootnoteReference"/>
          <w:sz w:val="20"/>
        </w:rPr>
        <w:footnoteReference w:id="88"/>
      </w:r>
      <w:r w:rsidR="00B072DE" w:rsidRPr="009C1731">
        <w:t xml:space="preserve"> </w:t>
      </w:r>
      <w:r w:rsidR="00927725">
        <w:t>including two cases in which there</w:t>
      </w:r>
      <w:r w:rsidR="009A0AE7">
        <w:t xml:space="preserve"> were allegations of torture before a </w:t>
      </w:r>
      <w:r w:rsidR="00B072DE" w:rsidRPr="009C1731">
        <w:t xml:space="preserve">Regional Trial Court (RTC) </w:t>
      </w:r>
      <w:r w:rsidR="00927725">
        <w:t>ordered</w:t>
      </w:r>
      <w:r w:rsidR="00B072DE" w:rsidRPr="009C1731">
        <w:t xml:space="preserve"> their release</w:t>
      </w:r>
      <w:r w:rsidR="009A0AE7">
        <w:t>.</w:t>
      </w:r>
      <w:r w:rsidR="007F2654">
        <w:rPr>
          <w:rStyle w:val="FootnoteReference"/>
        </w:rPr>
        <w:footnoteReference w:id="89"/>
      </w:r>
      <w:r w:rsidR="00B072DE" w:rsidRPr="009C1731">
        <w:t xml:space="preserve"> </w:t>
      </w:r>
      <w:r w:rsidR="00B072DE">
        <w:t>As of July 2022, t</w:t>
      </w:r>
      <w:r w:rsidR="00B072DE" w:rsidRPr="009C1731">
        <w:t xml:space="preserve">here were no known convictions in cases filed under the ATA. </w:t>
      </w:r>
    </w:p>
    <w:p w14:paraId="3D8A6EED" w14:textId="4080E7FA" w:rsidR="00B072DE" w:rsidRPr="009C1731" w:rsidRDefault="00666C6D" w:rsidP="00D87CA3">
      <w:pPr>
        <w:pStyle w:val="SingleTxtG"/>
      </w:pPr>
      <w:r>
        <w:t>4</w:t>
      </w:r>
      <w:r w:rsidR="00707974">
        <w:t>8</w:t>
      </w:r>
      <w:r w:rsidR="00BB38A8">
        <w:t>.</w:t>
      </w:r>
      <w:r w:rsidR="00BB38A8">
        <w:tab/>
      </w:r>
      <w:r w:rsidR="00D96B2B" w:rsidRPr="00D96B2B">
        <w:t xml:space="preserve">Several individuals and organizations were designated as “terrorists” through resolutions issued by </w:t>
      </w:r>
      <w:r w:rsidR="00061BA7" w:rsidRPr="00D96B2B">
        <w:t xml:space="preserve">the </w:t>
      </w:r>
      <w:r w:rsidR="00061BA7">
        <w:t>ATC</w:t>
      </w:r>
      <w:r w:rsidR="009A0AE7" w:rsidRPr="009A0AE7">
        <w:rPr>
          <w:lang w:val="en-PH"/>
        </w:rPr>
        <w:t>.</w:t>
      </w:r>
      <w:r w:rsidR="009A0AE7" w:rsidRPr="009A0AE7">
        <w:rPr>
          <w:vertAlign w:val="superscript"/>
          <w:lang w:val="en-PH"/>
        </w:rPr>
        <w:t xml:space="preserve"> </w:t>
      </w:r>
      <w:r w:rsidR="003D5A51">
        <w:rPr>
          <w:rStyle w:val="FootnoteReference"/>
          <w:lang w:val="en-PH"/>
        </w:rPr>
        <w:footnoteReference w:id="90"/>
      </w:r>
      <w:r w:rsidR="00157571">
        <w:rPr>
          <w:vertAlign w:val="superscript"/>
          <w:lang w:val="en-PH"/>
        </w:rPr>
        <w:t xml:space="preserve"> </w:t>
      </w:r>
      <w:r w:rsidR="009A0AE7" w:rsidRPr="009A0AE7">
        <w:rPr>
          <w:lang w:val="en-PH"/>
        </w:rPr>
        <w:t>There was concern that</w:t>
      </w:r>
      <w:r w:rsidR="00272914">
        <w:rPr>
          <w:lang w:val="en-PH"/>
        </w:rPr>
        <w:t>,</w:t>
      </w:r>
      <w:r w:rsidR="009A0AE7" w:rsidRPr="009A0AE7">
        <w:rPr>
          <w:lang w:val="en-PH"/>
        </w:rPr>
        <w:t xml:space="preserve"> in some cases, organizations conducting humanitarian work in vulnerable and remote communities risked being </w:t>
      </w:r>
      <w:r w:rsidR="00272914">
        <w:rPr>
          <w:lang w:val="en-PH"/>
        </w:rPr>
        <w:t xml:space="preserve">so </w:t>
      </w:r>
      <w:r w:rsidR="009A0AE7" w:rsidRPr="009A0AE7">
        <w:rPr>
          <w:lang w:val="en-PH"/>
        </w:rPr>
        <w:t xml:space="preserve">designated. </w:t>
      </w:r>
      <w:r w:rsidR="00BF523C">
        <w:rPr>
          <w:lang w:val="en-PH"/>
        </w:rPr>
        <w:t xml:space="preserve">For example, the </w:t>
      </w:r>
      <w:r w:rsidR="006E63EF" w:rsidRPr="009C1731">
        <w:t>Rural Missionaries of the Philippines, a religious group implementing humanitarian programmes,</w:t>
      </w:r>
      <w:r w:rsidR="006E63EF">
        <w:t xml:space="preserve"> </w:t>
      </w:r>
      <w:r w:rsidR="00BF523C">
        <w:t>was accused</w:t>
      </w:r>
      <w:r w:rsidR="005B30DC">
        <w:t xml:space="preserve"> of</w:t>
      </w:r>
      <w:r w:rsidR="00BF523C">
        <w:t xml:space="preserve"> </w:t>
      </w:r>
      <w:r w:rsidR="006E63EF">
        <w:t>terrorist financing, and</w:t>
      </w:r>
      <w:r w:rsidR="00BF523C">
        <w:t xml:space="preserve"> had</w:t>
      </w:r>
      <w:r w:rsidR="005B30DC">
        <w:t xml:space="preserve"> </w:t>
      </w:r>
      <w:r w:rsidR="00BF523C">
        <w:t xml:space="preserve">its banks </w:t>
      </w:r>
      <w:r w:rsidR="005B30DC">
        <w:t xml:space="preserve">accounts </w:t>
      </w:r>
      <w:r w:rsidR="006E63EF">
        <w:t>froze</w:t>
      </w:r>
      <w:r w:rsidR="005B30DC">
        <w:t>n</w:t>
      </w:r>
      <w:r w:rsidR="006E63EF">
        <w:t>.</w:t>
      </w:r>
      <w:r w:rsidR="001025A2">
        <w:rPr>
          <w:rStyle w:val="FootnoteReference"/>
        </w:rPr>
        <w:footnoteReference w:id="91"/>
      </w:r>
      <w:r w:rsidR="00B072DE" w:rsidRPr="009C1731">
        <w:t xml:space="preserve"> The CHRP expressed concern that the ATA may also be used to limit freedom of expression, including press freedom.</w:t>
      </w:r>
      <w:r w:rsidR="001025A2">
        <w:rPr>
          <w:rStyle w:val="FootnoteReference"/>
        </w:rPr>
        <w:footnoteReference w:id="92"/>
      </w:r>
      <w:r w:rsidR="00B072DE" w:rsidRPr="009C1731">
        <w:t xml:space="preserve"> In June 2022, the National Security Adviser reportedly requested the National Telecommunication Commission to block internet news sites Bulatlat and Pinoy Weekly, for allegedly violating the A</w:t>
      </w:r>
      <w:r w:rsidR="00B072DE">
        <w:t>TA</w:t>
      </w:r>
      <w:r w:rsidR="00B072DE" w:rsidRPr="009C1731">
        <w:t>.</w:t>
      </w:r>
      <w:r w:rsidR="00B072DE" w:rsidRPr="009756FB">
        <w:rPr>
          <w:rStyle w:val="FootnoteReference"/>
          <w:szCs w:val="18"/>
        </w:rPr>
        <w:footnoteReference w:id="93"/>
      </w:r>
      <w:r w:rsidR="00B072DE" w:rsidRPr="009756FB">
        <w:rPr>
          <w:sz w:val="14"/>
          <w:szCs w:val="14"/>
        </w:rPr>
        <w:t xml:space="preserve"> </w:t>
      </w:r>
    </w:p>
    <w:p w14:paraId="3F2F3E9A" w14:textId="588D8317" w:rsidR="00B072DE" w:rsidRPr="009C1731" w:rsidRDefault="00707974" w:rsidP="00197907">
      <w:pPr>
        <w:pStyle w:val="SingleTxtG"/>
      </w:pPr>
      <w:r>
        <w:lastRenderedPageBreak/>
        <w:t>49</w:t>
      </w:r>
      <w:r w:rsidR="00BB38A8">
        <w:t>.</w:t>
      </w:r>
      <w:r w:rsidR="00BB38A8">
        <w:tab/>
      </w:r>
      <w:r w:rsidR="00B072DE" w:rsidRPr="009C1731">
        <w:t xml:space="preserve">The </w:t>
      </w:r>
      <w:r w:rsidR="00B072DE">
        <w:t>UNJP</w:t>
      </w:r>
      <w:r w:rsidR="00B072DE" w:rsidRPr="009C1731">
        <w:t xml:space="preserve"> </w:t>
      </w:r>
      <w:r w:rsidR="00B072DE">
        <w:t xml:space="preserve">worked </w:t>
      </w:r>
      <w:r w:rsidR="00B072DE" w:rsidRPr="009C1731">
        <w:t xml:space="preserve">to strengthen the institutional capacity within the security sector and among judicial actors on a human rights-based approach to counter terrorism, ensuring that </w:t>
      </w:r>
      <w:r w:rsidR="00B072DE">
        <w:t xml:space="preserve">such </w:t>
      </w:r>
      <w:r w:rsidR="00B072DE" w:rsidRPr="009C1731">
        <w:t xml:space="preserve">measures are in line with international human rights standards and to </w:t>
      </w:r>
      <w:r w:rsidR="00B072DE" w:rsidRPr="009C1731">
        <w:rPr>
          <w:color w:val="000000"/>
        </w:rPr>
        <w:t xml:space="preserve">support the CHRP to fulfil its mandate related to monitoring human rights violations committed in the context of </w:t>
      </w:r>
      <w:r w:rsidR="00B072DE">
        <w:rPr>
          <w:color w:val="000000"/>
        </w:rPr>
        <w:t>ATA.</w:t>
      </w:r>
      <w:r w:rsidR="00B072DE" w:rsidRPr="009C1731">
        <w:rPr>
          <w:color w:val="000000"/>
        </w:rPr>
        <w:t xml:space="preserve"> </w:t>
      </w:r>
      <w:r w:rsidR="00B072DE" w:rsidRPr="009C1731">
        <w:t xml:space="preserve">The </w:t>
      </w:r>
      <w:r w:rsidR="00B072DE">
        <w:t>UNJP</w:t>
      </w:r>
      <w:r w:rsidR="00B072DE" w:rsidRPr="009C1731">
        <w:t xml:space="preserve"> conducted an assessment of domestic counter-terrorism legislation from a human rights perspective, outlining strategies for activities for further alignment of legislation and policies with international standards, and to incorporate gender perspectives. </w:t>
      </w:r>
      <w:r w:rsidR="00B072DE">
        <w:t>The UNJP</w:t>
      </w:r>
      <w:r w:rsidR="00B072DE" w:rsidRPr="009C1731">
        <w:t xml:space="preserve"> organized consultations with the Philippine Judicial Academy, the D</w:t>
      </w:r>
      <w:r w:rsidR="00B072DE">
        <w:t>oJ</w:t>
      </w:r>
      <w:r w:rsidR="00B072DE" w:rsidRPr="009C1731">
        <w:t xml:space="preserve">, the Anti-Terrorism Council, the CHRP, academia, and </w:t>
      </w:r>
      <w:r w:rsidR="00B072DE">
        <w:t>CSOs</w:t>
      </w:r>
      <w:r w:rsidR="00B072DE" w:rsidRPr="009C1731">
        <w:t xml:space="preserve">. </w:t>
      </w:r>
      <w:r w:rsidR="00B072DE">
        <w:t xml:space="preserve">It further </w:t>
      </w:r>
      <w:r w:rsidR="00B072DE" w:rsidRPr="009C1731">
        <w:t xml:space="preserve">consulted with the CHRP towards developing a capacity building programme </w:t>
      </w:r>
      <w:r w:rsidR="00B072DE">
        <w:t xml:space="preserve">for the latter to perform </w:t>
      </w:r>
      <w:r w:rsidR="00B072DE" w:rsidRPr="009C1731">
        <w:t xml:space="preserve">its monitoring role under </w:t>
      </w:r>
      <w:r w:rsidR="00B072DE">
        <w:t>the ATA</w:t>
      </w:r>
      <w:r w:rsidR="00B072DE" w:rsidRPr="009C1731">
        <w:t xml:space="preserve">. This included review of the Institutional Framework and Protocols for Investigation and Prosecution of Human Rights Violations in relation to the ATA and the Training Modules for Inter-Agency Collaboration for Effective Prevention of Terrorism. </w:t>
      </w:r>
    </w:p>
    <w:p w14:paraId="0C9CBF2E" w14:textId="615A9F0F" w:rsidR="00B072DE" w:rsidRPr="009C1731" w:rsidRDefault="001819A7" w:rsidP="001819A7">
      <w:pPr>
        <w:pStyle w:val="H1G"/>
        <w:rPr>
          <w:lang w:val="en-US"/>
        </w:rPr>
      </w:pPr>
      <w:r>
        <w:rPr>
          <w:lang w:val="en-US"/>
        </w:rPr>
        <w:tab/>
        <w:t>F.</w:t>
      </w:r>
      <w:r w:rsidR="00B072DE" w:rsidRPr="009C1731">
        <w:rPr>
          <w:lang w:val="en-US"/>
        </w:rPr>
        <w:tab/>
        <w:t xml:space="preserve">Human </w:t>
      </w:r>
      <w:r w:rsidR="00272914">
        <w:rPr>
          <w:lang w:val="en-US"/>
        </w:rPr>
        <w:t>r</w:t>
      </w:r>
      <w:r w:rsidR="00B072DE" w:rsidRPr="009C1731">
        <w:rPr>
          <w:lang w:val="en-US"/>
        </w:rPr>
        <w:t>ights-</w:t>
      </w:r>
      <w:r w:rsidR="00B072DE">
        <w:rPr>
          <w:lang w:val="en-US"/>
        </w:rPr>
        <w:t>b</w:t>
      </w:r>
      <w:r w:rsidR="00B072DE" w:rsidRPr="009C1731">
        <w:rPr>
          <w:lang w:val="en-US"/>
        </w:rPr>
        <w:t>ased approaches to drug control</w:t>
      </w:r>
    </w:p>
    <w:p w14:paraId="7A0B1B4A" w14:textId="1A627818" w:rsidR="00B072DE" w:rsidRPr="00321CF2" w:rsidRDefault="00BB38A8" w:rsidP="00197907">
      <w:pPr>
        <w:pStyle w:val="SingleTxtG"/>
        <w:rPr>
          <w:lang w:val="en-US"/>
        </w:rPr>
      </w:pPr>
      <w:r>
        <w:t>5</w:t>
      </w:r>
      <w:r w:rsidR="00707974">
        <w:t>0</w:t>
      </w:r>
      <w:r>
        <w:t>.</w:t>
      </w:r>
      <w:r>
        <w:tab/>
      </w:r>
      <w:r w:rsidR="00B072DE" w:rsidRPr="00321CF2">
        <w:t xml:space="preserve">The Government took some steps towards addressing </w:t>
      </w:r>
      <w:r w:rsidR="005B4B75">
        <w:t>narcotic drug concerns</w:t>
      </w:r>
      <w:r w:rsidR="005B4B75" w:rsidRPr="00321CF2">
        <w:t xml:space="preserve"> </w:t>
      </w:r>
      <w:r w:rsidR="00B072DE" w:rsidRPr="00321CF2">
        <w:t>through health-</w:t>
      </w:r>
      <w:r w:rsidR="000470DE" w:rsidRPr="00321CF2">
        <w:t>centred</w:t>
      </w:r>
      <w:r w:rsidR="00B072DE" w:rsidRPr="00321CF2">
        <w:t xml:space="preserve"> and evidence-based treatment and prevention approaches to drug control.</w:t>
      </w:r>
      <w:r w:rsidR="00B072DE" w:rsidRPr="00A820CB">
        <w:rPr>
          <w:rStyle w:val="FootnoteReference"/>
          <w:iCs/>
          <w:sz w:val="20"/>
        </w:rPr>
        <w:footnoteReference w:id="94"/>
      </w:r>
      <w:r w:rsidR="00B072DE" w:rsidRPr="00A820CB">
        <w:rPr>
          <w:sz w:val="16"/>
          <w:szCs w:val="16"/>
        </w:rPr>
        <w:t xml:space="preserve"> </w:t>
      </w:r>
      <w:r w:rsidR="0076122B" w:rsidRPr="0076122B">
        <w:t xml:space="preserve">In June 2022, </w:t>
      </w:r>
      <w:r w:rsidR="00272914">
        <w:t xml:space="preserve">the </w:t>
      </w:r>
      <w:r w:rsidR="006E63EF">
        <w:t xml:space="preserve">then </w:t>
      </w:r>
      <w:r w:rsidR="0076122B" w:rsidRPr="0076122B">
        <w:t xml:space="preserve">incoming President was reported in media as having stated that he would conduct the </w:t>
      </w:r>
      <w:r w:rsidR="00E12516">
        <w:t>‘</w:t>
      </w:r>
      <w:r w:rsidR="0076122B" w:rsidRPr="0076122B">
        <w:t>war on drugs</w:t>
      </w:r>
      <w:r w:rsidR="00E12516">
        <w:t>’</w:t>
      </w:r>
      <w:r w:rsidR="0076122B" w:rsidRPr="0076122B">
        <w:t xml:space="preserve"> “within the framework of the law and with respect for human rights and focus on rehabilitation and socio-economic development</w:t>
      </w:r>
      <w:r w:rsidR="0076122B">
        <w:t>.</w:t>
      </w:r>
      <w:r w:rsidR="0076122B" w:rsidRPr="0076122B">
        <w:t>”</w:t>
      </w:r>
      <w:r w:rsidR="00FB5566">
        <w:rPr>
          <w:rStyle w:val="FootnoteReference"/>
        </w:rPr>
        <w:footnoteReference w:id="95"/>
      </w:r>
      <w:r w:rsidR="0076122B" w:rsidRPr="0076122B">
        <w:t xml:space="preserve">  </w:t>
      </w:r>
      <w:r w:rsidR="00B072DE" w:rsidRPr="00321CF2">
        <w:t xml:space="preserve">The </w:t>
      </w:r>
      <w:r w:rsidR="00B072DE">
        <w:t xml:space="preserve">DoH </w:t>
      </w:r>
      <w:r w:rsidR="00B072DE" w:rsidRPr="00321CF2">
        <w:t xml:space="preserve">and the DDB adopted the Guidance for Community-Based Treatment and Care Services for People Affected by Drug Use and Dependence in the Philippines developed with guidance from the UNODC and the World Health Organization (WHO), with a view </w:t>
      </w:r>
      <w:r w:rsidR="00E12516">
        <w:t>to</w:t>
      </w:r>
      <w:r w:rsidR="00B072DE" w:rsidRPr="00321CF2">
        <w:t xml:space="preserve"> upscaling evidence-based treatment and prevention efforts.</w:t>
      </w:r>
      <w:r w:rsidR="00B072DE" w:rsidRPr="00A820CB">
        <w:rPr>
          <w:rStyle w:val="FootnoteReference"/>
          <w:iCs/>
          <w:szCs w:val="18"/>
        </w:rPr>
        <w:footnoteReference w:id="96"/>
      </w:r>
      <w:r w:rsidR="00B072DE" w:rsidRPr="00A820CB">
        <w:rPr>
          <w:sz w:val="18"/>
          <w:szCs w:val="18"/>
        </w:rPr>
        <w:t xml:space="preserve"> </w:t>
      </w:r>
      <w:r w:rsidR="00B072DE" w:rsidRPr="00321CF2">
        <w:t>The D</w:t>
      </w:r>
      <w:r w:rsidR="00B072DE">
        <w:t>o</w:t>
      </w:r>
      <w:r w:rsidR="00B072DE" w:rsidRPr="00321CF2">
        <w:t>H also scaled up recovery clinics</w:t>
      </w:r>
      <w:r w:rsidR="00B072DE">
        <w:t xml:space="preserve"> </w:t>
      </w:r>
      <w:r w:rsidR="00B072DE" w:rsidRPr="00321CF2">
        <w:t>to promote a voluntary care model for people who use drugs.</w:t>
      </w:r>
      <w:r w:rsidR="00B072DE" w:rsidRPr="00A820CB">
        <w:rPr>
          <w:rStyle w:val="FootnoteReference"/>
          <w:iCs/>
          <w:szCs w:val="18"/>
        </w:rPr>
        <w:footnoteReference w:id="97"/>
      </w:r>
      <w:r w:rsidR="00B072DE" w:rsidRPr="00A820CB">
        <w:rPr>
          <w:sz w:val="18"/>
          <w:szCs w:val="18"/>
        </w:rPr>
        <w:t xml:space="preserve"> </w:t>
      </w:r>
      <w:r w:rsidR="00B072DE">
        <w:t>The Government informed that</w:t>
      </w:r>
      <w:r w:rsidR="00E12516">
        <w:t>,</w:t>
      </w:r>
      <w:r w:rsidR="00B072DE">
        <w:t xml:space="preserve"> between 2020 and the second quarter of 2021, a total of 164,320 participants benefitted from community-based rehabilitation interventions and services.</w:t>
      </w:r>
      <w:r w:rsidR="00B072DE" w:rsidRPr="00A820CB">
        <w:rPr>
          <w:rStyle w:val="FootnoteReference"/>
          <w:iCs/>
          <w:szCs w:val="18"/>
        </w:rPr>
        <w:footnoteReference w:id="98"/>
      </w:r>
      <w:r w:rsidR="00B072DE" w:rsidRPr="00A820CB">
        <w:rPr>
          <w:sz w:val="14"/>
          <w:szCs w:val="14"/>
        </w:rPr>
        <w:t xml:space="preserve"> </w:t>
      </w:r>
    </w:p>
    <w:p w14:paraId="2EAE4517" w14:textId="4EA600AB" w:rsidR="00B072DE" w:rsidRPr="00321CF2" w:rsidRDefault="00BB38A8" w:rsidP="00197907">
      <w:pPr>
        <w:pStyle w:val="SingleTxtG"/>
        <w:rPr>
          <w:lang w:val="en-US"/>
        </w:rPr>
      </w:pPr>
      <w:r>
        <w:t>5</w:t>
      </w:r>
      <w:r w:rsidR="00707974">
        <w:t>1</w:t>
      </w:r>
      <w:r>
        <w:t>.</w:t>
      </w:r>
      <w:r>
        <w:tab/>
      </w:r>
      <w:r w:rsidR="00B072DE" w:rsidRPr="00006FD4">
        <w:t>The DSWD</w:t>
      </w:r>
      <w:r w:rsidR="00B072DE">
        <w:t xml:space="preserve"> also</w:t>
      </w:r>
      <w:r w:rsidR="00B072DE" w:rsidRPr="00006FD4">
        <w:t xml:space="preserve"> organized the Family Drug Abuse Prevention Program aimed at educating communities regarding the adverse effects of drug abuse, and equipping families with parenting and life skills towards a drug-free home.</w:t>
      </w:r>
      <w:r w:rsidR="00B072DE" w:rsidRPr="00A820CB">
        <w:rPr>
          <w:rStyle w:val="FootnoteReference"/>
          <w:iCs/>
          <w:szCs w:val="18"/>
        </w:rPr>
        <w:footnoteReference w:id="99"/>
      </w:r>
    </w:p>
    <w:p w14:paraId="2197EC2E" w14:textId="517472B1" w:rsidR="00B072DE" w:rsidRPr="00321CF2" w:rsidRDefault="00BB38A8" w:rsidP="00197907">
      <w:pPr>
        <w:pStyle w:val="SingleTxtG"/>
        <w:rPr>
          <w:lang w:val="en-US"/>
        </w:rPr>
      </w:pPr>
      <w:r>
        <w:t>5</w:t>
      </w:r>
      <w:r w:rsidR="00707974">
        <w:t>2</w:t>
      </w:r>
      <w:r>
        <w:t>.</w:t>
      </w:r>
      <w:r>
        <w:tab/>
      </w:r>
      <w:r w:rsidR="00B072DE" w:rsidRPr="00321CF2">
        <w:t>However, the overall approach remained punitive and security focused. State-run compulsory treatment facilities, where people who use drugs are ordered by courts or referred by local government officials to undergo treatment and rehabilitation</w:t>
      </w:r>
      <w:r w:rsidR="005B4B75">
        <w:t xml:space="preserve"> without consent</w:t>
      </w:r>
      <w:r w:rsidR="006E63EF">
        <w:t>,</w:t>
      </w:r>
      <w:r w:rsidR="00E12516" w:rsidRPr="00321CF2">
        <w:t xml:space="preserve"> continued to operate</w:t>
      </w:r>
      <w:r w:rsidR="00B072DE" w:rsidRPr="00321CF2">
        <w:t>. Some centers are overseen by law enforcement officers through the PDEA.</w:t>
      </w:r>
      <w:r w:rsidR="00B072DE" w:rsidRPr="00FB6DAE">
        <w:rPr>
          <w:rStyle w:val="FootnoteReference"/>
          <w:iCs/>
          <w:szCs w:val="18"/>
        </w:rPr>
        <w:footnoteReference w:id="100"/>
      </w:r>
    </w:p>
    <w:p w14:paraId="7AEF9CF2" w14:textId="7B60D095" w:rsidR="00B072DE" w:rsidRPr="00321CF2" w:rsidRDefault="00BB38A8" w:rsidP="00197907">
      <w:pPr>
        <w:pStyle w:val="SingleTxtG"/>
        <w:rPr>
          <w:lang w:val="en-US"/>
        </w:rPr>
      </w:pPr>
      <w:r>
        <w:t>5</w:t>
      </w:r>
      <w:r w:rsidR="00707974">
        <w:t>3</w:t>
      </w:r>
      <w:r>
        <w:t>.</w:t>
      </w:r>
      <w:r>
        <w:tab/>
      </w:r>
      <w:r w:rsidR="00B072DE" w:rsidRPr="00321CF2">
        <w:t xml:space="preserve">As of May 2021, </w:t>
      </w:r>
      <w:r w:rsidR="00B072DE">
        <w:t xml:space="preserve">the BJMP and Bureau of Corrections (BuCor) detained 104,663 persons </w:t>
      </w:r>
      <w:r w:rsidR="00B072DE" w:rsidRPr="00321CF2">
        <w:t>on drug-related offences</w:t>
      </w:r>
      <w:r w:rsidR="00B072DE">
        <w:t xml:space="preserve">. </w:t>
      </w:r>
      <w:r w:rsidR="00B072DE" w:rsidRPr="00321CF2">
        <w:t xml:space="preserve">They included </w:t>
      </w:r>
      <w:r w:rsidR="00B072DE">
        <w:t>89,795</w:t>
      </w:r>
      <w:r w:rsidR="00B072DE" w:rsidRPr="00321CF2">
        <w:t xml:space="preserve"> male and </w:t>
      </w:r>
      <w:r w:rsidR="00B072DE">
        <w:t xml:space="preserve">14,868 </w:t>
      </w:r>
      <w:r w:rsidR="00B072DE" w:rsidRPr="00321CF2">
        <w:t>female detainees</w:t>
      </w:r>
      <w:r w:rsidR="00B072DE">
        <w:t>,</w:t>
      </w:r>
      <w:r w:rsidR="00B072DE" w:rsidRPr="00321CF2">
        <w:t xml:space="preserve"> and constituted </w:t>
      </w:r>
      <w:r w:rsidR="00B072DE">
        <w:t>57.96</w:t>
      </w:r>
      <w:r w:rsidR="00B072DE" w:rsidRPr="00321CF2">
        <w:t xml:space="preserve"> per cent of the total </w:t>
      </w:r>
      <w:r w:rsidR="00B072DE">
        <w:t>number of persons deprived of liberty</w:t>
      </w:r>
      <w:r w:rsidR="00B072DE" w:rsidRPr="00321CF2">
        <w:t>.</w:t>
      </w:r>
      <w:r w:rsidR="00B072DE" w:rsidRPr="00FB6DAE">
        <w:rPr>
          <w:rStyle w:val="FootnoteReference"/>
          <w:iCs/>
          <w:szCs w:val="18"/>
        </w:rPr>
        <w:footnoteReference w:id="101"/>
      </w:r>
      <w:r w:rsidR="00B072DE" w:rsidRPr="00FB6DAE">
        <w:rPr>
          <w:sz w:val="18"/>
          <w:szCs w:val="18"/>
        </w:rPr>
        <w:t xml:space="preserve"> </w:t>
      </w:r>
      <w:r w:rsidR="003C1366">
        <w:t xml:space="preserve">Of these, 38,300 </w:t>
      </w:r>
      <w:r w:rsidR="00B072DE">
        <w:t>were awaiting trial on non-bailable drug-related offences</w:t>
      </w:r>
      <w:r w:rsidR="003C1366">
        <w:t>.</w:t>
      </w:r>
      <w:r w:rsidR="00B072DE" w:rsidRPr="00FB6DAE">
        <w:rPr>
          <w:rStyle w:val="FootnoteReference"/>
          <w:iCs/>
          <w:szCs w:val="18"/>
        </w:rPr>
        <w:footnoteReference w:id="102"/>
      </w:r>
      <w:r w:rsidR="00B072DE">
        <w:t xml:space="preserve"> </w:t>
      </w:r>
      <w:r w:rsidR="00B072DE" w:rsidRPr="00321CF2">
        <w:t xml:space="preserve">This contributed significantly to severe congestion in detention centers. As of July 2022, the BJMP congestion </w:t>
      </w:r>
      <w:r w:rsidR="00B072DE" w:rsidRPr="00321CF2">
        <w:lastRenderedPageBreak/>
        <w:t>rate was at 397</w:t>
      </w:r>
      <w:r w:rsidR="00D140A8">
        <w:t xml:space="preserve"> per cent</w:t>
      </w:r>
      <w:r w:rsidR="00B072DE" w:rsidRPr="00321CF2">
        <w:t>, a decrease from previous years.</w:t>
      </w:r>
      <w:r w:rsidR="00B072DE" w:rsidRPr="00FB6DAE">
        <w:rPr>
          <w:rStyle w:val="FootnoteReference"/>
          <w:iCs/>
          <w:szCs w:val="18"/>
        </w:rPr>
        <w:footnoteReference w:id="103"/>
      </w:r>
      <w:r w:rsidR="00D140A8" w:rsidRPr="00FB6DAE">
        <w:rPr>
          <w:sz w:val="14"/>
          <w:szCs w:val="14"/>
        </w:rPr>
        <w:t xml:space="preserve"> </w:t>
      </w:r>
      <w:r w:rsidR="00D140A8" w:rsidRPr="00D140A8">
        <w:rPr>
          <w:iCs/>
          <w:lang w:val="en-PH"/>
        </w:rPr>
        <w:t>At a joint press conference on 21 July, Secretary of Justice Jesus Crispin C. Remulla and DILG Secretary Benjamin C. Abalos Jr. pledged to work together to address congestion, including through quicker processing and digitalization.</w:t>
      </w:r>
      <w:r w:rsidR="00D140A8" w:rsidRPr="00D140A8">
        <w:rPr>
          <w:iCs/>
          <w:vertAlign w:val="superscript"/>
          <w:lang w:val="en-PH"/>
        </w:rPr>
        <w:footnoteReference w:id="104"/>
      </w:r>
    </w:p>
    <w:p w14:paraId="1C2E82B8" w14:textId="4C2ECDA1" w:rsidR="00B072DE" w:rsidRPr="009C1731" w:rsidRDefault="00666C6D" w:rsidP="00197907">
      <w:pPr>
        <w:pStyle w:val="SingleTxtG"/>
      </w:pPr>
      <w:r>
        <w:t>5</w:t>
      </w:r>
      <w:r w:rsidR="00707974">
        <w:t>4</w:t>
      </w:r>
      <w:r w:rsidR="00BB38A8">
        <w:t>.</w:t>
      </w:r>
      <w:r w:rsidR="00BB38A8">
        <w:tab/>
      </w:r>
      <w:r w:rsidR="00B072DE" w:rsidRPr="009C1731">
        <w:t xml:space="preserve">In May 2021, the </w:t>
      </w:r>
      <w:r w:rsidR="00B072DE">
        <w:t>WGAD</w:t>
      </w:r>
      <w:r w:rsidR="00B072DE" w:rsidRPr="009C1731">
        <w:t xml:space="preserve"> </w:t>
      </w:r>
      <w:r w:rsidR="00B072DE">
        <w:t xml:space="preserve">reiterated </w:t>
      </w:r>
      <w:r w:rsidR="00B072DE" w:rsidRPr="009C1731">
        <w:t xml:space="preserve">its concern about preventive detention regimes that provide for </w:t>
      </w:r>
      <w:r w:rsidR="00B072DE">
        <w:t xml:space="preserve">long </w:t>
      </w:r>
      <w:r w:rsidR="00B072DE" w:rsidRPr="009C1731">
        <w:t>incarceration of suspected drug traffickers without trial</w:t>
      </w:r>
      <w:r w:rsidR="00B072DE">
        <w:t xml:space="preserve">. It </w:t>
      </w:r>
      <w:r w:rsidR="00B072DE" w:rsidRPr="009C1731">
        <w:t>noted that approximately 100,000 prisoners had been held awaiting trial on non-bailable drug-related offences for an average of 528 days in the Philippines in 2018.</w:t>
      </w:r>
      <w:r w:rsidR="00B072DE" w:rsidRPr="004348E3">
        <w:rPr>
          <w:rStyle w:val="FootnoteReference"/>
          <w:iCs/>
          <w:szCs w:val="18"/>
        </w:rPr>
        <w:footnoteReference w:id="105"/>
      </w:r>
      <w:r w:rsidR="00B072DE" w:rsidRPr="004348E3">
        <w:rPr>
          <w:sz w:val="14"/>
          <w:szCs w:val="14"/>
        </w:rPr>
        <w:t xml:space="preserve"> </w:t>
      </w:r>
      <w:r w:rsidR="00B072DE" w:rsidRPr="009C1731">
        <w:t>This include</w:t>
      </w:r>
      <w:r w:rsidR="00B072DE">
        <w:t>d</w:t>
      </w:r>
      <w:r w:rsidR="00B072DE" w:rsidRPr="009C1731">
        <w:t xml:space="preserve"> individuals accused of low-level drug offences, such as possession of paraphernalia associated with drug use</w:t>
      </w:r>
      <w:r w:rsidR="00B072DE">
        <w:t>.</w:t>
      </w:r>
      <w:r w:rsidR="00B072DE" w:rsidRPr="004348E3">
        <w:rPr>
          <w:rStyle w:val="FootnoteReference"/>
          <w:iCs/>
          <w:szCs w:val="18"/>
        </w:rPr>
        <w:footnoteReference w:id="106"/>
      </w:r>
      <w:r w:rsidR="00B072DE" w:rsidRPr="004348E3">
        <w:rPr>
          <w:sz w:val="14"/>
          <w:szCs w:val="14"/>
        </w:rPr>
        <w:t xml:space="preserve"> </w:t>
      </w:r>
      <w:r w:rsidR="00B072DE" w:rsidRPr="009C1731">
        <w:t xml:space="preserve">The </w:t>
      </w:r>
      <w:r w:rsidR="00B072DE">
        <w:t>WGAD</w:t>
      </w:r>
      <w:r w:rsidR="00B072DE" w:rsidRPr="009C1731">
        <w:t xml:space="preserve"> further reported that the proportion of women imprisoned for drug-related offences is far higher in the Philippines (53 per cent) than the global average of 35 per cent.</w:t>
      </w:r>
      <w:r w:rsidR="00B072DE" w:rsidRPr="004348E3">
        <w:rPr>
          <w:rStyle w:val="FootnoteReference"/>
          <w:iCs/>
          <w:szCs w:val="18"/>
        </w:rPr>
        <w:footnoteReference w:id="107"/>
      </w:r>
      <w:r w:rsidR="00B072DE" w:rsidRPr="004348E3">
        <w:rPr>
          <w:sz w:val="14"/>
          <w:szCs w:val="14"/>
        </w:rPr>
        <w:t xml:space="preserve"> </w:t>
      </w:r>
    </w:p>
    <w:p w14:paraId="5EC4F1A4" w14:textId="3A9369BD" w:rsidR="00B072DE" w:rsidRPr="009C1731" w:rsidRDefault="00666C6D" w:rsidP="00197907">
      <w:pPr>
        <w:pStyle w:val="SingleTxtG"/>
      </w:pPr>
      <w:r>
        <w:t>5</w:t>
      </w:r>
      <w:r w:rsidR="00707974">
        <w:t>5</w:t>
      </w:r>
      <w:r w:rsidR="00BB38A8">
        <w:t>.</w:t>
      </w:r>
      <w:r w:rsidR="00BB38A8">
        <w:tab/>
      </w:r>
      <w:r w:rsidR="00B072DE" w:rsidRPr="009C1731">
        <w:t>The International Narcotic Control Board reported</w:t>
      </w:r>
      <w:r w:rsidR="00E12516">
        <w:t xml:space="preserve"> </w:t>
      </w:r>
      <w:r w:rsidR="00B072DE" w:rsidRPr="009C1731">
        <w:t>in March 2021</w:t>
      </w:r>
      <w:r w:rsidR="00E12516">
        <w:t xml:space="preserve"> that </w:t>
      </w:r>
      <w:r w:rsidR="00B072DE" w:rsidRPr="009C1731">
        <w:t>a list of priority measures that the Government w</w:t>
      </w:r>
      <w:r w:rsidR="00E12516">
        <w:t xml:space="preserve">ished </w:t>
      </w:r>
      <w:r w:rsidR="00B072DE" w:rsidRPr="009C1731">
        <w:t xml:space="preserve">to enact in 2021 included the reinstatement of the death penalty by lethal injection for drug-related crimes. </w:t>
      </w:r>
      <w:r w:rsidR="00D140A8" w:rsidRPr="00D140A8">
        <w:rPr>
          <w:lang w:val="en-PH"/>
        </w:rPr>
        <w:t xml:space="preserve">Between June and July 2022, </w:t>
      </w:r>
      <w:r w:rsidR="004F7EF7">
        <w:rPr>
          <w:lang w:val="en-PH"/>
        </w:rPr>
        <w:t>four</w:t>
      </w:r>
      <w:r w:rsidR="004F7EF7" w:rsidRPr="00D140A8">
        <w:rPr>
          <w:lang w:val="en-PH"/>
        </w:rPr>
        <w:t xml:space="preserve"> </w:t>
      </w:r>
      <w:r w:rsidR="00D140A8" w:rsidRPr="00D140A8">
        <w:rPr>
          <w:lang w:val="en-PH"/>
        </w:rPr>
        <w:t>bills were introduced in the 19</w:t>
      </w:r>
      <w:r w:rsidR="00D140A8" w:rsidRPr="00D140A8">
        <w:rPr>
          <w:vertAlign w:val="superscript"/>
          <w:lang w:val="en-PH"/>
        </w:rPr>
        <w:t>th</w:t>
      </w:r>
      <w:r w:rsidR="00D140A8" w:rsidRPr="00D140A8">
        <w:rPr>
          <w:lang w:val="en-PH"/>
        </w:rPr>
        <w:t xml:space="preserve"> Congress House of Representatives and Senate, which aimed to reintroduce the death penalty, including for drug related offences.</w:t>
      </w:r>
      <w:r w:rsidR="00D140A8" w:rsidRPr="004348E3">
        <w:rPr>
          <w:sz w:val="18"/>
          <w:szCs w:val="18"/>
          <w:vertAlign w:val="superscript"/>
          <w:lang w:val="en-PH"/>
        </w:rPr>
        <w:footnoteReference w:id="108"/>
      </w:r>
      <w:r w:rsidR="00B072DE" w:rsidRPr="004348E3">
        <w:rPr>
          <w:sz w:val="18"/>
          <w:szCs w:val="18"/>
        </w:rPr>
        <w:t xml:space="preserve"> </w:t>
      </w:r>
      <w:r w:rsidR="00B072DE" w:rsidRPr="009C1731">
        <w:t>OHCHR reiterates its principled opposition to the death penalty, and that its imposition for non-violent, drug-related offences is contrary to international law.</w:t>
      </w:r>
      <w:r w:rsidR="00326CFD">
        <w:rPr>
          <w:rStyle w:val="FootnoteReference"/>
        </w:rPr>
        <w:footnoteReference w:id="109"/>
      </w:r>
      <w:r w:rsidR="00B072DE" w:rsidRPr="009C1731">
        <w:t xml:space="preserve"> </w:t>
      </w:r>
      <w:r w:rsidR="00D140A8" w:rsidRPr="00D140A8">
        <w:rPr>
          <w:lang w:val="en-PH"/>
        </w:rPr>
        <w:t xml:space="preserve">The reintroduction of the death penalty would </w:t>
      </w:r>
      <w:r w:rsidR="00E12516">
        <w:rPr>
          <w:lang w:val="en-PH"/>
        </w:rPr>
        <w:t xml:space="preserve">also </w:t>
      </w:r>
      <w:r w:rsidR="00D140A8" w:rsidRPr="00D140A8">
        <w:rPr>
          <w:lang w:val="en-PH"/>
        </w:rPr>
        <w:t xml:space="preserve">be contrary to the Philippines obligations as a </w:t>
      </w:r>
      <w:r w:rsidR="00E12516">
        <w:rPr>
          <w:lang w:val="en-PH"/>
        </w:rPr>
        <w:t>S</w:t>
      </w:r>
      <w:r w:rsidR="00D140A8" w:rsidRPr="00D140A8">
        <w:rPr>
          <w:lang w:val="en-PH"/>
        </w:rPr>
        <w:t xml:space="preserve">tate </w:t>
      </w:r>
      <w:r w:rsidR="00E12516">
        <w:rPr>
          <w:lang w:val="en-PH"/>
        </w:rPr>
        <w:t>P</w:t>
      </w:r>
      <w:r w:rsidR="00D140A8" w:rsidRPr="00D140A8">
        <w:rPr>
          <w:lang w:val="en-PH"/>
        </w:rPr>
        <w:t>arty to the Optional Protocol to the I</w:t>
      </w:r>
      <w:r w:rsidR="000B155E">
        <w:rPr>
          <w:lang w:val="en-PH"/>
        </w:rPr>
        <w:t>ntern</w:t>
      </w:r>
      <w:r w:rsidR="00D339CC">
        <w:rPr>
          <w:lang w:val="en-PH"/>
        </w:rPr>
        <w:t>ational</w:t>
      </w:r>
      <w:r w:rsidR="000B155E">
        <w:rPr>
          <w:lang w:val="en-PH"/>
        </w:rPr>
        <w:t xml:space="preserve"> </w:t>
      </w:r>
      <w:r w:rsidR="00D140A8" w:rsidRPr="00D140A8">
        <w:rPr>
          <w:lang w:val="en-PH"/>
        </w:rPr>
        <w:t>C</w:t>
      </w:r>
      <w:r w:rsidR="000B155E">
        <w:rPr>
          <w:lang w:val="en-PH"/>
        </w:rPr>
        <w:t xml:space="preserve">ovenant on </w:t>
      </w:r>
      <w:r w:rsidR="00D140A8" w:rsidRPr="00D140A8">
        <w:rPr>
          <w:lang w:val="en-PH"/>
        </w:rPr>
        <w:t>C</w:t>
      </w:r>
      <w:r w:rsidR="000B155E">
        <w:rPr>
          <w:lang w:val="en-PH"/>
        </w:rPr>
        <w:t xml:space="preserve">ivil and </w:t>
      </w:r>
      <w:r w:rsidR="00D140A8" w:rsidRPr="00D140A8">
        <w:rPr>
          <w:lang w:val="en-PH"/>
        </w:rPr>
        <w:t>P</w:t>
      </w:r>
      <w:r w:rsidR="000B155E">
        <w:rPr>
          <w:lang w:val="en-PH"/>
        </w:rPr>
        <w:t xml:space="preserve">olitical </w:t>
      </w:r>
      <w:r w:rsidR="00D140A8" w:rsidRPr="00D140A8">
        <w:rPr>
          <w:lang w:val="en-PH"/>
        </w:rPr>
        <w:t>R</w:t>
      </w:r>
      <w:r w:rsidR="000B155E">
        <w:rPr>
          <w:lang w:val="en-PH"/>
        </w:rPr>
        <w:t>ights</w:t>
      </w:r>
      <w:r w:rsidR="008E0812">
        <w:rPr>
          <w:lang w:val="en-PH"/>
        </w:rPr>
        <w:t xml:space="preserve"> (ICCPR)</w:t>
      </w:r>
      <w:r w:rsidR="00D140A8">
        <w:rPr>
          <w:lang w:val="en-PH"/>
        </w:rPr>
        <w:t>.</w:t>
      </w:r>
      <w:r w:rsidR="005B4B75">
        <w:rPr>
          <w:lang w:val="en-PH"/>
        </w:rPr>
        <w:t xml:space="preserve"> </w:t>
      </w:r>
      <w:r w:rsidR="005B4B75" w:rsidRPr="005B4B75">
        <w:rPr>
          <w:lang w:val="en-PH"/>
        </w:rPr>
        <w:t>In accordance with international law, States parties to the Second Optional Protocol are barred from reintroducing it.</w:t>
      </w:r>
      <w:r w:rsidR="00326CFD">
        <w:rPr>
          <w:rStyle w:val="FootnoteReference"/>
          <w:lang w:val="en-PH"/>
        </w:rPr>
        <w:footnoteReference w:id="110"/>
      </w:r>
      <w:r w:rsidR="005B4B75" w:rsidRPr="005B4B75">
        <w:rPr>
          <w:lang w:val="en-PH"/>
        </w:rPr>
        <w:t xml:space="preserve">  </w:t>
      </w:r>
    </w:p>
    <w:p w14:paraId="286DF320" w14:textId="444C3FBE" w:rsidR="00B072DE" w:rsidRPr="009C1731" w:rsidRDefault="00666C6D" w:rsidP="00197907">
      <w:pPr>
        <w:pStyle w:val="SingleTxtG"/>
      </w:pPr>
      <w:r>
        <w:t>5</w:t>
      </w:r>
      <w:r w:rsidR="00707974">
        <w:t>6</w:t>
      </w:r>
      <w:r w:rsidR="00BB38A8">
        <w:t>.</w:t>
      </w:r>
      <w:r w:rsidR="00BB38A8">
        <w:tab/>
      </w:r>
      <w:r w:rsidR="00B072DE" w:rsidRPr="009C1731">
        <w:t>The UN</w:t>
      </w:r>
      <w:r w:rsidR="00B072DE">
        <w:t>JP</w:t>
      </w:r>
      <w:r w:rsidR="00B072DE" w:rsidRPr="009C1731">
        <w:t xml:space="preserve"> worked with the Government, the CHRP and </w:t>
      </w:r>
      <w:r w:rsidR="00B072DE">
        <w:t>CSOs</w:t>
      </w:r>
      <w:r w:rsidR="00B072DE" w:rsidRPr="009C1731">
        <w:t xml:space="preserve"> to promote human rights-based approaches to drug control, in particular through supporting voluntary community-based approaches to drug treatment and rehabilitation. </w:t>
      </w:r>
      <w:r w:rsidR="00D140A8" w:rsidRPr="00D140A8">
        <w:rPr>
          <w:iCs/>
        </w:rPr>
        <w:t xml:space="preserve">In 2021, the </w:t>
      </w:r>
      <w:r w:rsidR="00FC4787">
        <w:rPr>
          <w:iCs/>
        </w:rPr>
        <w:t>CHRP</w:t>
      </w:r>
      <w:r w:rsidR="00D140A8" w:rsidRPr="00D140A8">
        <w:rPr>
          <w:iCs/>
        </w:rPr>
        <w:t>, in cooperation with OHCHR and other partners, organized a national consultation on the International Guidelines on Human Rights and Drug Policy</w:t>
      </w:r>
      <w:r w:rsidR="00D140A8" w:rsidRPr="00D140A8">
        <w:t xml:space="preserve"> with national stakeholders to review the current efforts on drug policy reform in the Philippines</w:t>
      </w:r>
      <w:r w:rsidR="00D140A8" w:rsidRPr="00D140A8">
        <w:rPr>
          <w:lang w:val="en-PH"/>
        </w:rPr>
        <w:t>.</w:t>
      </w:r>
      <w:r w:rsidR="00D140A8" w:rsidRPr="002B73C2">
        <w:rPr>
          <w:iCs/>
          <w:sz w:val="18"/>
          <w:szCs w:val="18"/>
          <w:vertAlign w:val="superscript"/>
        </w:rPr>
        <w:footnoteReference w:id="111"/>
      </w:r>
      <w:r w:rsidR="00D140A8" w:rsidRPr="002B73C2">
        <w:rPr>
          <w:iCs/>
          <w:sz w:val="18"/>
          <w:szCs w:val="18"/>
        </w:rPr>
        <w:t xml:space="preserve"> </w:t>
      </w:r>
      <w:r w:rsidR="00B072DE" w:rsidRPr="009C1731">
        <w:t>From February to May 2022, the U</w:t>
      </w:r>
      <w:r w:rsidR="00B072DE">
        <w:t>NJP</w:t>
      </w:r>
      <w:r w:rsidR="00B072DE" w:rsidRPr="009C1731">
        <w:t xml:space="preserve"> conducted a human rights-based review of Philippine drug policies</w:t>
      </w:r>
      <w:r w:rsidR="00B072DE">
        <w:t>.</w:t>
      </w:r>
      <w:r w:rsidR="00B072DE" w:rsidRPr="009C1731">
        <w:rPr>
          <w:color w:val="008000"/>
        </w:rPr>
        <w:t xml:space="preserve"> </w:t>
      </w:r>
      <w:r w:rsidR="00B072DE">
        <w:t xml:space="preserve">It </w:t>
      </w:r>
      <w:r w:rsidR="00B072DE" w:rsidRPr="009C1731">
        <w:t xml:space="preserve">also convened consultations towards the drafting of the Philippine roadmap for the transition towards voluntary community-based treatment and rehabilitation for drugs. </w:t>
      </w:r>
    </w:p>
    <w:p w14:paraId="42AFD1B8" w14:textId="3C362BD3" w:rsidR="00B072DE" w:rsidRPr="009C1731" w:rsidRDefault="00666C6D" w:rsidP="00197907">
      <w:pPr>
        <w:pStyle w:val="SingleTxtG"/>
      </w:pPr>
      <w:r>
        <w:t>5</w:t>
      </w:r>
      <w:r w:rsidR="00707974">
        <w:t>7</w:t>
      </w:r>
      <w:r w:rsidR="00BB38A8">
        <w:t>.</w:t>
      </w:r>
      <w:r w:rsidR="00BB38A8">
        <w:tab/>
      </w:r>
      <w:r w:rsidR="00B072DE" w:rsidRPr="009C1731">
        <w:t>In April 2022, the UN</w:t>
      </w:r>
      <w:r w:rsidR="00B072DE">
        <w:t>JP</w:t>
      </w:r>
      <w:r w:rsidR="00B072DE" w:rsidRPr="009C1731">
        <w:t xml:space="preserve"> organized a high-level meeting with Government, health officials, academia, </w:t>
      </w:r>
      <w:r w:rsidR="00B072DE">
        <w:t xml:space="preserve">CSOs, </w:t>
      </w:r>
      <w:r w:rsidR="00793A3D">
        <w:t>supported by</w:t>
      </w:r>
      <w:r w:rsidR="00B072DE" w:rsidRPr="009C1731">
        <w:t xml:space="preserve"> sectoral consultations.  The outcome </w:t>
      </w:r>
      <w:r w:rsidR="00B072DE">
        <w:t xml:space="preserve">of these efforts </w:t>
      </w:r>
      <w:r w:rsidR="00F83A7A">
        <w:t xml:space="preserve">included </w:t>
      </w:r>
      <w:r w:rsidR="00B072DE" w:rsidRPr="009C1731">
        <w:t>proposed steps to transition the national drug policy framework towards a public health</w:t>
      </w:r>
      <w:r w:rsidR="005B4B75">
        <w:t xml:space="preserve"> and human rights</w:t>
      </w:r>
      <w:r w:rsidR="00B072DE" w:rsidRPr="009C1731">
        <w:t>-centered system, where voluntary community-based services are available for</w:t>
      </w:r>
      <w:r w:rsidR="00B072DE">
        <w:t xml:space="preserve"> concerned</w:t>
      </w:r>
      <w:r w:rsidR="00B072DE" w:rsidRPr="009C1731">
        <w:t xml:space="preserve"> communities. In the draft roadmap, the stakeholders proposed the creation of a Transition Committee to oversee and coordinate the move to voluntary community-based approaches. </w:t>
      </w:r>
    </w:p>
    <w:p w14:paraId="107E6887" w14:textId="053C024A" w:rsidR="00B072DE" w:rsidRPr="00ED3265" w:rsidRDefault="00666C6D" w:rsidP="00197907">
      <w:pPr>
        <w:pStyle w:val="SingleTxtG"/>
      </w:pPr>
      <w:r>
        <w:t>5</w:t>
      </w:r>
      <w:r w:rsidR="00707974">
        <w:t>8</w:t>
      </w:r>
      <w:r w:rsidR="00BB38A8">
        <w:t>.</w:t>
      </w:r>
      <w:r w:rsidR="00BB38A8">
        <w:tab/>
      </w:r>
      <w:r w:rsidR="00B072DE" w:rsidRPr="00ED3265">
        <w:t xml:space="preserve">The </w:t>
      </w:r>
      <w:r w:rsidR="00B072DE">
        <w:t>UNJP</w:t>
      </w:r>
      <w:r w:rsidR="00B072DE" w:rsidRPr="00ED3265">
        <w:t xml:space="preserve"> also provided technical assistance to the D</w:t>
      </w:r>
      <w:r w:rsidR="00B072DE">
        <w:t>oH</w:t>
      </w:r>
      <w:r w:rsidR="00B072DE" w:rsidRPr="00ED3265">
        <w:t xml:space="preserve"> related to adopting human rights-based approaches in recovery clinics, including technical assistance to the drafting of the Administrative Order on the Institutionalization of Recovery Clinics. From February to July 2022, the </w:t>
      </w:r>
      <w:r w:rsidR="00B072DE">
        <w:t>UNJP</w:t>
      </w:r>
      <w:r w:rsidR="00B072DE" w:rsidRPr="00ED3265">
        <w:t xml:space="preserve"> provided capacity-building sessions for recovery clinic health workers through the programme “Recovery Support System for Persons Who Use Drugs or with Drug </w:t>
      </w:r>
      <w:r w:rsidR="00B072DE" w:rsidRPr="00ED3265">
        <w:lastRenderedPageBreak/>
        <w:t xml:space="preserve">Use Disorders </w:t>
      </w:r>
      <w:r w:rsidR="00B072DE">
        <w:t>i</w:t>
      </w:r>
      <w:r w:rsidR="00B072DE" w:rsidRPr="00ED3265">
        <w:t>n Jails and Prisons”</w:t>
      </w:r>
      <w:r w:rsidR="00B072DE">
        <w:t xml:space="preserve">, with the participation of officials from the DoH, the DDB and </w:t>
      </w:r>
      <w:r w:rsidR="00B072DE" w:rsidRPr="00ED3265">
        <w:t>Local Governance Units.</w:t>
      </w:r>
    </w:p>
    <w:p w14:paraId="36AF66C9" w14:textId="6485F5BE" w:rsidR="00B072DE" w:rsidRPr="009C1731" w:rsidRDefault="00707974" w:rsidP="00197907">
      <w:pPr>
        <w:pStyle w:val="SingleTxtG"/>
      </w:pPr>
      <w:r>
        <w:t>59</w:t>
      </w:r>
      <w:r w:rsidR="00C07E69">
        <w:t>.</w:t>
      </w:r>
      <w:r w:rsidR="00C07E69">
        <w:tab/>
      </w:r>
      <w:r w:rsidR="00B072DE">
        <w:t xml:space="preserve">To help alleviate jail congestions due to detainees held on drug offences, the UNJP </w:t>
      </w:r>
      <w:r w:rsidR="00B072DE" w:rsidRPr="009C1731">
        <w:t>supported the improvement of the situation in detention facilities through cooperating with the D</w:t>
      </w:r>
      <w:r w:rsidR="00B072DE">
        <w:t>oH</w:t>
      </w:r>
      <w:r w:rsidR="00B072DE" w:rsidRPr="009C1731">
        <w:t>, the DIL</w:t>
      </w:r>
      <w:r w:rsidR="00B072DE">
        <w:t>G</w:t>
      </w:r>
      <w:r w:rsidR="00B072DE" w:rsidRPr="009C1731">
        <w:t>, the D</w:t>
      </w:r>
      <w:r w:rsidR="00B072DE">
        <w:t>oJ</w:t>
      </w:r>
      <w:r w:rsidR="00B072DE" w:rsidRPr="009C1731">
        <w:t xml:space="preserve"> and the </w:t>
      </w:r>
      <w:r w:rsidR="00B072DE" w:rsidRPr="00B96777">
        <w:t>DSWD</w:t>
      </w:r>
      <w:r w:rsidR="00B072DE" w:rsidRPr="009C1731">
        <w:t xml:space="preserve">. In February and April 2022, the </w:t>
      </w:r>
      <w:r w:rsidR="00B072DE">
        <w:t>UNJP</w:t>
      </w:r>
      <w:r w:rsidR="00B072DE" w:rsidRPr="009C1731">
        <w:t xml:space="preserve"> provided</w:t>
      </w:r>
      <w:r w:rsidR="00B072DE">
        <w:t xml:space="preserve"> capacity building</w:t>
      </w:r>
      <w:r w:rsidR="00B072DE" w:rsidRPr="009C1731">
        <w:t xml:space="preserve"> training to 168 officers of the BJMP and </w:t>
      </w:r>
      <w:r w:rsidR="00B072DE">
        <w:t>BuCor</w:t>
      </w:r>
      <w:r w:rsidR="00B072DE" w:rsidRPr="009C1731">
        <w:t xml:space="preserve"> to support released prisoners to ensure continuity of care and/or treatment.</w:t>
      </w:r>
    </w:p>
    <w:p w14:paraId="5E8E6668" w14:textId="7C7B9F57" w:rsidR="00B072DE" w:rsidRPr="009C1731" w:rsidRDefault="00197907" w:rsidP="00197907">
      <w:pPr>
        <w:pStyle w:val="HChG"/>
        <w:rPr>
          <w:lang w:val="en-US"/>
        </w:rPr>
      </w:pPr>
      <w:r>
        <w:rPr>
          <w:lang w:val="en-US"/>
        </w:rPr>
        <w:tab/>
      </w:r>
      <w:r w:rsidR="00B072DE" w:rsidRPr="009C1731">
        <w:rPr>
          <w:lang w:val="en-US"/>
        </w:rPr>
        <w:t>IV</w:t>
      </w:r>
      <w:r>
        <w:rPr>
          <w:lang w:val="en-US"/>
        </w:rPr>
        <w:t>.</w:t>
      </w:r>
      <w:r>
        <w:rPr>
          <w:lang w:val="en-US"/>
        </w:rPr>
        <w:tab/>
      </w:r>
      <w:r w:rsidR="00B072DE" w:rsidRPr="009C1731">
        <w:rPr>
          <w:lang w:val="en-US"/>
        </w:rPr>
        <w:t>Conclusions and recommendations</w:t>
      </w:r>
    </w:p>
    <w:p w14:paraId="17FB9F31" w14:textId="023177AF" w:rsidR="00B072DE" w:rsidRPr="00C622CD" w:rsidRDefault="00C07E69" w:rsidP="001B3436">
      <w:pPr>
        <w:pStyle w:val="SingleTxtG"/>
        <w:rPr>
          <w:b/>
        </w:rPr>
      </w:pPr>
      <w:r w:rsidRPr="0019355E">
        <w:rPr>
          <w:lang w:val="en-US"/>
        </w:rPr>
        <w:t>6</w:t>
      </w:r>
      <w:r w:rsidR="00707974" w:rsidRPr="0019355E">
        <w:rPr>
          <w:lang w:val="en-US"/>
        </w:rPr>
        <w:t>0</w:t>
      </w:r>
      <w:r w:rsidRPr="0019355E">
        <w:rPr>
          <w:lang w:val="en-US"/>
        </w:rPr>
        <w:t>.</w:t>
      </w:r>
      <w:r w:rsidRPr="00C622CD">
        <w:rPr>
          <w:b/>
          <w:lang w:val="en-US"/>
        </w:rPr>
        <w:tab/>
      </w:r>
      <w:r w:rsidR="00B072DE" w:rsidRPr="00C622CD">
        <w:rPr>
          <w:b/>
          <w:lang w:val="en-US"/>
        </w:rPr>
        <w:t>The High Commissioner welcomes the</w:t>
      </w:r>
      <w:r w:rsidR="00B072DE" w:rsidRPr="00C622CD">
        <w:rPr>
          <w:rFonts w:eastAsia="Times New Roman"/>
          <w:b/>
        </w:rPr>
        <w:t xml:space="preserve"> commitment of the Government to the UNJP</w:t>
      </w:r>
      <w:r w:rsidR="00B072DE" w:rsidRPr="00C622CD">
        <w:rPr>
          <w:b/>
          <w:lang w:val="en-US"/>
        </w:rPr>
        <w:t xml:space="preserve"> and recognizes the important role of the CHRP and CSOs. R</w:t>
      </w:r>
      <w:r w:rsidR="00B072DE" w:rsidRPr="00C622CD">
        <w:rPr>
          <w:b/>
        </w:rPr>
        <w:t>esponding to the human rights challenges in the Philippines requires a long term and consistent approach</w:t>
      </w:r>
      <w:r w:rsidR="00793A3D">
        <w:rPr>
          <w:color w:val="000000" w:themeColor="text1"/>
          <w:sz w:val="24"/>
          <w:szCs w:val="24"/>
          <w:lang w:val="en-PH"/>
        </w:rPr>
        <w:t xml:space="preserve"> </w:t>
      </w:r>
      <w:r w:rsidR="00793A3D" w:rsidRPr="00793A3D">
        <w:rPr>
          <w:b/>
          <w:lang w:val="en-PH"/>
        </w:rPr>
        <w:t>which engages with the broader development and humanitarian context</w:t>
      </w:r>
      <w:r w:rsidR="00B072DE" w:rsidRPr="00C622CD">
        <w:rPr>
          <w:b/>
        </w:rPr>
        <w:t xml:space="preserve">. </w:t>
      </w:r>
      <w:r w:rsidR="00B072DE" w:rsidRPr="00C622CD">
        <w:rPr>
          <w:b/>
          <w:lang w:val="en-US"/>
        </w:rPr>
        <w:t xml:space="preserve">Agreement and initial implementation of the UNJP is a positive step towards </w:t>
      </w:r>
      <w:r w:rsidR="00B072DE" w:rsidRPr="00C622CD">
        <w:rPr>
          <w:b/>
        </w:rPr>
        <w:t xml:space="preserve">greater impact on </w:t>
      </w:r>
      <w:r w:rsidR="00B072DE" w:rsidRPr="00C622CD">
        <w:rPr>
          <w:b/>
          <w:lang w:val="en-US"/>
        </w:rPr>
        <w:t>long-standing human rights issues</w:t>
      </w:r>
      <w:r w:rsidR="00B072DE" w:rsidRPr="00C622CD">
        <w:rPr>
          <w:b/>
        </w:rPr>
        <w:t>.</w:t>
      </w:r>
      <w:r w:rsidR="00B072DE" w:rsidRPr="00C622CD">
        <w:rPr>
          <w:b/>
          <w:lang w:val="en-US"/>
        </w:rPr>
        <w:t xml:space="preserve"> </w:t>
      </w:r>
      <w:r w:rsidR="00B072DE" w:rsidRPr="00C622CD">
        <w:rPr>
          <w:b/>
        </w:rPr>
        <w:t xml:space="preserve">The High Commissioner recognizes that it is a complex task requiring delicate balancing to deliver concrete </w:t>
      </w:r>
      <w:r w:rsidR="00793A3D">
        <w:rPr>
          <w:b/>
        </w:rPr>
        <w:t xml:space="preserve">and urgent </w:t>
      </w:r>
      <w:r w:rsidR="00B072DE" w:rsidRPr="00C622CD">
        <w:rPr>
          <w:b/>
        </w:rPr>
        <w:t xml:space="preserve">progress on issues such as accountability, while recognizing the long term and structural nature many of these core human rights challenges present. </w:t>
      </w:r>
    </w:p>
    <w:p w14:paraId="5D8DEA10" w14:textId="3EC91924" w:rsidR="00B072DE" w:rsidRPr="00C622CD" w:rsidRDefault="00061BA7" w:rsidP="003409CD">
      <w:pPr>
        <w:pStyle w:val="SingleTxtG"/>
        <w:rPr>
          <w:b/>
          <w:lang w:val="en-US"/>
        </w:rPr>
      </w:pPr>
      <w:r w:rsidRPr="0019355E">
        <w:t>6</w:t>
      </w:r>
      <w:r w:rsidR="00707974" w:rsidRPr="0019355E">
        <w:t>1</w:t>
      </w:r>
      <w:r w:rsidRPr="0019355E">
        <w:t>.</w:t>
      </w:r>
      <w:r>
        <w:rPr>
          <w:b/>
        </w:rPr>
        <w:tab/>
      </w:r>
      <w:r w:rsidR="00793A3D">
        <w:rPr>
          <w:b/>
        </w:rPr>
        <w:t>T</w:t>
      </w:r>
      <w:r w:rsidR="00B072DE" w:rsidRPr="00C622CD">
        <w:rPr>
          <w:b/>
        </w:rPr>
        <w:t xml:space="preserve">he UNJP provides a framework </w:t>
      </w:r>
      <w:r w:rsidR="00793A3D">
        <w:rPr>
          <w:b/>
        </w:rPr>
        <w:t xml:space="preserve">for combined action by diverse stakeholders </w:t>
      </w:r>
      <w:r w:rsidR="00B072DE" w:rsidRPr="00C622CD">
        <w:rPr>
          <w:b/>
        </w:rPr>
        <w:t xml:space="preserve">to achieve concrete change on the ground.  </w:t>
      </w:r>
      <w:r w:rsidR="00793A3D" w:rsidRPr="00793A3D">
        <w:rPr>
          <w:b/>
          <w:lang w:val="en-PH"/>
        </w:rPr>
        <w:t xml:space="preserve">While </w:t>
      </w:r>
      <w:r w:rsidR="00793A3D" w:rsidRPr="00793A3D">
        <w:rPr>
          <w:b/>
          <w:lang w:val="en-US"/>
        </w:rPr>
        <w:t>implementation remains at an early stage, the initial progress has laid a solid foundation for future technical cooperation and capacity building. It is critical to maintain this momentum and commitment.</w:t>
      </w:r>
    </w:p>
    <w:p w14:paraId="0800FE40" w14:textId="7C804D4A" w:rsidR="00B072DE" w:rsidRPr="00C622CD" w:rsidRDefault="00C07E69" w:rsidP="003409CD">
      <w:pPr>
        <w:pStyle w:val="SingleTxtG"/>
        <w:rPr>
          <w:b/>
          <w:lang w:val="en-US"/>
        </w:rPr>
      </w:pPr>
      <w:r w:rsidRPr="0019355E">
        <w:rPr>
          <w:lang w:val="en-US"/>
        </w:rPr>
        <w:t>6</w:t>
      </w:r>
      <w:r w:rsidR="00707974" w:rsidRPr="0019355E">
        <w:rPr>
          <w:lang w:val="en-US"/>
        </w:rPr>
        <w:t>2</w:t>
      </w:r>
      <w:r w:rsidRPr="0019355E">
        <w:rPr>
          <w:lang w:val="en-US"/>
        </w:rPr>
        <w:t>.</w:t>
      </w:r>
      <w:r w:rsidRPr="00C622CD">
        <w:rPr>
          <w:b/>
          <w:lang w:val="en-US"/>
        </w:rPr>
        <w:tab/>
      </w:r>
      <w:r w:rsidR="00B072DE" w:rsidRPr="00C622CD">
        <w:rPr>
          <w:b/>
          <w:lang w:val="en-US"/>
        </w:rPr>
        <w:t xml:space="preserve">At the same time, the continued reports of harassment, threats, arrests, attacks, red tagging </w:t>
      </w:r>
      <w:r w:rsidR="003409CD">
        <w:rPr>
          <w:b/>
          <w:lang w:val="en-US"/>
        </w:rPr>
        <w:t>against civil society actors</w:t>
      </w:r>
      <w:r w:rsidR="00B072DE" w:rsidRPr="00C622CD">
        <w:rPr>
          <w:b/>
          <w:lang w:val="en-US"/>
        </w:rPr>
        <w:t>, as well as the continued drug related killings by police in the past two years, raise serious ongoing concerns</w:t>
      </w:r>
      <w:r w:rsidR="003409CD">
        <w:rPr>
          <w:b/>
          <w:lang w:val="en-US"/>
        </w:rPr>
        <w:t xml:space="preserve"> and undermine th</w:t>
      </w:r>
      <w:r w:rsidR="00E12516">
        <w:rPr>
          <w:b/>
          <w:lang w:val="en-US"/>
        </w:rPr>
        <w:t>e</w:t>
      </w:r>
      <w:r w:rsidR="003409CD">
        <w:rPr>
          <w:b/>
          <w:lang w:val="en-US"/>
        </w:rPr>
        <w:t>s</w:t>
      </w:r>
      <w:r w:rsidR="00E12516">
        <w:rPr>
          <w:b/>
          <w:lang w:val="en-US"/>
        </w:rPr>
        <w:t>e</w:t>
      </w:r>
      <w:r w:rsidR="003409CD">
        <w:rPr>
          <w:b/>
          <w:lang w:val="en-US"/>
        </w:rPr>
        <w:t xml:space="preserve"> objective</w:t>
      </w:r>
      <w:r w:rsidR="00E12516">
        <w:rPr>
          <w:b/>
          <w:lang w:val="en-US"/>
        </w:rPr>
        <w:t>s</w:t>
      </w:r>
      <w:r w:rsidR="00B072DE" w:rsidRPr="00C622CD">
        <w:rPr>
          <w:b/>
          <w:lang w:val="en-US"/>
        </w:rPr>
        <w:t xml:space="preserve">. </w:t>
      </w:r>
      <w:r w:rsidR="00B072DE" w:rsidRPr="00C622CD">
        <w:rPr>
          <w:b/>
        </w:rPr>
        <w:t xml:space="preserve">The High Commissioner encourages the Government to take steps towards the protection of civic space </w:t>
      </w:r>
      <w:r w:rsidR="00793A3D" w:rsidRPr="00793A3D">
        <w:rPr>
          <w:b/>
          <w:lang w:val="en-PH"/>
        </w:rPr>
        <w:t xml:space="preserve">to enable constructive domestic discussions to address human rights challenges. </w:t>
      </w:r>
      <w:r w:rsidR="003409CD">
        <w:rPr>
          <w:b/>
        </w:rPr>
        <w:t xml:space="preserve"> </w:t>
      </w:r>
      <w:r w:rsidR="00B072DE" w:rsidRPr="00C622CD">
        <w:rPr>
          <w:b/>
          <w:lang w:val="en-US"/>
        </w:rPr>
        <w:t xml:space="preserve">There </w:t>
      </w:r>
      <w:r w:rsidR="003409CD">
        <w:rPr>
          <w:b/>
          <w:lang w:val="en-US"/>
        </w:rPr>
        <w:t>also needs to be further progress</w:t>
      </w:r>
      <w:r w:rsidR="00B072DE" w:rsidRPr="00C622CD">
        <w:rPr>
          <w:b/>
          <w:lang w:val="en-US"/>
        </w:rPr>
        <w:t xml:space="preserve"> on accountability, and the High Commissioner believes the Human Rights Council should continue to monitor closely the progress and outcome of domestic </w:t>
      </w:r>
      <w:r w:rsidR="00E02A47">
        <w:rPr>
          <w:b/>
          <w:lang w:val="en-US"/>
        </w:rPr>
        <w:t xml:space="preserve">and international </w:t>
      </w:r>
      <w:r w:rsidR="00B072DE" w:rsidRPr="00C622CD">
        <w:rPr>
          <w:b/>
          <w:lang w:val="en-US"/>
        </w:rPr>
        <w:t xml:space="preserve">initiatives to assess further approaches </w:t>
      </w:r>
      <w:r w:rsidR="00C1486D">
        <w:rPr>
          <w:b/>
          <w:lang w:val="en-US"/>
        </w:rPr>
        <w:t>that</w:t>
      </w:r>
      <w:r w:rsidR="00E12516">
        <w:rPr>
          <w:b/>
          <w:lang w:val="en-US"/>
        </w:rPr>
        <w:t xml:space="preserve"> </w:t>
      </w:r>
      <w:r w:rsidR="00B072DE" w:rsidRPr="00C622CD">
        <w:rPr>
          <w:b/>
          <w:lang w:val="en-US"/>
        </w:rPr>
        <w:t xml:space="preserve">may be required.  </w:t>
      </w:r>
    </w:p>
    <w:p w14:paraId="48D8723D" w14:textId="1ABB1ECA" w:rsidR="00B072DE" w:rsidRPr="00C622CD" w:rsidRDefault="00666C6D" w:rsidP="001B3436">
      <w:pPr>
        <w:pStyle w:val="SingleTxtG"/>
        <w:rPr>
          <w:b/>
          <w:lang w:val="en-US"/>
        </w:rPr>
      </w:pPr>
      <w:r w:rsidRPr="0019355E">
        <w:rPr>
          <w:lang w:val="en-US"/>
        </w:rPr>
        <w:t>6</w:t>
      </w:r>
      <w:r w:rsidR="00707974" w:rsidRPr="0019355E">
        <w:rPr>
          <w:lang w:val="en-US"/>
        </w:rPr>
        <w:t>3</w:t>
      </w:r>
      <w:r w:rsidR="00C07E69" w:rsidRPr="0019355E">
        <w:rPr>
          <w:lang w:val="en-US"/>
        </w:rPr>
        <w:t>.</w:t>
      </w:r>
      <w:r w:rsidR="00C07E69" w:rsidRPr="00F944AF">
        <w:rPr>
          <w:lang w:val="en-US"/>
        </w:rPr>
        <w:tab/>
      </w:r>
      <w:r w:rsidR="00B072DE" w:rsidRPr="00C622CD">
        <w:rPr>
          <w:b/>
          <w:lang w:val="en-US"/>
        </w:rPr>
        <w:t>The High Commissioner welcomes the commitment of the new administration to continued cooperation with the U</w:t>
      </w:r>
      <w:r w:rsidR="000424DC">
        <w:rPr>
          <w:b/>
          <w:lang w:val="en-US"/>
        </w:rPr>
        <w:t xml:space="preserve">nited </w:t>
      </w:r>
      <w:r w:rsidR="00B072DE" w:rsidRPr="00C622CD">
        <w:rPr>
          <w:b/>
          <w:lang w:val="en-US"/>
        </w:rPr>
        <w:t>N</w:t>
      </w:r>
      <w:r w:rsidR="000424DC">
        <w:rPr>
          <w:b/>
          <w:lang w:val="en-US"/>
        </w:rPr>
        <w:t>ations</w:t>
      </w:r>
      <w:r w:rsidR="00B072DE" w:rsidRPr="00C622CD">
        <w:rPr>
          <w:b/>
          <w:lang w:val="en-US"/>
        </w:rPr>
        <w:t xml:space="preserve"> human rights mechanisms</w:t>
      </w:r>
      <w:r w:rsidR="00B2361F">
        <w:rPr>
          <w:b/>
          <w:lang w:val="en-US"/>
        </w:rPr>
        <w:t xml:space="preserve">, </w:t>
      </w:r>
      <w:r w:rsidR="00061BA7">
        <w:rPr>
          <w:b/>
          <w:lang w:val="en-US"/>
        </w:rPr>
        <w:t>including</w:t>
      </w:r>
      <w:r w:rsidR="00061BA7" w:rsidRPr="00C622CD">
        <w:rPr>
          <w:b/>
          <w:lang w:val="en-US"/>
        </w:rPr>
        <w:t xml:space="preserve"> through</w:t>
      </w:r>
      <w:r w:rsidR="00B072DE" w:rsidRPr="00C622CD">
        <w:rPr>
          <w:b/>
          <w:lang w:val="en-US"/>
        </w:rPr>
        <w:t xml:space="preserve"> the UNJP. She hopes the new administration will adopt a transformative approach that looks to rights-based solutions to c</w:t>
      </w:r>
      <w:r w:rsidR="00793A3D">
        <w:rPr>
          <w:b/>
          <w:lang w:val="en-US"/>
        </w:rPr>
        <w:t>ritical issues, including c</w:t>
      </w:r>
      <w:r w:rsidR="00B072DE" w:rsidRPr="00C622CD">
        <w:rPr>
          <w:b/>
          <w:lang w:val="en-US"/>
        </w:rPr>
        <w:t xml:space="preserve">oncerns of drug enforcement and counter terrorism, and de-escalates </w:t>
      </w:r>
      <w:r w:rsidR="00FD145B">
        <w:rPr>
          <w:b/>
          <w:lang w:val="en-US"/>
        </w:rPr>
        <w:t xml:space="preserve">divisive </w:t>
      </w:r>
      <w:r w:rsidR="00B072DE" w:rsidRPr="00C622CD">
        <w:rPr>
          <w:b/>
          <w:lang w:val="en-US"/>
        </w:rPr>
        <w:t>rhetoric and destructive narratives</w:t>
      </w:r>
      <w:r w:rsidR="00FD145B">
        <w:rPr>
          <w:b/>
          <w:lang w:val="en-US"/>
        </w:rPr>
        <w:t>.</w:t>
      </w:r>
      <w:r w:rsidR="00B072DE" w:rsidRPr="00C622CD">
        <w:rPr>
          <w:b/>
          <w:lang w:val="en-US"/>
        </w:rPr>
        <w:t xml:space="preserve"> </w:t>
      </w:r>
    </w:p>
    <w:p w14:paraId="44E1B6C1" w14:textId="493C4BCD" w:rsidR="00B072DE" w:rsidRPr="00C622CD" w:rsidRDefault="00666C6D" w:rsidP="001B3436">
      <w:pPr>
        <w:pStyle w:val="SingleTxtG"/>
        <w:rPr>
          <w:b/>
          <w:lang w:val="en-US"/>
        </w:rPr>
      </w:pPr>
      <w:r w:rsidRPr="0019355E">
        <w:rPr>
          <w:lang w:val="en-US"/>
        </w:rPr>
        <w:t>6</w:t>
      </w:r>
      <w:r w:rsidR="00707974" w:rsidRPr="0019355E">
        <w:rPr>
          <w:lang w:val="en-US"/>
        </w:rPr>
        <w:t>4</w:t>
      </w:r>
      <w:r w:rsidR="00C07E69" w:rsidRPr="0019355E">
        <w:rPr>
          <w:lang w:val="en-US"/>
        </w:rPr>
        <w:t>.</w:t>
      </w:r>
      <w:r w:rsidR="00C07E69" w:rsidRPr="0019355E">
        <w:rPr>
          <w:lang w:val="en-US"/>
        </w:rPr>
        <w:tab/>
      </w:r>
      <w:r w:rsidR="00B072DE" w:rsidRPr="00C622CD">
        <w:rPr>
          <w:b/>
          <w:lang w:val="en-US"/>
        </w:rPr>
        <w:t xml:space="preserve">OHCHR </w:t>
      </w:r>
      <w:r w:rsidR="00FD145B">
        <w:rPr>
          <w:b/>
          <w:lang w:val="en-US"/>
        </w:rPr>
        <w:t>remains</w:t>
      </w:r>
      <w:r w:rsidR="00FD145B" w:rsidRPr="00C622CD">
        <w:rPr>
          <w:b/>
          <w:lang w:val="en-US"/>
        </w:rPr>
        <w:t xml:space="preserve"> </w:t>
      </w:r>
      <w:r w:rsidR="00B072DE" w:rsidRPr="00C622CD">
        <w:rPr>
          <w:b/>
          <w:lang w:val="en-US"/>
        </w:rPr>
        <w:t xml:space="preserve">committed to working with the new </w:t>
      </w:r>
      <w:r w:rsidR="00FD145B">
        <w:rPr>
          <w:b/>
          <w:lang w:val="en-US"/>
        </w:rPr>
        <w:t>Government</w:t>
      </w:r>
      <w:r w:rsidR="00B072DE" w:rsidRPr="00C622CD">
        <w:rPr>
          <w:b/>
          <w:lang w:val="en-US"/>
        </w:rPr>
        <w:t xml:space="preserve">, CHRP, CSOs and other partners to accelerate the UNJP implementation.  The High Commissioner believes the Human Rights Council should continue to support and encourage this progress and further evaluate the results of these efforts </w:t>
      </w:r>
      <w:r w:rsidR="00E12516">
        <w:rPr>
          <w:b/>
          <w:lang w:val="en-US"/>
        </w:rPr>
        <w:t>with</w:t>
      </w:r>
      <w:r w:rsidR="00B072DE" w:rsidRPr="00C622CD">
        <w:rPr>
          <w:b/>
          <w:lang w:val="en-US"/>
        </w:rPr>
        <w:t>in the coming two years.</w:t>
      </w:r>
    </w:p>
    <w:p w14:paraId="2F1ADA59" w14:textId="2934CE51" w:rsidR="00B072DE" w:rsidRPr="00C622CD" w:rsidRDefault="00666C6D" w:rsidP="001B3436">
      <w:pPr>
        <w:pStyle w:val="SingleTxtG"/>
        <w:rPr>
          <w:b/>
          <w:lang w:val="en-US"/>
        </w:rPr>
      </w:pPr>
      <w:r w:rsidRPr="0019355E">
        <w:rPr>
          <w:lang w:val="en-US"/>
        </w:rPr>
        <w:t>6</w:t>
      </w:r>
      <w:r w:rsidR="00707974" w:rsidRPr="0019355E">
        <w:rPr>
          <w:lang w:val="en-US"/>
        </w:rPr>
        <w:t>5</w:t>
      </w:r>
      <w:r w:rsidR="00C07E69" w:rsidRPr="0019355E">
        <w:rPr>
          <w:lang w:val="en-US"/>
        </w:rPr>
        <w:t>.</w:t>
      </w:r>
      <w:r w:rsidR="00C07E69" w:rsidRPr="00C622CD">
        <w:rPr>
          <w:b/>
          <w:lang w:val="en-US"/>
        </w:rPr>
        <w:tab/>
      </w:r>
      <w:r w:rsidR="00B072DE" w:rsidRPr="00C622CD">
        <w:rPr>
          <w:b/>
          <w:lang w:val="en-US"/>
        </w:rPr>
        <w:t xml:space="preserve">The High Commissioner provides the following recommendations to the Government of the Philippines: </w:t>
      </w:r>
    </w:p>
    <w:p w14:paraId="4ADDCDBE" w14:textId="5BC6449B" w:rsidR="00B072DE" w:rsidRPr="00C622CD" w:rsidRDefault="00B072DE" w:rsidP="002D585B">
      <w:pPr>
        <w:pStyle w:val="SingleTxtG"/>
        <w:ind w:firstLine="567"/>
        <w:rPr>
          <w:b/>
          <w:lang w:val="en-US"/>
        </w:rPr>
      </w:pPr>
      <w:r w:rsidRPr="0019355E">
        <w:rPr>
          <w:lang w:val="en-US"/>
        </w:rPr>
        <w:t>(a)</w:t>
      </w:r>
      <w:r w:rsidR="0019355E" w:rsidRPr="0019355E">
        <w:rPr>
          <w:lang w:val="en-US"/>
        </w:rPr>
        <w:tab/>
      </w:r>
      <w:r w:rsidRPr="00C622CD">
        <w:rPr>
          <w:b/>
          <w:lang w:val="en-US"/>
        </w:rPr>
        <w:t>In the area of domestic investigative and accountability measures:</w:t>
      </w:r>
    </w:p>
    <w:p w14:paraId="18F816A5" w14:textId="69DBC0E8" w:rsidR="00B072DE" w:rsidRPr="00C622CD" w:rsidRDefault="00CC6242" w:rsidP="0019355E">
      <w:pPr>
        <w:pStyle w:val="SingleTxtG"/>
        <w:ind w:left="1701"/>
        <w:rPr>
          <w:b/>
        </w:rPr>
      </w:pPr>
      <w:r w:rsidRPr="0019355E">
        <w:t>(i)</w:t>
      </w:r>
      <w:r w:rsidRPr="00C622CD">
        <w:rPr>
          <w:b/>
        </w:rPr>
        <w:tab/>
      </w:r>
      <w:r w:rsidR="00B072DE" w:rsidRPr="00C622CD">
        <w:rPr>
          <w:b/>
        </w:rPr>
        <w:t xml:space="preserve">Conduct prompt, impartial, thorough, transparent investigations into all killings, and alleged violations of international human rights law and international humanitarian law, with a view to prosecution and to the provision of remedies for victims and their families; </w:t>
      </w:r>
    </w:p>
    <w:p w14:paraId="5C80C8F4" w14:textId="115E07D0" w:rsidR="005E0A33" w:rsidRDefault="002D585B" w:rsidP="0019355E">
      <w:pPr>
        <w:pStyle w:val="SingleTxtG"/>
        <w:ind w:left="1701"/>
        <w:rPr>
          <w:b/>
        </w:rPr>
      </w:pPr>
      <w:r w:rsidRPr="0019355E">
        <w:t>(ii)</w:t>
      </w:r>
      <w:r w:rsidRPr="00C622CD">
        <w:rPr>
          <w:b/>
        </w:rPr>
        <w:tab/>
      </w:r>
      <w:r w:rsidR="00B072DE" w:rsidRPr="00C622CD">
        <w:rPr>
          <w:b/>
        </w:rPr>
        <w:t>Accelerate the work of the Interagency Review Panel to undertake review of anti-illegal drug operations where deaths occurred; ensure that relevant findings are acted on promptly, including through internal and criminal processes;</w:t>
      </w:r>
      <w:r w:rsidR="00FD145B" w:rsidRPr="00E12516">
        <w:rPr>
          <w:b/>
        </w:rPr>
        <w:t xml:space="preserve"> </w:t>
      </w:r>
      <w:r w:rsidR="00E12516" w:rsidRPr="00E12516">
        <w:rPr>
          <w:b/>
        </w:rPr>
        <w:t xml:space="preserve">and </w:t>
      </w:r>
      <w:r w:rsidR="00FD145B" w:rsidRPr="000E3415">
        <w:rPr>
          <w:b/>
        </w:rPr>
        <w:t>ensure</w:t>
      </w:r>
      <w:r w:rsidR="00FD145B" w:rsidRPr="00FD145B">
        <w:rPr>
          <w:b/>
          <w:bCs/>
          <w:lang w:val="en-US"/>
        </w:rPr>
        <w:t xml:space="preserve"> the review identifies any systemic failures and root causes</w:t>
      </w:r>
      <w:r w:rsidR="00FD145B">
        <w:rPr>
          <w:b/>
          <w:bCs/>
          <w:lang w:val="en-US"/>
        </w:rPr>
        <w:t>;</w:t>
      </w:r>
    </w:p>
    <w:p w14:paraId="697F5C06" w14:textId="7CF61572" w:rsidR="005E0A33" w:rsidRDefault="002D585B" w:rsidP="0019355E">
      <w:pPr>
        <w:pStyle w:val="SingleTxtG"/>
        <w:ind w:left="1701"/>
        <w:rPr>
          <w:b/>
        </w:rPr>
      </w:pPr>
      <w:r w:rsidRPr="0019355E">
        <w:lastRenderedPageBreak/>
        <w:t>(iii)</w:t>
      </w:r>
      <w:r w:rsidRPr="0019355E">
        <w:tab/>
      </w:r>
      <w:r w:rsidR="00B072DE" w:rsidRPr="00C622CD">
        <w:rPr>
          <w:b/>
        </w:rPr>
        <w:t xml:space="preserve">Ensure that the AO35 </w:t>
      </w:r>
      <w:r w:rsidR="00E12516">
        <w:rPr>
          <w:b/>
        </w:rPr>
        <w:t>M</w:t>
      </w:r>
      <w:r w:rsidR="00B072DE" w:rsidRPr="00C622CD">
        <w:rPr>
          <w:b/>
        </w:rPr>
        <w:t>echanism is adequately resourced and has the investigative capacity to conduct its work independently and impartially, with meaningful participation of the CHRP, victims’ families, and CSOs;</w:t>
      </w:r>
      <w:r w:rsidR="00FD145B">
        <w:rPr>
          <w:b/>
        </w:rPr>
        <w:t xml:space="preserve"> </w:t>
      </w:r>
    </w:p>
    <w:p w14:paraId="7A37CD8A" w14:textId="47A7A40A" w:rsidR="0021709F" w:rsidRDefault="002D585B" w:rsidP="0019355E">
      <w:pPr>
        <w:pStyle w:val="SingleTxtG"/>
        <w:ind w:left="1701"/>
        <w:rPr>
          <w:b/>
        </w:rPr>
      </w:pPr>
      <w:r w:rsidRPr="0019355E">
        <w:t>(</w:t>
      </w:r>
      <w:r w:rsidR="00066F3B" w:rsidRPr="0019355E">
        <w:t>i</w:t>
      </w:r>
      <w:r w:rsidRPr="0019355E">
        <w:t>v)</w:t>
      </w:r>
      <w:r w:rsidRPr="00C622CD">
        <w:rPr>
          <w:b/>
        </w:rPr>
        <w:tab/>
      </w:r>
      <w:r w:rsidR="000470DE">
        <w:rPr>
          <w:b/>
        </w:rPr>
        <w:t xml:space="preserve">Improve transparency by issuing </w:t>
      </w:r>
      <w:r w:rsidR="000470DE" w:rsidRPr="00C622CD">
        <w:rPr>
          <w:b/>
        </w:rPr>
        <w:t>consistent, disaggregated data on all allegations of human rights violations</w:t>
      </w:r>
      <w:r w:rsidR="000470DE">
        <w:rPr>
          <w:b/>
        </w:rPr>
        <w:t>,</w:t>
      </w:r>
      <w:r w:rsidR="000470DE" w:rsidRPr="00C622CD">
        <w:rPr>
          <w:b/>
        </w:rPr>
        <w:t xml:space="preserve"> </w:t>
      </w:r>
      <w:r w:rsidR="000470DE">
        <w:rPr>
          <w:b/>
        </w:rPr>
        <w:t xml:space="preserve">and </w:t>
      </w:r>
      <w:r w:rsidR="00B072DE" w:rsidRPr="00C622CD">
        <w:rPr>
          <w:b/>
        </w:rPr>
        <w:t xml:space="preserve">regular reports from the AO35 </w:t>
      </w:r>
      <w:r w:rsidR="00E12516">
        <w:rPr>
          <w:b/>
        </w:rPr>
        <w:t xml:space="preserve">Mechanism </w:t>
      </w:r>
      <w:r w:rsidR="00B072DE" w:rsidRPr="00C622CD">
        <w:rPr>
          <w:b/>
        </w:rPr>
        <w:t xml:space="preserve">and the Interagency Review Panel on the status </w:t>
      </w:r>
      <w:r w:rsidR="000470DE">
        <w:rPr>
          <w:b/>
        </w:rPr>
        <w:t xml:space="preserve">and outcome </w:t>
      </w:r>
      <w:r w:rsidR="00B072DE" w:rsidRPr="00C622CD">
        <w:rPr>
          <w:b/>
        </w:rPr>
        <w:t xml:space="preserve">of </w:t>
      </w:r>
      <w:r w:rsidR="00B072DE" w:rsidRPr="000E3415">
        <w:rPr>
          <w:b/>
          <w:bCs/>
          <w:lang w:val="en-US"/>
        </w:rPr>
        <w:t>investigations</w:t>
      </w:r>
      <w:r w:rsidR="00B072DE" w:rsidRPr="00C622CD">
        <w:rPr>
          <w:b/>
        </w:rPr>
        <w:t>;</w:t>
      </w:r>
    </w:p>
    <w:p w14:paraId="3ECB1F6A" w14:textId="189742AF" w:rsidR="00FD145B" w:rsidRPr="00C622CD" w:rsidRDefault="002D585B" w:rsidP="0019355E">
      <w:pPr>
        <w:pStyle w:val="SingleTxtG"/>
        <w:ind w:left="1701"/>
        <w:rPr>
          <w:b/>
        </w:rPr>
      </w:pPr>
      <w:r w:rsidRPr="0019355E">
        <w:t>(v)</w:t>
      </w:r>
      <w:r w:rsidRPr="0019355E">
        <w:tab/>
      </w:r>
      <w:r w:rsidR="0021709F">
        <w:rPr>
          <w:b/>
          <w:bCs/>
          <w:lang w:val="en-US"/>
        </w:rPr>
        <w:t>Ensure victim-centred approaches</w:t>
      </w:r>
      <w:r w:rsidR="00956AF1">
        <w:rPr>
          <w:b/>
          <w:bCs/>
          <w:lang w:val="en-US"/>
        </w:rPr>
        <w:t>,</w:t>
      </w:r>
      <w:r w:rsidR="00FD145B" w:rsidRPr="00FD145B">
        <w:rPr>
          <w:b/>
          <w:bCs/>
          <w:lang w:val="en-US"/>
        </w:rPr>
        <w:t xml:space="preserve"> includ</w:t>
      </w:r>
      <w:r w:rsidR="00E12516">
        <w:rPr>
          <w:b/>
          <w:bCs/>
          <w:lang w:val="en-US"/>
        </w:rPr>
        <w:t xml:space="preserve">ing access to </w:t>
      </w:r>
      <w:r w:rsidR="0021709F">
        <w:rPr>
          <w:b/>
          <w:bCs/>
          <w:lang w:val="en-US"/>
        </w:rPr>
        <w:t xml:space="preserve">reparation, </w:t>
      </w:r>
      <w:r w:rsidR="00956AF1" w:rsidRPr="00956AF1">
        <w:rPr>
          <w:b/>
          <w:bCs/>
          <w:lang w:val="en-US"/>
        </w:rPr>
        <w:t xml:space="preserve">legal and psychological support </w:t>
      </w:r>
      <w:r w:rsidR="0021709F">
        <w:rPr>
          <w:b/>
          <w:bCs/>
          <w:lang w:val="en-US"/>
        </w:rPr>
        <w:t>and effective protection</w:t>
      </w:r>
      <w:r w:rsidR="00956AF1" w:rsidRPr="00956AF1">
        <w:rPr>
          <w:b/>
          <w:bCs/>
          <w:lang w:val="en-US"/>
        </w:rPr>
        <w:t xml:space="preserve"> from reprisals;</w:t>
      </w:r>
      <w:r w:rsidR="00FD145B">
        <w:rPr>
          <w:b/>
        </w:rPr>
        <w:t xml:space="preserve"> a</w:t>
      </w:r>
      <w:r w:rsidR="00FD145B" w:rsidRPr="00FD145B">
        <w:rPr>
          <w:b/>
          <w:bCs/>
          <w:lang w:val="en-US"/>
        </w:rPr>
        <w:t>ddress the specific needs of children affected by the anti-illegal drug campaign</w:t>
      </w:r>
      <w:r w:rsidR="004A19CF">
        <w:rPr>
          <w:b/>
          <w:bCs/>
          <w:lang w:val="en-US"/>
        </w:rPr>
        <w:t xml:space="preserve">, including </w:t>
      </w:r>
      <w:r w:rsidR="00E952D0">
        <w:rPr>
          <w:b/>
          <w:bCs/>
          <w:lang w:val="en-US"/>
        </w:rPr>
        <w:t>children</w:t>
      </w:r>
      <w:r w:rsidR="004A19CF">
        <w:rPr>
          <w:b/>
          <w:bCs/>
          <w:lang w:val="en-US"/>
        </w:rPr>
        <w:t xml:space="preserve"> in conflict with the law</w:t>
      </w:r>
      <w:r w:rsidR="0021709F">
        <w:rPr>
          <w:b/>
          <w:bCs/>
          <w:lang w:val="en-US"/>
        </w:rPr>
        <w:t>;</w:t>
      </w:r>
    </w:p>
    <w:p w14:paraId="6AE1B136" w14:textId="2AEB636D" w:rsidR="00B072DE" w:rsidRPr="00C622CD" w:rsidRDefault="00B072DE" w:rsidP="002D585B">
      <w:pPr>
        <w:pStyle w:val="SingleTxtG"/>
        <w:ind w:firstLine="567"/>
        <w:rPr>
          <w:b/>
        </w:rPr>
      </w:pPr>
      <w:r w:rsidRPr="0019355E">
        <w:t>(b)</w:t>
      </w:r>
      <w:r w:rsidR="002D585B" w:rsidRPr="0019355E">
        <w:tab/>
      </w:r>
      <w:r w:rsidRPr="00C622CD">
        <w:rPr>
          <w:b/>
        </w:rPr>
        <w:t>In the area of data gathering on alleged police violations:</w:t>
      </w:r>
    </w:p>
    <w:p w14:paraId="77CE6687" w14:textId="146E33E8" w:rsidR="00B072DE" w:rsidRDefault="002D585B" w:rsidP="0019355E">
      <w:pPr>
        <w:pStyle w:val="SingleTxtG"/>
        <w:ind w:left="1701"/>
        <w:rPr>
          <w:b/>
          <w:bCs/>
          <w:lang w:val="en-US"/>
        </w:rPr>
      </w:pPr>
      <w:r w:rsidRPr="0019355E">
        <w:t>(i)</w:t>
      </w:r>
      <w:r w:rsidRPr="0019355E">
        <w:tab/>
      </w:r>
      <w:r w:rsidR="00B072DE" w:rsidRPr="00C622CD">
        <w:rPr>
          <w:b/>
        </w:rPr>
        <w:t xml:space="preserve">Strengthen cooperation between the Philippine National Police, the CHRP, </w:t>
      </w:r>
      <w:r w:rsidR="00FD145B" w:rsidRPr="00FD145B">
        <w:rPr>
          <w:b/>
          <w:bCs/>
          <w:lang w:val="en-US"/>
        </w:rPr>
        <w:t>the D</w:t>
      </w:r>
      <w:r w:rsidR="00FD145B">
        <w:rPr>
          <w:b/>
          <w:bCs/>
          <w:lang w:val="en-US"/>
        </w:rPr>
        <w:t xml:space="preserve">epartment </w:t>
      </w:r>
      <w:r w:rsidR="00E12516">
        <w:rPr>
          <w:b/>
          <w:bCs/>
          <w:lang w:val="en-US"/>
        </w:rPr>
        <w:t>o</w:t>
      </w:r>
      <w:r w:rsidR="00FD145B">
        <w:rPr>
          <w:b/>
          <w:bCs/>
          <w:lang w:val="en-US"/>
        </w:rPr>
        <w:t xml:space="preserve">f </w:t>
      </w:r>
      <w:r w:rsidR="00FD145B" w:rsidRPr="00FD145B">
        <w:rPr>
          <w:b/>
          <w:bCs/>
          <w:lang w:val="en-US"/>
        </w:rPr>
        <w:t>J</w:t>
      </w:r>
      <w:r w:rsidR="00FD145B">
        <w:rPr>
          <w:b/>
          <w:bCs/>
          <w:lang w:val="en-US"/>
        </w:rPr>
        <w:t>ustice</w:t>
      </w:r>
      <w:r w:rsidR="00FD145B" w:rsidRPr="00FD145B">
        <w:rPr>
          <w:b/>
          <w:bCs/>
          <w:lang w:val="en-US"/>
        </w:rPr>
        <w:t xml:space="preserve"> </w:t>
      </w:r>
      <w:r w:rsidR="009C640C">
        <w:rPr>
          <w:b/>
          <w:bCs/>
          <w:lang w:val="en-US"/>
        </w:rPr>
        <w:t>Interagency</w:t>
      </w:r>
      <w:r w:rsidR="009C640C" w:rsidRPr="00FD145B">
        <w:rPr>
          <w:b/>
          <w:bCs/>
          <w:lang w:val="en-US"/>
        </w:rPr>
        <w:t xml:space="preserve"> </w:t>
      </w:r>
      <w:r w:rsidR="00FD145B" w:rsidRPr="00FD145B">
        <w:rPr>
          <w:b/>
          <w:bCs/>
          <w:lang w:val="en-US"/>
        </w:rPr>
        <w:t xml:space="preserve">Review Panel and </w:t>
      </w:r>
      <w:r w:rsidR="00B072DE" w:rsidRPr="00C622CD">
        <w:rPr>
          <w:b/>
        </w:rPr>
        <w:t>CSOs to facilitate comprehensive investigations;</w:t>
      </w:r>
      <w:r w:rsidR="00FD145B">
        <w:rPr>
          <w:b/>
        </w:rPr>
        <w:t xml:space="preserve"> </w:t>
      </w:r>
      <w:r w:rsidR="00E12516">
        <w:rPr>
          <w:b/>
        </w:rPr>
        <w:t xml:space="preserve">and </w:t>
      </w:r>
      <w:r w:rsidR="00FD145B" w:rsidRPr="00FD145B">
        <w:rPr>
          <w:b/>
          <w:bCs/>
          <w:lang w:val="en-US"/>
        </w:rPr>
        <w:t>revise administrative and executive orders that prevent the disclosure of relevant information to bodies mandated to investigate human rights violations</w:t>
      </w:r>
      <w:r w:rsidR="00FD145B">
        <w:rPr>
          <w:b/>
          <w:bCs/>
          <w:lang w:val="en-US"/>
        </w:rPr>
        <w:t>;</w:t>
      </w:r>
    </w:p>
    <w:p w14:paraId="3ED27211" w14:textId="6874AED7" w:rsidR="00FD145B" w:rsidRDefault="00FD145B" w:rsidP="0019355E">
      <w:pPr>
        <w:pStyle w:val="SingleTxtG"/>
        <w:ind w:left="1701"/>
        <w:rPr>
          <w:b/>
          <w:bCs/>
          <w:lang w:val="en-US"/>
        </w:rPr>
      </w:pPr>
      <w:r w:rsidRPr="0019355E">
        <w:t xml:space="preserve">(ii) </w:t>
      </w:r>
      <w:r w:rsidRPr="0019355E">
        <w:tab/>
      </w:r>
      <w:r w:rsidRPr="00FD145B">
        <w:rPr>
          <w:b/>
          <w:bCs/>
          <w:lang w:val="en-US"/>
        </w:rPr>
        <w:t xml:space="preserve">Revise operational frameworks, guidelines and procedures related to </w:t>
      </w:r>
      <w:r w:rsidR="00956AF1">
        <w:rPr>
          <w:b/>
          <w:bCs/>
          <w:lang w:val="en-US"/>
        </w:rPr>
        <w:t xml:space="preserve">the </w:t>
      </w:r>
      <w:r w:rsidRPr="00FD145B">
        <w:rPr>
          <w:b/>
          <w:bCs/>
          <w:lang w:val="en-US"/>
        </w:rPr>
        <w:t>use of force in drug operations, including planning, supervision, reporting, precautionary measures, accountability and oversight measures</w:t>
      </w:r>
      <w:r w:rsidR="0021709F">
        <w:rPr>
          <w:b/>
          <w:bCs/>
          <w:lang w:val="en-US"/>
        </w:rPr>
        <w:t>, in line with international human rights standards</w:t>
      </w:r>
      <w:r>
        <w:rPr>
          <w:b/>
          <w:bCs/>
          <w:lang w:val="en-US"/>
        </w:rPr>
        <w:t>;</w:t>
      </w:r>
    </w:p>
    <w:p w14:paraId="0C2BDB90" w14:textId="02424CB6" w:rsidR="00FD145B" w:rsidRPr="00C622CD" w:rsidRDefault="00FD145B" w:rsidP="0019355E">
      <w:pPr>
        <w:pStyle w:val="SingleTxtG"/>
        <w:ind w:left="1701"/>
        <w:rPr>
          <w:b/>
        </w:rPr>
      </w:pPr>
      <w:r w:rsidRPr="0019355E">
        <w:t>(</w:t>
      </w:r>
      <w:r w:rsidR="00B41D91" w:rsidRPr="0019355E">
        <w:t>iii</w:t>
      </w:r>
      <w:r w:rsidRPr="0019355E">
        <w:t>)</w:t>
      </w:r>
      <w:r w:rsidRPr="0019355E">
        <w:tab/>
      </w:r>
      <w:r w:rsidRPr="00FD145B">
        <w:rPr>
          <w:b/>
        </w:rPr>
        <w:t>Ensure that quotas related to the number of arrests for drug related offences are removed and are not used as an indicator of successful law enforcement activity</w:t>
      </w:r>
      <w:r>
        <w:rPr>
          <w:b/>
        </w:rPr>
        <w:t>;</w:t>
      </w:r>
    </w:p>
    <w:p w14:paraId="72327D07" w14:textId="6E8F6AF4" w:rsidR="00B072DE" w:rsidRPr="00C622CD" w:rsidRDefault="00B072DE" w:rsidP="002D585B">
      <w:pPr>
        <w:pStyle w:val="SingleTxtG"/>
        <w:ind w:firstLine="567"/>
        <w:rPr>
          <w:b/>
        </w:rPr>
      </w:pPr>
      <w:r w:rsidRPr="0019355E">
        <w:t>(c)</w:t>
      </w:r>
      <w:r w:rsidR="002D585B" w:rsidRPr="0019355E">
        <w:tab/>
      </w:r>
      <w:r w:rsidRPr="00C622CD">
        <w:rPr>
          <w:b/>
        </w:rPr>
        <w:t>In the area of civic space and engagement with civil society and the CHRP:</w:t>
      </w:r>
    </w:p>
    <w:p w14:paraId="6388528D" w14:textId="4C268A21" w:rsidR="00D61C42" w:rsidRDefault="002D585B" w:rsidP="00C24D8B">
      <w:pPr>
        <w:pStyle w:val="SingleTxtG"/>
        <w:ind w:left="1701"/>
        <w:rPr>
          <w:b/>
        </w:rPr>
      </w:pPr>
      <w:r w:rsidRPr="0019355E">
        <w:t>(i)</w:t>
      </w:r>
      <w:r w:rsidRPr="0019355E">
        <w:tab/>
      </w:r>
      <w:r w:rsidR="00D61C42" w:rsidRPr="00C622CD">
        <w:rPr>
          <w:b/>
        </w:rPr>
        <w:t xml:space="preserve">Ensure </w:t>
      </w:r>
      <w:r w:rsidR="00D61C42">
        <w:rPr>
          <w:b/>
        </w:rPr>
        <w:t xml:space="preserve">the continued independence of the CHRP including through transparent and consultative appointment process for the new Commissioners, </w:t>
      </w:r>
      <w:r w:rsidR="00E12516">
        <w:rPr>
          <w:b/>
        </w:rPr>
        <w:t xml:space="preserve">in compliance </w:t>
      </w:r>
      <w:r w:rsidR="00D61C42" w:rsidRPr="00C622CD">
        <w:rPr>
          <w:b/>
        </w:rPr>
        <w:t>with the Paris Principles</w:t>
      </w:r>
      <w:r w:rsidR="00FF659E">
        <w:rPr>
          <w:b/>
        </w:rPr>
        <w:t>;</w:t>
      </w:r>
    </w:p>
    <w:p w14:paraId="41DE4E07" w14:textId="61893EAF" w:rsidR="00B072DE" w:rsidRPr="00C622CD" w:rsidRDefault="002D585B" w:rsidP="00C24D8B">
      <w:pPr>
        <w:pStyle w:val="SingleTxtG"/>
        <w:ind w:left="1701"/>
        <w:rPr>
          <w:b/>
        </w:rPr>
      </w:pPr>
      <w:r w:rsidRPr="0019355E">
        <w:t>(i</w:t>
      </w:r>
      <w:r w:rsidR="00FF659E" w:rsidRPr="0019355E">
        <w:t>i</w:t>
      </w:r>
      <w:r w:rsidRPr="0019355E">
        <w:t>)</w:t>
      </w:r>
      <w:r w:rsidRPr="00C622CD">
        <w:rPr>
          <w:b/>
        </w:rPr>
        <w:tab/>
      </w:r>
      <w:r w:rsidR="00B072DE" w:rsidRPr="00C622CD">
        <w:rPr>
          <w:b/>
        </w:rPr>
        <w:t xml:space="preserve">Prevent </w:t>
      </w:r>
      <w:r w:rsidR="007A4FBB">
        <w:rPr>
          <w:b/>
        </w:rPr>
        <w:t xml:space="preserve">and respond to </w:t>
      </w:r>
      <w:r w:rsidR="00B072DE" w:rsidRPr="00C622CD">
        <w:rPr>
          <w:b/>
        </w:rPr>
        <w:t>human rights violations and abuses against human rights defenders; end incitement to violence</w:t>
      </w:r>
      <w:r w:rsidR="007A4FBB">
        <w:rPr>
          <w:b/>
        </w:rPr>
        <w:t>,</w:t>
      </w:r>
      <w:r w:rsidR="00B072DE" w:rsidRPr="00C622CD">
        <w:rPr>
          <w:b/>
        </w:rPr>
        <w:t xml:space="preserve"> and threatening rhetoric against human rights defenders and other critics of the Government, offline and online</w:t>
      </w:r>
      <w:r w:rsidR="00EB510C">
        <w:rPr>
          <w:b/>
        </w:rPr>
        <w:t xml:space="preserve"> (</w:t>
      </w:r>
      <w:r w:rsidR="00836913">
        <w:rPr>
          <w:b/>
        </w:rPr>
        <w:t>e.g.,</w:t>
      </w:r>
      <w:r w:rsidR="00EB510C">
        <w:rPr>
          <w:b/>
        </w:rPr>
        <w:t xml:space="preserve"> </w:t>
      </w:r>
      <w:r w:rsidR="00B072DE" w:rsidRPr="00C622CD">
        <w:rPr>
          <w:b/>
        </w:rPr>
        <w:t>“red-tagging”</w:t>
      </w:r>
      <w:r w:rsidR="00EB510C">
        <w:rPr>
          <w:b/>
        </w:rPr>
        <w:t>)</w:t>
      </w:r>
      <w:r w:rsidR="00B072DE" w:rsidRPr="00C622CD">
        <w:rPr>
          <w:b/>
        </w:rPr>
        <w:t xml:space="preserve">; </w:t>
      </w:r>
      <w:r w:rsidR="00B72A89">
        <w:rPr>
          <w:b/>
        </w:rPr>
        <w:t xml:space="preserve">and </w:t>
      </w:r>
      <w:r w:rsidR="007A4FBB" w:rsidRPr="007A4FBB">
        <w:rPr>
          <w:b/>
          <w:lang w:val="en-PH"/>
        </w:rPr>
        <w:t>ensure accountability for any acts of intimidation or reprisal</w:t>
      </w:r>
      <w:r w:rsidR="00B072DE" w:rsidRPr="00C622CD">
        <w:rPr>
          <w:b/>
        </w:rPr>
        <w:t>;</w:t>
      </w:r>
    </w:p>
    <w:p w14:paraId="5DB8E538" w14:textId="1DBE56B8" w:rsidR="00B072DE" w:rsidRPr="00C622CD" w:rsidRDefault="002D585B" w:rsidP="00C24D8B">
      <w:pPr>
        <w:pStyle w:val="SingleTxtG"/>
        <w:ind w:left="1701"/>
        <w:rPr>
          <w:b/>
        </w:rPr>
      </w:pPr>
      <w:r w:rsidRPr="0019355E">
        <w:t>(i</w:t>
      </w:r>
      <w:r w:rsidR="00066F3B" w:rsidRPr="0019355E">
        <w:t>ii</w:t>
      </w:r>
      <w:r w:rsidRPr="0019355E">
        <w:t>)</w:t>
      </w:r>
      <w:r w:rsidRPr="00C622CD">
        <w:rPr>
          <w:b/>
        </w:rPr>
        <w:tab/>
      </w:r>
      <w:r w:rsidR="00B072DE" w:rsidRPr="00C622CD">
        <w:rPr>
          <w:b/>
        </w:rPr>
        <w:t>Enact and implement the proposed new legisla</w:t>
      </w:r>
      <w:r w:rsidR="001446E2">
        <w:rPr>
          <w:b/>
        </w:rPr>
        <w:t>tion on Human Rights Defenders;</w:t>
      </w:r>
    </w:p>
    <w:p w14:paraId="0B9B0B7B" w14:textId="2A11A01F" w:rsidR="00B072DE" w:rsidRDefault="002D585B" w:rsidP="00C24D8B">
      <w:pPr>
        <w:pStyle w:val="SingleTxtG"/>
        <w:ind w:left="1701"/>
        <w:rPr>
          <w:b/>
        </w:rPr>
      </w:pPr>
      <w:r w:rsidRPr="0019355E">
        <w:t>(</w:t>
      </w:r>
      <w:r w:rsidR="00066F3B" w:rsidRPr="0019355E">
        <w:t>i</w:t>
      </w:r>
      <w:r w:rsidR="00FF659E" w:rsidRPr="0019355E">
        <w:t>v</w:t>
      </w:r>
      <w:r w:rsidRPr="0019355E">
        <w:t>)</w:t>
      </w:r>
      <w:r w:rsidRPr="00C622CD">
        <w:rPr>
          <w:b/>
        </w:rPr>
        <w:tab/>
      </w:r>
      <w:r w:rsidR="00B072DE" w:rsidRPr="00C622CD">
        <w:rPr>
          <w:b/>
        </w:rPr>
        <w:t>Drop charges and other sanctions targeting the peaceful and legitimate work of human rights defenders; and review the cases of human rights defenders who are detained with a view to their release.</w:t>
      </w:r>
    </w:p>
    <w:p w14:paraId="5FD57635" w14:textId="701321BE" w:rsidR="00B072DE" w:rsidRPr="00C622CD" w:rsidRDefault="00B072DE" w:rsidP="002D585B">
      <w:pPr>
        <w:pStyle w:val="SingleTxtG"/>
        <w:ind w:firstLine="567"/>
        <w:rPr>
          <w:b/>
        </w:rPr>
      </w:pPr>
      <w:r w:rsidRPr="0019355E">
        <w:t>(d)</w:t>
      </w:r>
      <w:r w:rsidR="002D585B" w:rsidRPr="00C622CD">
        <w:rPr>
          <w:b/>
        </w:rPr>
        <w:tab/>
      </w:r>
      <w:r w:rsidRPr="00C622CD">
        <w:rPr>
          <w:b/>
        </w:rPr>
        <w:t>In the area of the National Mechanism on Reporting and Follow-up:</w:t>
      </w:r>
    </w:p>
    <w:p w14:paraId="6BF0076D" w14:textId="0A0D3E86" w:rsidR="00B072DE" w:rsidRPr="00C622CD" w:rsidRDefault="002D585B" w:rsidP="00C24D8B">
      <w:pPr>
        <w:pStyle w:val="SingleTxtG"/>
        <w:ind w:left="1701"/>
        <w:rPr>
          <w:b/>
        </w:rPr>
      </w:pPr>
      <w:r w:rsidRPr="0019355E">
        <w:t>(i)</w:t>
      </w:r>
      <w:r w:rsidRPr="00C622CD">
        <w:rPr>
          <w:b/>
        </w:rPr>
        <w:tab/>
      </w:r>
      <w:r w:rsidR="00B072DE" w:rsidRPr="00C622CD">
        <w:rPr>
          <w:b/>
        </w:rPr>
        <w:t>Extend a standing invitation to all special procedure mandate holders;</w:t>
      </w:r>
    </w:p>
    <w:p w14:paraId="7BE417DF" w14:textId="4C6AF624" w:rsidR="00B072DE" w:rsidRPr="00C622CD" w:rsidRDefault="002D585B" w:rsidP="00C24D8B">
      <w:pPr>
        <w:pStyle w:val="SingleTxtG"/>
        <w:ind w:left="1701"/>
        <w:rPr>
          <w:b/>
        </w:rPr>
      </w:pPr>
      <w:r w:rsidRPr="0019355E">
        <w:t>(ii)</w:t>
      </w:r>
      <w:r w:rsidRPr="00C622CD">
        <w:rPr>
          <w:b/>
        </w:rPr>
        <w:tab/>
      </w:r>
      <w:r w:rsidR="00B072DE" w:rsidRPr="00C622CD">
        <w:rPr>
          <w:b/>
        </w:rPr>
        <w:t>Continue the active engagement with international human rights instruments</w:t>
      </w:r>
      <w:r w:rsidR="00EB510C">
        <w:rPr>
          <w:b/>
        </w:rPr>
        <w:t xml:space="preserve"> and follow-up to </w:t>
      </w:r>
      <w:r w:rsidR="00E952D0">
        <w:rPr>
          <w:b/>
        </w:rPr>
        <w:t xml:space="preserve">their </w:t>
      </w:r>
      <w:r w:rsidR="00E952D0" w:rsidRPr="00C622CD">
        <w:rPr>
          <w:b/>
        </w:rPr>
        <w:t>recommendations</w:t>
      </w:r>
      <w:r w:rsidR="00B072DE" w:rsidRPr="00C622CD">
        <w:rPr>
          <w:b/>
        </w:rPr>
        <w:t>;</w:t>
      </w:r>
    </w:p>
    <w:p w14:paraId="30C8960B" w14:textId="3F97C560" w:rsidR="00B072DE" w:rsidRPr="00C622CD" w:rsidRDefault="002D585B" w:rsidP="00C24D8B">
      <w:pPr>
        <w:pStyle w:val="SingleTxtG"/>
        <w:ind w:left="1701"/>
        <w:rPr>
          <w:b/>
        </w:rPr>
      </w:pPr>
      <w:r w:rsidRPr="0019355E">
        <w:t>(iii)</w:t>
      </w:r>
      <w:r w:rsidRPr="00C622CD">
        <w:rPr>
          <w:b/>
        </w:rPr>
        <w:tab/>
      </w:r>
      <w:r w:rsidR="00B072DE" w:rsidRPr="00C622CD">
        <w:rPr>
          <w:b/>
        </w:rPr>
        <w:t>Consult broadly with relevant Government entities, the CHRP, CSOs and the UN to develop the next National Action Plan on Human Rights;</w:t>
      </w:r>
    </w:p>
    <w:p w14:paraId="60E37650" w14:textId="369F71F5" w:rsidR="00B072DE" w:rsidRPr="00C622CD" w:rsidRDefault="00B072DE" w:rsidP="002D585B">
      <w:pPr>
        <w:pStyle w:val="SingleTxtG"/>
        <w:ind w:firstLine="567"/>
        <w:rPr>
          <w:b/>
        </w:rPr>
      </w:pPr>
      <w:r w:rsidRPr="0019355E">
        <w:t>(e)</w:t>
      </w:r>
      <w:r w:rsidR="002D585B" w:rsidRPr="00C622CD">
        <w:rPr>
          <w:b/>
        </w:rPr>
        <w:tab/>
      </w:r>
      <w:r w:rsidRPr="00C622CD">
        <w:rPr>
          <w:b/>
        </w:rPr>
        <w:t xml:space="preserve">In the area of </w:t>
      </w:r>
      <w:r w:rsidR="00D61C42">
        <w:rPr>
          <w:b/>
        </w:rPr>
        <w:t xml:space="preserve">human rights-based approach to </w:t>
      </w:r>
      <w:r w:rsidRPr="00C622CD">
        <w:rPr>
          <w:b/>
        </w:rPr>
        <w:t>counter-terrorism:</w:t>
      </w:r>
    </w:p>
    <w:p w14:paraId="323DDF16" w14:textId="55EDC39E" w:rsidR="00B072DE" w:rsidRPr="00C622CD" w:rsidRDefault="002D585B" w:rsidP="00C24D8B">
      <w:pPr>
        <w:pStyle w:val="SingleTxtG"/>
        <w:ind w:left="1701"/>
        <w:rPr>
          <w:b/>
        </w:rPr>
      </w:pPr>
      <w:r w:rsidRPr="0019355E">
        <w:t>(i)</w:t>
      </w:r>
      <w:r w:rsidRPr="00C622CD">
        <w:rPr>
          <w:b/>
        </w:rPr>
        <w:tab/>
      </w:r>
      <w:r w:rsidR="00B072DE" w:rsidRPr="00C622CD">
        <w:rPr>
          <w:b/>
        </w:rPr>
        <w:t xml:space="preserve">Ensure that </w:t>
      </w:r>
      <w:r w:rsidR="004A110B">
        <w:rPr>
          <w:b/>
        </w:rPr>
        <w:t>counter terrorism measures</w:t>
      </w:r>
      <w:r w:rsidR="00B072DE" w:rsidRPr="00C622CD">
        <w:rPr>
          <w:b/>
        </w:rPr>
        <w:t xml:space="preserve"> comply with international human rights </w:t>
      </w:r>
      <w:r w:rsidR="00EB510C">
        <w:rPr>
          <w:b/>
        </w:rPr>
        <w:t xml:space="preserve">and humanitarian </w:t>
      </w:r>
      <w:r w:rsidR="00B072DE" w:rsidRPr="00C622CD">
        <w:rPr>
          <w:b/>
        </w:rPr>
        <w:t xml:space="preserve">law and that </w:t>
      </w:r>
      <w:r w:rsidR="004A110B">
        <w:rPr>
          <w:b/>
        </w:rPr>
        <w:t xml:space="preserve">adequate </w:t>
      </w:r>
      <w:r w:rsidR="00B072DE" w:rsidRPr="00C622CD">
        <w:rPr>
          <w:b/>
        </w:rPr>
        <w:t xml:space="preserve">safeguards </w:t>
      </w:r>
      <w:r w:rsidR="004A110B">
        <w:rPr>
          <w:b/>
        </w:rPr>
        <w:t xml:space="preserve">and accountability mechanisms </w:t>
      </w:r>
      <w:r w:rsidR="00B072DE" w:rsidRPr="00C622CD">
        <w:rPr>
          <w:b/>
        </w:rPr>
        <w:t xml:space="preserve">are in </w:t>
      </w:r>
      <w:r w:rsidR="001446E2" w:rsidRPr="00C622CD">
        <w:rPr>
          <w:b/>
        </w:rPr>
        <w:t>place;</w:t>
      </w:r>
    </w:p>
    <w:p w14:paraId="53276E6F" w14:textId="6C094E2E" w:rsidR="00B072DE" w:rsidRPr="00C622CD" w:rsidRDefault="002D585B" w:rsidP="00C24D8B">
      <w:pPr>
        <w:pStyle w:val="SingleTxtG"/>
        <w:ind w:left="1701"/>
        <w:rPr>
          <w:b/>
        </w:rPr>
      </w:pPr>
      <w:r w:rsidRPr="0019355E">
        <w:t>(ii)</w:t>
      </w:r>
      <w:r w:rsidRPr="00C622CD">
        <w:rPr>
          <w:b/>
        </w:rPr>
        <w:tab/>
      </w:r>
      <w:r w:rsidR="00B072DE" w:rsidRPr="00C622CD">
        <w:rPr>
          <w:b/>
        </w:rPr>
        <w:t>Provide the CHRP with information and access to places of detention to effectively monitor implementation of the ATA</w:t>
      </w:r>
      <w:r w:rsidR="004A110B">
        <w:rPr>
          <w:b/>
        </w:rPr>
        <w:t>;</w:t>
      </w:r>
    </w:p>
    <w:p w14:paraId="79954219" w14:textId="77777777" w:rsidR="004A110B" w:rsidRDefault="002D585B" w:rsidP="00C24D8B">
      <w:pPr>
        <w:pStyle w:val="SingleTxtG"/>
        <w:ind w:left="1701"/>
        <w:rPr>
          <w:b/>
          <w:lang w:val="en-PH"/>
        </w:rPr>
      </w:pPr>
      <w:r w:rsidRPr="00C24D8B">
        <w:lastRenderedPageBreak/>
        <w:t>(iii)</w:t>
      </w:r>
      <w:r w:rsidRPr="00C24D8B">
        <w:tab/>
      </w:r>
      <w:r w:rsidR="004A110B" w:rsidRPr="004A110B">
        <w:rPr>
          <w:b/>
          <w:lang w:val="en-PH"/>
        </w:rPr>
        <w:t>Ensure that restrictions or administrative burdens on access to resources related to countering the financing of terrorism do not arbitrarily restrict civic space</w:t>
      </w:r>
      <w:r w:rsidR="004A110B">
        <w:rPr>
          <w:b/>
          <w:lang w:val="en-PH"/>
        </w:rPr>
        <w:t>;</w:t>
      </w:r>
    </w:p>
    <w:p w14:paraId="1B448C23" w14:textId="5DB1F75F" w:rsidR="00B072DE" w:rsidRPr="00C622CD" w:rsidRDefault="00B072DE" w:rsidP="002D585B">
      <w:pPr>
        <w:pStyle w:val="SingleTxtG"/>
        <w:ind w:firstLine="567"/>
        <w:rPr>
          <w:b/>
        </w:rPr>
      </w:pPr>
      <w:r w:rsidRPr="00C24D8B">
        <w:t>(f)</w:t>
      </w:r>
      <w:r w:rsidR="002D585B" w:rsidRPr="00C622CD">
        <w:rPr>
          <w:b/>
        </w:rPr>
        <w:tab/>
      </w:r>
      <w:r w:rsidRPr="00C622CD">
        <w:rPr>
          <w:b/>
        </w:rPr>
        <w:t>In the area of human rights-based approaches to drug control:</w:t>
      </w:r>
    </w:p>
    <w:p w14:paraId="15E91A7D" w14:textId="3E71913B" w:rsidR="00B072DE" w:rsidRPr="00C622CD" w:rsidRDefault="002D585B" w:rsidP="00C24D8B">
      <w:pPr>
        <w:pStyle w:val="SingleTxtG"/>
        <w:ind w:left="1701"/>
        <w:rPr>
          <w:b/>
        </w:rPr>
      </w:pPr>
      <w:r w:rsidRPr="00C24D8B">
        <w:t>(i)</w:t>
      </w:r>
      <w:r w:rsidRPr="00C622CD">
        <w:rPr>
          <w:b/>
        </w:rPr>
        <w:tab/>
      </w:r>
      <w:r w:rsidR="00B50316" w:rsidRPr="00B50316">
        <w:rPr>
          <w:b/>
          <w:lang w:val="en-PH"/>
        </w:rPr>
        <w:t>Revise legislation</w:t>
      </w:r>
      <w:r w:rsidR="00676993">
        <w:rPr>
          <w:b/>
          <w:lang w:val="en-PH"/>
        </w:rPr>
        <w:t xml:space="preserve"> and</w:t>
      </w:r>
      <w:r w:rsidR="000E3415">
        <w:rPr>
          <w:b/>
          <w:lang w:val="en-PH"/>
        </w:rPr>
        <w:t xml:space="preserve"> </w:t>
      </w:r>
      <w:r w:rsidR="00B50316" w:rsidRPr="00B50316">
        <w:rPr>
          <w:b/>
          <w:lang w:val="en-PH"/>
        </w:rPr>
        <w:t>polic</w:t>
      </w:r>
      <w:r w:rsidR="00676993">
        <w:rPr>
          <w:b/>
          <w:lang w:val="en-PH"/>
        </w:rPr>
        <w:t>ies</w:t>
      </w:r>
      <w:r w:rsidR="00B50316" w:rsidRPr="00B50316">
        <w:rPr>
          <w:b/>
          <w:lang w:val="en-PH"/>
        </w:rPr>
        <w:t xml:space="preserve"> </w:t>
      </w:r>
      <w:r w:rsidR="00EB510C">
        <w:rPr>
          <w:b/>
          <w:lang w:val="en-PH"/>
        </w:rPr>
        <w:t>in line</w:t>
      </w:r>
      <w:r w:rsidR="00B50316" w:rsidRPr="00B50316">
        <w:rPr>
          <w:b/>
          <w:lang w:val="en-PH"/>
        </w:rPr>
        <w:t xml:space="preserve"> with a human rights-based</w:t>
      </w:r>
      <w:r w:rsidR="00A6567F">
        <w:rPr>
          <w:b/>
          <w:lang w:val="en-PH"/>
        </w:rPr>
        <w:t xml:space="preserve"> approach</w:t>
      </w:r>
      <w:r w:rsidR="00EB510C">
        <w:rPr>
          <w:b/>
          <w:lang w:val="en-PH"/>
        </w:rPr>
        <w:t xml:space="preserve"> and </w:t>
      </w:r>
      <w:hyperlink r:id="rId8" w:history="1">
        <w:r w:rsidR="00EB510C" w:rsidRPr="00E14106">
          <w:rPr>
            <w:rStyle w:val="Hyperlink"/>
            <w:b/>
            <w:color w:val="auto"/>
            <w:lang w:val="en-PH"/>
          </w:rPr>
          <w:t>the international guidelines on human rights and drug policy</w:t>
        </w:r>
      </w:hyperlink>
      <w:r w:rsidR="00B50316" w:rsidRPr="00B50316">
        <w:rPr>
          <w:b/>
          <w:lang w:val="en-PH"/>
        </w:rPr>
        <w:t>; revisit the mandatory penalties for drug offences; consider decriminalization of drug possession for personal use</w:t>
      </w:r>
      <w:r w:rsidR="00B072DE" w:rsidRPr="00C622CD">
        <w:rPr>
          <w:b/>
        </w:rPr>
        <w:t>;</w:t>
      </w:r>
    </w:p>
    <w:p w14:paraId="435EEE04" w14:textId="73DCC55C" w:rsidR="00B50316" w:rsidRDefault="009338C6" w:rsidP="00C24D8B">
      <w:pPr>
        <w:pStyle w:val="SingleTxtG"/>
        <w:ind w:left="1701"/>
        <w:rPr>
          <w:b/>
        </w:rPr>
      </w:pPr>
      <w:r w:rsidRPr="00C24D8B">
        <w:t>(ii)</w:t>
      </w:r>
      <w:r w:rsidRPr="00C622CD">
        <w:rPr>
          <w:b/>
        </w:rPr>
        <w:tab/>
      </w:r>
      <w:r w:rsidR="00B072DE" w:rsidRPr="00C622CD">
        <w:rPr>
          <w:b/>
        </w:rPr>
        <w:t xml:space="preserve">Strengthen health-centred, human rights and evidence-based prevention, </w:t>
      </w:r>
      <w:r w:rsidR="00836913" w:rsidRPr="00C622CD">
        <w:rPr>
          <w:b/>
        </w:rPr>
        <w:t>treatment,</w:t>
      </w:r>
      <w:r w:rsidR="00B072DE" w:rsidRPr="00C622CD">
        <w:rPr>
          <w:b/>
        </w:rPr>
        <w:t xml:space="preserve"> and rehabilitation approaches to drug control; </w:t>
      </w:r>
      <w:r w:rsidR="00B72A89">
        <w:rPr>
          <w:b/>
        </w:rPr>
        <w:t xml:space="preserve">and </w:t>
      </w:r>
      <w:r w:rsidR="00B50316" w:rsidRPr="00B50316">
        <w:rPr>
          <w:b/>
          <w:iCs/>
          <w:lang w:val="en-PH"/>
        </w:rPr>
        <w:t>ensure that drug use</w:t>
      </w:r>
      <w:r w:rsidR="00B50316" w:rsidRPr="00B50316">
        <w:rPr>
          <w:b/>
          <w:lang w:val="en-PH"/>
        </w:rPr>
        <w:t xml:space="preserve"> and dependence is treated as a health issue</w:t>
      </w:r>
      <w:r w:rsidR="00B50316" w:rsidRPr="00B50316">
        <w:rPr>
          <w:b/>
          <w:iCs/>
          <w:lang w:val="en-PH"/>
        </w:rPr>
        <w:t xml:space="preserve"> and that treatment and testing is voluntary, based on informed consent and left exclusively to health professionals</w:t>
      </w:r>
      <w:r w:rsidR="00E952D0">
        <w:rPr>
          <w:b/>
          <w:iCs/>
          <w:lang w:val="en-PH"/>
        </w:rPr>
        <w:t>;</w:t>
      </w:r>
      <w:r w:rsidR="00B072DE" w:rsidRPr="00C622CD">
        <w:rPr>
          <w:b/>
        </w:rPr>
        <w:t xml:space="preserve"> </w:t>
      </w:r>
    </w:p>
    <w:p w14:paraId="44B36CEA" w14:textId="23FA8415" w:rsidR="00B50316" w:rsidRDefault="00B50316" w:rsidP="00C24D8B">
      <w:pPr>
        <w:pStyle w:val="SingleTxtG"/>
        <w:ind w:left="1701"/>
        <w:rPr>
          <w:b/>
        </w:rPr>
      </w:pPr>
      <w:r w:rsidRPr="00C24D8B">
        <w:t>(iii)</w:t>
      </w:r>
      <w:r w:rsidR="00C24D8B">
        <w:rPr>
          <w:b/>
        </w:rPr>
        <w:tab/>
      </w:r>
      <w:r>
        <w:rPr>
          <w:b/>
        </w:rPr>
        <w:t>P</w:t>
      </w:r>
      <w:r w:rsidR="00B072DE" w:rsidRPr="00C622CD">
        <w:rPr>
          <w:b/>
        </w:rPr>
        <w:t xml:space="preserve">romote measures aimed at reducing stigma and </w:t>
      </w:r>
      <w:r>
        <w:rPr>
          <w:b/>
        </w:rPr>
        <w:t xml:space="preserve">the </w:t>
      </w:r>
      <w:r w:rsidR="00B072DE" w:rsidRPr="00C622CD">
        <w:rPr>
          <w:b/>
        </w:rPr>
        <w:t>elimination of discrimination</w:t>
      </w:r>
      <w:r w:rsidRPr="00B50316">
        <w:rPr>
          <w:color w:val="000000" w:themeColor="text1"/>
          <w:sz w:val="24"/>
          <w:szCs w:val="24"/>
          <w:lang w:eastAsia="en-GB"/>
        </w:rPr>
        <w:t xml:space="preserve"> </w:t>
      </w:r>
      <w:r w:rsidRPr="00B50316">
        <w:rPr>
          <w:b/>
        </w:rPr>
        <w:t>and vilification of persons who use drugs;</w:t>
      </w:r>
      <w:r w:rsidR="00EB510C" w:rsidRPr="00EB510C">
        <w:rPr>
          <w:b/>
        </w:rPr>
        <w:t xml:space="preserve"> </w:t>
      </w:r>
      <w:r w:rsidR="00EB510C" w:rsidRPr="00B50316">
        <w:rPr>
          <w:b/>
        </w:rPr>
        <w:t>Cease the practice of drug watch lists or other arbitrary listing of individuals absent safeguards and due process</w:t>
      </w:r>
      <w:r w:rsidR="00EB510C">
        <w:rPr>
          <w:b/>
        </w:rPr>
        <w:t>;</w:t>
      </w:r>
    </w:p>
    <w:p w14:paraId="78CCFA86" w14:textId="1EC5ED7B" w:rsidR="00B50316" w:rsidRDefault="00B50316" w:rsidP="00C24D8B">
      <w:pPr>
        <w:pStyle w:val="SingleTxtG"/>
        <w:ind w:left="1701"/>
        <w:rPr>
          <w:b/>
        </w:rPr>
      </w:pPr>
      <w:r w:rsidRPr="00C24D8B">
        <w:t>(</w:t>
      </w:r>
      <w:r w:rsidR="00066F3B" w:rsidRPr="00C24D8B">
        <w:t>i</w:t>
      </w:r>
      <w:r w:rsidRPr="00C24D8B">
        <w:t>v)</w:t>
      </w:r>
      <w:r w:rsidRPr="00C24D8B">
        <w:tab/>
      </w:r>
      <w:r w:rsidR="00A830EF">
        <w:rPr>
          <w:b/>
        </w:rPr>
        <w:t xml:space="preserve">Adopt measures to reduce </w:t>
      </w:r>
      <w:r w:rsidRPr="00B50316">
        <w:rPr>
          <w:b/>
        </w:rPr>
        <w:t xml:space="preserve">excessive pretrial detention and prison overcrowding; </w:t>
      </w:r>
      <w:r w:rsidR="00A830EF">
        <w:rPr>
          <w:b/>
        </w:rPr>
        <w:t xml:space="preserve">ensure access to treatment and harm reduction in detention; and </w:t>
      </w:r>
      <w:r w:rsidRPr="00B50316">
        <w:rPr>
          <w:b/>
        </w:rPr>
        <w:t>implement alternative measures to incarceration</w:t>
      </w:r>
      <w:r>
        <w:rPr>
          <w:b/>
        </w:rPr>
        <w:t>;</w:t>
      </w:r>
    </w:p>
    <w:p w14:paraId="11656670" w14:textId="2902775A" w:rsidR="00B072DE" w:rsidRPr="00C622CD" w:rsidRDefault="00B072DE" w:rsidP="009338C6">
      <w:pPr>
        <w:pStyle w:val="SingleTxtG"/>
        <w:ind w:firstLine="567"/>
        <w:rPr>
          <w:b/>
        </w:rPr>
      </w:pPr>
      <w:r w:rsidRPr="00C24D8B">
        <w:t>(g)</w:t>
      </w:r>
      <w:r w:rsidR="009338C6" w:rsidRPr="00C622CD">
        <w:rPr>
          <w:b/>
        </w:rPr>
        <w:tab/>
      </w:r>
      <w:r w:rsidRPr="00C622CD">
        <w:rPr>
          <w:b/>
        </w:rPr>
        <w:t>In terms of cooperation with OHCHR and the U</w:t>
      </w:r>
      <w:r w:rsidR="000A0D97">
        <w:rPr>
          <w:b/>
        </w:rPr>
        <w:t>nited</w:t>
      </w:r>
      <w:r w:rsidR="00481522">
        <w:rPr>
          <w:b/>
        </w:rPr>
        <w:t xml:space="preserve"> </w:t>
      </w:r>
      <w:r w:rsidRPr="00C622CD">
        <w:rPr>
          <w:b/>
        </w:rPr>
        <w:t>N</w:t>
      </w:r>
      <w:r w:rsidR="000A0D97">
        <w:rPr>
          <w:b/>
        </w:rPr>
        <w:t>ations</w:t>
      </w:r>
      <w:r w:rsidRPr="00C622CD">
        <w:rPr>
          <w:b/>
        </w:rPr>
        <w:t xml:space="preserve"> system:</w:t>
      </w:r>
    </w:p>
    <w:p w14:paraId="73198A91" w14:textId="5017A4BA" w:rsidR="00B072DE" w:rsidRPr="00C622CD" w:rsidRDefault="009338C6" w:rsidP="00C24D8B">
      <w:pPr>
        <w:pStyle w:val="SingleTxtG"/>
        <w:ind w:left="1701"/>
        <w:rPr>
          <w:b/>
        </w:rPr>
      </w:pPr>
      <w:r w:rsidRPr="00C24D8B">
        <w:t>(i)</w:t>
      </w:r>
      <w:r w:rsidRPr="00C622CD">
        <w:rPr>
          <w:b/>
        </w:rPr>
        <w:tab/>
      </w:r>
      <w:r w:rsidR="00B072DE" w:rsidRPr="00C622CD">
        <w:rPr>
          <w:b/>
        </w:rPr>
        <w:t>Continue to cooperate with the U</w:t>
      </w:r>
      <w:r w:rsidR="000A0D97">
        <w:rPr>
          <w:b/>
        </w:rPr>
        <w:t>nited</w:t>
      </w:r>
      <w:r w:rsidR="00481522">
        <w:rPr>
          <w:b/>
        </w:rPr>
        <w:t xml:space="preserve"> </w:t>
      </w:r>
      <w:r w:rsidR="00B072DE" w:rsidRPr="00C622CD">
        <w:rPr>
          <w:b/>
        </w:rPr>
        <w:t>N</w:t>
      </w:r>
      <w:r w:rsidR="000A0D97">
        <w:rPr>
          <w:b/>
        </w:rPr>
        <w:t xml:space="preserve">ations </w:t>
      </w:r>
      <w:r w:rsidR="00B072DE" w:rsidRPr="00C622CD">
        <w:rPr>
          <w:b/>
        </w:rPr>
        <w:t>system</w:t>
      </w:r>
      <w:r w:rsidR="00B34351">
        <w:rPr>
          <w:b/>
        </w:rPr>
        <w:t>,</w:t>
      </w:r>
      <w:r w:rsidR="00B072DE" w:rsidRPr="00C622CD">
        <w:rPr>
          <w:b/>
        </w:rPr>
        <w:t xml:space="preserve"> </w:t>
      </w:r>
      <w:r w:rsidR="00B34351">
        <w:rPr>
          <w:b/>
        </w:rPr>
        <w:t>under the leadership of</w:t>
      </w:r>
      <w:r w:rsidR="00B34351" w:rsidRPr="00C622CD">
        <w:rPr>
          <w:b/>
        </w:rPr>
        <w:t xml:space="preserve"> </w:t>
      </w:r>
      <w:r w:rsidR="00B072DE" w:rsidRPr="00C622CD">
        <w:rPr>
          <w:b/>
        </w:rPr>
        <w:t>the U</w:t>
      </w:r>
      <w:r w:rsidR="000A0D97">
        <w:rPr>
          <w:b/>
        </w:rPr>
        <w:t>nited</w:t>
      </w:r>
      <w:r w:rsidR="00481522">
        <w:rPr>
          <w:b/>
        </w:rPr>
        <w:t xml:space="preserve"> </w:t>
      </w:r>
      <w:r w:rsidR="00B072DE" w:rsidRPr="00C622CD">
        <w:rPr>
          <w:b/>
        </w:rPr>
        <w:t>N</w:t>
      </w:r>
      <w:r w:rsidR="000A0D97">
        <w:rPr>
          <w:b/>
        </w:rPr>
        <w:t>ations</w:t>
      </w:r>
      <w:r w:rsidR="00B072DE" w:rsidRPr="00C622CD">
        <w:rPr>
          <w:b/>
        </w:rPr>
        <w:t xml:space="preserve"> Resident Coordinator, OHCHR and the UNCT in implementing all areas of the UNJP;</w:t>
      </w:r>
    </w:p>
    <w:p w14:paraId="4C5D8C3F" w14:textId="489CF967" w:rsidR="00B072DE" w:rsidRPr="00C622CD" w:rsidRDefault="009338C6" w:rsidP="00C24D8B">
      <w:pPr>
        <w:pStyle w:val="SingleTxtG"/>
        <w:ind w:left="1701"/>
        <w:rPr>
          <w:b/>
          <w:u w:val="single"/>
        </w:rPr>
      </w:pPr>
      <w:r w:rsidRPr="00C24D8B">
        <w:t>(ii)</w:t>
      </w:r>
      <w:r w:rsidRPr="00C622CD">
        <w:rPr>
          <w:b/>
        </w:rPr>
        <w:tab/>
      </w:r>
      <w:r w:rsidR="00B072DE" w:rsidRPr="00C622CD">
        <w:rPr>
          <w:b/>
        </w:rPr>
        <w:t>Invite OHCHR to strengthen its presence including a dedicated team in country to further enhance its support</w:t>
      </w:r>
      <w:r w:rsidR="00B50316">
        <w:rPr>
          <w:b/>
        </w:rPr>
        <w:t xml:space="preserve"> to human rights mainstreaming</w:t>
      </w:r>
      <w:r w:rsidR="00B072DE" w:rsidRPr="00C622CD">
        <w:rPr>
          <w:b/>
        </w:rPr>
        <w:t>, including through the UNJP, and monitoring of programme implementation and its impact on the human rights situation, in cooperation with the UNCT under the leadership of the Resident Coordinator.</w:t>
      </w:r>
    </w:p>
    <w:p w14:paraId="3C8C5945" w14:textId="4918B531" w:rsidR="00497316" w:rsidRPr="00C622CD" w:rsidRDefault="00497316" w:rsidP="00497316">
      <w:pPr>
        <w:pStyle w:val="SingleTxtG"/>
        <w:rPr>
          <w:b/>
        </w:rPr>
      </w:pPr>
      <w:r w:rsidRPr="00C24D8B">
        <w:t>6</w:t>
      </w:r>
      <w:r w:rsidR="00707974" w:rsidRPr="00C24D8B">
        <w:t>6</w:t>
      </w:r>
      <w:r w:rsidRPr="00C24D8B">
        <w:t>.</w:t>
      </w:r>
      <w:r>
        <w:rPr>
          <w:b/>
        </w:rPr>
        <w:tab/>
      </w:r>
      <w:r w:rsidRPr="00C622CD">
        <w:rPr>
          <w:b/>
        </w:rPr>
        <w:t>The High Commissioner calls upon the international community, including the Human Rights Council, to:</w:t>
      </w:r>
    </w:p>
    <w:p w14:paraId="6F49915E" w14:textId="77777777" w:rsidR="00497316" w:rsidRPr="00C622CD" w:rsidRDefault="00497316" w:rsidP="00C24D8B">
      <w:pPr>
        <w:pStyle w:val="SingleTxtG"/>
        <w:ind w:left="1701"/>
        <w:rPr>
          <w:b/>
        </w:rPr>
      </w:pPr>
      <w:r w:rsidRPr="00C24D8B">
        <w:t>(i)</w:t>
      </w:r>
      <w:r w:rsidRPr="00C622CD">
        <w:rPr>
          <w:b/>
        </w:rPr>
        <w:tab/>
        <w:t>Encourage and support a strengthened OHCHR presence and implementation of the UNJP under the overall leadership of the U</w:t>
      </w:r>
      <w:r>
        <w:rPr>
          <w:b/>
        </w:rPr>
        <w:t xml:space="preserve">nited </w:t>
      </w:r>
      <w:r w:rsidRPr="00C622CD">
        <w:rPr>
          <w:b/>
        </w:rPr>
        <w:t>N</w:t>
      </w:r>
      <w:r>
        <w:rPr>
          <w:b/>
        </w:rPr>
        <w:t>ations</w:t>
      </w:r>
      <w:r w:rsidRPr="00C622CD">
        <w:rPr>
          <w:b/>
        </w:rPr>
        <w:t xml:space="preserve"> Resident Coordinator, including through financial contributions; </w:t>
      </w:r>
    </w:p>
    <w:p w14:paraId="745AB32A" w14:textId="5D83156A" w:rsidR="00497316" w:rsidRPr="00401BED" w:rsidRDefault="00497316" w:rsidP="00C24D8B">
      <w:pPr>
        <w:pStyle w:val="SingleTxtG"/>
        <w:ind w:left="1701"/>
        <w:rPr>
          <w:b/>
          <w:lang w:val="en-US"/>
        </w:rPr>
      </w:pPr>
      <w:r w:rsidRPr="00C24D8B">
        <w:t>(ii)</w:t>
      </w:r>
      <w:r w:rsidRPr="00C622CD">
        <w:rPr>
          <w:b/>
        </w:rPr>
        <w:tab/>
      </w:r>
      <w:r w:rsidR="00496270" w:rsidRPr="00496270">
        <w:rPr>
          <w:b/>
          <w:lang w:val="en-US"/>
        </w:rPr>
        <w:t xml:space="preserve">Continue to monitor closely the progress and outcome of domestic and international accountability initiatives to consider further approaches that may be required; </w:t>
      </w:r>
      <w:r w:rsidR="006A6DD2" w:rsidRPr="00C622CD">
        <w:rPr>
          <w:b/>
          <w:lang w:val="en-US"/>
        </w:rPr>
        <w:t xml:space="preserve">  </w:t>
      </w:r>
    </w:p>
    <w:p w14:paraId="56984160" w14:textId="688E3486" w:rsidR="00497316" w:rsidRDefault="00497316" w:rsidP="00C24D8B">
      <w:pPr>
        <w:pStyle w:val="SingleTxtG"/>
        <w:ind w:left="1701"/>
        <w:rPr>
          <w:b/>
        </w:rPr>
      </w:pPr>
      <w:r w:rsidRPr="00C24D8B">
        <w:t>(iii)</w:t>
      </w:r>
      <w:r w:rsidRPr="00C622CD">
        <w:rPr>
          <w:b/>
        </w:rPr>
        <w:tab/>
        <w:t xml:space="preserve">Advocate </w:t>
      </w:r>
      <w:r w:rsidR="00903DC6">
        <w:rPr>
          <w:b/>
        </w:rPr>
        <w:t>in support</w:t>
      </w:r>
      <w:r w:rsidRPr="00C622CD">
        <w:rPr>
          <w:b/>
        </w:rPr>
        <w:t xml:space="preserve"> of civic space in the Philippines and for </w:t>
      </w:r>
      <w:r w:rsidR="00903DC6">
        <w:rPr>
          <w:b/>
        </w:rPr>
        <w:t xml:space="preserve">the protection of </w:t>
      </w:r>
      <w:r w:rsidRPr="00C622CD">
        <w:rPr>
          <w:b/>
        </w:rPr>
        <w:t xml:space="preserve">human rights defenders, </w:t>
      </w:r>
      <w:r w:rsidR="00836913" w:rsidRPr="00C622CD">
        <w:rPr>
          <w:b/>
        </w:rPr>
        <w:t>journalists,</w:t>
      </w:r>
      <w:r w:rsidRPr="00C622CD">
        <w:rPr>
          <w:b/>
        </w:rPr>
        <w:t xml:space="preserve"> and other civil society representatives </w:t>
      </w:r>
      <w:r w:rsidR="00903DC6">
        <w:rPr>
          <w:b/>
        </w:rPr>
        <w:t>in their work;</w:t>
      </w:r>
    </w:p>
    <w:p w14:paraId="2A10E81A" w14:textId="4C403C3F" w:rsidR="00497316" w:rsidRPr="00C622CD" w:rsidRDefault="00497316" w:rsidP="00C24D8B">
      <w:pPr>
        <w:pStyle w:val="SingleTxtG"/>
        <w:ind w:left="1701"/>
        <w:rPr>
          <w:b/>
        </w:rPr>
      </w:pPr>
      <w:r w:rsidRPr="00C24D8B">
        <w:t>(iv)</w:t>
      </w:r>
      <w:r>
        <w:rPr>
          <w:b/>
        </w:rPr>
        <w:tab/>
      </w:r>
      <w:r w:rsidRPr="00B50316">
        <w:rPr>
          <w:b/>
          <w:lang w:val="en-PH"/>
        </w:rPr>
        <w:t xml:space="preserve">Mandate OHCHR to </w:t>
      </w:r>
      <w:r w:rsidR="00496270">
        <w:rPr>
          <w:b/>
          <w:lang w:val="en-PH"/>
        </w:rPr>
        <w:t xml:space="preserve">monitor the situation of human rights in the Philippines and regularly </w:t>
      </w:r>
      <w:r w:rsidRPr="00B50316">
        <w:rPr>
          <w:b/>
          <w:lang w:val="en-PH"/>
        </w:rPr>
        <w:t>report to the Human Rights Council, including on progress in technical cooperation and</w:t>
      </w:r>
      <w:r w:rsidR="004A19CF">
        <w:rPr>
          <w:b/>
          <w:lang w:val="en-PH"/>
        </w:rPr>
        <w:t xml:space="preserve"> implementation of</w:t>
      </w:r>
      <w:r w:rsidRPr="00B50316">
        <w:rPr>
          <w:b/>
          <w:lang w:val="en-PH"/>
        </w:rPr>
        <w:t xml:space="preserve"> the recommendations of the present report</w:t>
      </w:r>
      <w:r w:rsidR="00496270">
        <w:rPr>
          <w:b/>
          <w:lang w:val="en-PH"/>
        </w:rPr>
        <w:t>.</w:t>
      </w:r>
    </w:p>
    <w:p w14:paraId="135DDFBE" w14:textId="6E9FECCD" w:rsidR="00B072DE" w:rsidRPr="00B072DE" w:rsidRDefault="00F944AF" w:rsidP="00F944AF">
      <w:pPr>
        <w:pStyle w:val="SingleTxtG"/>
        <w:spacing w:before="240" w:after="0"/>
        <w:jc w:val="center"/>
      </w:pPr>
      <w:r>
        <w:rPr>
          <w:u w:val="single"/>
        </w:rPr>
        <w:tab/>
      </w:r>
      <w:r>
        <w:rPr>
          <w:u w:val="single"/>
        </w:rPr>
        <w:tab/>
      </w:r>
      <w:r>
        <w:rPr>
          <w:u w:val="single"/>
        </w:rPr>
        <w:tab/>
      </w:r>
      <w:r>
        <w:rPr>
          <w:u w:val="single"/>
        </w:rPr>
        <w:tab/>
      </w:r>
    </w:p>
    <w:sectPr w:rsidR="00B072DE" w:rsidRPr="00B072DE" w:rsidSect="00153F29">
      <w:headerReference w:type="even" r:id="rId9"/>
      <w:headerReference w:type="default" r:id="rId10"/>
      <w:footerReference w:type="even" r:id="rId11"/>
      <w:footerReference w:type="defaul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4E1B4" w14:textId="77777777" w:rsidR="00907058" w:rsidRPr="00C47B2E" w:rsidRDefault="00907058" w:rsidP="00C47B2E">
      <w:pPr>
        <w:pStyle w:val="Footer"/>
      </w:pPr>
    </w:p>
  </w:endnote>
  <w:endnote w:type="continuationSeparator" w:id="0">
    <w:p w14:paraId="596D60DE" w14:textId="77777777" w:rsidR="00907058" w:rsidRPr="00C47B2E" w:rsidRDefault="00907058" w:rsidP="00C47B2E">
      <w:pPr>
        <w:pStyle w:val="Footer"/>
      </w:pPr>
    </w:p>
  </w:endnote>
  <w:endnote w:type="continuationNotice" w:id="1">
    <w:p w14:paraId="69EF74C3" w14:textId="77777777" w:rsidR="00907058" w:rsidRPr="00C47B2E" w:rsidRDefault="00907058"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unPenh">
    <w:altName w:val="DaunPenh"/>
    <w:charset w:val="00"/>
    <w:family w:val="auto"/>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5595C" w14:textId="5A6971B8" w:rsidR="00C24D8B" w:rsidRDefault="00C24D8B" w:rsidP="00C24D8B">
    <w:pPr>
      <w:pStyle w:val="Footer"/>
      <w:tabs>
        <w:tab w:val="right" w:pos="9638"/>
      </w:tabs>
    </w:pPr>
    <w:r w:rsidRPr="009869A5">
      <w:rPr>
        <w:b/>
        <w:bCs/>
        <w:sz w:val="18"/>
      </w:rPr>
      <w:fldChar w:fldCharType="begin"/>
    </w:r>
    <w:r w:rsidRPr="009869A5">
      <w:rPr>
        <w:b/>
        <w:bCs/>
        <w:sz w:val="18"/>
      </w:rPr>
      <w:instrText xml:space="preserve"> PAGE  \* MERGEFORMAT </w:instrText>
    </w:r>
    <w:r w:rsidRPr="009869A5">
      <w:rPr>
        <w:b/>
        <w:bCs/>
        <w:sz w:val="18"/>
      </w:rPr>
      <w:fldChar w:fldCharType="separate"/>
    </w:r>
    <w:r w:rsidR="00E237FF">
      <w:rPr>
        <w:b/>
        <w:bCs/>
        <w:noProof/>
        <w:sz w:val="18"/>
      </w:rPr>
      <w:t>4</w:t>
    </w:r>
    <w:r w:rsidRPr="009869A5">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664610"/>
      <w:docPartObj>
        <w:docPartGallery w:val="Page Numbers (Bottom of Page)"/>
        <w:docPartUnique/>
      </w:docPartObj>
    </w:sdtPr>
    <w:sdtEndPr>
      <w:rPr>
        <w:noProof/>
      </w:rPr>
    </w:sdtEndPr>
    <w:sdtContent>
      <w:p w14:paraId="0F67D185" w14:textId="749CEA59" w:rsidR="0078364B" w:rsidRDefault="0078364B" w:rsidP="00C24D8B">
        <w:pPr>
          <w:pStyle w:val="Footer"/>
          <w:jc w:val="right"/>
        </w:pPr>
        <w:r w:rsidRPr="00C24D8B">
          <w:rPr>
            <w:b/>
          </w:rPr>
          <w:fldChar w:fldCharType="begin"/>
        </w:r>
        <w:r w:rsidRPr="00C24D8B">
          <w:rPr>
            <w:b/>
          </w:rPr>
          <w:instrText xml:space="preserve"> PAGE   \* MERGEFORMAT </w:instrText>
        </w:r>
        <w:r w:rsidRPr="00C24D8B">
          <w:rPr>
            <w:b/>
          </w:rPr>
          <w:fldChar w:fldCharType="separate"/>
        </w:r>
        <w:r w:rsidR="00E237FF">
          <w:rPr>
            <w:b/>
            <w:noProof/>
          </w:rPr>
          <w:t>3</w:t>
        </w:r>
        <w:r w:rsidRPr="00C24D8B">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34FDD" w14:textId="77777777" w:rsidR="00907058" w:rsidRPr="00C47B2E" w:rsidRDefault="00907058" w:rsidP="00C47B2E">
      <w:pPr>
        <w:tabs>
          <w:tab w:val="right" w:pos="2155"/>
        </w:tabs>
        <w:spacing w:after="80" w:line="240" w:lineRule="auto"/>
        <w:ind w:left="680"/>
      </w:pPr>
      <w:r>
        <w:rPr>
          <w:u w:val="single"/>
        </w:rPr>
        <w:tab/>
      </w:r>
    </w:p>
  </w:footnote>
  <w:footnote w:type="continuationSeparator" w:id="0">
    <w:p w14:paraId="62A0BC4C" w14:textId="77777777" w:rsidR="00907058" w:rsidRPr="00C47B2E" w:rsidRDefault="00907058" w:rsidP="005E716E">
      <w:pPr>
        <w:tabs>
          <w:tab w:val="right" w:pos="2155"/>
        </w:tabs>
        <w:spacing w:after="80" w:line="240" w:lineRule="auto"/>
        <w:ind w:left="680"/>
      </w:pPr>
      <w:r>
        <w:rPr>
          <w:u w:val="single"/>
        </w:rPr>
        <w:tab/>
      </w:r>
    </w:p>
  </w:footnote>
  <w:footnote w:type="continuationNotice" w:id="1">
    <w:p w14:paraId="6AE89339" w14:textId="77777777" w:rsidR="00907058" w:rsidRPr="00C47B2E" w:rsidRDefault="00907058" w:rsidP="00C47B2E">
      <w:pPr>
        <w:pStyle w:val="Footer"/>
      </w:pPr>
    </w:p>
  </w:footnote>
  <w:footnote w:id="2">
    <w:p w14:paraId="50783A2D" w14:textId="23F03B9C" w:rsidR="00F944AF" w:rsidRPr="00F944AF" w:rsidRDefault="00F944AF">
      <w:pPr>
        <w:pStyle w:val="FootnoteText"/>
      </w:pPr>
      <w:r>
        <w:rPr>
          <w:rStyle w:val="FootnoteReference"/>
        </w:rPr>
        <w:tab/>
      </w:r>
      <w:r w:rsidRPr="00F944AF">
        <w:rPr>
          <w:rStyle w:val="FootnoteReference"/>
          <w:sz w:val="20"/>
          <w:vertAlign w:val="baseline"/>
        </w:rPr>
        <w:t>*</w:t>
      </w:r>
      <w:r>
        <w:rPr>
          <w:rStyle w:val="FootnoteReference"/>
          <w:sz w:val="20"/>
          <w:vertAlign w:val="baseline"/>
        </w:rPr>
        <w:tab/>
      </w:r>
      <w:r w:rsidRPr="00DF4318">
        <w:t>The present report was submitted after the deadline so as to include the most recent information.</w:t>
      </w:r>
    </w:p>
  </w:footnote>
  <w:footnote w:id="3">
    <w:p w14:paraId="55BB1184" w14:textId="78A714CD" w:rsidR="0078364B" w:rsidRPr="00401BED" w:rsidRDefault="0078364B" w:rsidP="001625FF">
      <w:pPr>
        <w:pStyle w:val="FootnoteText"/>
        <w:rPr>
          <w:rStyle w:val="FootnoteReference"/>
          <w:vertAlign w:val="baseline"/>
        </w:rPr>
      </w:pPr>
      <w:r>
        <w:rPr>
          <w:rStyle w:val="FootnoteReference"/>
          <w:vertAlign w:val="baseline"/>
        </w:rPr>
        <w:tab/>
      </w:r>
      <w:r w:rsidRPr="00B072DE">
        <w:rPr>
          <w:rStyle w:val="FootnoteReference"/>
        </w:rPr>
        <w:footnoteRef/>
      </w:r>
      <w:r>
        <w:rPr>
          <w:rStyle w:val="FootnoteReference"/>
          <w:vertAlign w:val="baseline"/>
        </w:rPr>
        <w:tab/>
      </w:r>
      <w:r w:rsidRPr="00401BED">
        <w:rPr>
          <w:lang w:val="en-PH"/>
        </w:rPr>
        <w:t>The resolution encouraged the Philippine Government to address the issues raised in the High Commissioner’s report (</w:t>
      </w:r>
      <w:hyperlink r:id="rId1" w:history="1">
        <w:r w:rsidRPr="00401BED">
          <w:rPr>
            <w:rStyle w:val="Hyperlink"/>
            <w:color w:val="auto"/>
            <w:lang w:val="en-PH"/>
          </w:rPr>
          <w:t>A/HRC/44/22</w:t>
        </w:r>
      </w:hyperlink>
      <w:r w:rsidRPr="00401BED">
        <w:rPr>
          <w:lang w:val="en-PH"/>
        </w:rPr>
        <w:t xml:space="preserve">). </w:t>
      </w:r>
    </w:p>
  </w:footnote>
  <w:footnote w:id="4">
    <w:p w14:paraId="0C688C0B" w14:textId="20DE32AF" w:rsidR="0078364B" w:rsidRPr="00401BED" w:rsidRDefault="0078364B">
      <w:pPr>
        <w:pStyle w:val="FootnoteText"/>
      </w:pPr>
      <w:r w:rsidRPr="00401BED">
        <w:tab/>
      </w:r>
      <w:r w:rsidRPr="00401BED">
        <w:rPr>
          <w:rStyle w:val="FootnoteReference"/>
        </w:rPr>
        <w:footnoteRef/>
      </w:r>
      <w:r w:rsidRPr="00401BED">
        <w:tab/>
        <w:t>See para.1</w:t>
      </w:r>
      <w:r w:rsidR="00CC67D7" w:rsidRPr="00401BED">
        <w:t>1</w:t>
      </w:r>
      <w:r w:rsidR="001B4E90" w:rsidRPr="00401BED">
        <w:t>.</w:t>
      </w:r>
      <w:r w:rsidR="00B82843" w:rsidRPr="00401BED">
        <w:t xml:space="preserve"> While this report refers to the UNJP in terms of activities undertaken, the UNJP is not a separate entity but is implemented by four participating UN entities with the Government and national partners.  </w:t>
      </w:r>
    </w:p>
  </w:footnote>
  <w:footnote w:id="5">
    <w:p w14:paraId="5AF3C917" w14:textId="28DDB08F" w:rsidR="0078364B" w:rsidRPr="00401BED" w:rsidRDefault="0078364B" w:rsidP="0014377F">
      <w:pPr>
        <w:pStyle w:val="FootnoteText"/>
        <w:rPr>
          <w:rStyle w:val="FootnoteReference"/>
          <w:vertAlign w:val="baseline"/>
        </w:rPr>
      </w:pPr>
      <w:r w:rsidRPr="00401BED">
        <w:tab/>
      </w:r>
      <w:r w:rsidRPr="00401BED">
        <w:rPr>
          <w:rStyle w:val="FootnoteReference"/>
        </w:rPr>
        <w:footnoteRef/>
      </w:r>
      <w:r w:rsidRPr="00401BED">
        <w:tab/>
        <w:t xml:space="preserve">On 6, 27 July and 3 August 2022: </w:t>
      </w:r>
      <w:r w:rsidRPr="00401BED">
        <w:rPr>
          <w:rStyle w:val="FootnoteReference"/>
          <w:vertAlign w:val="baseline"/>
        </w:rPr>
        <w:t>NV-EPG-308-2022</w:t>
      </w:r>
      <w:r w:rsidRPr="00401BED">
        <w:t xml:space="preserve">, </w:t>
      </w:r>
      <w:r w:rsidRPr="00401BED">
        <w:rPr>
          <w:rStyle w:val="FootnoteReference"/>
          <w:vertAlign w:val="baseline"/>
        </w:rPr>
        <w:t>NV-EPG-328-2022 and NV-EPG-338-2022</w:t>
      </w:r>
      <w:r w:rsidR="00F944AF">
        <w:t>.</w:t>
      </w:r>
    </w:p>
  </w:footnote>
  <w:footnote w:id="6">
    <w:p w14:paraId="73C59FED" w14:textId="45CF1D82" w:rsidR="008564D6" w:rsidRDefault="00907C4D">
      <w:pPr>
        <w:pStyle w:val="FootnoteText"/>
      </w:pPr>
      <w:r>
        <w:tab/>
      </w:r>
      <w:r w:rsidR="008564D6">
        <w:rPr>
          <w:rStyle w:val="FootnoteReference"/>
        </w:rPr>
        <w:footnoteRef/>
      </w:r>
      <w:r>
        <w:tab/>
      </w:r>
      <w:r w:rsidR="008564D6">
        <w:t>On 30 August: NV-EPG-363-2022</w:t>
      </w:r>
      <w:r w:rsidR="00F944AF">
        <w:t>.</w:t>
      </w:r>
    </w:p>
  </w:footnote>
  <w:footnote w:id="7">
    <w:p w14:paraId="2A96B342" w14:textId="3FA5635B" w:rsidR="0078364B" w:rsidRPr="00401BED" w:rsidRDefault="0078364B" w:rsidP="00B072DE">
      <w:pPr>
        <w:pStyle w:val="FootnoteText"/>
        <w:rPr>
          <w:rStyle w:val="FootnoteReference"/>
          <w:vertAlign w:val="baseline"/>
        </w:rPr>
      </w:pPr>
      <w:r w:rsidRPr="00401BED">
        <w:tab/>
      </w:r>
      <w:r w:rsidRPr="00401BED">
        <w:rPr>
          <w:rStyle w:val="FootnoteReference"/>
        </w:rPr>
        <w:footnoteRef/>
      </w:r>
      <w:r w:rsidRPr="00401BED">
        <w:tab/>
      </w:r>
      <w:hyperlink r:id="rId2" w:history="1">
        <w:r w:rsidRPr="00401BED">
          <w:rPr>
            <w:rStyle w:val="Hyperlink"/>
            <w:color w:val="auto"/>
          </w:rPr>
          <w:t>https://philippines.un.org/sites/default/files/2021-11/UN%20Socioeconomic%20and%20Peacebuilding%20Framework%20Final_1.pdf</w:t>
        </w:r>
      </w:hyperlink>
      <w:r w:rsidRPr="00401BED">
        <w:rPr>
          <w:rStyle w:val="FootnoteReference"/>
          <w:vertAlign w:val="baseline"/>
        </w:rPr>
        <w:t>, p17</w:t>
      </w:r>
      <w:r w:rsidRPr="00401BED">
        <w:t>-18</w:t>
      </w:r>
      <w:r w:rsidR="00F944AF">
        <w:t>.</w:t>
      </w:r>
    </w:p>
  </w:footnote>
  <w:footnote w:id="8">
    <w:p w14:paraId="7267C663" w14:textId="71DE13E7" w:rsidR="0078364B" w:rsidRPr="00401BED" w:rsidRDefault="0078364B" w:rsidP="00B072DE">
      <w:pPr>
        <w:pStyle w:val="FootnoteText"/>
        <w:rPr>
          <w:rStyle w:val="FootnoteReference"/>
          <w:vertAlign w:val="baseline"/>
        </w:rPr>
      </w:pPr>
      <w:r w:rsidRPr="00401BED">
        <w:tab/>
      </w:r>
      <w:r w:rsidRPr="00401BED">
        <w:rPr>
          <w:rStyle w:val="FootnoteReference"/>
        </w:rPr>
        <w:footnoteRef/>
      </w:r>
      <w:r w:rsidRPr="00401BED">
        <w:tab/>
      </w:r>
      <w:r w:rsidRPr="00401BED">
        <w:rPr>
          <w:rStyle w:val="FootnoteReference"/>
          <w:vertAlign w:val="baseline"/>
        </w:rPr>
        <w:t>Ibid., p1</w:t>
      </w:r>
      <w:r w:rsidRPr="00401BED">
        <w:t>3</w:t>
      </w:r>
      <w:r w:rsidR="00F944AF">
        <w:t>.</w:t>
      </w:r>
    </w:p>
  </w:footnote>
  <w:footnote w:id="9">
    <w:p w14:paraId="1232CBE3" w14:textId="36E2DAA7" w:rsidR="0078364B" w:rsidRPr="00401BED" w:rsidRDefault="0078364B" w:rsidP="00B072DE">
      <w:pPr>
        <w:pStyle w:val="FootnoteText"/>
        <w:rPr>
          <w:rStyle w:val="FootnoteReference"/>
          <w:vertAlign w:val="baseline"/>
        </w:rPr>
      </w:pPr>
      <w:r w:rsidRPr="00401BED">
        <w:tab/>
      </w:r>
      <w:r w:rsidRPr="00401BED">
        <w:rPr>
          <w:rStyle w:val="FootnoteReference"/>
        </w:rPr>
        <w:footnoteRef/>
      </w:r>
      <w:r w:rsidRPr="00401BED">
        <w:tab/>
      </w:r>
      <w:r w:rsidRPr="00401BED">
        <w:rPr>
          <w:rStyle w:val="FootnoteReference"/>
          <w:vertAlign w:val="baseline"/>
        </w:rPr>
        <w:t>Ibid.</w:t>
      </w:r>
    </w:p>
  </w:footnote>
  <w:footnote w:id="10">
    <w:p w14:paraId="41C48A1F" w14:textId="5EDC05FE" w:rsidR="0078364B" w:rsidRPr="00401BED" w:rsidRDefault="0078364B" w:rsidP="00B072DE">
      <w:pPr>
        <w:pStyle w:val="FootnoteText"/>
        <w:rPr>
          <w:rStyle w:val="FootnoteReference"/>
          <w:vertAlign w:val="baseline"/>
        </w:rPr>
      </w:pPr>
      <w:r w:rsidRPr="00401BED">
        <w:tab/>
      </w:r>
      <w:r w:rsidRPr="00401BED">
        <w:rPr>
          <w:rStyle w:val="FootnoteReference"/>
        </w:rPr>
        <w:footnoteRef/>
      </w:r>
      <w:r w:rsidRPr="00401BED">
        <w:tab/>
      </w:r>
      <w:r w:rsidRPr="00401BED">
        <w:rPr>
          <w:rStyle w:val="FootnoteReference"/>
          <w:vertAlign w:val="baseline"/>
        </w:rPr>
        <w:t xml:space="preserve">AL PHL 2/2020 </w:t>
      </w:r>
      <w:hyperlink r:id="rId3" w:history="1">
        <w:r w:rsidRPr="00401BED">
          <w:rPr>
            <w:rStyle w:val="Hyperlink"/>
            <w:color w:val="auto"/>
          </w:rPr>
          <w:t>https://spcommreports.ohchr.org/TMResultsBase/DownLoadPublicCommunicationFile?gId=25323</w:t>
        </w:r>
      </w:hyperlink>
      <w:r w:rsidRPr="00401BED">
        <w:rPr>
          <w:rStyle w:val="Hyperlink"/>
          <w:color w:val="auto"/>
        </w:rPr>
        <w:t xml:space="preserve">; </w:t>
      </w:r>
      <w:hyperlink r:id="rId4" w:history="1">
        <w:r w:rsidRPr="00401BED">
          <w:rPr>
            <w:rStyle w:val="Hyperlink"/>
            <w:color w:val="auto"/>
          </w:rPr>
          <w:t>https://chr.gov.ph/statement-of-chr-spokesperson-atty-jacqueline-ann-de-guia-on-the-arrest-of-8-protesters-in-up-cebu-due-to-alleged-violation-of-quarantine-rules/</w:t>
        </w:r>
      </w:hyperlink>
      <w:r w:rsidR="004C448B">
        <w:rPr>
          <w:rStyle w:val="Hyperlink"/>
          <w:color w:val="auto"/>
        </w:rPr>
        <w:t>;</w:t>
      </w:r>
      <w:r w:rsidRPr="00401BED">
        <w:t xml:space="preserve"> </w:t>
      </w:r>
      <w:r w:rsidRPr="00401BED">
        <w:rPr>
          <w:rStyle w:val="FootnoteReference"/>
          <w:vertAlign w:val="baseline"/>
        </w:rPr>
        <w:t xml:space="preserve">CHRP, CHR (V) No. POL2022-012 </w:t>
      </w:r>
      <w:hyperlink r:id="rId5" w:history="1">
        <w:r w:rsidRPr="00401BED">
          <w:rPr>
            <w:rStyle w:val="Hyperlink"/>
            <w:color w:val="auto"/>
          </w:rPr>
          <w:t>Addressing Inequality During the Pandemic: The 2021 National Human Rights Situation Report</w:t>
        </w:r>
      </w:hyperlink>
      <w:r w:rsidRPr="00401BED">
        <w:rPr>
          <w:rStyle w:val="FootnoteReference"/>
          <w:vertAlign w:val="baseline"/>
        </w:rPr>
        <w:t>, p16</w:t>
      </w:r>
      <w:r w:rsidR="00F944AF">
        <w:t>.</w:t>
      </w:r>
    </w:p>
  </w:footnote>
  <w:footnote w:id="11">
    <w:p w14:paraId="3E1EC11B" w14:textId="39DEBE09" w:rsidR="0078364B" w:rsidRPr="00401BED" w:rsidRDefault="0078364B" w:rsidP="00AF032F">
      <w:pPr>
        <w:pStyle w:val="FootnoteText"/>
        <w:rPr>
          <w:lang w:val="es-ES"/>
        </w:rPr>
      </w:pPr>
      <w:r w:rsidRPr="00401BED">
        <w:tab/>
      </w:r>
      <w:r w:rsidRPr="00401BED">
        <w:rPr>
          <w:rStyle w:val="FootnoteReference"/>
        </w:rPr>
        <w:footnoteRef/>
      </w:r>
      <w:r w:rsidRPr="00401BED">
        <w:rPr>
          <w:lang w:val="es-ES"/>
        </w:rPr>
        <w:tab/>
        <w:t xml:space="preserve">Op.cit. </w:t>
      </w:r>
      <w:r w:rsidR="00576782">
        <w:rPr>
          <w:lang w:val="es-ES"/>
        </w:rPr>
        <w:t>8</w:t>
      </w:r>
      <w:r w:rsidRPr="00401BED">
        <w:rPr>
          <w:lang w:val="es-ES"/>
        </w:rPr>
        <w:t xml:space="preserve">; </w:t>
      </w:r>
      <w:hyperlink r:id="rId6" w:history="1">
        <w:r w:rsidRPr="00401BED">
          <w:rPr>
            <w:rStyle w:val="Hyperlink"/>
            <w:color w:val="auto"/>
            <w:lang w:val="es-ES"/>
          </w:rPr>
          <w:t>https://news.un.org/en/story/2020/04/1062632</w:t>
        </w:r>
      </w:hyperlink>
      <w:r w:rsidR="00F944AF">
        <w:rPr>
          <w:rStyle w:val="Hyperlink"/>
          <w:color w:val="auto"/>
          <w:lang w:val="es-ES"/>
        </w:rPr>
        <w:t>.</w:t>
      </w:r>
    </w:p>
  </w:footnote>
  <w:footnote w:id="12">
    <w:p w14:paraId="5E8E654F" w14:textId="371C03C5" w:rsidR="0078364B" w:rsidRPr="00A66F20" w:rsidRDefault="0078364B">
      <w:pPr>
        <w:pStyle w:val="FootnoteText"/>
        <w:rPr>
          <w:lang w:val="es-ES"/>
        </w:rPr>
      </w:pPr>
      <w:r w:rsidRPr="002B5AA0">
        <w:rPr>
          <w:lang w:val="es-ES"/>
        </w:rPr>
        <w:tab/>
      </w:r>
      <w:r w:rsidRPr="002B5AA0">
        <w:rPr>
          <w:sz w:val="12"/>
          <w:szCs w:val="14"/>
        </w:rPr>
        <w:footnoteRef/>
      </w:r>
      <w:r w:rsidRPr="002B5AA0">
        <w:rPr>
          <w:lang w:val="es-ES"/>
        </w:rPr>
        <w:tab/>
      </w:r>
      <w:hyperlink r:id="rId7" w:history="1">
        <w:r w:rsidRPr="002B5AA0">
          <w:rPr>
            <w:rStyle w:val="Hyperlink"/>
            <w:color w:val="auto"/>
            <w:lang w:val="es-ES"/>
          </w:rPr>
          <w:t>https://reports.unocha.org/en/country/philippines</w:t>
        </w:r>
      </w:hyperlink>
      <w:r w:rsidR="00F944AF">
        <w:rPr>
          <w:rStyle w:val="Hyperlink"/>
          <w:color w:val="auto"/>
          <w:lang w:val="es-ES"/>
        </w:rPr>
        <w:t>.</w:t>
      </w:r>
    </w:p>
  </w:footnote>
  <w:footnote w:id="13">
    <w:p w14:paraId="76A7F62A" w14:textId="17B721B2" w:rsidR="0078364B" w:rsidRPr="002B5AA0" w:rsidRDefault="0078364B" w:rsidP="00F34263">
      <w:pPr>
        <w:pStyle w:val="FootnoteText"/>
        <w:rPr>
          <w:lang w:val="es-ES"/>
        </w:rPr>
      </w:pPr>
      <w:r w:rsidRPr="00A66F20">
        <w:rPr>
          <w:lang w:val="es-ES"/>
        </w:rPr>
        <w:tab/>
      </w:r>
      <w:r w:rsidRPr="002B5AA0">
        <w:rPr>
          <w:rStyle w:val="FootnoteReference"/>
        </w:rPr>
        <w:footnoteRef/>
      </w:r>
      <w:r w:rsidRPr="002B5AA0">
        <w:rPr>
          <w:lang w:val="es-ES"/>
        </w:rPr>
        <w:tab/>
      </w:r>
      <w:hyperlink r:id="rId8" w:history="1">
        <w:r w:rsidRPr="002B5AA0">
          <w:rPr>
            <w:rStyle w:val="Hyperlink"/>
            <w:color w:val="auto"/>
            <w:lang w:val="es-ES"/>
          </w:rPr>
          <w:t>https://philippines.un.org/en/191082-un-and-humanitarian-partners-support-1m-odette-affected-persons-last-six-months-recovery#:~:text=MANILA%2C%2020%20July%202022%2D%2D,assistance%20to%20over%20a%20million</w:t>
        </w:r>
      </w:hyperlink>
      <w:r w:rsidR="00F944AF">
        <w:rPr>
          <w:rStyle w:val="Hyperlink"/>
          <w:color w:val="auto"/>
          <w:lang w:val="es-ES"/>
        </w:rPr>
        <w:t>.</w:t>
      </w:r>
    </w:p>
  </w:footnote>
  <w:footnote w:id="14">
    <w:p w14:paraId="0C86AC9B" w14:textId="38750F11" w:rsidR="0078364B" w:rsidRDefault="00907C4D" w:rsidP="00EA5DB6">
      <w:pPr>
        <w:pStyle w:val="FootnoteText"/>
      </w:pPr>
      <w:r>
        <w:tab/>
      </w:r>
      <w:r w:rsidR="0078364B">
        <w:rPr>
          <w:rStyle w:val="FootnoteReference"/>
        </w:rPr>
        <w:footnoteRef/>
      </w:r>
      <w:r>
        <w:tab/>
      </w:r>
      <w:r w:rsidR="002D27FD" w:rsidRPr="002D27FD">
        <w:t>In December 2017, President Duterte proclaimed the CPP and its military wing, NPA, “terrorist entities”. CPP-NPA is listed by some member states on their counter-terrorism lists.</w:t>
      </w:r>
    </w:p>
  </w:footnote>
  <w:footnote w:id="15">
    <w:p w14:paraId="249B9D79" w14:textId="4CE85925" w:rsidR="0078364B" w:rsidRPr="002B5AA0" w:rsidRDefault="0078364B" w:rsidP="00F34263">
      <w:pPr>
        <w:pStyle w:val="FootnoteText"/>
      </w:pPr>
      <w:r w:rsidRPr="002B5AA0">
        <w:rPr>
          <w:lang w:val="es-ES"/>
        </w:rPr>
        <w:tab/>
      </w:r>
      <w:r w:rsidRPr="002B5AA0">
        <w:rPr>
          <w:rStyle w:val="FootnoteReference"/>
        </w:rPr>
        <w:footnoteRef/>
      </w:r>
      <w:r w:rsidRPr="002B5AA0">
        <w:tab/>
      </w:r>
      <w:hyperlink r:id="rId9" w:history="1">
        <w:r w:rsidRPr="002B5AA0">
          <w:rPr>
            <w:rStyle w:val="Hyperlink"/>
            <w:color w:val="auto"/>
          </w:rPr>
          <w:t>https://philippines.un.org/sites/default/files/2021-11/UN%20Socioeconomic%20and%20Peacebuilding%20Framework%20Final_1.pdf</w:t>
        </w:r>
      </w:hyperlink>
      <w:r w:rsidRPr="002B5AA0">
        <w:t xml:space="preserve"> , p20</w:t>
      </w:r>
      <w:r w:rsidR="00F944AF">
        <w:t>.</w:t>
      </w:r>
    </w:p>
  </w:footnote>
  <w:footnote w:id="16">
    <w:p w14:paraId="00F4FA4F" w14:textId="6DED1DE5" w:rsidR="0078364B" w:rsidRPr="002B5AA0" w:rsidRDefault="0078364B" w:rsidP="00F34263">
      <w:pPr>
        <w:pStyle w:val="FootnoteText"/>
      </w:pPr>
      <w:r w:rsidRPr="002B5AA0">
        <w:tab/>
      </w:r>
      <w:r w:rsidRPr="002B5AA0">
        <w:rPr>
          <w:rStyle w:val="FootnoteReference"/>
        </w:rPr>
        <w:footnoteRef/>
      </w:r>
      <w:r w:rsidRPr="002B5AA0">
        <w:tab/>
        <w:t xml:space="preserve">CHRP, </w:t>
      </w:r>
      <w:hyperlink r:id="rId10" w:history="1">
        <w:r w:rsidRPr="002B5AA0">
          <w:rPr>
            <w:rStyle w:val="Hyperlink"/>
            <w:color w:val="auto"/>
          </w:rPr>
          <w:t>The Haran Report: On Human Rights Violations Against the Lumad of Mindanao</w:t>
        </w:r>
      </w:hyperlink>
      <w:r w:rsidR="00F944AF">
        <w:rPr>
          <w:rStyle w:val="Hyperlink"/>
          <w:color w:val="auto"/>
        </w:rPr>
        <w:t>.</w:t>
      </w:r>
    </w:p>
  </w:footnote>
  <w:footnote w:id="17">
    <w:p w14:paraId="41346A9B" w14:textId="1984830D" w:rsidR="0078364B" w:rsidRPr="002B5AA0" w:rsidRDefault="0078364B" w:rsidP="00A33387">
      <w:pPr>
        <w:pStyle w:val="FootnoteText"/>
      </w:pPr>
      <w:r w:rsidRPr="002B5AA0">
        <w:tab/>
      </w:r>
      <w:r w:rsidRPr="002B5AA0">
        <w:rPr>
          <w:rStyle w:val="FootnoteReference"/>
        </w:rPr>
        <w:footnoteRef/>
      </w:r>
      <w:r w:rsidRPr="002B5AA0">
        <w:tab/>
        <w:t>Republic Act 11593</w:t>
      </w:r>
      <w:r w:rsidR="00F944AF">
        <w:t>.</w:t>
      </w:r>
    </w:p>
  </w:footnote>
  <w:footnote w:id="18">
    <w:p w14:paraId="0E87E83D" w14:textId="635698F5" w:rsidR="0078364B" w:rsidRPr="002B5AA0" w:rsidRDefault="0078364B" w:rsidP="00F34263">
      <w:pPr>
        <w:pStyle w:val="FootnoteText"/>
      </w:pPr>
      <w:r w:rsidRPr="002B5AA0">
        <w:tab/>
      </w:r>
      <w:r w:rsidRPr="002B5AA0">
        <w:rPr>
          <w:rStyle w:val="FootnoteReference"/>
        </w:rPr>
        <w:footnoteRef/>
      </w:r>
      <w:r w:rsidRPr="002B5AA0">
        <w:tab/>
        <w:t xml:space="preserve"> </w:t>
      </w:r>
      <w:hyperlink r:id="rId11" w:history="1">
        <w:r w:rsidRPr="002B5AA0">
          <w:rPr>
            <w:rStyle w:val="Hyperlink"/>
            <w:color w:val="auto"/>
          </w:rPr>
          <w:t>https://chr.gov.ph/chr-announces-the-appointment-of-new-chairperson/</w:t>
        </w:r>
      </w:hyperlink>
      <w:r w:rsidR="00F944AF">
        <w:rPr>
          <w:rStyle w:val="Hyperlink"/>
          <w:color w:val="auto"/>
        </w:rPr>
        <w:t>.</w:t>
      </w:r>
    </w:p>
  </w:footnote>
  <w:footnote w:id="19">
    <w:p w14:paraId="556CA488" w14:textId="552BD7D6" w:rsidR="0078364B" w:rsidRPr="002B5AA0" w:rsidRDefault="0078364B" w:rsidP="00344119">
      <w:pPr>
        <w:pStyle w:val="FootnoteText"/>
      </w:pPr>
      <w:r w:rsidRPr="002B5AA0">
        <w:tab/>
      </w:r>
      <w:r w:rsidRPr="002B5AA0">
        <w:rPr>
          <w:rStyle w:val="FootnoteReference"/>
        </w:rPr>
        <w:footnoteRef/>
      </w:r>
      <w:r w:rsidRPr="002B5AA0">
        <w:tab/>
      </w:r>
      <w:hyperlink r:id="rId12" w:history="1">
        <w:r w:rsidRPr="002B5AA0">
          <w:rPr>
            <w:rStyle w:val="Hyperlink"/>
            <w:color w:val="auto"/>
          </w:rPr>
          <w:t>https://www.icc-cpi.int/news/statement-prosecutor-international-criminal-court-karim-khan-qc-following-application-order</w:t>
        </w:r>
      </w:hyperlink>
      <w:r w:rsidR="00F944AF">
        <w:rPr>
          <w:rStyle w:val="Hyperlink"/>
          <w:color w:val="auto"/>
        </w:rPr>
        <w:t>.</w:t>
      </w:r>
      <w:r w:rsidRPr="002B5AA0" w:rsidDel="007F4436">
        <w:t xml:space="preserve"> </w:t>
      </w:r>
    </w:p>
  </w:footnote>
  <w:footnote w:id="20">
    <w:p w14:paraId="6EFA214B" w14:textId="7378B72A" w:rsidR="0078364B" w:rsidRDefault="0078364B">
      <w:pPr>
        <w:pStyle w:val="FootnoteText"/>
      </w:pPr>
      <w:r w:rsidRPr="002B5AA0">
        <w:tab/>
      </w:r>
      <w:r w:rsidRPr="002B5AA0">
        <w:rPr>
          <w:rStyle w:val="FootnoteReference"/>
        </w:rPr>
        <w:footnoteRef/>
      </w:r>
      <w:r w:rsidRPr="002B5AA0">
        <w:tab/>
      </w:r>
      <w:hyperlink r:id="rId13" w:history="1">
        <w:r w:rsidRPr="002B5AA0">
          <w:rPr>
            <w:rStyle w:val="Hyperlink"/>
            <w:color w:val="auto"/>
          </w:rPr>
          <w:t>https://www.pna.gov.ph/articles/1180284</w:t>
        </w:r>
      </w:hyperlink>
      <w:r w:rsidR="00F944AF">
        <w:rPr>
          <w:rStyle w:val="Hyperlink"/>
          <w:color w:val="auto"/>
        </w:rPr>
        <w:t>.</w:t>
      </w:r>
      <w:r w:rsidRPr="002B5AA0">
        <w:t xml:space="preserve"> </w:t>
      </w:r>
    </w:p>
  </w:footnote>
  <w:footnote w:id="21">
    <w:p w14:paraId="5A11CE0D" w14:textId="5DDC3319" w:rsidR="0078364B" w:rsidRDefault="0078364B">
      <w:pPr>
        <w:pStyle w:val="FootnoteText"/>
      </w:pPr>
      <w:r>
        <w:rPr>
          <w:color w:val="000000"/>
        </w:rPr>
        <w:tab/>
      </w:r>
      <w:r w:rsidRPr="00105C40">
        <w:rPr>
          <w:rStyle w:val="FootnoteReference"/>
          <w:szCs w:val="18"/>
        </w:rPr>
        <w:footnoteRef/>
      </w:r>
      <w:r>
        <w:rPr>
          <w:color w:val="000000"/>
        </w:rPr>
        <w:tab/>
      </w:r>
      <w:r w:rsidRPr="00864B4A">
        <w:rPr>
          <w:color w:val="000000"/>
        </w:rPr>
        <w:t>The UNJP is being implemented by</w:t>
      </w:r>
      <w:r w:rsidRPr="00864B4A">
        <w:t xml:space="preserve"> four participating UN entities – OHCHR, UN Educational, Scientific and Cultural Organization (UNESCO), UN Office of Counter-Terrorism (UNOCT) and UN Office of Drugs and Crime (UNODC), and governmental partners. </w:t>
      </w:r>
      <w:r w:rsidRPr="00864B4A">
        <w:rPr>
          <w:color w:val="000000"/>
        </w:rPr>
        <w:t>The programme is co-implemented by the DoJ, PHRCS, DILG, PNP, DDB, Department of Health (D</w:t>
      </w:r>
      <w:r>
        <w:rPr>
          <w:color w:val="000000"/>
        </w:rPr>
        <w:t>o</w:t>
      </w:r>
      <w:r w:rsidRPr="00864B4A">
        <w:rPr>
          <w:color w:val="000000"/>
        </w:rPr>
        <w:t xml:space="preserve">H), ATC-PMC, Bureau of Jail Management and Penology (BJMP) and the CHRP.  </w:t>
      </w:r>
      <w:r>
        <w:rPr>
          <w:color w:val="000000"/>
        </w:rPr>
        <w:t>CSOs</w:t>
      </w:r>
      <w:r w:rsidRPr="00FB5566">
        <w:rPr>
          <w:color w:val="000000"/>
        </w:rPr>
        <w:t xml:space="preserve"> and the academia are core partners in the UNJP implementation</w:t>
      </w:r>
      <w:r>
        <w:rPr>
          <w:color w:val="000000"/>
        </w:rPr>
        <w:t>.</w:t>
      </w:r>
    </w:p>
  </w:footnote>
  <w:footnote w:id="22">
    <w:p w14:paraId="31928F86" w14:textId="48992F28" w:rsidR="0078364B" w:rsidRDefault="0078364B">
      <w:pPr>
        <w:pStyle w:val="FootnoteText"/>
      </w:pPr>
      <w:r>
        <w:tab/>
      </w:r>
      <w:r>
        <w:rPr>
          <w:rStyle w:val="FootnoteReference"/>
        </w:rPr>
        <w:footnoteRef/>
      </w:r>
      <w:r>
        <w:tab/>
      </w:r>
      <w:r w:rsidRPr="00843847">
        <w:t>The UN</w:t>
      </w:r>
      <w:r>
        <w:t xml:space="preserve">JP </w:t>
      </w:r>
      <w:r w:rsidRPr="00843847">
        <w:t xml:space="preserve">expected fund contribution is </w:t>
      </w:r>
      <w:r>
        <w:t xml:space="preserve">USD </w:t>
      </w:r>
      <w:r w:rsidRPr="00843847">
        <w:t xml:space="preserve">7,978,811 and </w:t>
      </w:r>
      <w:r>
        <w:t xml:space="preserve">USD </w:t>
      </w:r>
      <w:r w:rsidRPr="00843847">
        <w:t>2,233,503 from participating UN organizations.</w:t>
      </w:r>
    </w:p>
  </w:footnote>
  <w:footnote w:id="23">
    <w:p w14:paraId="0EE519A5" w14:textId="5610FA69" w:rsidR="0078364B" w:rsidRPr="002B5AA0" w:rsidRDefault="0078364B" w:rsidP="00B072DE">
      <w:pPr>
        <w:pStyle w:val="FootnoteText"/>
      </w:pPr>
      <w:r>
        <w:tab/>
      </w:r>
      <w:r w:rsidRPr="002B5AA0">
        <w:rPr>
          <w:rStyle w:val="FootnoteReference"/>
        </w:rPr>
        <w:footnoteRef/>
      </w:r>
      <w:r w:rsidRPr="002B5AA0">
        <w:tab/>
      </w:r>
      <w:hyperlink r:id="rId14" w:history="1">
        <w:r w:rsidRPr="002B5AA0">
          <w:rPr>
            <w:rStyle w:val="Hyperlink"/>
            <w:color w:val="auto"/>
          </w:rPr>
          <w:t>https://www.doj.gov.ph/news_article.html?newsid=661</w:t>
        </w:r>
      </w:hyperlink>
      <w:r w:rsidR="00F944AF">
        <w:rPr>
          <w:rStyle w:val="Hyperlink"/>
          <w:color w:val="auto"/>
        </w:rPr>
        <w:t>.</w:t>
      </w:r>
      <w:r w:rsidRPr="002B5AA0">
        <w:t xml:space="preserve"> </w:t>
      </w:r>
    </w:p>
  </w:footnote>
  <w:footnote w:id="24">
    <w:p w14:paraId="06BDFF14" w14:textId="73B84EE7" w:rsidR="0078364B" w:rsidRPr="002B5AA0" w:rsidRDefault="0078364B" w:rsidP="00BA3FFA">
      <w:pPr>
        <w:pStyle w:val="FootnoteText"/>
      </w:pPr>
      <w:r w:rsidRPr="002B5AA0">
        <w:tab/>
      </w:r>
      <w:r w:rsidRPr="002B5AA0">
        <w:rPr>
          <w:rStyle w:val="FootnoteReference"/>
        </w:rPr>
        <w:footnoteRef/>
      </w:r>
      <w:r w:rsidRPr="002B5AA0">
        <w:tab/>
      </w:r>
      <w:hyperlink r:id="rId15" w:history="1">
        <w:r w:rsidRPr="002B5AA0">
          <w:rPr>
            <w:rStyle w:val="Hyperlink"/>
            <w:color w:val="auto"/>
          </w:rPr>
          <w:t>https://www.pna.gov.ph/articles/1157212</w:t>
        </w:r>
      </w:hyperlink>
      <w:r w:rsidR="00F944AF">
        <w:rPr>
          <w:rStyle w:val="Hyperlink"/>
          <w:color w:val="auto"/>
        </w:rPr>
        <w:t>.</w:t>
      </w:r>
      <w:r w:rsidRPr="002B5AA0">
        <w:t xml:space="preserve">  </w:t>
      </w:r>
    </w:p>
  </w:footnote>
  <w:footnote w:id="25">
    <w:p w14:paraId="06158C3D" w14:textId="631416BD" w:rsidR="0078364B" w:rsidRPr="002B5AA0" w:rsidRDefault="0078364B" w:rsidP="00B072DE">
      <w:pPr>
        <w:pStyle w:val="FootnoteText"/>
      </w:pPr>
      <w:r w:rsidRPr="002B5AA0">
        <w:tab/>
      </w:r>
      <w:r w:rsidRPr="002B5AA0">
        <w:rPr>
          <w:rStyle w:val="FootnoteReference"/>
        </w:rPr>
        <w:footnoteRef/>
      </w:r>
      <w:r w:rsidRPr="002B5AA0">
        <w:tab/>
        <w:t>NV-EPG-338-2022</w:t>
      </w:r>
      <w:r w:rsidR="00F944AF">
        <w:t>.</w:t>
      </w:r>
    </w:p>
  </w:footnote>
  <w:footnote w:id="26">
    <w:p w14:paraId="14CA2202" w14:textId="00C0D511" w:rsidR="009D14B6" w:rsidRDefault="00907C4D">
      <w:pPr>
        <w:pStyle w:val="FootnoteText"/>
      </w:pPr>
      <w:r>
        <w:tab/>
      </w:r>
      <w:r w:rsidR="009D14B6">
        <w:rPr>
          <w:rStyle w:val="FootnoteReference"/>
        </w:rPr>
        <w:footnoteRef/>
      </w:r>
      <w:r>
        <w:tab/>
      </w:r>
      <w:r w:rsidR="009D14B6" w:rsidRPr="009D14B6">
        <w:t>NV-EPG-363-2022</w:t>
      </w:r>
      <w:r w:rsidR="00F944AF">
        <w:t>.</w:t>
      </w:r>
    </w:p>
  </w:footnote>
  <w:footnote w:id="27">
    <w:p w14:paraId="2C570A60" w14:textId="759B8E16" w:rsidR="0078364B" w:rsidRPr="002B5AA0" w:rsidRDefault="0078364B" w:rsidP="00BA3FFA">
      <w:pPr>
        <w:pStyle w:val="FootnoteText"/>
      </w:pPr>
      <w:r w:rsidRPr="002B5AA0">
        <w:tab/>
      </w:r>
      <w:r w:rsidRPr="002B5AA0">
        <w:rPr>
          <w:rStyle w:val="FootnoteReference"/>
        </w:rPr>
        <w:footnoteRef/>
      </w:r>
      <w:r w:rsidRPr="002B5AA0">
        <w:tab/>
      </w:r>
      <w:hyperlink r:id="rId16" w:history="1">
        <w:r w:rsidRPr="002B5AA0">
          <w:rPr>
            <w:rStyle w:val="Hyperlink"/>
            <w:color w:val="auto"/>
          </w:rPr>
          <w:t>https://chr.gov.ph/statement-of-chr-executive-director-atty-jacqueline-ann-de-guia-on-the-delay-in-the-implementation-of-the-arrest-warrant-for-those-accused-in-the-killing-of-businessman-diego-bello-lafuente/</w:t>
        </w:r>
      </w:hyperlink>
      <w:r w:rsidR="00F944AF">
        <w:rPr>
          <w:rStyle w:val="Hyperlink"/>
          <w:color w:val="auto"/>
        </w:rPr>
        <w:t>.</w:t>
      </w:r>
      <w:r w:rsidRPr="002B5AA0">
        <w:t xml:space="preserve"> </w:t>
      </w:r>
    </w:p>
  </w:footnote>
  <w:footnote w:id="28">
    <w:p w14:paraId="74BA6A40" w14:textId="4D16A997" w:rsidR="0078364B" w:rsidRPr="002B5AA0" w:rsidRDefault="0078364B" w:rsidP="00B072DE">
      <w:pPr>
        <w:pStyle w:val="FootnoteText"/>
      </w:pPr>
      <w:r w:rsidRPr="002B5AA0">
        <w:tab/>
      </w:r>
      <w:r w:rsidRPr="002B5AA0">
        <w:rPr>
          <w:rStyle w:val="FootnoteReference"/>
        </w:rPr>
        <w:footnoteRef/>
      </w:r>
      <w:r w:rsidRPr="002B5AA0">
        <w:tab/>
      </w:r>
      <w:hyperlink r:id="rId17" w:history="1">
        <w:r w:rsidRPr="002B5AA0">
          <w:rPr>
            <w:rStyle w:val="Hyperlink"/>
            <w:color w:val="auto"/>
          </w:rPr>
          <w:t>https://idpc.net/alerts/2021/10/statement-on-the-human-rights-situation-in-the-philippines-human-rights-council-48th-session</w:t>
        </w:r>
      </w:hyperlink>
      <w:r w:rsidR="00F944AF">
        <w:rPr>
          <w:rStyle w:val="Hyperlink"/>
          <w:color w:val="auto"/>
        </w:rPr>
        <w:t>.</w:t>
      </w:r>
    </w:p>
  </w:footnote>
  <w:footnote w:id="29">
    <w:p w14:paraId="0D811988" w14:textId="3513A8EF" w:rsidR="0078364B" w:rsidRPr="002B5AA0" w:rsidRDefault="0078364B">
      <w:pPr>
        <w:pStyle w:val="FootnoteText"/>
      </w:pPr>
      <w:r w:rsidRPr="002B5AA0">
        <w:tab/>
      </w:r>
      <w:r w:rsidRPr="002B5AA0">
        <w:rPr>
          <w:rStyle w:val="FootnoteReference"/>
        </w:rPr>
        <w:footnoteRef/>
      </w:r>
      <w:r w:rsidRPr="002B5AA0">
        <w:tab/>
      </w:r>
      <w:hyperlink r:id="rId18" w:history="1">
        <w:r w:rsidRPr="002B5AA0">
          <w:rPr>
            <w:rStyle w:val="Hyperlink"/>
            <w:color w:val="auto"/>
          </w:rPr>
          <w:t>https://www.pna.gov.ph/articles/1152132</w:t>
        </w:r>
      </w:hyperlink>
      <w:r w:rsidR="00F944AF">
        <w:rPr>
          <w:rStyle w:val="Hyperlink"/>
          <w:color w:val="auto"/>
        </w:rPr>
        <w:t>.</w:t>
      </w:r>
    </w:p>
  </w:footnote>
  <w:footnote w:id="30">
    <w:p w14:paraId="54B2335C" w14:textId="5114BE63" w:rsidR="0078364B" w:rsidRPr="002B5AA0" w:rsidRDefault="0078364B" w:rsidP="0013502F">
      <w:pPr>
        <w:pStyle w:val="FootnoteText"/>
      </w:pPr>
      <w:r w:rsidRPr="002B5AA0">
        <w:tab/>
      </w:r>
      <w:r w:rsidRPr="002B5AA0">
        <w:rPr>
          <w:rStyle w:val="FootnoteReference"/>
        </w:rPr>
        <w:footnoteRef/>
      </w:r>
      <w:r w:rsidRPr="002B5AA0">
        <w:tab/>
      </w:r>
      <w:hyperlink r:id="rId19" w:history="1">
        <w:r w:rsidRPr="002B5AA0">
          <w:rPr>
            <w:rStyle w:val="Hyperlink"/>
            <w:color w:val="auto"/>
          </w:rPr>
          <w:t>https://www.officialgazette.gov.ph/2012/11/22/administrative-order-no-35-s-2012/</w:t>
        </w:r>
      </w:hyperlink>
      <w:r w:rsidR="00F944AF">
        <w:rPr>
          <w:rStyle w:val="Hyperlink"/>
          <w:color w:val="auto"/>
        </w:rPr>
        <w:t>.</w:t>
      </w:r>
    </w:p>
  </w:footnote>
  <w:footnote w:id="31">
    <w:p w14:paraId="10A2DBF1" w14:textId="6A8635C4" w:rsidR="0078364B" w:rsidRPr="002B5AA0" w:rsidRDefault="0078364B" w:rsidP="00B072DE">
      <w:pPr>
        <w:pStyle w:val="FootnoteText"/>
      </w:pPr>
      <w:r w:rsidRPr="002B5AA0">
        <w:tab/>
      </w:r>
      <w:r w:rsidRPr="002B5AA0">
        <w:rPr>
          <w:rStyle w:val="FootnoteReference"/>
        </w:rPr>
        <w:footnoteRef/>
      </w:r>
      <w:r w:rsidRPr="002B5AA0">
        <w:tab/>
        <w:t>Killings occurring in anti-drug operations do not generally fall under the AO35 mandate.</w:t>
      </w:r>
    </w:p>
  </w:footnote>
  <w:footnote w:id="32">
    <w:p w14:paraId="52DC6B57" w14:textId="7490C189" w:rsidR="0078364B" w:rsidRPr="002B5AA0" w:rsidRDefault="0078364B" w:rsidP="00716629">
      <w:pPr>
        <w:pStyle w:val="FootnoteText"/>
        <w:ind w:hanging="567"/>
      </w:pPr>
      <w:r w:rsidRPr="002B5AA0">
        <w:tab/>
      </w:r>
      <w:r w:rsidRPr="002B5AA0">
        <w:rPr>
          <w:rStyle w:val="FootnoteReference"/>
        </w:rPr>
        <w:footnoteRef/>
      </w:r>
      <w:r w:rsidRPr="002B5AA0">
        <w:tab/>
      </w:r>
      <w:hyperlink r:id="rId20" w:history="1">
        <w:r w:rsidRPr="002B5AA0">
          <w:rPr>
            <w:rStyle w:val="Hyperlink"/>
            <w:color w:val="auto"/>
          </w:rPr>
          <w:t>https://www.ohchr.org/en/2021/03/press-briefing-notes-philippines?LangID=E&amp;NewsID=26865</w:t>
        </w:r>
      </w:hyperlink>
      <w:r w:rsidR="00F944AF">
        <w:rPr>
          <w:rStyle w:val="Hyperlink"/>
          <w:color w:val="auto"/>
        </w:rPr>
        <w:t>.</w:t>
      </w:r>
    </w:p>
  </w:footnote>
  <w:footnote w:id="33">
    <w:p w14:paraId="6D0ECAAF" w14:textId="2B1B881C" w:rsidR="0078364B" w:rsidRPr="00D807C3" w:rsidRDefault="0078364B" w:rsidP="00B072DE">
      <w:pPr>
        <w:pStyle w:val="FootnoteText"/>
      </w:pPr>
      <w:r w:rsidRPr="002B5AA0">
        <w:tab/>
      </w:r>
      <w:r w:rsidRPr="002B5AA0">
        <w:rPr>
          <w:rStyle w:val="FootnoteReference"/>
        </w:rPr>
        <w:footnoteRef/>
      </w:r>
      <w:r w:rsidRPr="002B5AA0">
        <w:tab/>
      </w:r>
      <w:hyperlink r:id="rId21" w:history="1">
        <w:r w:rsidRPr="002B5AA0">
          <w:rPr>
            <w:rStyle w:val="Hyperlink"/>
            <w:color w:val="auto"/>
          </w:rPr>
          <w:t>https://chr.gov.ph/statement-of-chr-spokesperson-atty-jacqueline-ann-de-guia-welcoming-the-dojs-preliminary-investigation-on-the-batangas-couple-killed-on-bloody-sunday-raids/</w:t>
        </w:r>
      </w:hyperlink>
      <w:r w:rsidR="00F944AF">
        <w:rPr>
          <w:rStyle w:val="Hyperlink"/>
          <w:color w:val="auto"/>
        </w:rPr>
        <w:t>.</w:t>
      </w:r>
    </w:p>
  </w:footnote>
  <w:footnote w:id="34">
    <w:p w14:paraId="6B8292DC" w14:textId="77BC8C9B" w:rsidR="0078364B" w:rsidRPr="002B5AA0" w:rsidRDefault="0078364B" w:rsidP="00B072DE">
      <w:pPr>
        <w:pStyle w:val="FootnoteText"/>
      </w:pPr>
      <w:r w:rsidRPr="002B5AA0">
        <w:tab/>
      </w:r>
      <w:r w:rsidRPr="002B5AA0">
        <w:rPr>
          <w:rStyle w:val="FootnoteReference"/>
        </w:rPr>
        <w:footnoteRef/>
      </w:r>
      <w:r w:rsidRPr="002B5AA0">
        <w:tab/>
        <w:t>NV-EPG-338-2022</w:t>
      </w:r>
      <w:r w:rsidR="00F944AF">
        <w:t>.</w:t>
      </w:r>
    </w:p>
  </w:footnote>
  <w:footnote w:id="35">
    <w:p w14:paraId="0B48E25C" w14:textId="4B62FD05" w:rsidR="0078364B" w:rsidRPr="002B5AA0" w:rsidRDefault="0078364B" w:rsidP="00B072DE">
      <w:pPr>
        <w:pStyle w:val="FootnoteText"/>
      </w:pPr>
      <w:r w:rsidRPr="002B5AA0">
        <w:tab/>
      </w:r>
      <w:r w:rsidRPr="002B5AA0">
        <w:rPr>
          <w:rStyle w:val="FootnoteReference"/>
        </w:rPr>
        <w:footnoteRef/>
      </w:r>
      <w:r w:rsidRPr="002B5AA0">
        <w:tab/>
        <w:t>NV-EPG-308-2022</w:t>
      </w:r>
      <w:r w:rsidR="00F944AF">
        <w:t>.</w:t>
      </w:r>
    </w:p>
  </w:footnote>
  <w:footnote w:id="36">
    <w:p w14:paraId="28B6795F" w14:textId="15458D80" w:rsidR="0078364B" w:rsidRPr="002B5AA0" w:rsidRDefault="0078364B">
      <w:pPr>
        <w:pStyle w:val="FootnoteText"/>
      </w:pPr>
      <w:r w:rsidRPr="002B5AA0">
        <w:tab/>
      </w:r>
      <w:r w:rsidRPr="002B5AA0">
        <w:rPr>
          <w:rStyle w:val="FootnoteReference"/>
        </w:rPr>
        <w:footnoteRef/>
      </w:r>
      <w:r w:rsidRPr="002B5AA0">
        <w:tab/>
        <w:t>NV-NPG-</w:t>
      </w:r>
      <w:r>
        <w:t>363</w:t>
      </w:r>
      <w:r w:rsidRPr="002B5AA0">
        <w:t>-2022</w:t>
      </w:r>
      <w:r w:rsidR="00F944AF">
        <w:t>.</w:t>
      </w:r>
    </w:p>
  </w:footnote>
  <w:footnote w:id="37">
    <w:p w14:paraId="06208E36" w14:textId="4F5ABDFC" w:rsidR="0078364B" w:rsidRPr="002B5AA0" w:rsidRDefault="0078364B" w:rsidP="00B072DE">
      <w:pPr>
        <w:pStyle w:val="FootnoteText"/>
      </w:pPr>
      <w:r w:rsidRPr="002B5AA0">
        <w:tab/>
      </w:r>
      <w:r w:rsidRPr="002B5AA0">
        <w:rPr>
          <w:rStyle w:val="FootnoteReference"/>
        </w:rPr>
        <w:footnoteRef/>
      </w:r>
      <w:r w:rsidRPr="002B5AA0">
        <w:tab/>
      </w:r>
      <w:hyperlink r:id="rId22" w:history="1">
        <w:r w:rsidRPr="002B5AA0">
          <w:rPr>
            <w:rStyle w:val="Hyperlink"/>
            <w:color w:val="auto"/>
          </w:rPr>
          <w:t>https://www.pna.gov.ph/articles/1156436</w:t>
        </w:r>
      </w:hyperlink>
      <w:r w:rsidR="00F944AF">
        <w:rPr>
          <w:rStyle w:val="Hyperlink"/>
          <w:color w:val="auto"/>
        </w:rPr>
        <w:t>.</w:t>
      </w:r>
      <w:r w:rsidRPr="002B5AA0">
        <w:t xml:space="preserve"> </w:t>
      </w:r>
    </w:p>
  </w:footnote>
  <w:footnote w:id="38">
    <w:p w14:paraId="29FC563B" w14:textId="18BD3057" w:rsidR="0078364B" w:rsidRPr="002B5AA0" w:rsidRDefault="0078364B" w:rsidP="00B072DE">
      <w:pPr>
        <w:pStyle w:val="FootnoteText"/>
      </w:pPr>
      <w:r w:rsidRPr="002B5AA0">
        <w:tab/>
      </w:r>
      <w:r w:rsidRPr="002B5AA0">
        <w:rPr>
          <w:rStyle w:val="FootnoteReference"/>
        </w:rPr>
        <w:footnoteRef/>
      </w:r>
      <w:r w:rsidRPr="002B5AA0">
        <w:tab/>
        <w:t xml:space="preserve">CR-HC-12275; </w:t>
      </w:r>
      <w:hyperlink r:id="rId23" w:history="1">
        <w:r w:rsidRPr="002B5AA0">
          <w:rPr>
            <w:rStyle w:val="Hyperlink"/>
            <w:color w:val="auto"/>
          </w:rPr>
          <w:t>https://services.ca.judiciary.gov.ph/csisver3-war/faces/pages/ResultInformation.xhtml</w:t>
        </w:r>
      </w:hyperlink>
      <w:r w:rsidR="00F944AF">
        <w:rPr>
          <w:rStyle w:val="Hyperlink"/>
          <w:color w:val="auto"/>
        </w:rPr>
        <w:t>.</w:t>
      </w:r>
      <w:r w:rsidRPr="002B5AA0">
        <w:t xml:space="preserve"> </w:t>
      </w:r>
    </w:p>
  </w:footnote>
  <w:footnote w:id="39">
    <w:p w14:paraId="536FD34B" w14:textId="78C0C2BC" w:rsidR="0078364B" w:rsidRPr="002B5AA0" w:rsidRDefault="0078364B" w:rsidP="005D4522">
      <w:pPr>
        <w:pStyle w:val="FootnoteText"/>
      </w:pPr>
      <w:r w:rsidRPr="002B5AA0">
        <w:tab/>
      </w:r>
      <w:r w:rsidRPr="002B5AA0">
        <w:rPr>
          <w:rStyle w:val="FootnoteReference"/>
        </w:rPr>
        <w:footnoteRef/>
      </w:r>
      <w:r w:rsidRPr="002B5AA0">
        <w:tab/>
      </w:r>
      <w:hyperlink r:id="rId24" w:history="1">
        <w:r w:rsidRPr="002B5AA0">
          <w:rPr>
            <w:rStyle w:val="Hyperlink"/>
            <w:color w:val="auto"/>
          </w:rPr>
          <w:t>https://tbinternet.ohchr.org/_layouts/15/TreatyBodyExternal/Treaty.aspx?CountryID=137&amp;Lang=EN</w:t>
        </w:r>
      </w:hyperlink>
      <w:r w:rsidR="00F944AF">
        <w:rPr>
          <w:rStyle w:val="Hyperlink"/>
          <w:color w:val="auto"/>
        </w:rPr>
        <w:t>.</w:t>
      </w:r>
      <w:r w:rsidRPr="002B5AA0">
        <w:t xml:space="preserve"> </w:t>
      </w:r>
    </w:p>
  </w:footnote>
  <w:footnote w:id="40">
    <w:p w14:paraId="0DB99A87" w14:textId="642CC73D" w:rsidR="0078364B" w:rsidRPr="00D807C3" w:rsidRDefault="0078364B" w:rsidP="00B072DE">
      <w:pPr>
        <w:pStyle w:val="FootnoteText"/>
      </w:pPr>
      <w:r w:rsidRPr="002B5AA0">
        <w:tab/>
      </w:r>
      <w:r w:rsidRPr="002B5AA0">
        <w:rPr>
          <w:rStyle w:val="FootnoteReference"/>
        </w:rPr>
        <w:footnoteRef/>
      </w:r>
      <w:r w:rsidRPr="002B5AA0">
        <w:tab/>
      </w:r>
      <w:hyperlink r:id="rId25" w:history="1">
        <w:r w:rsidRPr="002B5AA0">
          <w:rPr>
            <w:rStyle w:val="Hyperlink"/>
            <w:color w:val="auto"/>
          </w:rPr>
          <w:t>https://news.un.org/en/story/2021/09/1100612</w:t>
        </w:r>
      </w:hyperlink>
      <w:r w:rsidR="00F944AF">
        <w:rPr>
          <w:rStyle w:val="Hyperlink"/>
          <w:color w:val="auto"/>
        </w:rPr>
        <w:t>.</w:t>
      </w:r>
    </w:p>
  </w:footnote>
  <w:footnote w:id="41">
    <w:p w14:paraId="49A101A3" w14:textId="14FC4EFB" w:rsidR="0078364B" w:rsidRPr="002B5AA0" w:rsidRDefault="0078364B">
      <w:pPr>
        <w:pStyle w:val="FootnoteText"/>
      </w:pPr>
      <w:r w:rsidRPr="002B5AA0">
        <w:tab/>
      </w:r>
      <w:r w:rsidRPr="002B5AA0">
        <w:rPr>
          <w:rStyle w:val="FootnoteReference"/>
        </w:rPr>
        <w:footnoteRef/>
      </w:r>
      <w:r w:rsidRPr="002B5AA0">
        <w:tab/>
      </w:r>
      <w:hyperlink r:id="rId26" w:history="1">
        <w:r w:rsidRPr="002B5AA0">
          <w:rPr>
            <w:rStyle w:val="Hyperlink"/>
            <w:color w:val="auto"/>
          </w:rPr>
          <w:t>https://www.pna.gov.ph/articles/1174275</w:t>
        </w:r>
      </w:hyperlink>
      <w:r w:rsidR="00F944AF">
        <w:rPr>
          <w:rStyle w:val="Hyperlink"/>
          <w:color w:val="auto"/>
        </w:rPr>
        <w:t>.</w:t>
      </w:r>
    </w:p>
  </w:footnote>
  <w:footnote w:id="42">
    <w:p w14:paraId="2469EBD6" w14:textId="03FAE389" w:rsidR="0078364B" w:rsidRPr="002B5AA0" w:rsidRDefault="0078364B" w:rsidP="00B072DE">
      <w:pPr>
        <w:pStyle w:val="FootnoteText"/>
      </w:pPr>
      <w:r w:rsidRPr="002B5AA0">
        <w:tab/>
      </w:r>
      <w:r w:rsidRPr="002B5AA0">
        <w:rPr>
          <w:rStyle w:val="FootnoteReference"/>
        </w:rPr>
        <w:footnoteRef/>
      </w:r>
      <w:r w:rsidRPr="002B5AA0">
        <w:tab/>
      </w:r>
      <w:hyperlink r:id="rId27" w:history="1">
        <w:r w:rsidRPr="002B5AA0">
          <w:rPr>
            <w:rStyle w:val="Hyperlink"/>
            <w:color w:val="auto"/>
          </w:rPr>
          <w:t>https://www.icnl.org/wp-content/uploads/bodycamwarrants.pdf</w:t>
        </w:r>
      </w:hyperlink>
      <w:r w:rsidR="00F944AF">
        <w:rPr>
          <w:rStyle w:val="Hyperlink"/>
          <w:color w:val="auto"/>
        </w:rPr>
        <w:t>.</w:t>
      </w:r>
      <w:r w:rsidRPr="002B5AA0">
        <w:t xml:space="preserve"> </w:t>
      </w:r>
    </w:p>
  </w:footnote>
  <w:footnote w:id="43">
    <w:p w14:paraId="728FB134" w14:textId="718C1733" w:rsidR="0078364B" w:rsidRPr="002B5AA0" w:rsidRDefault="0078364B" w:rsidP="006B5FCB">
      <w:pPr>
        <w:pStyle w:val="FootnoteText"/>
      </w:pPr>
      <w:r w:rsidRPr="002B5AA0">
        <w:tab/>
      </w:r>
      <w:r w:rsidRPr="002B5AA0">
        <w:rPr>
          <w:rStyle w:val="FootnoteReference"/>
        </w:rPr>
        <w:footnoteRef/>
      </w:r>
      <w:r w:rsidRPr="002B5AA0">
        <w:tab/>
      </w:r>
      <w:hyperlink r:id="rId28" w:history="1">
        <w:r w:rsidRPr="002B5AA0">
          <w:rPr>
            <w:rStyle w:val="Hyperlink"/>
            <w:color w:val="auto"/>
          </w:rPr>
          <w:t>https://www.facebook.com/realnumbersph/</w:t>
        </w:r>
      </w:hyperlink>
      <w:r w:rsidR="00F944AF">
        <w:rPr>
          <w:rStyle w:val="Hyperlink"/>
          <w:color w:val="auto"/>
        </w:rPr>
        <w:t>.</w:t>
      </w:r>
      <w:r w:rsidRPr="002B5AA0">
        <w:t xml:space="preserve">  </w:t>
      </w:r>
    </w:p>
  </w:footnote>
  <w:footnote w:id="44">
    <w:p w14:paraId="0E892C77" w14:textId="11FAC08F" w:rsidR="0078364B" w:rsidRPr="002B5AA0" w:rsidRDefault="0078364B" w:rsidP="00B072DE">
      <w:pPr>
        <w:pStyle w:val="FootnoteText"/>
      </w:pPr>
      <w:r w:rsidRPr="002B5AA0">
        <w:tab/>
      </w:r>
      <w:r w:rsidRPr="002B5AA0">
        <w:rPr>
          <w:rStyle w:val="FootnoteReference"/>
        </w:rPr>
        <w:footnoteRef/>
      </w:r>
      <w:r w:rsidRPr="002B5AA0">
        <w:tab/>
        <w:t>Ibid.</w:t>
      </w:r>
    </w:p>
  </w:footnote>
  <w:footnote w:id="45">
    <w:p w14:paraId="3802E123" w14:textId="1A9F50D7" w:rsidR="0078364B" w:rsidRPr="002B5AA0" w:rsidRDefault="0078364B">
      <w:pPr>
        <w:pStyle w:val="FootnoteText"/>
        <w:rPr>
          <w:lang w:val="en-US"/>
        </w:rPr>
      </w:pPr>
      <w:r w:rsidRPr="002B5AA0">
        <w:tab/>
      </w:r>
      <w:r w:rsidRPr="002B5AA0">
        <w:rPr>
          <w:rStyle w:val="FootnoteReference"/>
        </w:rPr>
        <w:footnoteRef/>
      </w:r>
      <w:r w:rsidRPr="002B5AA0">
        <w:tab/>
      </w:r>
      <w:hyperlink r:id="rId29" w:history="1">
        <w:r w:rsidRPr="002B5AA0">
          <w:rPr>
            <w:rStyle w:val="Hyperlink"/>
            <w:color w:val="auto"/>
          </w:rPr>
          <w:t>https://pdea.gov.ph/index.php?option=com_content&amp;view=article&amp;layout=edit&amp;id=279</w:t>
        </w:r>
      </w:hyperlink>
      <w:r w:rsidR="00F944AF">
        <w:rPr>
          <w:rStyle w:val="Hyperlink"/>
          <w:color w:val="auto"/>
        </w:rPr>
        <w:t>.</w:t>
      </w:r>
      <w:r w:rsidRPr="002B5AA0" w:rsidDel="00FB5566">
        <w:t xml:space="preserve"> </w:t>
      </w:r>
    </w:p>
  </w:footnote>
  <w:footnote w:id="46">
    <w:p w14:paraId="6183D447" w14:textId="02D8953E" w:rsidR="0078364B" w:rsidRPr="002B5AA0" w:rsidRDefault="0078364B" w:rsidP="0021667E">
      <w:pPr>
        <w:pStyle w:val="FootnoteText"/>
      </w:pPr>
      <w:r w:rsidRPr="002B5AA0">
        <w:tab/>
      </w:r>
      <w:r w:rsidRPr="002B5AA0">
        <w:rPr>
          <w:sz w:val="12"/>
          <w:szCs w:val="14"/>
        </w:rPr>
        <w:footnoteRef/>
      </w:r>
      <w:r w:rsidRPr="002B5AA0">
        <w:tab/>
      </w:r>
      <w:r>
        <w:t xml:space="preserve">In July 2022, </w:t>
      </w:r>
      <w:r w:rsidRPr="007B2934">
        <w:t>the Secretary of the DILG stated that 77 percent of drug cases filed from 2016 to July 2022 were still pending</w:t>
      </w:r>
      <w:r>
        <w:t>. Out of a to</w:t>
      </w:r>
      <w:r w:rsidRPr="002B5AA0">
        <w:t>tal 291,393 cases, some 22,000 ended with conviction, 5,753</w:t>
      </w:r>
      <w:r>
        <w:t xml:space="preserve"> were dismissed, and 223,579 were</w:t>
      </w:r>
      <w:r w:rsidRPr="002B5AA0">
        <w:t xml:space="preserve"> </w:t>
      </w:r>
      <w:r>
        <w:t>pending:</w:t>
      </w:r>
      <w:r w:rsidRPr="002B5AA0">
        <w:t xml:space="preserve"> </w:t>
      </w:r>
      <w:hyperlink r:id="rId30" w:history="1">
        <w:r w:rsidR="00F944AF" w:rsidRPr="00211738">
          <w:rPr>
            <w:rStyle w:val="Hyperlink"/>
          </w:rPr>
          <w:t xml:space="preserve">https://www.facebook.com/pnp.pio/videos/434441455404687.  </w:t>
        </w:r>
      </w:hyperlink>
      <w:r w:rsidRPr="000812B3">
        <w:t xml:space="preserve"> </w:t>
      </w:r>
    </w:p>
  </w:footnote>
  <w:footnote w:id="47">
    <w:p w14:paraId="7F48D4D0" w14:textId="0D5A8087" w:rsidR="0078364B" w:rsidRPr="002B5AA0" w:rsidRDefault="0078364B" w:rsidP="00B072DE">
      <w:pPr>
        <w:pStyle w:val="FootnoteText"/>
      </w:pPr>
      <w:r w:rsidRPr="002B5AA0">
        <w:tab/>
      </w:r>
      <w:r w:rsidRPr="002B5AA0">
        <w:rPr>
          <w:rStyle w:val="FootnoteReference"/>
        </w:rPr>
        <w:footnoteRef/>
      </w:r>
      <w:r w:rsidRPr="002B5AA0">
        <w:tab/>
        <w:t>NV-EPG-308-2022</w:t>
      </w:r>
      <w:r w:rsidR="00F944AF">
        <w:t>.</w:t>
      </w:r>
    </w:p>
  </w:footnote>
  <w:footnote w:id="48">
    <w:p w14:paraId="67F9F327" w14:textId="5BE6B6AD" w:rsidR="0078364B" w:rsidRPr="002B5AA0" w:rsidRDefault="0078364B" w:rsidP="00B072DE">
      <w:pPr>
        <w:pStyle w:val="FootnoteText"/>
      </w:pPr>
      <w:r w:rsidRPr="002B5AA0">
        <w:tab/>
      </w:r>
      <w:r w:rsidRPr="002B5AA0">
        <w:rPr>
          <w:rStyle w:val="FootnoteReference"/>
        </w:rPr>
        <w:footnoteRef/>
      </w:r>
      <w:r w:rsidRPr="002B5AA0">
        <w:tab/>
      </w:r>
      <w:hyperlink r:id="rId31" w:history="1">
        <w:r w:rsidRPr="002B5AA0">
          <w:rPr>
            <w:rStyle w:val="Hyperlink"/>
            <w:color w:val="auto"/>
          </w:rPr>
          <w:t>Report of the Investigated Killings in Relation to the Anti-illegal Drug Campaign</w:t>
        </w:r>
      </w:hyperlink>
      <w:r w:rsidRPr="002B5AA0">
        <w:t xml:space="preserve"> (April 2022)</w:t>
      </w:r>
      <w:r w:rsidR="00F944AF">
        <w:t>.</w:t>
      </w:r>
      <w:r w:rsidRPr="002B5AA0">
        <w:t xml:space="preserve"> </w:t>
      </w:r>
    </w:p>
  </w:footnote>
  <w:footnote w:id="49">
    <w:p w14:paraId="7AF21C4C" w14:textId="52A02666" w:rsidR="0078364B" w:rsidRPr="002B5AA0" w:rsidRDefault="0078364B" w:rsidP="00B072DE">
      <w:pPr>
        <w:pStyle w:val="FootnoteText"/>
      </w:pPr>
      <w:r w:rsidRPr="002B5AA0">
        <w:tab/>
      </w:r>
      <w:r w:rsidRPr="002B5AA0">
        <w:rPr>
          <w:rStyle w:val="FootnoteReference"/>
        </w:rPr>
        <w:footnoteRef/>
      </w:r>
      <w:r w:rsidRPr="002B5AA0">
        <w:tab/>
        <w:t>NV-EPG-338-2022</w:t>
      </w:r>
      <w:r w:rsidR="00F944AF">
        <w:t>.</w:t>
      </w:r>
    </w:p>
  </w:footnote>
  <w:footnote w:id="50">
    <w:p w14:paraId="3534767D" w14:textId="7CCFC8A7" w:rsidR="0078364B" w:rsidRPr="002B5AA0" w:rsidRDefault="0078364B" w:rsidP="00B072DE">
      <w:pPr>
        <w:pStyle w:val="FootnoteText"/>
      </w:pPr>
      <w:r w:rsidRPr="002B5AA0">
        <w:tab/>
      </w:r>
      <w:r w:rsidRPr="002B5AA0">
        <w:rPr>
          <w:rStyle w:val="FootnoteReference"/>
        </w:rPr>
        <w:footnoteRef/>
      </w:r>
      <w:r w:rsidRPr="002B5AA0">
        <w:tab/>
      </w:r>
      <w:hyperlink r:id="rId32" w:history="1">
        <w:r w:rsidRPr="002B5AA0">
          <w:rPr>
            <w:rStyle w:val="Hyperlink"/>
            <w:color w:val="auto"/>
          </w:rPr>
          <w:t>https://law.upd.edu.ph/wp-content/uploads/2020/11/PNP-Memorandum-Circular-No-2020-060.pdf</w:t>
        </w:r>
      </w:hyperlink>
      <w:r w:rsidR="00F944AF">
        <w:rPr>
          <w:rStyle w:val="Hyperlink"/>
          <w:color w:val="auto"/>
        </w:rPr>
        <w:t>.</w:t>
      </w:r>
    </w:p>
  </w:footnote>
  <w:footnote w:id="51">
    <w:p w14:paraId="38B25C06" w14:textId="59640495" w:rsidR="0078364B" w:rsidRPr="00A66F20" w:rsidRDefault="0078364B" w:rsidP="00B072DE">
      <w:pPr>
        <w:pStyle w:val="FootnoteText"/>
        <w:rPr>
          <w:lang w:val="es-ES"/>
        </w:rPr>
      </w:pPr>
      <w:r w:rsidRPr="002B5AA0">
        <w:tab/>
      </w:r>
      <w:r w:rsidRPr="002B5AA0">
        <w:rPr>
          <w:rStyle w:val="FootnoteReference"/>
        </w:rPr>
        <w:footnoteRef/>
      </w:r>
      <w:r w:rsidRPr="002B5AA0">
        <w:rPr>
          <w:lang w:val="es-ES"/>
        </w:rPr>
        <w:tab/>
        <w:t>NV-EPG-338-2022</w:t>
      </w:r>
      <w:r w:rsidR="00F944AF">
        <w:rPr>
          <w:lang w:val="es-ES"/>
        </w:rPr>
        <w:t>.</w:t>
      </w:r>
    </w:p>
  </w:footnote>
  <w:footnote w:id="52">
    <w:p w14:paraId="0BC8E0DF" w14:textId="2B282231" w:rsidR="0078364B" w:rsidRPr="002B5AA0" w:rsidRDefault="0078364B">
      <w:pPr>
        <w:pStyle w:val="FootnoteText"/>
        <w:rPr>
          <w:lang w:val="es-ES"/>
        </w:rPr>
      </w:pPr>
      <w:r w:rsidRPr="002B5AA0">
        <w:rPr>
          <w:lang w:val="es-ES"/>
        </w:rPr>
        <w:tab/>
      </w:r>
      <w:r w:rsidRPr="002B5AA0">
        <w:rPr>
          <w:rStyle w:val="FootnoteReference"/>
        </w:rPr>
        <w:footnoteRef/>
      </w:r>
      <w:r w:rsidRPr="002B5AA0">
        <w:rPr>
          <w:lang w:val="es-ES"/>
        </w:rPr>
        <w:tab/>
      </w:r>
      <w:hyperlink r:id="rId33" w:history="1">
        <w:r w:rsidRPr="002B5AA0">
          <w:rPr>
            <w:rStyle w:val="Hyperlink"/>
            <w:color w:val="auto"/>
            <w:lang w:val="es-ES"/>
          </w:rPr>
          <w:t>A/HRC/48/28</w:t>
        </w:r>
      </w:hyperlink>
      <w:r w:rsidRPr="002B5AA0">
        <w:rPr>
          <w:lang w:val="es-ES"/>
        </w:rPr>
        <w:t xml:space="preserve">; AL PHL 1/2021 </w:t>
      </w:r>
      <w:hyperlink r:id="rId34" w:history="1">
        <w:r w:rsidRPr="002B5AA0">
          <w:rPr>
            <w:rStyle w:val="Hyperlink"/>
            <w:color w:val="auto"/>
            <w:lang w:val="es-ES"/>
          </w:rPr>
          <w:t>https://spcommreports.ohchr.org/TMResultsBase/DownLoadPublicCommunicationFile?gId=25942</w:t>
        </w:r>
      </w:hyperlink>
      <w:r w:rsidRPr="002B5AA0">
        <w:rPr>
          <w:lang w:val="es-ES"/>
        </w:rPr>
        <w:t xml:space="preserve">; AL PHL 3/2021 </w:t>
      </w:r>
      <w:hyperlink r:id="rId35" w:history="1">
        <w:r w:rsidRPr="002B5AA0">
          <w:rPr>
            <w:rStyle w:val="Hyperlink"/>
            <w:color w:val="auto"/>
            <w:lang w:val="es-ES"/>
          </w:rPr>
          <w:t>https://spcommreports.ohchr.org/TMResultsBase/DownLoadPublicCommunicationFile?gId=26417</w:t>
        </w:r>
      </w:hyperlink>
      <w:r w:rsidR="00F944AF">
        <w:rPr>
          <w:rStyle w:val="Hyperlink"/>
          <w:color w:val="auto"/>
          <w:lang w:val="es-ES"/>
        </w:rPr>
        <w:t>.</w:t>
      </w:r>
    </w:p>
  </w:footnote>
  <w:footnote w:id="53">
    <w:p w14:paraId="4EBA9366" w14:textId="1904A175" w:rsidR="0078364B" w:rsidRPr="002B5AA0" w:rsidRDefault="0078364B" w:rsidP="00A16B0F">
      <w:pPr>
        <w:pStyle w:val="FootnoteText"/>
        <w:rPr>
          <w:lang w:val="es-ES"/>
        </w:rPr>
      </w:pPr>
      <w:r w:rsidRPr="002B5AA0">
        <w:rPr>
          <w:lang w:val="es-ES"/>
        </w:rPr>
        <w:tab/>
      </w:r>
      <w:r w:rsidRPr="002B5AA0">
        <w:rPr>
          <w:rStyle w:val="FootnoteReference"/>
        </w:rPr>
        <w:footnoteRef/>
      </w:r>
      <w:r w:rsidRPr="002B5AA0">
        <w:rPr>
          <w:lang w:val="es-ES"/>
        </w:rPr>
        <w:tab/>
      </w:r>
      <w:hyperlink r:id="rId36" w:history="1">
        <w:r w:rsidRPr="002B5AA0">
          <w:rPr>
            <w:rStyle w:val="Hyperlink"/>
            <w:color w:val="auto"/>
            <w:lang w:val="es-ES"/>
          </w:rPr>
          <w:t>https://chr.gov.ph/statement-of-chr-executive-director-atty-jacqueline-de-guia-on-the-statement-of-the-incoming-national-security-adviser-against-red-tagging/</w:t>
        </w:r>
      </w:hyperlink>
      <w:r w:rsidR="00F944AF">
        <w:rPr>
          <w:rStyle w:val="Hyperlink"/>
          <w:color w:val="auto"/>
          <w:lang w:val="es-ES"/>
        </w:rPr>
        <w:t>.</w:t>
      </w:r>
      <w:r w:rsidRPr="002B5AA0">
        <w:rPr>
          <w:lang w:val="es-ES"/>
        </w:rPr>
        <w:t xml:space="preserve"> </w:t>
      </w:r>
    </w:p>
  </w:footnote>
  <w:footnote w:id="54">
    <w:p w14:paraId="379E598F" w14:textId="411D5AC3" w:rsidR="0078364B" w:rsidRPr="002B5AA0" w:rsidRDefault="0078364B" w:rsidP="00B072DE">
      <w:pPr>
        <w:pStyle w:val="FootnoteText"/>
        <w:rPr>
          <w:lang w:val="es-ES"/>
        </w:rPr>
      </w:pPr>
      <w:r w:rsidRPr="002B5AA0">
        <w:rPr>
          <w:lang w:val="es-ES"/>
        </w:rPr>
        <w:tab/>
      </w:r>
      <w:r w:rsidRPr="002B5AA0">
        <w:rPr>
          <w:rStyle w:val="FootnoteReference"/>
        </w:rPr>
        <w:footnoteRef/>
      </w:r>
      <w:r w:rsidRPr="002B5AA0">
        <w:rPr>
          <w:lang w:val="es-ES"/>
        </w:rPr>
        <w:tab/>
      </w:r>
      <w:hyperlink r:id="rId37" w:history="1">
        <w:r w:rsidRPr="002B5AA0">
          <w:rPr>
            <w:rStyle w:val="Hyperlink"/>
            <w:color w:val="auto"/>
            <w:lang w:val="es-ES"/>
          </w:rPr>
          <w:t>https://www.ohchr.org/en/2021/03/press-briefing-notes-philippines</w:t>
        </w:r>
      </w:hyperlink>
      <w:r w:rsidR="00F944AF">
        <w:rPr>
          <w:rStyle w:val="Hyperlink"/>
          <w:color w:val="auto"/>
          <w:lang w:val="es-ES"/>
        </w:rPr>
        <w:t>.</w:t>
      </w:r>
    </w:p>
  </w:footnote>
  <w:footnote w:id="55">
    <w:p w14:paraId="0D28FB7F" w14:textId="63AA8959" w:rsidR="0078364B" w:rsidRPr="002B5AA0" w:rsidRDefault="0078364B" w:rsidP="00B072DE">
      <w:pPr>
        <w:pStyle w:val="FootnoteText"/>
        <w:rPr>
          <w:lang w:val="es-ES"/>
        </w:rPr>
      </w:pPr>
      <w:r w:rsidRPr="002B5AA0">
        <w:rPr>
          <w:lang w:val="es-ES"/>
        </w:rPr>
        <w:tab/>
      </w:r>
      <w:r w:rsidRPr="002B5AA0">
        <w:rPr>
          <w:rStyle w:val="FootnoteReference"/>
        </w:rPr>
        <w:footnoteRef/>
      </w:r>
      <w:r w:rsidRPr="002B5AA0">
        <w:rPr>
          <w:lang w:val="es-ES"/>
        </w:rPr>
        <w:tab/>
        <w:t xml:space="preserve">NV-EPG-119-2022 </w:t>
      </w:r>
      <w:hyperlink r:id="rId38" w:history="1">
        <w:r w:rsidRPr="002B5AA0">
          <w:rPr>
            <w:rStyle w:val="Hyperlink"/>
            <w:color w:val="auto"/>
            <w:lang w:val="es-ES"/>
          </w:rPr>
          <w:t>https://spcommreports.ohchr.org/TMResultsBase/DownLoadFile?gId=36850</w:t>
        </w:r>
      </w:hyperlink>
      <w:r w:rsidR="00F944AF">
        <w:rPr>
          <w:rStyle w:val="Hyperlink"/>
          <w:color w:val="auto"/>
          <w:lang w:val="es-ES"/>
        </w:rPr>
        <w:t>.</w:t>
      </w:r>
      <w:r w:rsidRPr="002B5AA0">
        <w:rPr>
          <w:lang w:val="es-ES"/>
        </w:rPr>
        <w:t xml:space="preserve"> </w:t>
      </w:r>
    </w:p>
  </w:footnote>
  <w:footnote w:id="56">
    <w:p w14:paraId="550DAF5D" w14:textId="3286B09F" w:rsidR="0078364B" w:rsidRPr="002B5AA0" w:rsidRDefault="0078364B" w:rsidP="00B072DE">
      <w:pPr>
        <w:pStyle w:val="FootnoteText"/>
        <w:rPr>
          <w:lang w:val="es-ES"/>
        </w:rPr>
      </w:pPr>
      <w:r w:rsidRPr="002B5AA0">
        <w:rPr>
          <w:lang w:val="es-ES"/>
        </w:rPr>
        <w:tab/>
      </w:r>
      <w:r w:rsidRPr="002B5AA0">
        <w:rPr>
          <w:rStyle w:val="FootnoteReference"/>
        </w:rPr>
        <w:footnoteRef/>
      </w:r>
      <w:r w:rsidRPr="002B5AA0">
        <w:rPr>
          <w:lang w:val="es-ES"/>
        </w:rPr>
        <w:tab/>
      </w:r>
      <w:hyperlink r:id="rId39" w:history="1">
        <w:r w:rsidRPr="002B5AA0">
          <w:rPr>
            <w:rStyle w:val="Hyperlink"/>
            <w:color w:val="auto"/>
            <w:lang w:val="es-ES"/>
          </w:rPr>
          <w:t>https://sc.judiciary.gov.ph/17874/</w:t>
        </w:r>
      </w:hyperlink>
      <w:r w:rsidR="00F944AF">
        <w:rPr>
          <w:rStyle w:val="Hyperlink"/>
          <w:color w:val="auto"/>
          <w:lang w:val="es-ES"/>
        </w:rPr>
        <w:t>.</w:t>
      </w:r>
      <w:r w:rsidRPr="002B5AA0">
        <w:rPr>
          <w:lang w:val="es-ES"/>
        </w:rPr>
        <w:t xml:space="preserve"> </w:t>
      </w:r>
    </w:p>
  </w:footnote>
  <w:footnote w:id="57">
    <w:p w14:paraId="090D56C9" w14:textId="7217760D" w:rsidR="0078364B" w:rsidRPr="002B5AA0" w:rsidRDefault="0078364B" w:rsidP="00B072DE">
      <w:pPr>
        <w:pStyle w:val="FootnoteText"/>
        <w:rPr>
          <w:lang w:val="es-ES"/>
        </w:rPr>
      </w:pPr>
      <w:r w:rsidRPr="002B5AA0">
        <w:rPr>
          <w:lang w:val="es-ES"/>
        </w:rPr>
        <w:tab/>
      </w:r>
      <w:r w:rsidRPr="002B5AA0">
        <w:rPr>
          <w:rStyle w:val="FootnoteReference"/>
        </w:rPr>
        <w:footnoteRef/>
      </w:r>
      <w:r w:rsidRPr="002B5AA0">
        <w:rPr>
          <w:lang w:val="es-ES"/>
        </w:rPr>
        <w:tab/>
      </w:r>
      <w:hyperlink r:id="rId40" w:history="1">
        <w:r w:rsidRPr="002B5AA0">
          <w:rPr>
            <w:rStyle w:val="Hyperlink"/>
            <w:color w:val="auto"/>
            <w:lang w:val="es-ES"/>
          </w:rPr>
          <w:t>https://legacy.senate.gov.ph/lis/bill_res.aspx?congress=18&amp;q=SRN-691</w:t>
        </w:r>
      </w:hyperlink>
      <w:r w:rsidR="00F944AF">
        <w:rPr>
          <w:rStyle w:val="Hyperlink"/>
          <w:color w:val="auto"/>
          <w:lang w:val="es-ES"/>
        </w:rPr>
        <w:t>.</w:t>
      </w:r>
      <w:r w:rsidRPr="002B5AA0">
        <w:rPr>
          <w:lang w:val="es-ES"/>
        </w:rPr>
        <w:t xml:space="preserve"> </w:t>
      </w:r>
    </w:p>
  </w:footnote>
  <w:footnote w:id="58">
    <w:p w14:paraId="51C6C171" w14:textId="04CF5D8C" w:rsidR="0078364B" w:rsidRPr="002B5AA0" w:rsidRDefault="0078364B">
      <w:pPr>
        <w:pStyle w:val="FootnoteText"/>
        <w:rPr>
          <w:lang w:val="es-ES"/>
        </w:rPr>
      </w:pPr>
      <w:r w:rsidRPr="002B5AA0">
        <w:rPr>
          <w:lang w:val="es-ES"/>
        </w:rPr>
        <w:tab/>
      </w:r>
      <w:r w:rsidRPr="002B5AA0">
        <w:rPr>
          <w:rStyle w:val="FootnoteReference"/>
        </w:rPr>
        <w:footnoteRef/>
      </w:r>
      <w:r w:rsidRPr="002B5AA0">
        <w:rPr>
          <w:lang w:val="es-ES"/>
        </w:rPr>
        <w:tab/>
      </w:r>
      <w:hyperlink r:id="rId41" w:history="1">
        <w:r w:rsidRPr="002B5AA0">
          <w:rPr>
            <w:rStyle w:val="Hyperlink"/>
            <w:color w:val="auto"/>
            <w:lang w:val="es-ES"/>
          </w:rPr>
          <w:t>https://www.philstar.com/headlines/2021/03/11/2083558/flag-report-found-almost-half-lawyers-killed-linked-legal-practice</w:t>
        </w:r>
      </w:hyperlink>
      <w:r w:rsidR="00F944AF">
        <w:rPr>
          <w:rStyle w:val="Hyperlink"/>
          <w:color w:val="auto"/>
          <w:lang w:val="es-ES"/>
        </w:rPr>
        <w:t>.</w:t>
      </w:r>
    </w:p>
  </w:footnote>
  <w:footnote w:id="59">
    <w:p w14:paraId="70A02306" w14:textId="3FC7CA61" w:rsidR="0078364B" w:rsidRPr="00A66F20" w:rsidRDefault="0078364B" w:rsidP="00B072DE">
      <w:pPr>
        <w:pStyle w:val="FootnoteText"/>
        <w:rPr>
          <w:lang w:val="es-ES"/>
        </w:rPr>
      </w:pPr>
      <w:r w:rsidRPr="002B5AA0">
        <w:rPr>
          <w:lang w:val="es-ES"/>
        </w:rPr>
        <w:tab/>
      </w:r>
      <w:r w:rsidRPr="002B5AA0">
        <w:rPr>
          <w:rStyle w:val="FootnoteReference"/>
        </w:rPr>
        <w:footnoteRef/>
      </w:r>
      <w:r w:rsidRPr="002B5AA0">
        <w:rPr>
          <w:lang w:val="es-ES"/>
        </w:rPr>
        <w:tab/>
      </w:r>
      <w:hyperlink r:id="rId42" w:history="1">
        <w:r w:rsidRPr="002B5AA0">
          <w:rPr>
            <w:rStyle w:val="Hyperlink"/>
            <w:color w:val="auto"/>
            <w:lang w:val="es-ES"/>
          </w:rPr>
          <w:t>https://chr.gov.ph/statement-of-chr-commissioner-karen-gomez-dumpit-focal-commissioner-on-womens-rights-on-the-arrest-of-maria-salome-sally-crisostomo-ujano/</w:t>
        </w:r>
      </w:hyperlink>
      <w:r w:rsidR="00F944AF">
        <w:rPr>
          <w:rStyle w:val="Hyperlink"/>
          <w:color w:val="auto"/>
          <w:lang w:val="es-ES"/>
        </w:rPr>
        <w:t>.</w:t>
      </w:r>
    </w:p>
  </w:footnote>
  <w:footnote w:id="60">
    <w:p w14:paraId="4A6C9AE9" w14:textId="0F7ED464" w:rsidR="0078364B" w:rsidRPr="002B5AA0" w:rsidRDefault="0078364B" w:rsidP="00B072DE">
      <w:pPr>
        <w:pStyle w:val="FootnoteText"/>
        <w:rPr>
          <w:lang w:val="es-ES"/>
        </w:rPr>
      </w:pPr>
      <w:r w:rsidRPr="002B5AA0">
        <w:rPr>
          <w:lang w:val="es-ES"/>
        </w:rPr>
        <w:tab/>
      </w:r>
      <w:r w:rsidRPr="002B5AA0">
        <w:rPr>
          <w:rStyle w:val="FootnoteReference"/>
        </w:rPr>
        <w:footnoteRef/>
      </w:r>
      <w:r w:rsidRPr="002B5AA0">
        <w:rPr>
          <w:lang w:val="es-ES"/>
        </w:rPr>
        <w:tab/>
      </w:r>
      <w:hyperlink r:id="rId43" w:history="1">
        <w:r w:rsidRPr="002B5AA0">
          <w:rPr>
            <w:rStyle w:val="Hyperlink"/>
            <w:color w:val="auto"/>
            <w:lang w:val="es-ES"/>
          </w:rPr>
          <w:t>https://chr.gov.ph/statement-of-chr-executive-director-atty-jacqueline-ann-de-guia-on-the-arrest-of-environmental-defender-in-laguna/</w:t>
        </w:r>
      </w:hyperlink>
      <w:r w:rsidR="00F944AF">
        <w:rPr>
          <w:rStyle w:val="Hyperlink"/>
          <w:color w:val="auto"/>
          <w:lang w:val="es-ES"/>
        </w:rPr>
        <w:t>.</w:t>
      </w:r>
      <w:r w:rsidRPr="002B5AA0">
        <w:rPr>
          <w:lang w:val="es-ES"/>
        </w:rPr>
        <w:t xml:space="preserve"> </w:t>
      </w:r>
    </w:p>
  </w:footnote>
  <w:footnote w:id="61">
    <w:p w14:paraId="437FAEB1" w14:textId="13F28339" w:rsidR="0078364B" w:rsidRPr="002B5AA0" w:rsidRDefault="0078364B">
      <w:pPr>
        <w:pStyle w:val="FootnoteText"/>
        <w:rPr>
          <w:rStyle w:val="FootnoteReference"/>
          <w:vertAlign w:val="baseline"/>
        </w:rPr>
      </w:pPr>
      <w:r w:rsidRPr="002B5AA0">
        <w:rPr>
          <w:rStyle w:val="FootnoteReference"/>
          <w:vertAlign w:val="baseline"/>
          <w:lang w:val="es-ES"/>
        </w:rPr>
        <w:tab/>
      </w:r>
      <w:r w:rsidRPr="002B5AA0">
        <w:rPr>
          <w:rStyle w:val="FootnoteReference"/>
        </w:rPr>
        <w:footnoteRef/>
      </w:r>
      <w:r w:rsidRPr="002B5AA0">
        <w:rPr>
          <w:rStyle w:val="FootnoteReference"/>
          <w:vertAlign w:val="baseline"/>
        </w:rPr>
        <w:tab/>
      </w:r>
      <w:hyperlink r:id="rId44" w:history="1">
        <w:r w:rsidRPr="002B5AA0">
          <w:rPr>
            <w:rStyle w:val="Hyperlink"/>
            <w:color w:val="auto"/>
          </w:rPr>
          <w:t>A/HRC/WGAD/2018/61</w:t>
        </w:r>
      </w:hyperlink>
      <w:r w:rsidR="00F944AF">
        <w:rPr>
          <w:rStyle w:val="Hyperlink"/>
          <w:color w:val="auto"/>
        </w:rPr>
        <w:t>.</w:t>
      </w:r>
      <w:r w:rsidRPr="002B5AA0">
        <w:t xml:space="preserve"> </w:t>
      </w:r>
    </w:p>
  </w:footnote>
  <w:footnote w:id="62">
    <w:p w14:paraId="7A51DBF3" w14:textId="19828AC4" w:rsidR="0078364B" w:rsidRPr="002B5AA0" w:rsidRDefault="0078364B" w:rsidP="0021667E">
      <w:pPr>
        <w:pStyle w:val="FootnoteText"/>
        <w:ind w:hanging="567"/>
      </w:pPr>
      <w:r w:rsidRPr="002B5AA0">
        <w:tab/>
      </w:r>
      <w:r w:rsidRPr="002B5AA0">
        <w:rPr>
          <w:rStyle w:val="FootnoteReference"/>
        </w:rPr>
        <w:footnoteRef/>
      </w:r>
      <w:r w:rsidRPr="002B5AA0">
        <w:tab/>
      </w:r>
      <w:hyperlink r:id="rId45" w:history="1">
        <w:r w:rsidRPr="002B5AA0">
          <w:rPr>
            <w:rStyle w:val="Hyperlink"/>
            <w:color w:val="auto"/>
          </w:rPr>
          <w:t>https://chr.gov.ph/statement-of-the-commission-on-human-rights-on-the-recanted-testimony-against-</w:t>
        </w:r>
      </w:hyperlink>
      <w:r w:rsidRPr="002B5AA0">
        <w:t>senator-leila-de-lima/</w:t>
      </w:r>
      <w:r w:rsidR="00F944AF">
        <w:t>.</w:t>
      </w:r>
    </w:p>
  </w:footnote>
  <w:footnote w:id="63">
    <w:p w14:paraId="5A76D413" w14:textId="448803B8" w:rsidR="0078364B" w:rsidRPr="002B5AA0" w:rsidRDefault="0078364B" w:rsidP="0021667E">
      <w:pPr>
        <w:pStyle w:val="FootnoteText"/>
      </w:pPr>
      <w:r w:rsidRPr="002B5AA0">
        <w:tab/>
      </w:r>
      <w:r w:rsidRPr="002B5AA0">
        <w:rPr>
          <w:rStyle w:val="FootnoteReference"/>
        </w:rPr>
        <w:footnoteRef/>
      </w:r>
      <w:r w:rsidRPr="002B5AA0">
        <w:tab/>
      </w:r>
      <w:hyperlink r:id="rId46" w:history="1">
        <w:r w:rsidRPr="002B5AA0">
          <w:rPr>
            <w:rStyle w:val="Hyperlink"/>
            <w:color w:val="auto"/>
          </w:rPr>
          <w:t>https://www.escr-net.org/news/2022/global-call-philippine-authorities-stop-criminalization-human-rights-defenders-0</w:t>
        </w:r>
      </w:hyperlink>
      <w:r w:rsidR="00F944AF">
        <w:rPr>
          <w:rStyle w:val="Hyperlink"/>
          <w:color w:val="auto"/>
        </w:rPr>
        <w:t>.</w:t>
      </w:r>
      <w:r w:rsidRPr="002B5AA0">
        <w:t xml:space="preserve"> </w:t>
      </w:r>
    </w:p>
  </w:footnote>
  <w:footnote w:id="64">
    <w:p w14:paraId="145D922C" w14:textId="4D685F42" w:rsidR="0078364B" w:rsidRPr="002B5AA0" w:rsidRDefault="0078364B" w:rsidP="00B072DE">
      <w:pPr>
        <w:pStyle w:val="FootnoteText"/>
      </w:pPr>
      <w:r w:rsidRPr="002B5AA0">
        <w:tab/>
      </w:r>
      <w:r w:rsidRPr="002B5AA0">
        <w:rPr>
          <w:rStyle w:val="FootnoteReference"/>
        </w:rPr>
        <w:footnoteRef/>
      </w:r>
      <w:r w:rsidRPr="002B5AA0">
        <w:tab/>
        <w:t>NV-EPG-338-2022</w:t>
      </w:r>
      <w:r w:rsidR="00F944AF">
        <w:t>.</w:t>
      </w:r>
    </w:p>
  </w:footnote>
  <w:footnote w:id="65">
    <w:p w14:paraId="64BD5B9A" w14:textId="3E82D802" w:rsidR="0078364B" w:rsidRPr="002B5AA0" w:rsidRDefault="0078364B" w:rsidP="00610A74">
      <w:pPr>
        <w:pStyle w:val="FootnoteText"/>
      </w:pPr>
      <w:r w:rsidRPr="002B5AA0">
        <w:tab/>
      </w:r>
      <w:r w:rsidRPr="002B5AA0">
        <w:rPr>
          <w:rStyle w:val="FootnoteReference"/>
        </w:rPr>
        <w:footnoteRef/>
      </w:r>
      <w:r w:rsidRPr="002B5AA0">
        <w:tab/>
        <w:t xml:space="preserve">NV-EPG-308-2022. See also </w:t>
      </w:r>
      <w:hyperlink r:id="rId47" w:history="1">
        <w:r w:rsidRPr="002B5AA0">
          <w:rPr>
            <w:rStyle w:val="Hyperlink"/>
            <w:color w:val="auto"/>
          </w:rPr>
          <w:t>https://en.unesco.org/themes/safety-journalists/observatory/country/223790</w:t>
        </w:r>
      </w:hyperlink>
      <w:r w:rsidR="00F944AF">
        <w:rPr>
          <w:rStyle w:val="Hyperlink"/>
          <w:color w:val="auto"/>
        </w:rPr>
        <w:t>.</w:t>
      </w:r>
    </w:p>
  </w:footnote>
  <w:footnote w:id="66">
    <w:p w14:paraId="4F7016EF" w14:textId="42BBB8F4" w:rsidR="0078364B" w:rsidRPr="002B5AA0" w:rsidRDefault="0078364B" w:rsidP="00B072DE">
      <w:pPr>
        <w:pStyle w:val="FootnoteText"/>
      </w:pPr>
      <w:r w:rsidRPr="002B5AA0">
        <w:tab/>
      </w:r>
      <w:r w:rsidRPr="002B5AA0">
        <w:rPr>
          <w:rStyle w:val="FootnoteReference"/>
        </w:rPr>
        <w:footnoteRef/>
      </w:r>
      <w:r w:rsidRPr="002B5AA0">
        <w:tab/>
      </w:r>
      <w:hyperlink r:id="rId48" w:history="1">
        <w:r w:rsidRPr="002B5AA0">
          <w:rPr>
            <w:rStyle w:val="Hyperlink"/>
            <w:color w:val="auto"/>
          </w:rPr>
          <w:t>https://www.pna.gov.ph/articles/1166098</w:t>
        </w:r>
      </w:hyperlink>
      <w:r w:rsidRPr="002B5AA0">
        <w:t>;  NV-EPG-308-2022</w:t>
      </w:r>
      <w:r w:rsidR="00F944AF">
        <w:t>.</w:t>
      </w:r>
    </w:p>
  </w:footnote>
  <w:footnote w:id="67">
    <w:p w14:paraId="1A2CAF8F" w14:textId="10BDA865" w:rsidR="0078364B" w:rsidRPr="002B5AA0" w:rsidRDefault="0078364B" w:rsidP="00B072DE">
      <w:pPr>
        <w:pStyle w:val="FootnoteText"/>
      </w:pPr>
      <w:r w:rsidRPr="002B5AA0">
        <w:tab/>
      </w:r>
      <w:r w:rsidRPr="002B5AA0">
        <w:rPr>
          <w:rStyle w:val="FootnoteReference"/>
        </w:rPr>
        <w:footnoteRef/>
      </w:r>
      <w:r w:rsidRPr="002B5AA0">
        <w:tab/>
      </w:r>
      <w:hyperlink r:id="rId49" w:history="1">
        <w:r w:rsidRPr="002B5AA0">
          <w:rPr>
            <w:rStyle w:val="Hyperlink"/>
            <w:color w:val="auto"/>
          </w:rPr>
          <w:t>https://www.pna.gov.ph/articles/1166098</w:t>
        </w:r>
      </w:hyperlink>
      <w:r w:rsidRPr="002B5AA0">
        <w:t xml:space="preserve">; </w:t>
      </w:r>
      <w:hyperlink r:id="rId50" w:history="1">
        <w:r w:rsidRPr="002B5AA0">
          <w:rPr>
            <w:rStyle w:val="Hyperlink"/>
            <w:color w:val="auto"/>
          </w:rPr>
          <w:t>https://www.pna.gov.ph/articles/1166071</w:t>
        </w:r>
      </w:hyperlink>
      <w:r w:rsidR="00F944AF">
        <w:rPr>
          <w:rStyle w:val="Hyperlink"/>
          <w:color w:val="auto"/>
        </w:rPr>
        <w:t>.</w:t>
      </w:r>
    </w:p>
  </w:footnote>
  <w:footnote w:id="68">
    <w:p w14:paraId="3F57C788" w14:textId="231F8236" w:rsidR="0078364B" w:rsidRPr="002B5AA0" w:rsidRDefault="0078364B" w:rsidP="00B072DE">
      <w:pPr>
        <w:pStyle w:val="FootnoteText"/>
      </w:pPr>
      <w:r w:rsidRPr="002B5AA0">
        <w:tab/>
      </w:r>
      <w:r w:rsidRPr="002B5AA0">
        <w:rPr>
          <w:rStyle w:val="FootnoteReference"/>
        </w:rPr>
        <w:footnoteRef/>
      </w:r>
      <w:r w:rsidRPr="002B5AA0">
        <w:tab/>
      </w:r>
      <w:hyperlink r:id="rId51" w:history="1">
        <w:r w:rsidRPr="002B5AA0">
          <w:rPr>
            <w:rStyle w:val="Hyperlink"/>
            <w:color w:val="auto"/>
          </w:rPr>
          <w:t>https://en.unesco.org/themes/safety-journalists/observatory/country/223790</w:t>
        </w:r>
      </w:hyperlink>
      <w:r w:rsidR="00F944AF">
        <w:rPr>
          <w:rStyle w:val="Hyperlink"/>
          <w:color w:val="auto"/>
        </w:rPr>
        <w:t>.</w:t>
      </w:r>
    </w:p>
  </w:footnote>
  <w:footnote w:id="69">
    <w:p w14:paraId="258E8A4B" w14:textId="634EEF04" w:rsidR="0078364B" w:rsidRPr="002B5AA0" w:rsidRDefault="0078364B" w:rsidP="00B072DE">
      <w:pPr>
        <w:pStyle w:val="FootnoteText"/>
      </w:pPr>
      <w:r w:rsidRPr="002B5AA0">
        <w:tab/>
      </w:r>
      <w:r w:rsidRPr="002B5AA0">
        <w:rPr>
          <w:rStyle w:val="FootnoteReference"/>
        </w:rPr>
        <w:footnoteRef/>
      </w:r>
      <w:r w:rsidRPr="002B5AA0">
        <w:tab/>
      </w:r>
      <w:hyperlink r:id="rId52" w:history="1">
        <w:r w:rsidRPr="002B5AA0">
          <w:rPr>
            <w:rStyle w:val="Hyperlink"/>
            <w:color w:val="auto"/>
          </w:rPr>
          <w:t>https://www.ohchr.org/en/press-releases/2022/07/philippines-un-expert-slams-court-decision-upholding-criminal-conviction</w:t>
        </w:r>
      </w:hyperlink>
      <w:r w:rsidR="00F944AF">
        <w:rPr>
          <w:rStyle w:val="Hyperlink"/>
          <w:color w:val="auto"/>
        </w:rPr>
        <w:t>.</w:t>
      </w:r>
    </w:p>
  </w:footnote>
  <w:footnote w:id="70">
    <w:p w14:paraId="685C2993" w14:textId="5646CC0C" w:rsidR="0078364B" w:rsidRPr="002B5AA0" w:rsidRDefault="0078364B" w:rsidP="00B072DE">
      <w:pPr>
        <w:pStyle w:val="FootnoteText"/>
      </w:pPr>
      <w:r w:rsidRPr="002B5AA0">
        <w:tab/>
      </w:r>
      <w:r w:rsidRPr="002B5AA0">
        <w:rPr>
          <w:rStyle w:val="FootnoteReference"/>
        </w:rPr>
        <w:footnoteRef/>
      </w:r>
      <w:r w:rsidRPr="002B5AA0">
        <w:tab/>
      </w:r>
      <w:hyperlink r:id="rId53" w:history="1">
        <w:r w:rsidRPr="002B5AA0">
          <w:rPr>
            <w:rStyle w:val="Hyperlink"/>
            <w:color w:val="auto"/>
          </w:rPr>
          <w:t>https://chr.gov.ph/statement-of-chr-spokesperson-atty-jacqueline-ann-de-guia-on-the-string-of-arrests-on-human-rights-day/</w:t>
        </w:r>
      </w:hyperlink>
    </w:p>
  </w:footnote>
  <w:footnote w:id="71">
    <w:p w14:paraId="32B3CD70" w14:textId="07DF1961" w:rsidR="0078364B" w:rsidRPr="002B5AA0" w:rsidRDefault="0078364B" w:rsidP="00B072DE">
      <w:pPr>
        <w:pStyle w:val="FootnoteText"/>
      </w:pPr>
      <w:r w:rsidRPr="002B5AA0">
        <w:tab/>
      </w:r>
      <w:r w:rsidRPr="002B5AA0">
        <w:rPr>
          <w:rStyle w:val="FootnoteReference"/>
        </w:rPr>
        <w:footnoteRef/>
      </w:r>
      <w:r w:rsidRPr="002B5AA0">
        <w:tab/>
      </w:r>
      <w:hyperlink r:id="rId54" w:history="1">
        <w:r w:rsidRPr="002B5AA0">
          <w:rPr>
            <w:rStyle w:val="Hyperlink"/>
            <w:color w:val="auto"/>
          </w:rPr>
          <w:t>https://chr.gov.ph/statement-of-chr-spokesperson-atty-jacqueline-ann-de-guia-on-the-red-tagging-of-a-mandaluyong-city-judge/</w:t>
        </w:r>
      </w:hyperlink>
      <w:r w:rsidR="00F944AF">
        <w:rPr>
          <w:rStyle w:val="Hyperlink"/>
          <w:color w:val="auto"/>
        </w:rPr>
        <w:t>.</w:t>
      </w:r>
    </w:p>
  </w:footnote>
  <w:footnote w:id="72">
    <w:p w14:paraId="36DCFDC8" w14:textId="2FEECE95" w:rsidR="0078364B" w:rsidRPr="002B5AA0" w:rsidRDefault="0078364B" w:rsidP="00B072DE">
      <w:pPr>
        <w:pStyle w:val="FootnoteText"/>
      </w:pPr>
      <w:r w:rsidRPr="002B5AA0">
        <w:tab/>
      </w:r>
      <w:r w:rsidRPr="002B5AA0">
        <w:rPr>
          <w:rStyle w:val="FootnoteReference"/>
        </w:rPr>
        <w:footnoteRef/>
      </w:r>
      <w:r w:rsidRPr="002B5AA0">
        <w:tab/>
        <w:t xml:space="preserve">Special Rapporteurs on the situation of human rights defenders, freedom of opinion and expression, and freedom of peaceful assembly and of association; AL PHL 5/2021 </w:t>
      </w:r>
      <w:hyperlink r:id="rId55" w:history="1">
        <w:r w:rsidRPr="002B5AA0">
          <w:rPr>
            <w:rStyle w:val="Hyperlink"/>
            <w:color w:val="auto"/>
          </w:rPr>
          <w:t>https://spcommreports.ohchr.org/TMResultsBase/DownLoadPublicCommunicationFile?gId=26662</w:t>
        </w:r>
      </w:hyperlink>
      <w:r w:rsidR="00F944AF">
        <w:rPr>
          <w:rStyle w:val="Hyperlink"/>
          <w:color w:val="auto"/>
        </w:rPr>
        <w:t>.</w:t>
      </w:r>
    </w:p>
  </w:footnote>
  <w:footnote w:id="73">
    <w:p w14:paraId="5700AF0E" w14:textId="41405146" w:rsidR="0078364B" w:rsidRPr="002B5AA0" w:rsidRDefault="0078364B" w:rsidP="00B072DE">
      <w:pPr>
        <w:pStyle w:val="FootnoteText"/>
      </w:pPr>
      <w:r w:rsidRPr="002B5AA0">
        <w:tab/>
      </w:r>
      <w:r w:rsidRPr="002B5AA0">
        <w:rPr>
          <w:rStyle w:val="FootnoteReference"/>
        </w:rPr>
        <w:footnoteRef/>
      </w:r>
      <w:r w:rsidRPr="002B5AA0">
        <w:tab/>
        <w:t xml:space="preserve">NV-EPG-10-2022 </w:t>
      </w:r>
      <w:hyperlink r:id="rId56" w:history="1">
        <w:r w:rsidRPr="002B5AA0">
          <w:rPr>
            <w:rStyle w:val="Hyperlink"/>
            <w:color w:val="auto"/>
          </w:rPr>
          <w:t>https://spcommreports.ohchr.org/TMResultsBase/DownLoadFile?gId=36754</w:t>
        </w:r>
      </w:hyperlink>
      <w:r w:rsidR="00F944AF">
        <w:rPr>
          <w:rStyle w:val="Hyperlink"/>
          <w:color w:val="auto"/>
        </w:rPr>
        <w:t>.</w:t>
      </w:r>
      <w:r w:rsidRPr="002B5AA0">
        <w:t xml:space="preserve"> </w:t>
      </w:r>
    </w:p>
  </w:footnote>
  <w:footnote w:id="74">
    <w:p w14:paraId="50489E47" w14:textId="7D50F02A" w:rsidR="0078364B" w:rsidRPr="00F032BE" w:rsidRDefault="0078364B" w:rsidP="00B072DE">
      <w:pPr>
        <w:pStyle w:val="FootnoteText"/>
      </w:pPr>
      <w:r w:rsidRPr="002B5AA0">
        <w:tab/>
      </w:r>
      <w:r w:rsidRPr="002B5AA0">
        <w:rPr>
          <w:rStyle w:val="FootnoteReference"/>
        </w:rPr>
        <w:footnoteRef/>
      </w:r>
      <w:r w:rsidRPr="002B5AA0">
        <w:tab/>
      </w:r>
      <w:hyperlink r:id="rId57" w:history="1">
        <w:r w:rsidRPr="002B5AA0">
          <w:rPr>
            <w:rStyle w:val="Hyperlink"/>
            <w:color w:val="auto"/>
          </w:rPr>
          <w:t>https://cpj.org/2022/02/three-philippine-media-outlets-string-of-cyberattacks/.</w:t>
        </w:r>
      </w:hyperlink>
    </w:p>
  </w:footnote>
  <w:footnote w:id="75">
    <w:p w14:paraId="0CECDCBE" w14:textId="1EC2EF18" w:rsidR="0078364B" w:rsidRPr="002B5AA0" w:rsidRDefault="0078364B">
      <w:pPr>
        <w:pStyle w:val="FootnoteText"/>
        <w:rPr>
          <w:rStyle w:val="FootnoteReference"/>
          <w:vertAlign w:val="baseline"/>
        </w:rPr>
      </w:pPr>
      <w:r>
        <w:tab/>
      </w:r>
      <w:r w:rsidRPr="00E44C07">
        <w:rPr>
          <w:rStyle w:val="FootnoteReference"/>
        </w:rPr>
        <w:footnoteRef/>
      </w:r>
      <w:r w:rsidRPr="0021667E">
        <w:rPr>
          <w:rStyle w:val="FootnoteReference"/>
          <w:vertAlign w:val="baseline"/>
        </w:rPr>
        <w:tab/>
      </w:r>
      <w:r w:rsidRPr="0021667E">
        <w:rPr>
          <w:rStyle w:val="FootnoteReference"/>
          <w:vertAlign w:val="baseline"/>
        </w:rPr>
        <w:tab/>
      </w:r>
      <w:r w:rsidRPr="00E44C07">
        <w:tab/>
      </w:r>
      <w:r w:rsidRPr="00E44C07">
        <w:tab/>
      </w:r>
      <w:r w:rsidRPr="00E44C07">
        <w:tab/>
      </w:r>
      <w:r w:rsidRPr="002B5AA0">
        <w:tab/>
      </w:r>
      <w:hyperlink r:id="rId58" w:anchor=":~:text=House%20Bill%2010576%20or%20the,disseminate%20information%3B%20and%20develop%20" w:history="1">
        <w:r w:rsidRPr="002B5AA0">
          <w:rPr>
            <w:rStyle w:val="Hyperlink"/>
            <w:color w:val="auto"/>
          </w:rPr>
          <w:t>https://www.pna.gov.ph/articles/1166069#:~:text=House%20Bill%2010576%20or%20the,disseminate%20information%3B%20and%20develop%20</w:t>
        </w:r>
      </w:hyperlink>
      <w:r w:rsidR="00F944AF">
        <w:rPr>
          <w:rStyle w:val="Hyperlink"/>
          <w:color w:val="auto"/>
        </w:rPr>
        <w:t>.</w:t>
      </w:r>
      <w:r w:rsidRPr="002B5AA0">
        <w:rPr>
          <w:rStyle w:val="FootnoteReference"/>
          <w:vertAlign w:val="baseline"/>
        </w:rPr>
        <w:t xml:space="preserve"> </w:t>
      </w:r>
    </w:p>
  </w:footnote>
  <w:footnote w:id="76">
    <w:p w14:paraId="75DD1B6B" w14:textId="7D274F59" w:rsidR="0078364B" w:rsidRPr="002B5AA0" w:rsidRDefault="0078364B">
      <w:pPr>
        <w:pStyle w:val="FootnoteText"/>
      </w:pPr>
      <w:r w:rsidRPr="002B5AA0">
        <w:tab/>
      </w:r>
      <w:r w:rsidRPr="002B5AA0">
        <w:rPr>
          <w:rStyle w:val="FootnoteReference"/>
        </w:rPr>
        <w:footnoteRef/>
      </w:r>
      <w:r w:rsidRPr="002B5AA0">
        <w:tab/>
      </w:r>
      <w:hyperlink r:id="rId59" w:history="1">
        <w:r w:rsidRPr="002B5AA0">
          <w:rPr>
            <w:rStyle w:val="Hyperlink"/>
            <w:color w:val="auto"/>
          </w:rPr>
          <w:t>https://www.ohchr.org/en/press-releases/2021/03/philippines-expert-urges-congress-enact-human-rights-defenders-law?LangID=E&amp;NewsID=26914</w:t>
        </w:r>
      </w:hyperlink>
      <w:r w:rsidR="00F944AF">
        <w:rPr>
          <w:rStyle w:val="Hyperlink"/>
          <w:color w:val="auto"/>
        </w:rPr>
        <w:t>.</w:t>
      </w:r>
      <w:r w:rsidRPr="002B5AA0">
        <w:t xml:space="preserve"> </w:t>
      </w:r>
    </w:p>
  </w:footnote>
  <w:footnote w:id="77">
    <w:p w14:paraId="3E71D321" w14:textId="5E563515" w:rsidR="0078364B" w:rsidRPr="002B5AA0" w:rsidRDefault="0078364B" w:rsidP="00B072DE">
      <w:pPr>
        <w:pStyle w:val="FootnoteText"/>
        <w:rPr>
          <w:lang w:val="en-US"/>
        </w:rPr>
      </w:pPr>
      <w:r w:rsidRPr="002B5AA0">
        <w:tab/>
      </w:r>
      <w:r w:rsidRPr="002B5AA0">
        <w:rPr>
          <w:rStyle w:val="FootnoteReference"/>
        </w:rPr>
        <w:footnoteRef/>
      </w:r>
      <w:r w:rsidRPr="002B5AA0">
        <w:tab/>
      </w:r>
      <w:hyperlink r:id="rId60" w:history="1">
        <w:r w:rsidRPr="002B5AA0">
          <w:rPr>
            <w:rStyle w:val="Hyperlink"/>
            <w:color w:val="auto"/>
          </w:rPr>
          <w:t>OHCHR_BerkeleyProtocol.pdf</w:t>
        </w:r>
      </w:hyperlink>
      <w:r w:rsidR="00F944AF">
        <w:rPr>
          <w:rStyle w:val="Hyperlink"/>
          <w:color w:val="auto"/>
        </w:rPr>
        <w:t>.</w:t>
      </w:r>
    </w:p>
  </w:footnote>
  <w:footnote w:id="78">
    <w:p w14:paraId="2FBD6B30" w14:textId="5F487D68" w:rsidR="0078364B" w:rsidRPr="002B5AA0" w:rsidRDefault="0078364B">
      <w:pPr>
        <w:pStyle w:val="FootnoteText"/>
      </w:pPr>
      <w:r w:rsidRPr="002B5AA0">
        <w:tab/>
      </w:r>
      <w:r w:rsidRPr="002B5AA0">
        <w:rPr>
          <w:rStyle w:val="FootnoteReference"/>
        </w:rPr>
        <w:footnoteRef/>
      </w:r>
      <w:hyperlink r:id="rId61" w:history="1">
        <w:r w:rsidR="00F944AF" w:rsidRPr="00211738">
          <w:rPr>
            <w:rStyle w:val="Hyperlink"/>
          </w:rPr>
          <w:tab/>
          <w:t>https://tbinternet.ohchr.org/_layouts/15/TreatyBodyExternal/countries.aspx?CountryCode=PHL&amp;</w:t>
        </w:r>
        <w:r w:rsidR="00F944AF" w:rsidRPr="00211738">
          <w:rPr>
            <w:rStyle w:val="Hyperlink"/>
          </w:rPr>
          <w:br/>
          <w:t xml:space="preserve">Lang=EN. </w:t>
        </w:r>
      </w:hyperlink>
    </w:p>
  </w:footnote>
  <w:footnote w:id="79">
    <w:p w14:paraId="10C5CDE2" w14:textId="547E0F72" w:rsidR="0078364B" w:rsidRPr="002B5AA0" w:rsidRDefault="0078364B" w:rsidP="00B072DE">
      <w:pPr>
        <w:pStyle w:val="FootnoteText"/>
      </w:pPr>
      <w:r w:rsidRPr="002B5AA0">
        <w:tab/>
      </w:r>
      <w:r w:rsidRPr="002B5AA0">
        <w:rPr>
          <w:rStyle w:val="FootnoteReference"/>
        </w:rPr>
        <w:footnoteRef/>
      </w:r>
      <w:r w:rsidRPr="002B5AA0">
        <w:tab/>
      </w:r>
      <w:hyperlink r:id="rId62" w:history="1">
        <w:r w:rsidRPr="002B5AA0">
          <w:rPr>
            <w:rStyle w:val="Hyperlink"/>
            <w:color w:val="auto"/>
          </w:rPr>
          <w:t>https://spcommreports.ohchr.org/TmSearch/Results</w:t>
        </w:r>
      </w:hyperlink>
      <w:r w:rsidR="00F944AF">
        <w:rPr>
          <w:rStyle w:val="Hyperlink"/>
          <w:color w:val="auto"/>
        </w:rPr>
        <w:t>.</w:t>
      </w:r>
      <w:r w:rsidRPr="002B5AA0">
        <w:t xml:space="preserve"> </w:t>
      </w:r>
    </w:p>
  </w:footnote>
  <w:footnote w:id="80">
    <w:p w14:paraId="0F78087C" w14:textId="7B41383A" w:rsidR="0078364B" w:rsidRPr="002B5AA0" w:rsidRDefault="0078364B" w:rsidP="00B072DE">
      <w:pPr>
        <w:pStyle w:val="FootnoteText"/>
        <w:rPr>
          <w:lang w:val="en-US"/>
        </w:rPr>
      </w:pPr>
      <w:r w:rsidRPr="002B5AA0">
        <w:tab/>
      </w:r>
      <w:r w:rsidRPr="002B5AA0">
        <w:rPr>
          <w:rStyle w:val="FootnoteReference"/>
        </w:rPr>
        <w:footnoteRef/>
      </w:r>
      <w:r w:rsidRPr="002B5AA0">
        <w:rPr>
          <w:lang w:val="en-US"/>
        </w:rPr>
        <w:tab/>
      </w:r>
      <w:hyperlink r:id="rId63" w:history="1">
        <w:r w:rsidRPr="002B5AA0">
          <w:rPr>
            <w:rStyle w:val="Hyperlink"/>
            <w:color w:val="auto"/>
            <w:lang w:val="en-US"/>
          </w:rPr>
          <w:t>A/HRC/WGEID/121/1</w:t>
        </w:r>
      </w:hyperlink>
      <w:r w:rsidRPr="002B5AA0">
        <w:rPr>
          <w:lang w:val="en-US"/>
        </w:rPr>
        <w:t xml:space="preserve"> para. 102-104. </w:t>
      </w:r>
    </w:p>
  </w:footnote>
  <w:footnote w:id="81">
    <w:p w14:paraId="0AEA2510" w14:textId="2D6F72D1" w:rsidR="0078364B" w:rsidRPr="00A66F20" w:rsidRDefault="0078364B" w:rsidP="0021667E">
      <w:pPr>
        <w:pStyle w:val="FootnoteText"/>
        <w:rPr>
          <w:lang w:val="en-US"/>
        </w:rPr>
      </w:pPr>
      <w:r w:rsidRPr="002B5AA0">
        <w:rPr>
          <w:lang w:val="en-US"/>
        </w:rPr>
        <w:tab/>
      </w:r>
      <w:r w:rsidRPr="002B5AA0">
        <w:rPr>
          <w:rStyle w:val="FootnoteReference"/>
        </w:rPr>
        <w:footnoteRef/>
      </w:r>
      <w:r w:rsidRPr="002B5AA0">
        <w:rPr>
          <w:lang w:val="en-US"/>
        </w:rPr>
        <w:tab/>
      </w:r>
      <w:hyperlink r:id="rId64" w:history="1">
        <w:r w:rsidRPr="002B5AA0">
          <w:rPr>
            <w:rStyle w:val="Hyperlink"/>
            <w:color w:val="auto"/>
            <w:lang w:val="en-US"/>
          </w:rPr>
          <w:t>A/HRC/48/57</w:t>
        </w:r>
      </w:hyperlink>
      <w:r w:rsidR="00F944AF">
        <w:rPr>
          <w:rStyle w:val="Hyperlink"/>
          <w:color w:val="auto"/>
          <w:lang w:val="en-US"/>
        </w:rPr>
        <w:t>.</w:t>
      </w:r>
      <w:r w:rsidRPr="002B5AA0" w:rsidDel="001B3024">
        <w:rPr>
          <w:lang w:val="en-US"/>
        </w:rPr>
        <w:t xml:space="preserve"> </w:t>
      </w:r>
    </w:p>
  </w:footnote>
  <w:footnote w:id="82">
    <w:p w14:paraId="376C4AD0" w14:textId="014317B3" w:rsidR="0078364B" w:rsidRPr="002B5AA0" w:rsidRDefault="0078364B" w:rsidP="00B072DE">
      <w:pPr>
        <w:pStyle w:val="FootnoteText"/>
        <w:rPr>
          <w:lang w:val="en-US"/>
        </w:rPr>
      </w:pPr>
      <w:r w:rsidRPr="002B5AA0">
        <w:rPr>
          <w:lang w:val="en-US"/>
        </w:rPr>
        <w:tab/>
      </w:r>
      <w:r w:rsidRPr="002B5AA0">
        <w:rPr>
          <w:rStyle w:val="FootnoteReference"/>
        </w:rPr>
        <w:footnoteRef/>
      </w:r>
      <w:r w:rsidRPr="002B5AA0">
        <w:rPr>
          <w:lang w:val="en-US"/>
        </w:rPr>
        <w:tab/>
      </w:r>
      <w:hyperlink r:id="rId65" w:history="1">
        <w:r w:rsidRPr="002B5AA0">
          <w:rPr>
            <w:rStyle w:val="Hyperlink"/>
            <w:color w:val="auto"/>
            <w:lang w:val="en-US"/>
          </w:rPr>
          <w:t>https://www.officialgazette.gov.ph/downloads/2020/06jun/20200703-RA-11479-RRD.pdf</w:t>
        </w:r>
      </w:hyperlink>
      <w:r w:rsidR="00F944AF">
        <w:rPr>
          <w:rStyle w:val="Hyperlink"/>
          <w:color w:val="auto"/>
          <w:lang w:val="en-US"/>
        </w:rPr>
        <w:t>.</w:t>
      </w:r>
    </w:p>
  </w:footnote>
  <w:footnote w:id="83">
    <w:p w14:paraId="507EEF32" w14:textId="7E4A2F0F" w:rsidR="0078364B" w:rsidRPr="002B5AA0" w:rsidRDefault="0078364B" w:rsidP="00197907">
      <w:pPr>
        <w:pStyle w:val="FootnoteText"/>
      </w:pPr>
      <w:r w:rsidRPr="002B5AA0">
        <w:rPr>
          <w:lang w:val="en-US"/>
        </w:rPr>
        <w:tab/>
      </w:r>
      <w:r w:rsidRPr="002B5AA0">
        <w:rPr>
          <w:rStyle w:val="FootnoteReference"/>
          <w:sz w:val="20"/>
        </w:rPr>
        <w:footnoteRef/>
      </w:r>
      <w:r w:rsidRPr="002B5AA0">
        <w:tab/>
      </w:r>
      <w:r w:rsidRPr="000812B3">
        <w:rPr>
          <w:szCs w:val="18"/>
        </w:rPr>
        <w:t xml:space="preserve">OL PHL 4/2020 </w:t>
      </w:r>
      <w:hyperlink r:id="rId66" w:history="1">
        <w:r w:rsidRPr="000812B3">
          <w:rPr>
            <w:rStyle w:val="Hyperlink"/>
            <w:color w:val="auto"/>
            <w:szCs w:val="18"/>
          </w:rPr>
          <w:t>https://spcommreports.ohchr.org/TMResultsBase/DownLoadPublicCommunicationFile?gId=25384</w:t>
        </w:r>
      </w:hyperlink>
      <w:r w:rsidRPr="000812B3">
        <w:rPr>
          <w:rStyle w:val="Hyperlink"/>
          <w:color w:val="auto"/>
          <w:szCs w:val="18"/>
        </w:rPr>
        <w:t xml:space="preserve">; </w:t>
      </w:r>
      <w:r w:rsidRPr="000812B3">
        <w:rPr>
          <w:szCs w:val="18"/>
        </w:rPr>
        <w:t xml:space="preserve"> </w:t>
      </w:r>
      <w:hyperlink r:id="rId67" w:history="1">
        <w:r w:rsidRPr="006D0984">
          <w:rPr>
            <w:rStyle w:val="Hyperlink"/>
            <w:color w:val="auto"/>
            <w:szCs w:val="18"/>
          </w:rPr>
          <w:t>Government response:</w:t>
        </w:r>
        <w:r w:rsidR="008071C6" w:rsidRPr="006D0984">
          <w:rPr>
            <w:rStyle w:val="Hyperlink"/>
            <w:color w:val="auto"/>
            <w:szCs w:val="18"/>
          </w:rPr>
          <w:t xml:space="preserve"> NV-EPG-331-2020</w:t>
        </w:r>
      </w:hyperlink>
      <w:r w:rsidR="00F944AF">
        <w:rPr>
          <w:rStyle w:val="Hyperlink"/>
          <w:color w:val="auto"/>
          <w:szCs w:val="18"/>
        </w:rPr>
        <w:t>.</w:t>
      </w:r>
      <w:r w:rsidRPr="006D0984">
        <w:rPr>
          <w:sz w:val="16"/>
          <w:szCs w:val="18"/>
        </w:rPr>
        <w:t xml:space="preserve"> </w:t>
      </w:r>
    </w:p>
  </w:footnote>
  <w:footnote w:id="84">
    <w:p w14:paraId="30AB1EA4" w14:textId="7F00184C" w:rsidR="0078364B" w:rsidRPr="002B5AA0" w:rsidRDefault="0078364B" w:rsidP="00B072DE">
      <w:pPr>
        <w:pStyle w:val="FootnoteText"/>
      </w:pPr>
      <w:r w:rsidRPr="002B5AA0">
        <w:tab/>
      </w:r>
      <w:r w:rsidRPr="002B5AA0">
        <w:rPr>
          <w:rStyle w:val="FootnoteReference"/>
        </w:rPr>
        <w:footnoteRef/>
      </w:r>
      <w:r w:rsidRPr="002B5AA0">
        <w:tab/>
        <w:t xml:space="preserve">The component in Section 4 that was struck down referred: “which are not intended to cause death or </w:t>
      </w:r>
      <w:r w:rsidRPr="009415E9">
        <w:t xml:space="preserve">serious physical harm to a person, to endanger a person’s life, or to create a serious risk to public safety”; </w:t>
      </w:r>
      <w:hyperlink r:id="rId68" w:history="1">
        <w:r w:rsidRPr="009415E9">
          <w:rPr>
            <w:rStyle w:val="Hyperlink"/>
            <w:color w:val="auto"/>
          </w:rPr>
          <w:t>https://lawphil.net/statutes/repacts/ra2020/pdf/ra_11479_2020.pdf</w:t>
        </w:r>
      </w:hyperlink>
      <w:r w:rsidR="00F944AF">
        <w:rPr>
          <w:rStyle w:val="Hyperlink"/>
          <w:color w:val="auto"/>
        </w:rPr>
        <w:t>.</w:t>
      </w:r>
    </w:p>
  </w:footnote>
  <w:footnote w:id="85">
    <w:p w14:paraId="2FC34C60" w14:textId="1D383749" w:rsidR="0078364B" w:rsidRPr="002B5AA0" w:rsidRDefault="0078364B" w:rsidP="00B072DE">
      <w:pPr>
        <w:pStyle w:val="FootnoteText"/>
      </w:pPr>
      <w:r w:rsidRPr="002B5AA0">
        <w:tab/>
      </w:r>
      <w:r w:rsidRPr="002B5AA0">
        <w:rPr>
          <w:rStyle w:val="FootnoteReference"/>
        </w:rPr>
        <w:footnoteRef/>
      </w:r>
      <w:r w:rsidRPr="002B5AA0">
        <w:tab/>
      </w:r>
      <w:hyperlink r:id="rId69" w:history="1">
        <w:r w:rsidRPr="002B5AA0">
          <w:rPr>
            <w:rStyle w:val="Hyperlink"/>
            <w:color w:val="auto"/>
          </w:rPr>
          <w:t>https://www.pna.gov.ph/articles/1162280</w:t>
        </w:r>
      </w:hyperlink>
      <w:r w:rsidRPr="002B5AA0">
        <w:t xml:space="preserve">; </w:t>
      </w:r>
      <w:hyperlink r:id="rId70" w:history="1">
        <w:r w:rsidRPr="002B5AA0">
          <w:rPr>
            <w:rStyle w:val="Hyperlink"/>
            <w:color w:val="auto"/>
          </w:rPr>
          <w:t>https://sc.judiciary.gov.ph/26426/</w:t>
        </w:r>
      </w:hyperlink>
      <w:r w:rsidR="00F944AF">
        <w:rPr>
          <w:rStyle w:val="Hyperlink"/>
          <w:color w:val="auto"/>
        </w:rPr>
        <w:t>.</w:t>
      </w:r>
      <w:r w:rsidRPr="002B5AA0">
        <w:t xml:space="preserve"> </w:t>
      </w:r>
    </w:p>
  </w:footnote>
  <w:footnote w:id="86">
    <w:p w14:paraId="24DEF053" w14:textId="57CF50C2" w:rsidR="0078364B" w:rsidRPr="002B5AA0" w:rsidRDefault="0078364B" w:rsidP="0021667E">
      <w:pPr>
        <w:pStyle w:val="FootnoteText"/>
        <w:rPr>
          <w:lang w:val="fr-FR"/>
        </w:rPr>
      </w:pPr>
      <w:r w:rsidRPr="002B5AA0">
        <w:tab/>
      </w:r>
      <w:r w:rsidRPr="002B5AA0">
        <w:rPr>
          <w:rStyle w:val="FootnoteReference"/>
        </w:rPr>
        <w:footnoteRef/>
      </w:r>
      <w:r w:rsidRPr="002B5AA0">
        <w:rPr>
          <w:lang w:val="fr-FR"/>
        </w:rPr>
        <w:tab/>
        <w:t xml:space="preserve">JOL PHL 4/2020 </w:t>
      </w:r>
      <w:hyperlink r:id="rId71" w:history="1">
        <w:r w:rsidRPr="002B5AA0">
          <w:rPr>
            <w:rStyle w:val="Hyperlink"/>
            <w:color w:val="auto"/>
            <w:lang w:val="fr-FR"/>
          </w:rPr>
          <w:t>https://spcommreports.ohchr.org/TMResultsBase/DownLoadPublicCommunicationFile?gId=25384</w:t>
        </w:r>
      </w:hyperlink>
      <w:r w:rsidR="00F944AF">
        <w:rPr>
          <w:rStyle w:val="Hyperlink"/>
          <w:color w:val="auto"/>
          <w:lang w:val="fr-FR"/>
        </w:rPr>
        <w:t>.</w:t>
      </w:r>
    </w:p>
  </w:footnote>
  <w:footnote w:id="87">
    <w:p w14:paraId="7255CDB2" w14:textId="763EDBF6" w:rsidR="0078364B" w:rsidRPr="002B5AA0" w:rsidRDefault="0078364B" w:rsidP="00B072DE">
      <w:pPr>
        <w:pStyle w:val="FootnoteText"/>
      </w:pPr>
      <w:r w:rsidRPr="002B5AA0">
        <w:rPr>
          <w:lang w:val="fr-FR"/>
        </w:rPr>
        <w:tab/>
      </w:r>
      <w:r w:rsidRPr="002B5AA0">
        <w:rPr>
          <w:rStyle w:val="FootnoteReference"/>
        </w:rPr>
        <w:footnoteRef/>
      </w:r>
      <w:r w:rsidRPr="002B5AA0">
        <w:tab/>
        <w:t>NV-EPG-7-2022, p. 3-4</w:t>
      </w:r>
      <w:r w:rsidR="00F944AF">
        <w:t>.</w:t>
      </w:r>
    </w:p>
  </w:footnote>
  <w:footnote w:id="88">
    <w:p w14:paraId="2A41A7B4" w14:textId="4108A6BE" w:rsidR="0078364B" w:rsidRPr="00157571" w:rsidRDefault="0078364B" w:rsidP="00401BED">
      <w:pPr>
        <w:pStyle w:val="FootnoteText"/>
      </w:pPr>
      <w:r w:rsidRPr="002B5AA0">
        <w:tab/>
      </w:r>
      <w:r w:rsidRPr="002B5AA0">
        <w:rPr>
          <w:rStyle w:val="FootnoteReference"/>
        </w:rPr>
        <w:footnoteRef/>
      </w:r>
      <w:r w:rsidRPr="002B5AA0">
        <w:tab/>
        <w:t xml:space="preserve">29 cases were filed before the courts, 12 cases before the prosecutor and three cases were dismissed; </w:t>
      </w:r>
      <w:r w:rsidRPr="00157571">
        <w:t>NV-EPG-308-2022.</w:t>
      </w:r>
    </w:p>
  </w:footnote>
  <w:footnote w:id="89">
    <w:p w14:paraId="5AD4234D" w14:textId="4213A60F" w:rsidR="007F2654" w:rsidRDefault="00907C4D">
      <w:pPr>
        <w:pStyle w:val="FootnoteText"/>
      </w:pPr>
      <w:r>
        <w:tab/>
      </w:r>
      <w:r w:rsidR="007F2654" w:rsidRPr="00157571">
        <w:rPr>
          <w:rStyle w:val="FootnoteReference"/>
        </w:rPr>
        <w:footnoteRef/>
      </w:r>
      <w:r>
        <w:tab/>
      </w:r>
      <w:hyperlink r:id="rId72" w:history="1">
        <w:r w:rsidR="007F2654" w:rsidRPr="00157571">
          <w:rPr>
            <w:rStyle w:val="Hyperlink"/>
            <w:color w:val="auto"/>
          </w:rPr>
          <w:t>https://chr.gov.ph/press-statement-of-chr-spokesperson-atty-jacqueline-ann-de-guia-on-the-allegations-of-the-maltreatment-of-aetas-by-the-philippine-armys-7th-infantry-division/</w:t>
        </w:r>
      </w:hyperlink>
      <w:r w:rsidR="00F944AF">
        <w:rPr>
          <w:rStyle w:val="Hyperlink"/>
          <w:color w:val="auto"/>
        </w:rPr>
        <w:t>.</w:t>
      </w:r>
    </w:p>
  </w:footnote>
  <w:footnote w:id="90">
    <w:p w14:paraId="7ABC13AA" w14:textId="116EDB51" w:rsidR="003D5A51" w:rsidRDefault="00907C4D">
      <w:pPr>
        <w:pStyle w:val="FootnoteText"/>
      </w:pPr>
      <w:r>
        <w:tab/>
      </w:r>
      <w:r w:rsidR="003D5A51" w:rsidRPr="00620E80">
        <w:rPr>
          <w:rStyle w:val="FootnoteReference"/>
        </w:rPr>
        <w:footnoteRef/>
      </w:r>
      <w:r>
        <w:tab/>
      </w:r>
      <w:hyperlink r:id="rId73" w:history="1">
        <w:r w:rsidR="003D5A51" w:rsidRPr="00620E80">
          <w:rPr>
            <w:rStyle w:val="Hyperlink"/>
            <w:color w:val="auto"/>
          </w:rPr>
          <w:t>Resolution-No.-28-2022_Final-as-of-15-Feb-2022.pdf (atc.gov.ph)</w:t>
        </w:r>
      </w:hyperlink>
      <w:r w:rsidR="00F944AF">
        <w:rPr>
          <w:rStyle w:val="Hyperlink"/>
          <w:color w:val="auto"/>
        </w:rPr>
        <w:t>.</w:t>
      </w:r>
    </w:p>
  </w:footnote>
  <w:footnote w:id="91">
    <w:p w14:paraId="29E87552" w14:textId="582591EF" w:rsidR="0078364B" w:rsidRPr="002B5AA0" w:rsidRDefault="0078364B" w:rsidP="0021667E">
      <w:pPr>
        <w:pStyle w:val="FootnoteText"/>
      </w:pPr>
      <w:r w:rsidRPr="002B5AA0">
        <w:tab/>
      </w:r>
      <w:r w:rsidRPr="002B5AA0">
        <w:rPr>
          <w:rStyle w:val="FootnoteReference"/>
        </w:rPr>
        <w:footnoteRef/>
      </w:r>
      <w:r w:rsidRPr="002B5AA0">
        <w:tab/>
      </w:r>
      <w:hyperlink r:id="rId74" w:history="1">
        <w:r w:rsidRPr="002B5AA0">
          <w:rPr>
            <w:rStyle w:val="Hyperlink"/>
            <w:color w:val="auto"/>
          </w:rPr>
          <w:t>https://www.civicus.org/index.php/media-resources/media-releases/4269-philippines-raids-on-ngo-offices-arbitrary-arrests-of-activists-and-freezing-of-accounts</w:t>
        </w:r>
      </w:hyperlink>
      <w:r w:rsidRPr="002B5AA0">
        <w:t xml:space="preserve">; </w:t>
      </w:r>
      <w:hyperlink r:id="rId75" w:history="1">
        <w:r w:rsidRPr="002B5AA0">
          <w:rPr>
            <w:rStyle w:val="Hyperlink"/>
            <w:color w:val="auto"/>
          </w:rPr>
          <w:t>https://www.pna.gov.ph/articles/1150613</w:t>
        </w:r>
      </w:hyperlink>
      <w:r w:rsidR="00F944AF">
        <w:rPr>
          <w:rStyle w:val="Hyperlink"/>
          <w:color w:val="auto"/>
        </w:rPr>
        <w:t>.</w:t>
      </w:r>
    </w:p>
  </w:footnote>
  <w:footnote w:id="92">
    <w:p w14:paraId="51C16076" w14:textId="45ADB3D3" w:rsidR="0078364B" w:rsidRDefault="0078364B" w:rsidP="0021667E">
      <w:pPr>
        <w:pStyle w:val="FootnoteText"/>
        <w:ind w:hanging="567"/>
      </w:pPr>
      <w:r w:rsidRPr="002B5AA0">
        <w:tab/>
      </w:r>
      <w:r w:rsidRPr="002B5AA0">
        <w:rPr>
          <w:rStyle w:val="FootnoteReference"/>
        </w:rPr>
        <w:footnoteRef/>
      </w:r>
      <w:r w:rsidRPr="002B5AA0">
        <w:tab/>
      </w:r>
      <w:hyperlink r:id="rId76" w:history="1">
        <w:r w:rsidRPr="002B5AA0">
          <w:rPr>
            <w:rStyle w:val="Hyperlink"/>
            <w:color w:val="auto"/>
            <w:lang w:val="en-PH"/>
          </w:rPr>
          <w:t>https://chr.gov.ph/statement-of-chr-spokesperson-atty-jacqueline-ann-de-guia-on-the-passage-of-the-anti-terrorism-law/</w:t>
        </w:r>
      </w:hyperlink>
      <w:r w:rsidR="00F944AF">
        <w:rPr>
          <w:rStyle w:val="Hyperlink"/>
          <w:color w:val="auto"/>
          <w:lang w:val="en-PH"/>
        </w:rPr>
        <w:t>.</w:t>
      </w:r>
    </w:p>
  </w:footnote>
  <w:footnote w:id="93">
    <w:p w14:paraId="712F413C" w14:textId="27003924" w:rsidR="0078364B" w:rsidRPr="002B5AA0" w:rsidRDefault="0078364B" w:rsidP="00B072DE">
      <w:pPr>
        <w:pStyle w:val="FootnoteText"/>
      </w:pPr>
      <w:r w:rsidRPr="002B5AA0">
        <w:tab/>
      </w:r>
      <w:r w:rsidRPr="002B5AA0">
        <w:rPr>
          <w:rStyle w:val="FootnoteReference"/>
        </w:rPr>
        <w:footnoteRef/>
      </w:r>
      <w:r w:rsidRPr="002B5AA0">
        <w:tab/>
      </w:r>
      <w:hyperlink r:id="rId77" w:history="1">
        <w:r w:rsidRPr="002B5AA0">
          <w:rPr>
            <w:rStyle w:val="Hyperlink"/>
            <w:color w:val="auto"/>
          </w:rPr>
          <w:t>https://www.pna.gov.ph/articles/1177342</w:t>
        </w:r>
      </w:hyperlink>
      <w:r w:rsidRPr="002B5AA0">
        <w:t xml:space="preserve">; </w:t>
      </w:r>
      <w:hyperlink r:id="rId78" w:history="1">
        <w:r w:rsidRPr="002B5AA0">
          <w:rPr>
            <w:rStyle w:val="Hyperlink"/>
            <w:color w:val="auto"/>
          </w:rPr>
          <w:t>https://www.pna.gov.ph/articles/1177393</w:t>
        </w:r>
      </w:hyperlink>
      <w:r w:rsidR="00F944AF">
        <w:rPr>
          <w:rStyle w:val="Hyperlink"/>
          <w:color w:val="auto"/>
        </w:rPr>
        <w:t>.</w:t>
      </w:r>
    </w:p>
  </w:footnote>
  <w:footnote w:id="94">
    <w:p w14:paraId="3CE69BE6" w14:textId="0A3F3F2F" w:rsidR="0078364B" w:rsidRPr="002B5AA0" w:rsidRDefault="0078364B" w:rsidP="00B072DE">
      <w:pPr>
        <w:pStyle w:val="FootnoteText"/>
      </w:pPr>
      <w:r w:rsidRPr="002B5AA0">
        <w:tab/>
      </w:r>
      <w:r w:rsidRPr="002B5AA0">
        <w:rPr>
          <w:rStyle w:val="FootnoteReference"/>
        </w:rPr>
        <w:footnoteRef/>
      </w:r>
      <w:r w:rsidRPr="002B5AA0">
        <w:tab/>
        <w:t>NV-EPG-338-2022</w:t>
      </w:r>
      <w:r w:rsidR="00F944AF">
        <w:t>.</w:t>
      </w:r>
    </w:p>
  </w:footnote>
  <w:footnote w:id="95">
    <w:p w14:paraId="4B540E8C" w14:textId="67E43D4E" w:rsidR="0078364B" w:rsidRPr="002B5AA0" w:rsidRDefault="0078364B">
      <w:pPr>
        <w:pStyle w:val="FootnoteText"/>
      </w:pPr>
      <w:r w:rsidRPr="002B5AA0">
        <w:tab/>
      </w:r>
      <w:r w:rsidRPr="002B5AA0">
        <w:rPr>
          <w:rStyle w:val="FootnoteReference"/>
        </w:rPr>
        <w:footnoteRef/>
      </w:r>
      <w:r w:rsidRPr="002B5AA0">
        <w:tab/>
      </w:r>
      <w:hyperlink r:id="rId79" w:history="1">
        <w:r w:rsidRPr="002B5AA0">
          <w:rPr>
            <w:rStyle w:val="Hyperlink"/>
            <w:color w:val="auto"/>
          </w:rPr>
          <w:t>https://newsinfo.inquirer.net/1609050/bongbong-marcos-to-continue-drug-war-within-framework-of-law-human-rights-says-swedish-envoy</w:t>
        </w:r>
      </w:hyperlink>
      <w:r w:rsidR="00F944AF">
        <w:rPr>
          <w:rStyle w:val="Hyperlink"/>
          <w:color w:val="auto"/>
        </w:rPr>
        <w:t>.</w:t>
      </w:r>
    </w:p>
  </w:footnote>
  <w:footnote w:id="96">
    <w:p w14:paraId="75F79F31" w14:textId="4C3CC289" w:rsidR="0078364B" w:rsidRPr="002B5AA0" w:rsidRDefault="0078364B" w:rsidP="00B072DE">
      <w:pPr>
        <w:pStyle w:val="FootnoteText"/>
        <w:rPr>
          <w:lang w:val="en-US"/>
        </w:rPr>
      </w:pPr>
      <w:r w:rsidRPr="002B5AA0">
        <w:tab/>
      </w:r>
      <w:r w:rsidRPr="002B5AA0">
        <w:rPr>
          <w:rStyle w:val="FootnoteReference"/>
        </w:rPr>
        <w:footnoteRef/>
      </w:r>
      <w:r w:rsidRPr="002B5AA0">
        <w:tab/>
      </w:r>
      <w:hyperlink r:id="rId80" w:history="1">
        <w:r w:rsidRPr="002B5AA0">
          <w:rPr>
            <w:rStyle w:val="Hyperlink"/>
            <w:color w:val="auto"/>
          </w:rPr>
          <w:t>https://www.ddb.gov.ph/images/unodc_publications/CBT_Guidance_Doc_Philippines_Final.pdf</w:t>
        </w:r>
      </w:hyperlink>
      <w:r w:rsidR="00F944AF">
        <w:rPr>
          <w:rStyle w:val="Hyperlink"/>
          <w:color w:val="auto"/>
        </w:rPr>
        <w:t>.</w:t>
      </w:r>
    </w:p>
  </w:footnote>
  <w:footnote w:id="97">
    <w:p w14:paraId="37A3166F" w14:textId="702E4565" w:rsidR="0078364B" w:rsidRPr="002B5AA0" w:rsidRDefault="0078364B" w:rsidP="00B072DE">
      <w:pPr>
        <w:pStyle w:val="FootnoteText"/>
        <w:rPr>
          <w:lang w:val="en-US"/>
        </w:rPr>
      </w:pPr>
      <w:r w:rsidRPr="002B5AA0">
        <w:tab/>
      </w:r>
      <w:r w:rsidRPr="002B5AA0">
        <w:rPr>
          <w:rStyle w:val="FootnoteReference"/>
        </w:rPr>
        <w:footnoteRef/>
      </w:r>
      <w:r w:rsidRPr="002B5AA0">
        <w:tab/>
      </w:r>
      <w:hyperlink r:id="rId81" w:history="1">
        <w:r w:rsidRPr="002B5AA0">
          <w:rPr>
            <w:rStyle w:val="Hyperlink"/>
            <w:color w:val="auto"/>
          </w:rPr>
          <w:t>https://www.who.int/philippines/news/detail/12-11-2021-voluntary-care-model-for-persons-who-use-drugs-resulted-in-over-90-completion-for-treatment-rate</w:t>
        </w:r>
      </w:hyperlink>
      <w:r w:rsidR="00F944AF">
        <w:rPr>
          <w:rStyle w:val="Hyperlink"/>
          <w:color w:val="auto"/>
        </w:rPr>
        <w:t>.</w:t>
      </w:r>
    </w:p>
  </w:footnote>
  <w:footnote w:id="98">
    <w:p w14:paraId="06A06F14" w14:textId="6DF1A95F" w:rsidR="0078364B" w:rsidRPr="002B5AA0" w:rsidRDefault="0078364B" w:rsidP="00B072DE">
      <w:pPr>
        <w:pStyle w:val="FootnoteText"/>
      </w:pPr>
      <w:r w:rsidRPr="002B5AA0">
        <w:tab/>
      </w:r>
      <w:r w:rsidRPr="002B5AA0">
        <w:rPr>
          <w:rStyle w:val="FootnoteReference"/>
        </w:rPr>
        <w:footnoteRef/>
      </w:r>
      <w:r w:rsidRPr="002B5AA0">
        <w:tab/>
        <w:t>NV-EPG-338-2022</w:t>
      </w:r>
      <w:r w:rsidR="00F944AF">
        <w:t>.</w:t>
      </w:r>
    </w:p>
  </w:footnote>
  <w:footnote w:id="99">
    <w:p w14:paraId="3AA64208" w14:textId="0079DEE8" w:rsidR="0078364B" w:rsidRPr="002B5AA0" w:rsidRDefault="0078364B" w:rsidP="00B072DE">
      <w:pPr>
        <w:pStyle w:val="FootnoteText"/>
      </w:pPr>
      <w:r w:rsidRPr="002B5AA0">
        <w:tab/>
      </w:r>
      <w:r w:rsidRPr="002B5AA0">
        <w:rPr>
          <w:rStyle w:val="FootnoteReference"/>
        </w:rPr>
        <w:footnoteRef/>
      </w:r>
      <w:r w:rsidRPr="002B5AA0">
        <w:tab/>
        <w:t>Ibid.</w:t>
      </w:r>
    </w:p>
  </w:footnote>
  <w:footnote w:id="100">
    <w:p w14:paraId="1740106A" w14:textId="56CC150E" w:rsidR="0078364B" w:rsidRPr="002B5AA0" w:rsidRDefault="0078364B" w:rsidP="00B072DE">
      <w:pPr>
        <w:pStyle w:val="FootnoteText"/>
        <w:rPr>
          <w:lang w:val="en-US"/>
        </w:rPr>
      </w:pPr>
      <w:r w:rsidRPr="002B5AA0">
        <w:tab/>
      </w:r>
      <w:r w:rsidRPr="002B5AA0">
        <w:rPr>
          <w:rStyle w:val="FootnoteReference"/>
        </w:rPr>
        <w:footnoteRef/>
      </w:r>
      <w:r w:rsidRPr="002B5AA0">
        <w:tab/>
      </w:r>
      <w:hyperlink r:id="rId82" w:history="1">
        <w:r w:rsidRPr="002B5AA0">
          <w:rPr>
            <w:rStyle w:val="Hyperlink"/>
            <w:color w:val="auto"/>
          </w:rPr>
          <w:t>https://pdea.gov.ph/2-uncategorised/839-pdea-officially-launches-balay-silangan-reformation-program</w:t>
        </w:r>
      </w:hyperlink>
      <w:r w:rsidR="00F944AF">
        <w:rPr>
          <w:rStyle w:val="Hyperlink"/>
          <w:color w:val="auto"/>
        </w:rPr>
        <w:t>.</w:t>
      </w:r>
    </w:p>
  </w:footnote>
  <w:footnote w:id="101">
    <w:p w14:paraId="0FC26E61" w14:textId="597EE855" w:rsidR="0078364B" w:rsidRPr="002B5AA0" w:rsidRDefault="0078364B" w:rsidP="00B072DE">
      <w:pPr>
        <w:pStyle w:val="FootnoteText"/>
      </w:pPr>
      <w:r w:rsidRPr="002B5AA0">
        <w:tab/>
      </w:r>
      <w:r w:rsidRPr="002B5AA0">
        <w:rPr>
          <w:rStyle w:val="FootnoteReference"/>
        </w:rPr>
        <w:footnoteRef/>
      </w:r>
      <w:r w:rsidRPr="002B5AA0">
        <w:tab/>
        <w:t>NV-EPG-338-2022</w:t>
      </w:r>
      <w:r w:rsidR="00F944AF">
        <w:t>.</w:t>
      </w:r>
      <w:r w:rsidRPr="002B5AA0">
        <w:t xml:space="preserve"> </w:t>
      </w:r>
      <w:hyperlink w:history="1"/>
    </w:p>
  </w:footnote>
  <w:footnote w:id="102">
    <w:p w14:paraId="311137BC" w14:textId="5E69161D" w:rsidR="0078364B" w:rsidRPr="00DF2514" w:rsidRDefault="0078364B" w:rsidP="00B072DE">
      <w:pPr>
        <w:pStyle w:val="FootnoteText"/>
      </w:pPr>
      <w:r w:rsidRPr="002B5AA0">
        <w:tab/>
      </w:r>
      <w:r w:rsidRPr="002B5AA0">
        <w:rPr>
          <w:rStyle w:val="FootnoteReference"/>
        </w:rPr>
        <w:footnoteRef/>
      </w:r>
      <w:r w:rsidRPr="002B5AA0">
        <w:tab/>
        <w:t xml:space="preserve">Ibid. </w:t>
      </w:r>
    </w:p>
  </w:footnote>
  <w:footnote w:id="103">
    <w:p w14:paraId="7C93FF7C" w14:textId="6736D797" w:rsidR="0078364B" w:rsidRPr="002B5AA0" w:rsidRDefault="0078364B" w:rsidP="00B072DE">
      <w:pPr>
        <w:pStyle w:val="FootnoteText"/>
      </w:pPr>
      <w:r>
        <w:tab/>
      </w:r>
      <w:r>
        <w:rPr>
          <w:rStyle w:val="FootnoteReference"/>
        </w:rPr>
        <w:footnoteRef/>
      </w:r>
      <w:r>
        <w:tab/>
        <w:t xml:space="preserve">In 2020, the decongestion rate was 403% and in 2019 it was 438%. </w:t>
      </w:r>
      <w:hyperlink r:id="rId83" w:history="1">
        <w:r w:rsidRPr="002B5AA0">
          <w:rPr>
            <w:rStyle w:val="Hyperlink"/>
            <w:color w:val="auto"/>
          </w:rPr>
          <w:t>https://chr.gov.ph/statement-of-chr-executive-director-atty-jacqueline-ann-de-guia-on-the-decongestion-efforts-of-the-bureau-of-jail-management-and-penology/</w:t>
        </w:r>
      </w:hyperlink>
      <w:r w:rsidR="00F944AF">
        <w:rPr>
          <w:rStyle w:val="Hyperlink"/>
          <w:color w:val="auto"/>
        </w:rPr>
        <w:t>.</w:t>
      </w:r>
      <w:r w:rsidRPr="002B5AA0">
        <w:t xml:space="preserve"> </w:t>
      </w:r>
    </w:p>
  </w:footnote>
  <w:footnote w:id="104">
    <w:p w14:paraId="5DE3DA97" w14:textId="20519C0C" w:rsidR="0078364B" w:rsidRPr="002B5AA0" w:rsidRDefault="0078364B" w:rsidP="0021667E">
      <w:pPr>
        <w:pStyle w:val="FootnoteText"/>
        <w:ind w:hanging="567"/>
      </w:pPr>
      <w:r w:rsidRPr="002B5AA0">
        <w:tab/>
      </w:r>
      <w:r w:rsidRPr="002B5AA0">
        <w:rPr>
          <w:rStyle w:val="FootnoteReference"/>
        </w:rPr>
        <w:footnoteRef/>
      </w:r>
      <w:r w:rsidRPr="002B5AA0">
        <w:tab/>
      </w:r>
      <w:hyperlink r:id="rId84" w:history="1">
        <w:r w:rsidRPr="002B5AA0">
          <w:rPr>
            <w:rStyle w:val="Hyperlink"/>
            <w:color w:val="auto"/>
          </w:rPr>
          <w:t>https://www.facebook.com/pnp.pio/videos/434441455404687</w:t>
        </w:r>
      </w:hyperlink>
      <w:r w:rsidR="00F944AF">
        <w:rPr>
          <w:rStyle w:val="Hyperlink"/>
          <w:color w:val="auto"/>
        </w:rPr>
        <w:t>.</w:t>
      </w:r>
    </w:p>
  </w:footnote>
  <w:footnote w:id="105">
    <w:p w14:paraId="54BD303B" w14:textId="7E195CC6" w:rsidR="0078364B" w:rsidRPr="002B5AA0" w:rsidRDefault="0078364B" w:rsidP="00B072DE">
      <w:pPr>
        <w:pStyle w:val="FootnoteText"/>
        <w:rPr>
          <w:lang w:val="es-419"/>
        </w:rPr>
      </w:pPr>
      <w:r w:rsidRPr="002B5AA0">
        <w:tab/>
      </w:r>
      <w:r w:rsidRPr="002B5AA0">
        <w:rPr>
          <w:rStyle w:val="FootnoteReference"/>
        </w:rPr>
        <w:footnoteRef/>
      </w:r>
      <w:r w:rsidRPr="002B5AA0">
        <w:rPr>
          <w:lang w:val="es-419"/>
        </w:rPr>
        <w:tab/>
      </w:r>
      <w:hyperlink r:id="rId85" w:history="1">
        <w:r w:rsidRPr="002B5AA0">
          <w:rPr>
            <w:rStyle w:val="Hyperlink"/>
            <w:color w:val="auto"/>
            <w:lang w:val="es-419"/>
          </w:rPr>
          <w:t>A/HRC/47/40</w:t>
        </w:r>
      </w:hyperlink>
      <w:r w:rsidRPr="002B5AA0">
        <w:rPr>
          <w:lang w:val="es-419"/>
        </w:rPr>
        <w:t>, para.19</w:t>
      </w:r>
      <w:r w:rsidR="00F944AF">
        <w:rPr>
          <w:lang w:val="es-419"/>
        </w:rPr>
        <w:t>.</w:t>
      </w:r>
    </w:p>
  </w:footnote>
  <w:footnote w:id="106">
    <w:p w14:paraId="78F02EC2" w14:textId="1FFB815B" w:rsidR="0078364B" w:rsidRPr="002B5AA0" w:rsidRDefault="0078364B" w:rsidP="00B072DE">
      <w:pPr>
        <w:pStyle w:val="FootnoteText"/>
      </w:pPr>
      <w:r w:rsidRPr="002B5AA0">
        <w:rPr>
          <w:lang w:val="es-419"/>
        </w:rPr>
        <w:tab/>
      </w:r>
      <w:r w:rsidRPr="002B5AA0">
        <w:rPr>
          <w:rStyle w:val="FootnoteReference"/>
        </w:rPr>
        <w:footnoteRef/>
      </w:r>
      <w:r w:rsidRPr="002B5AA0">
        <w:rPr>
          <w:lang w:val="es-419"/>
        </w:rPr>
        <w:tab/>
      </w:r>
      <w:hyperlink r:id="rId86" w:history="1">
        <w:r w:rsidRPr="002B5AA0">
          <w:rPr>
            <w:rStyle w:val="Hyperlink"/>
            <w:color w:val="auto"/>
            <w:lang w:val="es-419"/>
          </w:rPr>
          <w:t>A/HRC/47/40</w:t>
        </w:r>
      </w:hyperlink>
      <w:r w:rsidRPr="002B5AA0">
        <w:rPr>
          <w:lang w:val="es-419"/>
        </w:rPr>
        <w:t xml:space="preserve">, para. </w:t>
      </w:r>
      <w:r w:rsidRPr="002B5AA0">
        <w:t>7</w:t>
      </w:r>
      <w:r w:rsidR="00F944AF">
        <w:t>.</w:t>
      </w:r>
    </w:p>
  </w:footnote>
  <w:footnote w:id="107">
    <w:p w14:paraId="313EB4D3" w14:textId="24DABA73" w:rsidR="0078364B" w:rsidRPr="002B5AA0" w:rsidRDefault="0078364B" w:rsidP="00B072DE">
      <w:pPr>
        <w:pStyle w:val="FootnoteText"/>
      </w:pPr>
      <w:r w:rsidRPr="002B5AA0">
        <w:tab/>
      </w:r>
      <w:r w:rsidRPr="002B5AA0">
        <w:rPr>
          <w:rStyle w:val="FootnoteReference"/>
        </w:rPr>
        <w:footnoteRef/>
      </w:r>
      <w:r w:rsidRPr="002B5AA0">
        <w:tab/>
        <w:t>Ibid., paras 57, 59</w:t>
      </w:r>
      <w:r w:rsidR="00F944AF">
        <w:t>.</w:t>
      </w:r>
    </w:p>
  </w:footnote>
  <w:footnote w:id="108">
    <w:p w14:paraId="01ECC89E" w14:textId="0E39388A" w:rsidR="0078364B" w:rsidRPr="002B5AA0" w:rsidRDefault="0078364B" w:rsidP="0021667E">
      <w:pPr>
        <w:pStyle w:val="FootnoteText"/>
        <w:rPr>
          <w:lang w:val="en-US"/>
        </w:rPr>
      </w:pPr>
      <w:r w:rsidRPr="002B5AA0">
        <w:tab/>
      </w:r>
      <w:r w:rsidRPr="002B5AA0">
        <w:rPr>
          <w:rStyle w:val="FootnoteReference"/>
        </w:rPr>
        <w:footnoteRef/>
      </w:r>
      <w:r w:rsidRPr="002B5AA0">
        <w:tab/>
        <w:t xml:space="preserve">See for example </w:t>
      </w:r>
      <w:hyperlink r:id="rId87" w:history="1">
        <w:r w:rsidRPr="002B5AA0">
          <w:rPr>
            <w:rStyle w:val="Hyperlink"/>
            <w:color w:val="auto"/>
          </w:rPr>
          <w:t>Senate Bill No. 198</w:t>
        </w:r>
      </w:hyperlink>
      <w:r w:rsidRPr="002B5AA0">
        <w:t xml:space="preserve">. </w:t>
      </w:r>
    </w:p>
  </w:footnote>
  <w:footnote w:id="109">
    <w:p w14:paraId="79E980B3" w14:textId="7AB63FEE" w:rsidR="0078364B" w:rsidRPr="002B5AA0" w:rsidRDefault="0078364B" w:rsidP="0021667E">
      <w:pPr>
        <w:pStyle w:val="FootnoteText"/>
      </w:pPr>
      <w:r w:rsidRPr="002B5AA0">
        <w:tab/>
      </w:r>
      <w:r w:rsidRPr="002B5AA0">
        <w:rPr>
          <w:rStyle w:val="FootnoteReference"/>
        </w:rPr>
        <w:footnoteRef/>
      </w:r>
      <w:r w:rsidRPr="002B5AA0">
        <w:rPr>
          <w:lang w:val="es-ES"/>
        </w:rPr>
        <w:tab/>
        <w:t xml:space="preserve">CCPR/C/GC/36 </w:t>
      </w:r>
      <w:hyperlink r:id="rId88" w:history="1">
        <w:r w:rsidRPr="002B5AA0">
          <w:rPr>
            <w:rStyle w:val="Hyperlink"/>
            <w:color w:val="auto"/>
            <w:lang w:val="es-ES"/>
          </w:rPr>
          <w:t>https://documents-dds-ny.un.org/doc/UNDOC/GEN/G19/261/15/PDF/G1926115.pdf?OpenElement</w:t>
        </w:r>
      </w:hyperlink>
      <w:r w:rsidRPr="002B5AA0">
        <w:rPr>
          <w:lang w:val="es-ES"/>
        </w:rPr>
        <w:t xml:space="preserve">, para. </w:t>
      </w:r>
      <w:r w:rsidRPr="002B5AA0">
        <w:t>35</w:t>
      </w:r>
      <w:r w:rsidR="00F944AF">
        <w:t>.</w:t>
      </w:r>
      <w:r w:rsidRPr="002B5AA0">
        <w:t xml:space="preserve"> </w:t>
      </w:r>
    </w:p>
  </w:footnote>
  <w:footnote w:id="110">
    <w:p w14:paraId="6C6607F4" w14:textId="0B931E38" w:rsidR="0078364B" w:rsidRPr="002B5AA0" w:rsidRDefault="0078364B" w:rsidP="003C1366">
      <w:pPr>
        <w:pStyle w:val="FootnoteText"/>
        <w:ind w:hanging="283"/>
      </w:pPr>
      <w:r w:rsidRPr="002B5AA0">
        <w:rPr>
          <w:rStyle w:val="FootnoteReference"/>
        </w:rPr>
        <w:footnoteRef/>
      </w:r>
      <w:r w:rsidRPr="002B5AA0">
        <w:t xml:space="preserve">  Ibid., para.34</w:t>
      </w:r>
      <w:r w:rsidR="00F944AF">
        <w:t>.</w:t>
      </w:r>
    </w:p>
  </w:footnote>
  <w:footnote w:id="111">
    <w:p w14:paraId="2A64A7F0" w14:textId="1548AF38" w:rsidR="0078364B" w:rsidRPr="00146B7B" w:rsidRDefault="0078364B" w:rsidP="0021667E">
      <w:pPr>
        <w:pStyle w:val="FootnoteText"/>
      </w:pPr>
      <w:r w:rsidRPr="002B5AA0">
        <w:tab/>
      </w:r>
      <w:r w:rsidRPr="002B5AA0">
        <w:rPr>
          <w:rStyle w:val="FootnoteReference"/>
        </w:rPr>
        <w:footnoteRef/>
      </w:r>
      <w:r w:rsidRPr="002B5AA0">
        <w:tab/>
      </w:r>
      <w:hyperlink r:id="rId89" w:history="1">
        <w:r w:rsidRPr="002B5AA0">
          <w:rPr>
            <w:rStyle w:val="Hyperlink"/>
            <w:color w:val="auto"/>
          </w:rPr>
          <w:t>https://www.humanrights-drugpolicy.org/</w:t>
        </w:r>
      </w:hyperlink>
      <w:r w:rsidR="00F944AF">
        <w:rPr>
          <w:rStyle w:val="Hyperlink"/>
          <w:color w:val="aut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9DBB7" w14:textId="59913A59" w:rsidR="0078364B" w:rsidRDefault="0078364B">
    <w:pPr>
      <w:pStyle w:val="Header"/>
    </w:pPr>
    <w:r>
      <w:t>A/HRC/51</w:t>
    </w:r>
    <w:r w:rsidRPr="005B64BD">
      <w:t>/</w:t>
    </w:r>
    <w:r>
      <w:t>58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63E28" w14:textId="3DE5A803" w:rsidR="0078364B" w:rsidRDefault="0078364B" w:rsidP="00C24D8B">
    <w:pPr>
      <w:pStyle w:val="Header"/>
      <w:jc w:val="right"/>
    </w:pPr>
    <w:r w:rsidRPr="00153F29">
      <w:t>A/HRC/51/58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236"/>
        </w:tabs>
        <w:ind w:left="1370" w:firstLine="0"/>
      </w:pPr>
      <w:rPr>
        <w:rFonts w:ascii="Times New Roman" w:hAnsi="Times New Roman" w:hint="default"/>
        <w:b w:val="0"/>
        <w:i w:val="0"/>
        <w:sz w:val="20"/>
      </w:rPr>
    </w:lvl>
    <w:lvl w:ilvl="1" w:tplc="04090019" w:tentative="1">
      <w:start w:val="1"/>
      <w:numFmt w:val="lowerLetter"/>
      <w:lvlText w:val="%2."/>
      <w:lvlJc w:val="left"/>
      <w:pPr>
        <w:tabs>
          <w:tab w:val="num" w:pos="1676"/>
        </w:tabs>
        <w:ind w:left="1676" w:hanging="360"/>
      </w:pPr>
    </w:lvl>
    <w:lvl w:ilvl="2" w:tplc="0409001B" w:tentative="1">
      <w:start w:val="1"/>
      <w:numFmt w:val="lowerRoman"/>
      <w:lvlText w:val="%3."/>
      <w:lvlJc w:val="right"/>
      <w:pPr>
        <w:tabs>
          <w:tab w:val="num" w:pos="2396"/>
        </w:tabs>
        <w:ind w:left="2396" w:hanging="180"/>
      </w:pPr>
    </w:lvl>
    <w:lvl w:ilvl="3" w:tplc="0409000F" w:tentative="1">
      <w:start w:val="1"/>
      <w:numFmt w:val="decimal"/>
      <w:lvlText w:val="%4."/>
      <w:lvlJc w:val="left"/>
      <w:pPr>
        <w:tabs>
          <w:tab w:val="num" w:pos="3116"/>
        </w:tabs>
        <w:ind w:left="3116" w:hanging="360"/>
      </w:pPr>
    </w:lvl>
    <w:lvl w:ilvl="4" w:tplc="04090019" w:tentative="1">
      <w:start w:val="1"/>
      <w:numFmt w:val="lowerLetter"/>
      <w:lvlText w:val="%5."/>
      <w:lvlJc w:val="left"/>
      <w:pPr>
        <w:tabs>
          <w:tab w:val="num" w:pos="3836"/>
        </w:tabs>
        <w:ind w:left="3836" w:hanging="360"/>
      </w:pPr>
    </w:lvl>
    <w:lvl w:ilvl="5" w:tplc="0409001B" w:tentative="1">
      <w:start w:val="1"/>
      <w:numFmt w:val="lowerRoman"/>
      <w:lvlText w:val="%6."/>
      <w:lvlJc w:val="right"/>
      <w:pPr>
        <w:tabs>
          <w:tab w:val="num" w:pos="4556"/>
        </w:tabs>
        <w:ind w:left="4556" w:hanging="180"/>
      </w:pPr>
    </w:lvl>
    <w:lvl w:ilvl="6" w:tplc="0409000F" w:tentative="1">
      <w:start w:val="1"/>
      <w:numFmt w:val="decimal"/>
      <w:lvlText w:val="%7."/>
      <w:lvlJc w:val="left"/>
      <w:pPr>
        <w:tabs>
          <w:tab w:val="num" w:pos="5276"/>
        </w:tabs>
        <w:ind w:left="5276" w:hanging="360"/>
      </w:pPr>
    </w:lvl>
    <w:lvl w:ilvl="7" w:tplc="04090019" w:tentative="1">
      <w:start w:val="1"/>
      <w:numFmt w:val="lowerLetter"/>
      <w:lvlText w:val="%8."/>
      <w:lvlJc w:val="left"/>
      <w:pPr>
        <w:tabs>
          <w:tab w:val="num" w:pos="5996"/>
        </w:tabs>
        <w:ind w:left="5996" w:hanging="360"/>
      </w:pPr>
    </w:lvl>
    <w:lvl w:ilvl="8" w:tplc="0409001B" w:tentative="1">
      <w:start w:val="1"/>
      <w:numFmt w:val="lowerRoman"/>
      <w:lvlText w:val="%9."/>
      <w:lvlJc w:val="right"/>
      <w:pPr>
        <w:tabs>
          <w:tab w:val="num" w:pos="6716"/>
        </w:tabs>
        <w:ind w:left="6716"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C5157"/>
    <w:multiLevelType w:val="hybridMultilevel"/>
    <w:tmpl w:val="9F76E590"/>
    <w:lvl w:ilvl="0" w:tplc="63AAED6A">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97303"/>
    <w:multiLevelType w:val="hybridMultilevel"/>
    <w:tmpl w:val="CDD4C784"/>
    <w:lvl w:ilvl="0" w:tplc="9A289CA6">
      <w:start w:val="1"/>
      <w:numFmt w:val="lowerRoman"/>
      <w:lvlText w:val="(%1)"/>
      <w:lvlJc w:val="left"/>
      <w:pPr>
        <w:ind w:left="1440" w:hanging="720"/>
      </w:pPr>
      <w:rPr>
        <w:rFonts w:hint="default"/>
        <w:b w:val="0"/>
        <w:bCs/>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15:restartNumberingAfterBreak="0">
    <w:nsid w:val="10890D83"/>
    <w:multiLevelType w:val="hybridMultilevel"/>
    <w:tmpl w:val="3F8E8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CF1915"/>
    <w:multiLevelType w:val="hybridMultilevel"/>
    <w:tmpl w:val="E3EEC1E2"/>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286E9D"/>
    <w:multiLevelType w:val="hybridMultilevel"/>
    <w:tmpl w:val="9102855E"/>
    <w:lvl w:ilvl="0" w:tplc="3110857E">
      <w:start w:val="1"/>
      <w:numFmt w:val="lowerLetter"/>
      <w:lvlText w:val="(%1)"/>
      <w:lvlJc w:val="left"/>
      <w:pPr>
        <w:ind w:left="1440" w:hanging="720"/>
      </w:pPr>
      <w:rPr>
        <w:rFonts w:hint="default"/>
        <w:b w:val="0"/>
        <w:bCs/>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15:restartNumberingAfterBreak="0">
    <w:nsid w:val="24324E0B"/>
    <w:multiLevelType w:val="hybridMultilevel"/>
    <w:tmpl w:val="C33A113E"/>
    <w:lvl w:ilvl="0" w:tplc="271CD7FA">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2B0D5AAA"/>
    <w:multiLevelType w:val="hybridMultilevel"/>
    <w:tmpl w:val="597C788E"/>
    <w:lvl w:ilvl="0" w:tplc="303CCD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D658EB"/>
    <w:multiLevelType w:val="hybridMultilevel"/>
    <w:tmpl w:val="63C02952"/>
    <w:lvl w:ilvl="0" w:tplc="56D80260">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487330F7"/>
    <w:multiLevelType w:val="hybridMultilevel"/>
    <w:tmpl w:val="627E0344"/>
    <w:lvl w:ilvl="0" w:tplc="1A467386">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4A0F68C8"/>
    <w:multiLevelType w:val="hybridMultilevel"/>
    <w:tmpl w:val="073ABE88"/>
    <w:lvl w:ilvl="0" w:tplc="1BEA363C">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15:restartNumberingAfterBreak="0">
    <w:nsid w:val="4F6F29AD"/>
    <w:multiLevelType w:val="hybridMultilevel"/>
    <w:tmpl w:val="C736F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CA4522"/>
    <w:multiLevelType w:val="hybridMultilevel"/>
    <w:tmpl w:val="2E2E15A0"/>
    <w:lvl w:ilvl="0" w:tplc="5D18EEF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83E6C4E"/>
    <w:multiLevelType w:val="hybridMultilevel"/>
    <w:tmpl w:val="117AEB6E"/>
    <w:lvl w:ilvl="0" w:tplc="5478E2EC">
      <w:start w:val="49"/>
      <w:numFmt w:val="bullet"/>
      <w:lvlText w:val=""/>
      <w:lvlJc w:val="left"/>
      <w:pPr>
        <w:ind w:left="1380" w:hanging="102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C06016"/>
    <w:multiLevelType w:val="hybridMultilevel"/>
    <w:tmpl w:val="C33A113E"/>
    <w:lvl w:ilvl="0" w:tplc="271CD7FA">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ADC0C55"/>
    <w:multiLevelType w:val="hybridMultilevel"/>
    <w:tmpl w:val="8AC08F4C"/>
    <w:lvl w:ilvl="0" w:tplc="2090878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016176"/>
    <w:multiLevelType w:val="hybridMultilevel"/>
    <w:tmpl w:val="0F86C8A4"/>
    <w:lvl w:ilvl="0" w:tplc="87D2146E">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0"/>
  </w:num>
  <w:num w:numId="2">
    <w:abstractNumId w:val="14"/>
  </w:num>
  <w:num w:numId="3">
    <w:abstractNumId w:val="18"/>
  </w:num>
  <w:num w:numId="4">
    <w:abstractNumId w:val="1"/>
  </w:num>
  <w:num w:numId="5">
    <w:abstractNumId w:val="16"/>
  </w:num>
  <w:num w:numId="6">
    <w:abstractNumId w:val="11"/>
  </w:num>
  <w:num w:numId="7">
    <w:abstractNumId w:val="7"/>
  </w:num>
  <w:num w:numId="8">
    <w:abstractNumId w:val="20"/>
  </w:num>
  <w:num w:numId="9">
    <w:abstractNumId w:val="10"/>
  </w:num>
  <w:num w:numId="10">
    <w:abstractNumId w:val="9"/>
  </w:num>
  <w:num w:numId="11">
    <w:abstractNumId w:val="3"/>
  </w:num>
  <w:num w:numId="12">
    <w:abstractNumId w:val="5"/>
  </w:num>
  <w:num w:numId="13">
    <w:abstractNumId w:val="17"/>
  </w:num>
  <w:num w:numId="14">
    <w:abstractNumId w:val="6"/>
  </w:num>
  <w:num w:numId="15">
    <w:abstractNumId w:val="15"/>
  </w:num>
  <w:num w:numId="16">
    <w:abstractNumId w:val="2"/>
  </w:num>
  <w:num w:numId="17">
    <w:abstractNumId w:val="13"/>
  </w:num>
  <w:num w:numId="18">
    <w:abstractNumId w:val="4"/>
  </w:num>
  <w:num w:numId="19">
    <w:abstractNumId w:val="19"/>
  </w:num>
  <w:num w:numId="20">
    <w:abstractNumId w:val="8"/>
  </w:num>
  <w:num w:numId="21">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s-E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MX" w:vendorID="64" w:dllVersion="0" w:nlCheck="1" w:checkStyle="0"/>
  <w:activeWritingStyle w:appName="MSWord" w:lang="fr-CH" w:vendorID="64" w:dllVersion="0" w:nlCheck="1" w:checkStyle="0"/>
  <w:activeWritingStyle w:appName="MSWord" w:lang="es-MX" w:vendorID="64" w:dllVersion="6" w:nlCheck="1" w:checkStyle="0"/>
  <w:activeWritingStyle w:appName="MSWord" w:lang="en-PH" w:vendorID="64" w:dllVersion="0" w:nlCheck="1" w:checkStyle="0"/>
  <w:activeWritingStyle w:appName="MSWord" w:lang="es-ES" w:vendorID="64" w:dllVersion="0" w:nlCheck="1" w:checkStyle="0"/>
  <w:activeWritingStyle w:appName="MSWord" w:lang="en-PH" w:vendorID="64" w:dllVersion="6" w:nlCheck="1" w:checkStyle="0"/>
  <w:activeWritingStyle w:appName="MSWord" w:lang="es-419" w:vendorID="64" w:dllVersion="0" w:nlCheck="1" w:checkStyle="0"/>
  <w:activeWritingStyle w:appName="MSWord" w:lang="es-419" w:vendorID="64" w:dllVersion="6" w:nlCheck="1" w:checkStyle="0"/>
  <w:activeWritingStyle w:appName="MSWord" w:lang="en-GB" w:vendorID="64" w:dllVersion="131078" w:nlCheck="1" w:checkStyle="0"/>
  <w:activeWritingStyle w:appName="MSWord" w:lang="en-US" w:vendorID="64" w:dllVersion="131078" w:nlCheck="1" w:checkStyle="0"/>
  <w:activeWritingStyle w:appName="MSWord" w:lang="en-PH" w:vendorID="64" w:dllVersion="131078" w:nlCheck="1" w:checkStyle="0"/>
  <w:activeWritingStyle w:appName="MSWord" w:lang="es-ES" w:vendorID="64" w:dllVersion="131078" w:nlCheck="1" w:checkStyle="0"/>
  <w:activeWritingStyle w:appName="MSWord" w:lang="fr-FR" w:vendorID="64" w:dllVersion="131078" w:nlCheck="1" w:checkStyle="0"/>
  <w:activeWritingStyle w:appName="MSWord" w:lang="es-419" w:vendorID="64" w:dllVersion="131078" w:nlCheck="1" w:checkStyle="0"/>
  <w:attachedTemplate r:id="rId1"/>
  <w:defaultTabStop w:val="567"/>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1E8"/>
    <w:rsid w:val="000027D1"/>
    <w:rsid w:val="00004C8B"/>
    <w:rsid w:val="000073E6"/>
    <w:rsid w:val="000119C1"/>
    <w:rsid w:val="000135E8"/>
    <w:rsid w:val="00026F73"/>
    <w:rsid w:val="00033089"/>
    <w:rsid w:val="00033B80"/>
    <w:rsid w:val="0003710A"/>
    <w:rsid w:val="000372D0"/>
    <w:rsid w:val="000424DC"/>
    <w:rsid w:val="00043998"/>
    <w:rsid w:val="000452A5"/>
    <w:rsid w:val="00046A44"/>
    <w:rsid w:val="00046E92"/>
    <w:rsid w:val="000470DE"/>
    <w:rsid w:val="000511AF"/>
    <w:rsid w:val="00053CE7"/>
    <w:rsid w:val="000546D6"/>
    <w:rsid w:val="00060B57"/>
    <w:rsid w:val="00061BA7"/>
    <w:rsid w:val="00063C90"/>
    <w:rsid w:val="000641C4"/>
    <w:rsid w:val="000644E4"/>
    <w:rsid w:val="00066F3B"/>
    <w:rsid w:val="000670A6"/>
    <w:rsid w:val="00072607"/>
    <w:rsid w:val="00073724"/>
    <w:rsid w:val="00080D67"/>
    <w:rsid w:val="000812B3"/>
    <w:rsid w:val="00083F95"/>
    <w:rsid w:val="000844AC"/>
    <w:rsid w:val="000846AD"/>
    <w:rsid w:val="00084E94"/>
    <w:rsid w:val="0009072C"/>
    <w:rsid w:val="00096D63"/>
    <w:rsid w:val="000A0D97"/>
    <w:rsid w:val="000A22D6"/>
    <w:rsid w:val="000A4207"/>
    <w:rsid w:val="000A4A60"/>
    <w:rsid w:val="000A4E43"/>
    <w:rsid w:val="000A65CF"/>
    <w:rsid w:val="000B0760"/>
    <w:rsid w:val="000B1402"/>
    <w:rsid w:val="000B155E"/>
    <w:rsid w:val="000B3934"/>
    <w:rsid w:val="000B6994"/>
    <w:rsid w:val="000C0FC1"/>
    <w:rsid w:val="000C3A0A"/>
    <w:rsid w:val="000C47D3"/>
    <w:rsid w:val="000C6C24"/>
    <w:rsid w:val="000C726A"/>
    <w:rsid w:val="000C75A7"/>
    <w:rsid w:val="000D23B0"/>
    <w:rsid w:val="000E3415"/>
    <w:rsid w:val="000F08A0"/>
    <w:rsid w:val="000F417B"/>
    <w:rsid w:val="000F5344"/>
    <w:rsid w:val="000F73A2"/>
    <w:rsid w:val="001002B7"/>
    <w:rsid w:val="001003B4"/>
    <w:rsid w:val="00101B98"/>
    <w:rsid w:val="001025A2"/>
    <w:rsid w:val="001047CB"/>
    <w:rsid w:val="00105C40"/>
    <w:rsid w:val="00110059"/>
    <w:rsid w:val="00110898"/>
    <w:rsid w:val="00112FCD"/>
    <w:rsid w:val="00114459"/>
    <w:rsid w:val="0011622A"/>
    <w:rsid w:val="001204C5"/>
    <w:rsid w:val="00122CA5"/>
    <w:rsid w:val="00123C1E"/>
    <w:rsid w:val="00126EBC"/>
    <w:rsid w:val="00127734"/>
    <w:rsid w:val="00130A62"/>
    <w:rsid w:val="00134EA5"/>
    <w:rsid w:val="0013502F"/>
    <w:rsid w:val="0013635A"/>
    <w:rsid w:val="00136DA8"/>
    <w:rsid w:val="00140200"/>
    <w:rsid w:val="0014377F"/>
    <w:rsid w:val="001446E2"/>
    <w:rsid w:val="00146A1D"/>
    <w:rsid w:val="00146B7B"/>
    <w:rsid w:val="001530F0"/>
    <w:rsid w:val="00153F29"/>
    <w:rsid w:val="00154C5B"/>
    <w:rsid w:val="0015702E"/>
    <w:rsid w:val="00157571"/>
    <w:rsid w:val="00157AAF"/>
    <w:rsid w:val="001625FF"/>
    <w:rsid w:val="001655C3"/>
    <w:rsid w:val="0017017A"/>
    <w:rsid w:val="00173CB2"/>
    <w:rsid w:val="00180AFD"/>
    <w:rsid w:val="001819A7"/>
    <w:rsid w:val="0019355E"/>
    <w:rsid w:val="001954B2"/>
    <w:rsid w:val="00197907"/>
    <w:rsid w:val="001A6493"/>
    <w:rsid w:val="001A7319"/>
    <w:rsid w:val="001B236E"/>
    <w:rsid w:val="001B3024"/>
    <w:rsid w:val="001B3436"/>
    <w:rsid w:val="001B3D5A"/>
    <w:rsid w:val="001B4B4B"/>
    <w:rsid w:val="001B4E90"/>
    <w:rsid w:val="001C30DB"/>
    <w:rsid w:val="001C42AB"/>
    <w:rsid w:val="001D04AA"/>
    <w:rsid w:val="001D17AE"/>
    <w:rsid w:val="001D2CB5"/>
    <w:rsid w:val="001D657C"/>
    <w:rsid w:val="001E6F70"/>
    <w:rsid w:val="001F0A01"/>
    <w:rsid w:val="001F2A64"/>
    <w:rsid w:val="001F52A3"/>
    <w:rsid w:val="001F6281"/>
    <w:rsid w:val="001F7DB8"/>
    <w:rsid w:val="0020146D"/>
    <w:rsid w:val="00203AEC"/>
    <w:rsid w:val="00205DE1"/>
    <w:rsid w:val="002113DB"/>
    <w:rsid w:val="0021568F"/>
    <w:rsid w:val="00215A6F"/>
    <w:rsid w:val="0021667E"/>
    <w:rsid w:val="00216784"/>
    <w:rsid w:val="0021709F"/>
    <w:rsid w:val="00221152"/>
    <w:rsid w:val="002219CC"/>
    <w:rsid w:val="00224047"/>
    <w:rsid w:val="002260F1"/>
    <w:rsid w:val="002301BB"/>
    <w:rsid w:val="0023193C"/>
    <w:rsid w:val="00232D2E"/>
    <w:rsid w:val="00234FD4"/>
    <w:rsid w:val="002404F6"/>
    <w:rsid w:val="002438AF"/>
    <w:rsid w:val="002444BB"/>
    <w:rsid w:val="00245441"/>
    <w:rsid w:val="00245B2A"/>
    <w:rsid w:val="00246F6E"/>
    <w:rsid w:val="00247E2C"/>
    <w:rsid w:val="00250B35"/>
    <w:rsid w:val="00251CCD"/>
    <w:rsid w:val="00254644"/>
    <w:rsid w:val="002564C7"/>
    <w:rsid w:val="00265E8C"/>
    <w:rsid w:val="00267F93"/>
    <w:rsid w:val="00272914"/>
    <w:rsid w:val="00272C1E"/>
    <w:rsid w:val="0027577C"/>
    <w:rsid w:val="00276C5B"/>
    <w:rsid w:val="002832CC"/>
    <w:rsid w:val="0028661B"/>
    <w:rsid w:val="00292AF3"/>
    <w:rsid w:val="00295478"/>
    <w:rsid w:val="002961A1"/>
    <w:rsid w:val="002A084F"/>
    <w:rsid w:val="002A1614"/>
    <w:rsid w:val="002A32CB"/>
    <w:rsid w:val="002A41AD"/>
    <w:rsid w:val="002A4439"/>
    <w:rsid w:val="002A7085"/>
    <w:rsid w:val="002B5AA0"/>
    <w:rsid w:val="002B73C2"/>
    <w:rsid w:val="002C501B"/>
    <w:rsid w:val="002C503D"/>
    <w:rsid w:val="002C6318"/>
    <w:rsid w:val="002D27FD"/>
    <w:rsid w:val="002D585B"/>
    <w:rsid w:val="002D6C53"/>
    <w:rsid w:val="002E6387"/>
    <w:rsid w:val="002E79DF"/>
    <w:rsid w:val="002F5595"/>
    <w:rsid w:val="002F6CFC"/>
    <w:rsid w:val="00300172"/>
    <w:rsid w:val="003025E9"/>
    <w:rsid w:val="00311106"/>
    <w:rsid w:val="00312829"/>
    <w:rsid w:val="0031463D"/>
    <w:rsid w:val="0032302B"/>
    <w:rsid w:val="00324605"/>
    <w:rsid w:val="00326CFD"/>
    <w:rsid w:val="0032708E"/>
    <w:rsid w:val="003307C1"/>
    <w:rsid w:val="00330C71"/>
    <w:rsid w:val="00334F6A"/>
    <w:rsid w:val="00336BD2"/>
    <w:rsid w:val="003409CD"/>
    <w:rsid w:val="00342AC8"/>
    <w:rsid w:val="00342DCF"/>
    <w:rsid w:val="00342EC2"/>
    <w:rsid w:val="00344119"/>
    <w:rsid w:val="00352C95"/>
    <w:rsid w:val="003536B4"/>
    <w:rsid w:val="00372BD5"/>
    <w:rsid w:val="003750A3"/>
    <w:rsid w:val="00380EF7"/>
    <w:rsid w:val="00382892"/>
    <w:rsid w:val="003828DF"/>
    <w:rsid w:val="00385F1B"/>
    <w:rsid w:val="003864AA"/>
    <w:rsid w:val="00386852"/>
    <w:rsid w:val="00386988"/>
    <w:rsid w:val="00386A24"/>
    <w:rsid w:val="0039231F"/>
    <w:rsid w:val="00392C57"/>
    <w:rsid w:val="00396FB1"/>
    <w:rsid w:val="003A21D8"/>
    <w:rsid w:val="003B4550"/>
    <w:rsid w:val="003B47C9"/>
    <w:rsid w:val="003C034D"/>
    <w:rsid w:val="003C1366"/>
    <w:rsid w:val="003C1849"/>
    <w:rsid w:val="003C1F13"/>
    <w:rsid w:val="003C3DC7"/>
    <w:rsid w:val="003C44B6"/>
    <w:rsid w:val="003C55C6"/>
    <w:rsid w:val="003C5AB4"/>
    <w:rsid w:val="003D0257"/>
    <w:rsid w:val="003D0FDB"/>
    <w:rsid w:val="003D517F"/>
    <w:rsid w:val="003D5A51"/>
    <w:rsid w:val="003E4EB4"/>
    <w:rsid w:val="003F2170"/>
    <w:rsid w:val="003F7273"/>
    <w:rsid w:val="0040017C"/>
    <w:rsid w:val="004002FD"/>
    <w:rsid w:val="0040125E"/>
    <w:rsid w:val="00401BED"/>
    <w:rsid w:val="00403A9F"/>
    <w:rsid w:val="00406684"/>
    <w:rsid w:val="0040745F"/>
    <w:rsid w:val="00407CC3"/>
    <w:rsid w:val="00412A52"/>
    <w:rsid w:val="0041684A"/>
    <w:rsid w:val="0041693E"/>
    <w:rsid w:val="004172D0"/>
    <w:rsid w:val="0042072A"/>
    <w:rsid w:val="00420A99"/>
    <w:rsid w:val="004223D9"/>
    <w:rsid w:val="00426129"/>
    <w:rsid w:val="004272D9"/>
    <w:rsid w:val="00434246"/>
    <w:rsid w:val="004348E3"/>
    <w:rsid w:val="00441292"/>
    <w:rsid w:val="00445400"/>
    <w:rsid w:val="0044784D"/>
    <w:rsid w:val="00451DF4"/>
    <w:rsid w:val="00457044"/>
    <w:rsid w:val="00460950"/>
    <w:rsid w:val="00461253"/>
    <w:rsid w:val="00462D25"/>
    <w:rsid w:val="00464F2D"/>
    <w:rsid w:val="0046526E"/>
    <w:rsid w:val="00472B5D"/>
    <w:rsid w:val="00473219"/>
    <w:rsid w:val="00474756"/>
    <w:rsid w:val="004750C6"/>
    <w:rsid w:val="00477B98"/>
    <w:rsid w:val="00481283"/>
    <w:rsid w:val="00481522"/>
    <w:rsid w:val="004851DF"/>
    <w:rsid w:val="0049048B"/>
    <w:rsid w:val="004911F2"/>
    <w:rsid w:val="004958F5"/>
    <w:rsid w:val="00496270"/>
    <w:rsid w:val="00497316"/>
    <w:rsid w:val="00497FEF"/>
    <w:rsid w:val="004A110B"/>
    <w:rsid w:val="004A19CF"/>
    <w:rsid w:val="004A2814"/>
    <w:rsid w:val="004A597D"/>
    <w:rsid w:val="004A5F27"/>
    <w:rsid w:val="004A61C3"/>
    <w:rsid w:val="004B7550"/>
    <w:rsid w:val="004C01FC"/>
    <w:rsid w:val="004C0622"/>
    <w:rsid w:val="004C4101"/>
    <w:rsid w:val="004C448B"/>
    <w:rsid w:val="004C4D26"/>
    <w:rsid w:val="004C7707"/>
    <w:rsid w:val="004D0A94"/>
    <w:rsid w:val="004D1073"/>
    <w:rsid w:val="004D10F9"/>
    <w:rsid w:val="004D3017"/>
    <w:rsid w:val="004D3A28"/>
    <w:rsid w:val="004D4671"/>
    <w:rsid w:val="004D4CFA"/>
    <w:rsid w:val="004E10B7"/>
    <w:rsid w:val="004E4BC4"/>
    <w:rsid w:val="004E5498"/>
    <w:rsid w:val="004E5B0B"/>
    <w:rsid w:val="004E6BBB"/>
    <w:rsid w:val="004E7F09"/>
    <w:rsid w:val="004F62E4"/>
    <w:rsid w:val="004F7EF7"/>
    <w:rsid w:val="00501A5D"/>
    <w:rsid w:val="005042C2"/>
    <w:rsid w:val="0050732F"/>
    <w:rsid w:val="00515514"/>
    <w:rsid w:val="00515EF6"/>
    <w:rsid w:val="00517DBB"/>
    <w:rsid w:val="0052133D"/>
    <w:rsid w:val="00521C07"/>
    <w:rsid w:val="00524CCD"/>
    <w:rsid w:val="00526B77"/>
    <w:rsid w:val="00530344"/>
    <w:rsid w:val="0053059B"/>
    <w:rsid w:val="00534DDB"/>
    <w:rsid w:val="005357A7"/>
    <w:rsid w:val="0053681C"/>
    <w:rsid w:val="00536C23"/>
    <w:rsid w:val="00537C29"/>
    <w:rsid w:val="005408EC"/>
    <w:rsid w:val="005422F1"/>
    <w:rsid w:val="00555992"/>
    <w:rsid w:val="00555F18"/>
    <w:rsid w:val="00562E26"/>
    <w:rsid w:val="00562EB8"/>
    <w:rsid w:val="005674C9"/>
    <w:rsid w:val="00567A41"/>
    <w:rsid w:val="00573678"/>
    <w:rsid w:val="00576782"/>
    <w:rsid w:val="0058038C"/>
    <w:rsid w:val="0058131C"/>
    <w:rsid w:val="0058715B"/>
    <w:rsid w:val="005A2D3D"/>
    <w:rsid w:val="005B1915"/>
    <w:rsid w:val="005B1ED0"/>
    <w:rsid w:val="005B2747"/>
    <w:rsid w:val="005B30DC"/>
    <w:rsid w:val="005B3BF0"/>
    <w:rsid w:val="005B4B75"/>
    <w:rsid w:val="005B7DE0"/>
    <w:rsid w:val="005C354F"/>
    <w:rsid w:val="005C5B1C"/>
    <w:rsid w:val="005C5C2F"/>
    <w:rsid w:val="005C6371"/>
    <w:rsid w:val="005D382F"/>
    <w:rsid w:val="005D4522"/>
    <w:rsid w:val="005D4930"/>
    <w:rsid w:val="005D5F22"/>
    <w:rsid w:val="005E0A33"/>
    <w:rsid w:val="005E3FE5"/>
    <w:rsid w:val="005E716E"/>
    <w:rsid w:val="005F00A5"/>
    <w:rsid w:val="005F3260"/>
    <w:rsid w:val="005F5E55"/>
    <w:rsid w:val="00604175"/>
    <w:rsid w:val="00610A74"/>
    <w:rsid w:val="00611D15"/>
    <w:rsid w:val="00612FE3"/>
    <w:rsid w:val="0061520E"/>
    <w:rsid w:val="00616DB9"/>
    <w:rsid w:val="00620E80"/>
    <w:rsid w:val="00630CF0"/>
    <w:rsid w:val="006317AB"/>
    <w:rsid w:val="00632F19"/>
    <w:rsid w:val="00634002"/>
    <w:rsid w:val="00641677"/>
    <w:rsid w:val="0064543F"/>
    <w:rsid w:val="00651CDF"/>
    <w:rsid w:val="00652157"/>
    <w:rsid w:val="00666C6D"/>
    <w:rsid w:val="00671529"/>
    <w:rsid w:val="00673032"/>
    <w:rsid w:val="00676993"/>
    <w:rsid w:val="00676A97"/>
    <w:rsid w:val="006808E5"/>
    <w:rsid w:val="006846C7"/>
    <w:rsid w:val="00684CED"/>
    <w:rsid w:val="00686A3D"/>
    <w:rsid w:val="006929DA"/>
    <w:rsid w:val="00694C9B"/>
    <w:rsid w:val="00697D3E"/>
    <w:rsid w:val="006A0C0C"/>
    <w:rsid w:val="006A2371"/>
    <w:rsid w:val="006A2391"/>
    <w:rsid w:val="006A31E8"/>
    <w:rsid w:val="006A5FF6"/>
    <w:rsid w:val="006A6DD2"/>
    <w:rsid w:val="006B0C6F"/>
    <w:rsid w:val="006B4907"/>
    <w:rsid w:val="006B52F9"/>
    <w:rsid w:val="006B5FCB"/>
    <w:rsid w:val="006B6C17"/>
    <w:rsid w:val="006C3EB9"/>
    <w:rsid w:val="006C5D8E"/>
    <w:rsid w:val="006C6007"/>
    <w:rsid w:val="006D0984"/>
    <w:rsid w:val="006D1918"/>
    <w:rsid w:val="006D2AA5"/>
    <w:rsid w:val="006D5DF2"/>
    <w:rsid w:val="006D67A5"/>
    <w:rsid w:val="006E36B6"/>
    <w:rsid w:val="006E4B5D"/>
    <w:rsid w:val="006E63EF"/>
    <w:rsid w:val="006F1BAB"/>
    <w:rsid w:val="0070489D"/>
    <w:rsid w:val="0070489E"/>
    <w:rsid w:val="00704FA5"/>
    <w:rsid w:val="00705EB1"/>
    <w:rsid w:val="0070718B"/>
    <w:rsid w:val="00707974"/>
    <w:rsid w:val="00711194"/>
    <w:rsid w:val="00716629"/>
    <w:rsid w:val="00716893"/>
    <w:rsid w:val="00722A06"/>
    <w:rsid w:val="00725EF4"/>
    <w:rsid w:val="007268F9"/>
    <w:rsid w:val="0073151A"/>
    <w:rsid w:val="00731D5F"/>
    <w:rsid w:val="00731D69"/>
    <w:rsid w:val="007322D6"/>
    <w:rsid w:val="00733969"/>
    <w:rsid w:val="00741880"/>
    <w:rsid w:val="00742D78"/>
    <w:rsid w:val="00743CE3"/>
    <w:rsid w:val="00745132"/>
    <w:rsid w:val="007465FF"/>
    <w:rsid w:val="00751348"/>
    <w:rsid w:val="00757471"/>
    <w:rsid w:val="0076122B"/>
    <w:rsid w:val="00761B1E"/>
    <w:rsid w:val="007657D8"/>
    <w:rsid w:val="0076595A"/>
    <w:rsid w:val="00771FE4"/>
    <w:rsid w:val="00774A4F"/>
    <w:rsid w:val="0077576E"/>
    <w:rsid w:val="00776577"/>
    <w:rsid w:val="007808CD"/>
    <w:rsid w:val="00781DEA"/>
    <w:rsid w:val="00781FB2"/>
    <w:rsid w:val="00782397"/>
    <w:rsid w:val="007829B3"/>
    <w:rsid w:val="0078364B"/>
    <w:rsid w:val="007852DE"/>
    <w:rsid w:val="00785422"/>
    <w:rsid w:val="00787CBD"/>
    <w:rsid w:val="007907A8"/>
    <w:rsid w:val="007910B0"/>
    <w:rsid w:val="00793A3D"/>
    <w:rsid w:val="00794C5E"/>
    <w:rsid w:val="00795275"/>
    <w:rsid w:val="007962C0"/>
    <w:rsid w:val="00796482"/>
    <w:rsid w:val="007968EF"/>
    <w:rsid w:val="007A09A6"/>
    <w:rsid w:val="007A0D84"/>
    <w:rsid w:val="007A15DF"/>
    <w:rsid w:val="007A36CB"/>
    <w:rsid w:val="007A3CC1"/>
    <w:rsid w:val="007A4FBB"/>
    <w:rsid w:val="007B06FF"/>
    <w:rsid w:val="007B2279"/>
    <w:rsid w:val="007B2934"/>
    <w:rsid w:val="007B36E3"/>
    <w:rsid w:val="007B60EA"/>
    <w:rsid w:val="007B6EFD"/>
    <w:rsid w:val="007B768E"/>
    <w:rsid w:val="007C4729"/>
    <w:rsid w:val="007C52B0"/>
    <w:rsid w:val="007D1818"/>
    <w:rsid w:val="007D3999"/>
    <w:rsid w:val="007D489E"/>
    <w:rsid w:val="007D4F2B"/>
    <w:rsid w:val="007D5A2D"/>
    <w:rsid w:val="007E4A93"/>
    <w:rsid w:val="007E62B4"/>
    <w:rsid w:val="007F03B5"/>
    <w:rsid w:val="007F179D"/>
    <w:rsid w:val="007F2654"/>
    <w:rsid w:val="007F3AF8"/>
    <w:rsid w:val="007F4436"/>
    <w:rsid w:val="007F50DA"/>
    <w:rsid w:val="007F6ED4"/>
    <w:rsid w:val="00803E92"/>
    <w:rsid w:val="00804194"/>
    <w:rsid w:val="00805685"/>
    <w:rsid w:val="008062B7"/>
    <w:rsid w:val="008071C6"/>
    <w:rsid w:val="00807CEB"/>
    <w:rsid w:val="00807FF6"/>
    <w:rsid w:val="00816707"/>
    <w:rsid w:val="00816FFB"/>
    <w:rsid w:val="008234EC"/>
    <w:rsid w:val="008362D7"/>
    <w:rsid w:val="00836913"/>
    <w:rsid w:val="00840CEC"/>
    <w:rsid w:val="0084140F"/>
    <w:rsid w:val="00841CB2"/>
    <w:rsid w:val="0084244A"/>
    <w:rsid w:val="008424DF"/>
    <w:rsid w:val="00843061"/>
    <w:rsid w:val="00843847"/>
    <w:rsid w:val="0084599F"/>
    <w:rsid w:val="00850CB3"/>
    <w:rsid w:val="008519F7"/>
    <w:rsid w:val="00853916"/>
    <w:rsid w:val="00855B16"/>
    <w:rsid w:val="008564D6"/>
    <w:rsid w:val="00861B4E"/>
    <w:rsid w:val="00864B4A"/>
    <w:rsid w:val="0086639B"/>
    <w:rsid w:val="00867558"/>
    <w:rsid w:val="00872C16"/>
    <w:rsid w:val="00872C64"/>
    <w:rsid w:val="00873108"/>
    <w:rsid w:val="00880C4D"/>
    <w:rsid w:val="00893893"/>
    <w:rsid w:val="008966C3"/>
    <w:rsid w:val="008A2E12"/>
    <w:rsid w:val="008A5F8E"/>
    <w:rsid w:val="008B25C9"/>
    <w:rsid w:val="008C0E5A"/>
    <w:rsid w:val="008C173E"/>
    <w:rsid w:val="008C1B76"/>
    <w:rsid w:val="008C68A1"/>
    <w:rsid w:val="008E0664"/>
    <w:rsid w:val="008E0812"/>
    <w:rsid w:val="008E1F1F"/>
    <w:rsid w:val="008E35CD"/>
    <w:rsid w:val="008E3E57"/>
    <w:rsid w:val="008E416C"/>
    <w:rsid w:val="008F43CD"/>
    <w:rsid w:val="0090330A"/>
    <w:rsid w:val="00903DC6"/>
    <w:rsid w:val="00904A0E"/>
    <w:rsid w:val="00907058"/>
    <w:rsid w:val="00907C4D"/>
    <w:rsid w:val="00911C95"/>
    <w:rsid w:val="009206D6"/>
    <w:rsid w:val="0092283E"/>
    <w:rsid w:val="00924477"/>
    <w:rsid w:val="00924798"/>
    <w:rsid w:val="00925C44"/>
    <w:rsid w:val="00927725"/>
    <w:rsid w:val="009338C6"/>
    <w:rsid w:val="00934AF1"/>
    <w:rsid w:val="00936A90"/>
    <w:rsid w:val="009411B4"/>
    <w:rsid w:val="009415E9"/>
    <w:rsid w:val="00942B8B"/>
    <w:rsid w:val="009441E3"/>
    <w:rsid w:val="009450BA"/>
    <w:rsid w:val="009461F6"/>
    <w:rsid w:val="00953D42"/>
    <w:rsid w:val="009567C7"/>
    <w:rsid w:val="00956AF1"/>
    <w:rsid w:val="00961366"/>
    <w:rsid w:val="00962A56"/>
    <w:rsid w:val="00963283"/>
    <w:rsid w:val="00970590"/>
    <w:rsid w:val="009756FB"/>
    <w:rsid w:val="00975E2A"/>
    <w:rsid w:val="00983C07"/>
    <w:rsid w:val="00983CB3"/>
    <w:rsid w:val="009840BA"/>
    <w:rsid w:val="009855C1"/>
    <w:rsid w:val="00986435"/>
    <w:rsid w:val="00993896"/>
    <w:rsid w:val="0099426E"/>
    <w:rsid w:val="009A0AE7"/>
    <w:rsid w:val="009B3134"/>
    <w:rsid w:val="009C640C"/>
    <w:rsid w:val="009C659D"/>
    <w:rsid w:val="009C7990"/>
    <w:rsid w:val="009D0139"/>
    <w:rsid w:val="009D14B6"/>
    <w:rsid w:val="009D3AA7"/>
    <w:rsid w:val="009D40E6"/>
    <w:rsid w:val="009D5371"/>
    <w:rsid w:val="009D717D"/>
    <w:rsid w:val="009E0662"/>
    <w:rsid w:val="009E2383"/>
    <w:rsid w:val="009E6873"/>
    <w:rsid w:val="009F06A8"/>
    <w:rsid w:val="009F26B1"/>
    <w:rsid w:val="009F5CDC"/>
    <w:rsid w:val="00A0124B"/>
    <w:rsid w:val="00A01D89"/>
    <w:rsid w:val="00A029CA"/>
    <w:rsid w:val="00A100A6"/>
    <w:rsid w:val="00A15547"/>
    <w:rsid w:val="00A16B0F"/>
    <w:rsid w:val="00A16FE7"/>
    <w:rsid w:val="00A17E2D"/>
    <w:rsid w:val="00A2630E"/>
    <w:rsid w:val="00A264BE"/>
    <w:rsid w:val="00A30DEF"/>
    <w:rsid w:val="00A33387"/>
    <w:rsid w:val="00A37B9E"/>
    <w:rsid w:val="00A450E0"/>
    <w:rsid w:val="00A45151"/>
    <w:rsid w:val="00A53A31"/>
    <w:rsid w:val="00A543EA"/>
    <w:rsid w:val="00A6092F"/>
    <w:rsid w:val="00A630C1"/>
    <w:rsid w:val="00A63889"/>
    <w:rsid w:val="00A640A3"/>
    <w:rsid w:val="00A651EC"/>
    <w:rsid w:val="00A6567F"/>
    <w:rsid w:val="00A66F20"/>
    <w:rsid w:val="00A672C4"/>
    <w:rsid w:val="00A7138C"/>
    <w:rsid w:val="00A775CF"/>
    <w:rsid w:val="00A820CB"/>
    <w:rsid w:val="00A830EF"/>
    <w:rsid w:val="00A831CF"/>
    <w:rsid w:val="00A8412F"/>
    <w:rsid w:val="00A91B8D"/>
    <w:rsid w:val="00A96414"/>
    <w:rsid w:val="00A97E98"/>
    <w:rsid w:val="00AB13E3"/>
    <w:rsid w:val="00AB2463"/>
    <w:rsid w:val="00AB6243"/>
    <w:rsid w:val="00AB644A"/>
    <w:rsid w:val="00AB7452"/>
    <w:rsid w:val="00AC1EF8"/>
    <w:rsid w:val="00AC3773"/>
    <w:rsid w:val="00AC4C50"/>
    <w:rsid w:val="00AD1620"/>
    <w:rsid w:val="00AE49E5"/>
    <w:rsid w:val="00AF032F"/>
    <w:rsid w:val="00AF22C4"/>
    <w:rsid w:val="00AF56E8"/>
    <w:rsid w:val="00B0078F"/>
    <w:rsid w:val="00B01F72"/>
    <w:rsid w:val="00B035B2"/>
    <w:rsid w:val="00B03FD2"/>
    <w:rsid w:val="00B06045"/>
    <w:rsid w:val="00B072DE"/>
    <w:rsid w:val="00B14E48"/>
    <w:rsid w:val="00B152CB"/>
    <w:rsid w:val="00B16DBA"/>
    <w:rsid w:val="00B20174"/>
    <w:rsid w:val="00B219BE"/>
    <w:rsid w:val="00B2361F"/>
    <w:rsid w:val="00B25A00"/>
    <w:rsid w:val="00B2727C"/>
    <w:rsid w:val="00B27D41"/>
    <w:rsid w:val="00B323B4"/>
    <w:rsid w:val="00B34351"/>
    <w:rsid w:val="00B419EC"/>
    <w:rsid w:val="00B41D91"/>
    <w:rsid w:val="00B44567"/>
    <w:rsid w:val="00B44BE7"/>
    <w:rsid w:val="00B46406"/>
    <w:rsid w:val="00B50316"/>
    <w:rsid w:val="00B52C3B"/>
    <w:rsid w:val="00B52EF4"/>
    <w:rsid w:val="00B61519"/>
    <w:rsid w:val="00B622FB"/>
    <w:rsid w:val="00B67228"/>
    <w:rsid w:val="00B72004"/>
    <w:rsid w:val="00B72A89"/>
    <w:rsid w:val="00B7513E"/>
    <w:rsid w:val="00B766D6"/>
    <w:rsid w:val="00B82843"/>
    <w:rsid w:val="00B84C3E"/>
    <w:rsid w:val="00B92960"/>
    <w:rsid w:val="00B93881"/>
    <w:rsid w:val="00B94A41"/>
    <w:rsid w:val="00BA0505"/>
    <w:rsid w:val="00BA3FFA"/>
    <w:rsid w:val="00BB38A8"/>
    <w:rsid w:val="00BC4228"/>
    <w:rsid w:val="00BC7C05"/>
    <w:rsid w:val="00BD06B1"/>
    <w:rsid w:val="00BD1B3B"/>
    <w:rsid w:val="00BD47DC"/>
    <w:rsid w:val="00BD77CF"/>
    <w:rsid w:val="00BE31F0"/>
    <w:rsid w:val="00BE602F"/>
    <w:rsid w:val="00BF41ED"/>
    <w:rsid w:val="00BF42F0"/>
    <w:rsid w:val="00BF523C"/>
    <w:rsid w:val="00BF7A14"/>
    <w:rsid w:val="00BF7DFF"/>
    <w:rsid w:val="00C027F5"/>
    <w:rsid w:val="00C03015"/>
    <w:rsid w:val="00C0358D"/>
    <w:rsid w:val="00C07E69"/>
    <w:rsid w:val="00C1089C"/>
    <w:rsid w:val="00C13C72"/>
    <w:rsid w:val="00C1486D"/>
    <w:rsid w:val="00C15538"/>
    <w:rsid w:val="00C168F2"/>
    <w:rsid w:val="00C1746B"/>
    <w:rsid w:val="00C2090A"/>
    <w:rsid w:val="00C23CC3"/>
    <w:rsid w:val="00C2479B"/>
    <w:rsid w:val="00C24D8B"/>
    <w:rsid w:val="00C2517B"/>
    <w:rsid w:val="00C30F87"/>
    <w:rsid w:val="00C35A27"/>
    <w:rsid w:val="00C35B4C"/>
    <w:rsid w:val="00C37813"/>
    <w:rsid w:val="00C42AF9"/>
    <w:rsid w:val="00C441A0"/>
    <w:rsid w:val="00C46BBD"/>
    <w:rsid w:val="00C47B2E"/>
    <w:rsid w:val="00C5059D"/>
    <w:rsid w:val="00C50E79"/>
    <w:rsid w:val="00C548D1"/>
    <w:rsid w:val="00C572AE"/>
    <w:rsid w:val="00C6115C"/>
    <w:rsid w:val="00C622CD"/>
    <w:rsid w:val="00C63B01"/>
    <w:rsid w:val="00C662B6"/>
    <w:rsid w:val="00C71365"/>
    <w:rsid w:val="00C774A6"/>
    <w:rsid w:val="00C80A8A"/>
    <w:rsid w:val="00C83EE9"/>
    <w:rsid w:val="00C9289C"/>
    <w:rsid w:val="00C92B37"/>
    <w:rsid w:val="00C936D8"/>
    <w:rsid w:val="00C94563"/>
    <w:rsid w:val="00CA1B04"/>
    <w:rsid w:val="00CA44CB"/>
    <w:rsid w:val="00CA4F37"/>
    <w:rsid w:val="00CA7DCF"/>
    <w:rsid w:val="00CB163E"/>
    <w:rsid w:val="00CB3619"/>
    <w:rsid w:val="00CB55B3"/>
    <w:rsid w:val="00CB61B6"/>
    <w:rsid w:val="00CC09F8"/>
    <w:rsid w:val="00CC173D"/>
    <w:rsid w:val="00CC2ABE"/>
    <w:rsid w:val="00CC3D38"/>
    <w:rsid w:val="00CC5BA3"/>
    <w:rsid w:val="00CC6242"/>
    <w:rsid w:val="00CC67D7"/>
    <w:rsid w:val="00CD43A6"/>
    <w:rsid w:val="00CD6BEA"/>
    <w:rsid w:val="00CE0560"/>
    <w:rsid w:val="00CE0E7C"/>
    <w:rsid w:val="00CE3A19"/>
    <w:rsid w:val="00CE558D"/>
    <w:rsid w:val="00CE6383"/>
    <w:rsid w:val="00CE7FF5"/>
    <w:rsid w:val="00CF0E95"/>
    <w:rsid w:val="00CF7A49"/>
    <w:rsid w:val="00D00FC0"/>
    <w:rsid w:val="00D0464F"/>
    <w:rsid w:val="00D05D49"/>
    <w:rsid w:val="00D118E9"/>
    <w:rsid w:val="00D11BBB"/>
    <w:rsid w:val="00D140A8"/>
    <w:rsid w:val="00D148B8"/>
    <w:rsid w:val="00D15D94"/>
    <w:rsid w:val="00D17AB5"/>
    <w:rsid w:val="00D23D3D"/>
    <w:rsid w:val="00D25B71"/>
    <w:rsid w:val="00D27706"/>
    <w:rsid w:val="00D339CC"/>
    <w:rsid w:val="00D34B2F"/>
    <w:rsid w:val="00D42DD2"/>
    <w:rsid w:val="00D4346D"/>
    <w:rsid w:val="00D4377E"/>
    <w:rsid w:val="00D44297"/>
    <w:rsid w:val="00D45248"/>
    <w:rsid w:val="00D46A89"/>
    <w:rsid w:val="00D47781"/>
    <w:rsid w:val="00D50E0B"/>
    <w:rsid w:val="00D51891"/>
    <w:rsid w:val="00D54D88"/>
    <w:rsid w:val="00D61C42"/>
    <w:rsid w:val="00D6499D"/>
    <w:rsid w:val="00D716AF"/>
    <w:rsid w:val="00D7394B"/>
    <w:rsid w:val="00D74D4C"/>
    <w:rsid w:val="00D75703"/>
    <w:rsid w:val="00D77D8D"/>
    <w:rsid w:val="00D85C96"/>
    <w:rsid w:val="00D87CA3"/>
    <w:rsid w:val="00D87F46"/>
    <w:rsid w:val="00D917D9"/>
    <w:rsid w:val="00D919FF"/>
    <w:rsid w:val="00D96B2B"/>
    <w:rsid w:val="00DA0344"/>
    <w:rsid w:val="00DB2413"/>
    <w:rsid w:val="00DB2AD4"/>
    <w:rsid w:val="00DB6756"/>
    <w:rsid w:val="00DC408D"/>
    <w:rsid w:val="00DD1118"/>
    <w:rsid w:val="00DD1A45"/>
    <w:rsid w:val="00DD2655"/>
    <w:rsid w:val="00DD3B02"/>
    <w:rsid w:val="00DD5B4A"/>
    <w:rsid w:val="00DD5FFB"/>
    <w:rsid w:val="00DD660A"/>
    <w:rsid w:val="00DD748D"/>
    <w:rsid w:val="00DE4CE9"/>
    <w:rsid w:val="00DE6724"/>
    <w:rsid w:val="00DE6794"/>
    <w:rsid w:val="00DE7AFB"/>
    <w:rsid w:val="00DF4318"/>
    <w:rsid w:val="00DF5559"/>
    <w:rsid w:val="00E01611"/>
    <w:rsid w:val="00E02A47"/>
    <w:rsid w:val="00E02C2B"/>
    <w:rsid w:val="00E04FE3"/>
    <w:rsid w:val="00E06D22"/>
    <w:rsid w:val="00E07033"/>
    <w:rsid w:val="00E12516"/>
    <w:rsid w:val="00E14106"/>
    <w:rsid w:val="00E14C32"/>
    <w:rsid w:val="00E16686"/>
    <w:rsid w:val="00E20E43"/>
    <w:rsid w:val="00E211B4"/>
    <w:rsid w:val="00E22DF0"/>
    <w:rsid w:val="00E22E98"/>
    <w:rsid w:val="00E237FF"/>
    <w:rsid w:val="00E25E9A"/>
    <w:rsid w:val="00E276A4"/>
    <w:rsid w:val="00E309B0"/>
    <w:rsid w:val="00E31967"/>
    <w:rsid w:val="00E3690C"/>
    <w:rsid w:val="00E42F56"/>
    <w:rsid w:val="00E44C07"/>
    <w:rsid w:val="00E475A4"/>
    <w:rsid w:val="00E52109"/>
    <w:rsid w:val="00E577BF"/>
    <w:rsid w:val="00E60CE8"/>
    <w:rsid w:val="00E62D43"/>
    <w:rsid w:val="00E65960"/>
    <w:rsid w:val="00E66456"/>
    <w:rsid w:val="00E75317"/>
    <w:rsid w:val="00E75679"/>
    <w:rsid w:val="00E77B83"/>
    <w:rsid w:val="00E82537"/>
    <w:rsid w:val="00E83D6D"/>
    <w:rsid w:val="00E865BA"/>
    <w:rsid w:val="00E94994"/>
    <w:rsid w:val="00E952D0"/>
    <w:rsid w:val="00EA0262"/>
    <w:rsid w:val="00EA22DB"/>
    <w:rsid w:val="00EA5DB6"/>
    <w:rsid w:val="00EB06EB"/>
    <w:rsid w:val="00EB1B09"/>
    <w:rsid w:val="00EB2DEC"/>
    <w:rsid w:val="00EB510C"/>
    <w:rsid w:val="00EB6035"/>
    <w:rsid w:val="00EC49B0"/>
    <w:rsid w:val="00ED0643"/>
    <w:rsid w:val="00ED254B"/>
    <w:rsid w:val="00ED42C0"/>
    <w:rsid w:val="00ED6C48"/>
    <w:rsid w:val="00EE1939"/>
    <w:rsid w:val="00EE71E4"/>
    <w:rsid w:val="00EF2B63"/>
    <w:rsid w:val="00EF7E1D"/>
    <w:rsid w:val="00F136BD"/>
    <w:rsid w:val="00F142CF"/>
    <w:rsid w:val="00F2256E"/>
    <w:rsid w:val="00F2302A"/>
    <w:rsid w:val="00F25F1E"/>
    <w:rsid w:val="00F27A1B"/>
    <w:rsid w:val="00F30368"/>
    <w:rsid w:val="00F305B2"/>
    <w:rsid w:val="00F3096F"/>
    <w:rsid w:val="00F314A9"/>
    <w:rsid w:val="00F33571"/>
    <w:rsid w:val="00F34263"/>
    <w:rsid w:val="00F403D2"/>
    <w:rsid w:val="00F41F04"/>
    <w:rsid w:val="00F530CA"/>
    <w:rsid w:val="00F5392C"/>
    <w:rsid w:val="00F5684E"/>
    <w:rsid w:val="00F57326"/>
    <w:rsid w:val="00F60359"/>
    <w:rsid w:val="00F6256B"/>
    <w:rsid w:val="00F64F00"/>
    <w:rsid w:val="00F6596F"/>
    <w:rsid w:val="00F65F5D"/>
    <w:rsid w:val="00F66243"/>
    <w:rsid w:val="00F6648F"/>
    <w:rsid w:val="00F70F90"/>
    <w:rsid w:val="00F80295"/>
    <w:rsid w:val="00F82631"/>
    <w:rsid w:val="00F83A7A"/>
    <w:rsid w:val="00F842A2"/>
    <w:rsid w:val="00F8530B"/>
    <w:rsid w:val="00F8531E"/>
    <w:rsid w:val="00F86A3A"/>
    <w:rsid w:val="00F90EEA"/>
    <w:rsid w:val="00F94034"/>
    <w:rsid w:val="00F944AF"/>
    <w:rsid w:val="00F97257"/>
    <w:rsid w:val="00F97285"/>
    <w:rsid w:val="00FA2214"/>
    <w:rsid w:val="00FA387F"/>
    <w:rsid w:val="00FA5FBC"/>
    <w:rsid w:val="00FB5566"/>
    <w:rsid w:val="00FB6A57"/>
    <w:rsid w:val="00FB6BFB"/>
    <w:rsid w:val="00FB6DAE"/>
    <w:rsid w:val="00FC4723"/>
    <w:rsid w:val="00FC4787"/>
    <w:rsid w:val="00FC5368"/>
    <w:rsid w:val="00FD069B"/>
    <w:rsid w:val="00FD145B"/>
    <w:rsid w:val="00FD3ABB"/>
    <w:rsid w:val="00FD7821"/>
    <w:rsid w:val="00FE0D00"/>
    <w:rsid w:val="00FE0E1B"/>
    <w:rsid w:val="00FE40AE"/>
    <w:rsid w:val="00FE4CE2"/>
    <w:rsid w:val="00FF0D0D"/>
    <w:rsid w:val="00FF19DD"/>
    <w:rsid w:val="00FF4730"/>
    <w:rsid w:val="00FF49E0"/>
    <w:rsid w:val="00FF659E"/>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F9E10"/>
  <w15:docId w15:val="{DC96FE4D-1799-4418-9C18-6FE73FE6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EF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semiHidden/>
    <w:qFormat/>
    <w:rsid w:val="004A2814"/>
    <w:pPr>
      <w:spacing w:after="0" w:line="240" w:lineRule="auto"/>
      <w:ind w:right="0"/>
      <w:jc w:val="left"/>
      <w:outlineLvl w:val="0"/>
    </w:pPr>
  </w:style>
  <w:style w:type="paragraph" w:styleId="Heading2">
    <w:name w:val="heading 2"/>
    <w:basedOn w:val="Normal"/>
    <w:next w:val="Normal"/>
    <w:link w:val="Heading2Char"/>
    <w:semiHidden/>
    <w:qFormat/>
    <w:rsid w:val="004A2814"/>
    <w:pPr>
      <w:spacing w:line="240" w:lineRule="auto"/>
      <w:outlineLvl w:val="1"/>
    </w:pPr>
  </w:style>
  <w:style w:type="paragraph" w:styleId="Heading3">
    <w:name w:val="heading 3"/>
    <w:basedOn w:val="Normal"/>
    <w:next w:val="Normal"/>
    <w:link w:val="Heading3Char"/>
    <w:uiPriority w:val="9"/>
    <w:qFormat/>
    <w:rsid w:val="004A2814"/>
    <w:pPr>
      <w:spacing w:line="240" w:lineRule="auto"/>
      <w:outlineLvl w:val="2"/>
    </w:pPr>
  </w:style>
  <w:style w:type="paragraph" w:styleId="Heading4">
    <w:name w:val="heading 4"/>
    <w:basedOn w:val="Normal"/>
    <w:next w:val="Normal"/>
    <w:link w:val="Heading4Char"/>
    <w:uiPriority w:val="9"/>
    <w:qFormat/>
    <w:rsid w:val="004A2814"/>
    <w:pPr>
      <w:spacing w:line="240" w:lineRule="auto"/>
      <w:outlineLvl w:val="3"/>
    </w:pPr>
  </w:style>
  <w:style w:type="paragraph" w:styleId="Heading5">
    <w:name w:val="heading 5"/>
    <w:basedOn w:val="Normal"/>
    <w:next w:val="Normal"/>
    <w:link w:val="Heading5Char"/>
    <w:uiPriority w:val="9"/>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AC1EF8"/>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ar"/>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uiPriority w:val="99"/>
    <w:qFormat/>
    <w:rsid w:val="004A2814"/>
    <w:rPr>
      <w:rFonts w:ascii="Times New Roman" w:hAnsi="Times New Roman"/>
      <w:sz w:val="18"/>
      <w:vertAlign w:val="superscript"/>
    </w:rPr>
  </w:style>
  <w:style w:type="paragraph" w:styleId="FootnoteText">
    <w:name w:val="footnote text"/>
    <w:aliases w:val="5_G,single space,Footnote Text Char Char Char Char,Footnote Text Char Char,Footnote Text Char2,Footnote Text Char1 Char1,Footnote Text Char Char Char,Footnote Text Char2 Char Char Char,Footnote Text Char1,Texto nota pie Car,Footnote,fn,Cha"/>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single space Char,Footnote Text Char Char Char Char Char,Footnote Text Char Char Char1,Footnote Text Char2 Char,Footnote Text Char1 Char1 Char,Footnote Text Char Char Char Char1,Footnote Text Char2 Char Char Char Char,fn Char"/>
    <w:basedOn w:val="DefaultParagraphFont"/>
    <w:link w:val="FootnoteText"/>
    <w:uiPriority w:val="99"/>
    <w:qForma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uiPriority w:val="99"/>
    <w:qFormat/>
    <w:rsid w:val="004A2814"/>
  </w:style>
  <w:style w:type="character" w:customStyle="1" w:styleId="EndnoteTextChar">
    <w:name w:val="Endnote Text Char"/>
    <w:aliases w:val="2_G Char"/>
    <w:basedOn w:val="DefaultParagraphFont"/>
    <w:link w:val="EndnoteText"/>
    <w:uiPriority w:val="99"/>
    <w:rsid w:val="007268F9"/>
    <w:rPr>
      <w:rFonts w:ascii="Times New Roman" w:eastAsiaTheme="minorHAnsi" w:hAnsi="Times New Roman" w:cs="Times New Roman"/>
      <w:sz w:val="18"/>
      <w:szCs w:val="20"/>
      <w:lang w:eastAsia="en-US"/>
    </w:rPr>
  </w:style>
  <w:style w:type="character" w:styleId="FootnoteReference">
    <w:name w:val="footnote reference"/>
    <w:aliases w:val="4_G,ftref,Error-Fußnotenzeichen5,Error-Fußnotenzeichen6,Error-Fußnotenzeichen3,de nota al pie,Ref,FnR-ANZDEC,(NECG) Footnote Reference,fr,16 Point,Superscript 6 Point,Footnote Ref in FtNote,SUPERS,Fußnotenzeichen DISS,BVI fnr, BVI fnr"/>
    <w:link w:val="Char2"/>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AC1EF8"/>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AC1EF8"/>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uiPriority w:val="9"/>
    <w:rsid w:val="00AC1EF8"/>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uiPriority w:val="9"/>
    <w:rsid w:val="00AC1EF8"/>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uiPriority w:val="9"/>
    <w:semiHidden/>
    <w:rsid w:val="00AC1EF8"/>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AC1EF8"/>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AC1EF8"/>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AC1EF8"/>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AC1EF8"/>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iPriority w:val="99"/>
    <w:unhideWhenUsed/>
    <w:rsid w:val="004A2814"/>
    <w:rPr>
      <w:color w:val="0000FF"/>
      <w:u w:val="none"/>
    </w:rPr>
  </w:style>
  <w:style w:type="table" w:styleId="TableGrid">
    <w:name w:val="Table Grid"/>
    <w:basedOn w:val="TableNormal"/>
    <w:uiPriority w:val="39"/>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2A7085"/>
    <w:rPr>
      <w:rFonts w:ascii="Times New Roman" w:eastAsiaTheme="minorHAnsi" w:hAnsi="Times New Roman" w:cs="Times New Roman"/>
      <w:sz w:val="20"/>
      <w:szCs w:val="20"/>
      <w:lang w:eastAsia="en-US"/>
    </w:rPr>
  </w:style>
  <w:style w:type="paragraph" w:customStyle="1" w:styleId="Revision1">
    <w:name w:val="Revision1"/>
    <w:next w:val="Revision"/>
    <w:hidden/>
    <w:uiPriority w:val="99"/>
    <w:semiHidden/>
    <w:rsid w:val="002A7085"/>
    <w:pPr>
      <w:spacing w:after="0" w:line="240" w:lineRule="auto"/>
    </w:pPr>
    <w:rPr>
      <w:rFonts w:ascii="Calibri" w:eastAsia="Calibri" w:hAnsi="Calibri" w:cs="DaunPenh"/>
      <w:szCs w:val="36"/>
      <w:lang w:val="en-US" w:eastAsia="en-US" w:bidi="km-KH"/>
    </w:rPr>
  </w:style>
  <w:style w:type="paragraph" w:styleId="Revision">
    <w:name w:val="Revision"/>
    <w:hidden/>
    <w:uiPriority w:val="99"/>
    <w:semiHidden/>
    <w:rsid w:val="002A7085"/>
    <w:pPr>
      <w:spacing w:after="0" w:line="240" w:lineRule="auto"/>
    </w:pPr>
    <w:rPr>
      <w:rFonts w:ascii="Times New Roman" w:eastAsia="Times New Roman" w:hAnsi="Times New Roman" w:cs="Times New Roman"/>
      <w:sz w:val="20"/>
      <w:szCs w:val="20"/>
      <w:lang w:eastAsia="en-US"/>
    </w:rPr>
  </w:style>
  <w:style w:type="character" w:customStyle="1" w:styleId="H23GCar">
    <w:name w:val="_ H_2/3_G Car"/>
    <w:link w:val="H23G"/>
    <w:rsid w:val="002A7085"/>
    <w:rPr>
      <w:rFonts w:ascii="Times New Roman" w:eastAsiaTheme="minorHAnsi" w:hAnsi="Times New Roman" w:cs="Times New Roman"/>
      <w:b/>
      <w:sz w:val="20"/>
      <w:szCs w:val="20"/>
      <w:lang w:eastAsia="en-US"/>
    </w:rPr>
  </w:style>
  <w:style w:type="character" w:customStyle="1" w:styleId="UnresolvedMention1">
    <w:name w:val="Unresolved Mention1"/>
    <w:basedOn w:val="DefaultParagraphFont"/>
    <w:uiPriority w:val="99"/>
    <w:semiHidden/>
    <w:unhideWhenUsed/>
    <w:rsid w:val="00911C95"/>
    <w:rPr>
      <w:color w:val="605E5C"/>
      <w:shd w:val="clear" w:color="auto" w:fill="E1DFDD"/>
    </w:rPr>
  </w:style>
  <w:style w:type="character" w:styleId="CommentReference">
    <w:name w:val="annotation reference"/>
    <w:basedOn w:val="DefaultParagraphFont"/>
    <w:uiPriority w:val="99"/>
    <w:unhideWhenUsed/>
    <w:qFormat/>
    <w:rsid w:val="00AB13E3"/>
    <w:rPr>
      <w:sz w:val="16"/>
      <w:szCs w:val="16"/>
    </w:rPr>
  </w:style>
  <w:style w:type="paragraph" w:styleId="TOC1">
    <w:name w:val="toc 1"/>
    <w:basedOn w:val="Normal"/>
    <w:next w:val="Normal"/>
    <w:autoRedefine/>
    <w:uiPriority w:val="39"/>
    <w:semiHidden/>
    <w:unhideWhenUsed/>
    <w:rsid w:val="00D25B71"/>
    <w:pPr>
      <w:spacing w:after="100"/>
    </w:pPr>
  </w:style>
  <w:style w:type="paragraph" w:styleId="CommentText">
    <w:name w:val="annotation text"/>
    <w:basedOn w:val="Normal"/>
    <w:link w:val="CommentTextChar"/>
    <w:uiPriority w:val="99"/>
    <w:unhideWhenUsed/>
    <w:rsid w:val="00AB13E3"/>
    <w:pPr>
      <w:spacing w:line="240" w:lineRule="auto"/>
    </w:pPr>
  </w:style>
  <w:style w:type="character" w:customStyle="1" w:styleId="CommentTextChar">
    <w:name w:val="Comment Text Char"/>
    <w:basedOn w:val="DefaultParagraphFont"/>
    <w:link w:val="CommentText"/>
    <w:uiPriority w:val="99"/>
    <w:rsid w:val="00AB13E3"/>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B13E3"/>
    <w:rPr>
      <w:b/>
      <w:bCs/>
    </w:rPr>
  </w:style>
  <w:style w:type="character" w:customStyle="1" w:styleId="CommentSubjectChar">
    <w:name w:val="Comment Subject Char"/>
    <w:basedOn w:val="CommentTextChar"/>
    <w:link w:val="CommentSubject"/>
    <w:uiPriority w:val="99"/>
    <w:semiHidden/>
    <w:rsid w:val="00AB13E3"/>
    <w:rPr>
      <w:rFonts w:ascii="Times New Roman" w:eastAsiaTheme="minorHAnsi" w:hAnsi="Times New Roman" w:cs="Times New Roman"/>
      <w:b/>
      <w:bCs/>
      <w:sz w:val="20"/>
      <w:szCs w:val="20"/>
      <w:lang w:eastAsia="en-US"/>
    </w:rPr>
  </w:style>
  <w:style w:type="paragraph" w:customStyle="1" w:styleId="Char2">
    <w:name w:val="Char2"/>
    <w:basedOn w:val="Normal"/>
    <w:link w:val="FootnoteReference"/>
    <w:uiPriority w:val="99"/>
    <w:rsid w:val="00445400"/>
    <w:pPr>
      <w:suppressAutoHyphens w:val="0"/>
      <w:kinsoku/>
      <w:overflowPunct/>
      <w:autoSpaceDE/>
      <w:autoSpaceDN/>
      <w:adjustRightInd/>
      <w:snapToGrid/>
      <w:spacing w:before="120" w:after="160" w:line="240" w:lineRule="exact"/>
      <w:ind w:left="547"/>
      <w:jc w:val="both"/>
    </w:pPr>
    <w:rPr>
      <w:rFonts w:eastAsia="SimSun" w:cstheme="minorBidi"/>
      <w:sz w:val="18"/>
      <w:szCs w:val="22"/>
      <w:vertAlign w:val="superscript"/>
      <w:lang w:eastAsia="zh-C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rsid w:val="00E211B4"/>
    <w:pPr>
      <w:suppressAutoHyphens w:val="0"/>
      <w:kinsoku/>
      <w:overflowPunct/>
      <w:autoSpaceDE/>
      <w:autoSpaceDN/>
      <w:adjustRightInd/>
      <w:snapToGrid/>
      <w:spacing w:after="160" w:line="240" w:lineRule="exact"/>
      <w:jc w:val="both"/>
    </w:pPr>
    <w:rPr>
      <w:rFonts w:asciiTheme="minorHAnsi" w:hAnsiTheme="minorHAnsi" w:cstheme="minorBidi"/>
      <w:sz w:val="22"/>
      <w:szCs w:val="28"/>
      <w:vertAlign w:val="superscript"/>
      <w:lang w:val="en-US" w:bidi="th-TH"/>
    </w:rPr>
  </w:style>
  <w:style w:type="character" w:styleId="Emphasis">
    <w:name w:val="Emphasis"/>
    <w:basedOn w:val="DefaultParagraphFont"/>
    <w:uiPriority w:val="20"/>
    <w:qFormat/>
    <w:rsid w:val="0061520E"/>
    <w:rPr>
      <w:i/>
      <w:iCs/>
    </w:rPr>
  </w:style>
  <w:style w:type="paragraph" w:styleId="ListParagraph">
    <w:name w:val="List Paragraph"/>
    <w:basedOn w:val="Normal"/>
    <w:uiPriority w:val="34"/>
    <w:qFormat/>
    <w:rsid w:val="00073724"/>
    <w:pPr>
      <w:suppressAutoHyphens w:val="0"/>
      <w:kinsoku/>
      <w:overflowPunct/>
      <w:autoSpaceDE/>
      <w:autoSpaceDN/>
      <w:adjustRightInd/>
      <w:snapToGrid/>
      <w:spacing w:after="160" w:line="259" w:lineRule="auto"/>
      <w:ind w:left="720"/>
      <w:contextualSpacing/>
    </w:pPr>
    <w:rPr>
      <w:rFonts w:asciiTheme="minorHAnsi" w:hAnsiTheme="minorHAnsi" w:cstheme="minorBidi"/>
      <w:sz w:val="22"/>
      <w:szCs w:val="28"/>
      <w:lang w:val="en-US" w:bidi="th-TH"/>
    </w:rPr>
  </w:style>
  <w:style w:type="paragraph" w:styleId="NormalWeb">
    <w:name w:val="Normal (Web)"/>
    <w:basedOn w:val="Normal"/>
    <w:uiPriority w:val="99"/>
    <w:unhideWhenUsed/>
    <w:rsid w:val="00073724"/>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bidi="th-TH"/>
    </w:rPr>
  </w:style>
  <w:style w:type="character" w:styleId="Strong">
    <w:name w:val="Strong"/>
    <w:basedOn w:val="DefaultParagraphFont"/>
    <w:uiPriority w:val="22"/>
    <w:qFormat/>
    <w:rsid w:val="00073724"/>
    <w:rPr>
      <w:b/>
      <w:bCs/>
    </w:rPr>
  </w:style>
  <w:style w:type="paragraph" w:customStyle="1" w:styleId="td-ad-inline">
    <w:name w:val="td-ad-inline"/>
    <w:basedOn w:val="Normal"/>
    <w:rsid w:val="00073724"/>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bidi="th-TH"/>
    </w:rPr>
  </w:style>
  <w:style w:type="paragraph" w:customStyle="1" w:styleId="paragraph">
    <w:name w:val="paragraph"/>
    <w:basedOn w:val="Normal"/>
    <w:rsid w:val="00073724"/>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bidi="th-TH"/>
    </w:rPr>
  </w:style>
  <w:style w:type="paragraph" w:customStyle="1" w:styleId="RTBodyText">
    <w:name w:val="RT Body Text"/>
    <w:basedOn w:val="Normal"/>
    <w:uiPriority w:val="9"/>
    <w:qFormat/>
    <w:rsid w:val="00073724"/>
    <w:pPr>
      <w:kinsoku/>
      <w:overflowPunct/>
      <w:autoSpaceDE/>
      <w:autoSpaceDN/>
      <w:adjustRightInd/>
      <w:snapToGrid/>
      <w:spacing w:after="120" w:line="240" w:lineRule="auto"/>
    </w:pPr>
    <w:rPr>
      <w:rFonts w:asciiTheme="minorHAnsi" w:eastAsiaTheme="minorEastAsia" w:hAnsiTheme="minorHAnsi" w:cs="Arial"/>
      <w:color w:val="000000" w:themeColor="text1"/>
      <w:sz w:val="18"/>
      <w:szCs w:val="24"/>
    </w:rPr>
  </w:style>
  <w:style w:type="character" w:customStyle="1" w:styleId="UnresolvedMention2">
    <w:name w:val="Unresolved Mention2"/>
    <w:basedOn w:val="DefaultParagraphFont"/>
    <w:uiPriority w:val="99"/>
    <w:semiHidden/>
    <w:unhideWhenUsed/>
    <w:rsid w:val="0003710A"/>
    <w:rPr>
      <w:color w:val="605E5C"/>
      <w:shd w:val="clear" w:color="auto" w:fill="E1DFDD"/>
    </w:rPr>
  </w:style>
  <w:style w:type="character" w:customStyle="1" w:styleId="UnresolvedMention3">
    <w:name w:val="Unresolved Mention3"/>
    <w:basedOn w:val="DefaultParagraphFont"/>
    <w:uiPriority w:val="99"/>
    <w:semiHidden/>
    <w:unhideWhenUsed/>
    <w:rsid w:val="00D51891"/>
    <w:rPr>
      <w:color w:val="605E5C"/>
      <w:shd w:val="clear" w:color="auto" w:fill="E1DFDD"/>
    </w:rPr>
  </w:style>
  <w:style w:type="table" w:customStyle="1" w:styleId="TableGrid1">
    <w:name w:val="Table Grid1"/>
    <w:basedOn w:val="TableNormal"/>
    <w:next w:val="TableGrid"/>
    <w:uiPriority w:val="39"/>
    <w:rsid w:val="0050732F"/>
    <w:pPr>
      <w:spacing w:after="0" w:line="240" w:lineRule="auto"/>
    </w:pPr>
    <w:rPr>
      <w:rFonts w:eastAsiaTheme="minorHAnsi"/>
      <w:szCs w:val="36"/>
      <w:lang w:val="en-US" w:eastAsia="en-US" w:bidi="km-K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uiPriority w:val="99"/>
    <w:qFormat/>
    <w:rsid w:val="005357A7"/>
    <w:pPr>
      <w:suppressAutoHyphens w:val="0"/>
      <w:kinsoku/>
      <w:overflowPunct/>
      <w:autoSpaceDE/>
      <w:autoSpaceDN/>
      <w:adjustRightInd/>
      <w:snapToGrid/>
      <w:spacing w:after="160" w:line="240" w:lineRule="exact"/>
    </w:pPr>
    <w:rPr>
      <w:rFonts w:asciiTheme="minorHAnsi" w:hAnsiTheme="minorHAnsi" w:cstheme="minorBidi"/>
      <w:sz w:val="22"/>
      <w:szCs w:val="22"/>
      <w:vertAlign w:val="superscript"/>
      <w:lang w:val="en-PH"/>
    </w:rPr>
  </w:style>
  <w:style w:type="paragraph" w:customStyle="1" w:styleId="Default">
    <w:name w:val="Default"/>
    <w:rsid w:val="005357A7"/>
    <w:pPr>
      <w:autoSpaceDE w:val="0"/>
      <w:autoSpaceDN w:val="0"/>
      <w:adjustRightInd w:val="0"/>
      <w:spacing w:after="0" w:line="240" w:lineRule="auto"/>
    </w:pPr>
    <w:rPr>
      <w:rFonts w:ascii="Times New Roman" w:eastAsiaTheme="minorHAnsi" w:hAnsi="Times New Roman" w:cs="Times New Roman"/>
      <w:color w:val="000000"/>
      <w:sz w:val="24"/>
      <w:szCs w:val="24"/>
      <w:lang w:val="en-PH" w:eastAsia="en-US"/>
    </w:rPr>
  </w:style>
  <w:style w:type="character" w:customStyle="1" w:styleId="cf01">
    <w:name w:val="cf01"/>
    <w:basedOn w:val="DefaultParagraphFont"/>
    <w:rsid w:val="005357A7"/>
    <w:rPr>
      <w:rFonts w:ascii="Segoe UI" w:hAnsi="Segoe UI" w:cs="Segoe UI" w:hint="default"/>
      <w:sz w:val="18"/>
      <w:szCs w:val="18"/>
    </w:rPr>
  </w:style>
  <w:style w:type="paragraph" w:customStyle="1" w:styleId="xmsonormal">
    <w:name w:val="x_msonormal"/>
    <w:basedOn w:val="Normal"/>
    <w:rsid w:val="00B072DE"/>
    <w:pPr>
      <w:suppressAutoHyphens w:val="0"/>
      <w:kinsoku/>
      <w:overflowPunct/>
      <w:autoSpaceDE/>
      <w:autoSpaceDN/>
      <w:adjustRightInd/>
      <w:snapToGrid/>
      <w:spacing w:line="240" w:lineRule="auto"/>
    </w:pPr>
    <w:rPr>
      <w:rFonts w:ascii="Calibri" w:hAnsi="Calibri" w:cs="Calibri"/>
      <w:sz w:val="22"/>
      <w:szCs w:val="22"/>
      <w:lang w:eastAsia="en-GB"/>
    </w:rPr>
  </w:style>
  <w:style w:type="character" w:customStyle="1" w:styleId="css-901oao">
    <w:name w:val="css-901oao"/>
    <w:basedOn w:val="DefaultParagraphFont"/>
    <w:rsid w:val="00B072DE"/>
  </w:style>
  <w:style w:type="character" w:customStyle="1" w:styleId="markedcontent">
    <w:name w:val="markedcontent"/>
    <w:basedOn w:val="DefaultParagraphFont"/>
    <w:rsid w:val="00B072DE"/>
  </w:style>
  <w:style w:type="character" w:customStyle="1" w:styleId="UnresolvedMention4">
    <w:name w:val="Unresolved Mention4"/>
    <w:basedOn w:val="DefaultParagraphFont"/>
    <w:uiPriority w:val="99"/>
    <w:semiHidden/>
    <w:unhideWhenUsed/>
    <w:rsid w:val="00B072DE"/>
    <w:rPr>
      <w:color w:val="605E5C"/>
      <w:shd w:val="clear" w:color="auto" w:fill="E1DFDD"/>
    </w:rPr>
  </w:style>
  <w:style w:type="paragraph" w:customStyle="1" w:styleId="BVIfnrCarCar">
    <w:name w:val="BVI fnr Car Car"/>
    <w:aliases w:val="BVI fnr Car, BVI fnr Car Car Car Car Char, BVI fnr Car Car Car Car Char Char Char Char Char, BVI fnr Car Car,BVI fnr Car Car Car Car Char,BVI fnr Car Car Car Car Char Char Char Char Char"/>
    <w:basedOn w:val="Normal"/>
    <w:uiPriority w:val="99"/>
    <w:rsid w:val="00B072DE"/>
    <w:pPr>
      <w:suppressAutoHyphens w:val="0"/>
      <w:kinsoku/>
      <w:overflowPunct/>
      <w:autoSpaceDE/>
      <w:autoSpaceDN/>
      <w:adjustRightInd/>
      <w:snapToGrid/>
      <w:spacing w:after="160" w:line="240" w:lineRule="exact"/>
    </w:pPr>
    <w:rPr>
      <w:rFonts w:asciiTheme="minorHAnsi" w:hAnsiTheme="minorHAnsi" w:cstheme="minorBidi"/>
      <w:sz w:val="22"/>
      <w:szCs w:val="22"/>
      <w:vertAlign w:val="superscript"/>
      <w:lang w:val="en-PH"/>
    </w:rPr>
  </w:style>
  <w:style w:type="character" w:customStyle="1" w:styleId="UnresolvedMention5">
    <w:name w:val="Unresolved Mention5"/>
    <w:basedOn w:val="DefaultParagraphFont"/>
    <w:uiPriority w:val="99"/>
    <w:semiHidden/>
    <w:unhideWhenUsed/>
    <w:rsid w:val="00B072DE"/>
    <w:rPr>
      <w:color w:val="605E5C"/>
      <w:shd w:val="clear" w:color="auto" w:fill="E1DFDD"/>
    </w:rPr>
  </w:style>
  <w:style w:type="character" w:customStyle="1" w:styleId="UnresolvedMention6">
    <w:name w:val="Unresolved Mention6"/>
    <w:basedOn w:val="DefaultParagraphFont"/>
    <w:uiPriority w:val="99"/>
    <w:semiHidden/>
    <w:unhideWhenUsed/>
    <w:rsid w:val="00A30DEF"/>
    <w:rPr>
      <w:color w:val="605E5C"/>
      <w:shd w:val="clear" w:color="auto" w:fill="E1DFDD"/>
    </w:rPr>
  </w:style>
  <w:style w:type="character" w:customStyle="1" w:styleId="UnresolvedMention7">
    <w:name w:val="Unresolved Mention7"/>
    <w:basedOn w:val="DefaultParagraphFont"/>
    <w:uiPriority w:val="99"/>
    <w:semiHidden/>
    <w:unhideWhenUsed/>
    <w:rsid w:val="00D05D49"/>
    <w:rPr>
      <w:color w:val="605E5C"/>
      <w:shd w:val="clear" w:color="auto" w:fill="E1DFDD"/>
    </w:rPr>
  </w:style>
  <w:style w:type="character" w:customStyle="1" w:styleId="UnresolvedMention8">
    <w:name w:val="Unresolved Mention8"/>
    <w:basedOn w:val="DefaultParagraphFont"/>
    <w:uiPriority w:val="99"/>
    <w:semiHidden/>
    <w:unhideWhenUsed/>
    <w:rsid w:val="00904A0E"/>
    <w:rPr>
      <w:color w:val="605E5C"/>
      <w:shd w:val="clear" w:color="auto" w:fill="E1DFDD"/>
    </w:rPr>
  </w:style>
  <w:style w:type="character" w:customStyle="1" w:styleId="UnresolvedMention9">
    <w:name w:val="Unresolved Mention9"/>
    <w:basedOn w:val="DefaultParagraphFont"/>
    <w:uiPriority w:val="99"/>
    <w:semiHidden/>
    <w:unhideWhenUsed/>
    <w:rsid w:val="008E0812"/>
    <w:rPr>
      <w:color w:val="605E5C"/>
      <w:shd w:val="clear" w:color="auto" w:fill="E1DFDD"/>
    </w:rPr>
  </w:style>
  <w:style w:type="character" w:customStyle="1" w:styleId="UnresolvedMention10">
    <w:name w:val="Unresolved Mention10"/>
    <w:basedOn w:val="DefaultParagraphFont"/>
    <w:uiPriority w:val="99"/>
    <w:semiHidden/>
    <w:unhideWhenUsed/>
    <w:rsid w:val="00B25A00"/>
    <w:rPr>
      <w:color w:val="605E5C"/>
      <w:shd w:val="clear" w:color="auto" w:fill="E1DFDD"/>
    </w:rPr>
  </w:style>
  <w:style w:type="character" w:customStyle="1" w:styleId="UnresolvedMention11">
    <w:name w:val="Unresolved Mention11"/>
    <w:basedOn w:val="DefaultParagraphFont"/>
    <w:uiPriority w:val="99"/>
    <w:semiHidden/>
    <w:unhideWhenUsed/>
    <w:rsid w:val="00B419EC"/>
    <w:rPr>
      <w:color w:val="605E5C"/>
      <w:shd w:val="clear" w:color="auto" w:fill="E1DFDD"/>
    </w:rPr>
  </w:style>
  <w:style w:type="character" w:customStyle="1" w:styleId="UnresolvedMention">
    <w:name w:val="Unresolved Mention"/>
    <w:basedOn w:val="DefaultParagraphFont"/>
    <w:uiPriority w:val="99"/>
    <w:semiHidden/>
    <w:unhideWhenUsed/>
    <w:rsid w:val="00C14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365646467">
      <w:bodyDiv w:val="1"/>
      <w:marLeft w:val="0"/>
      <w:marRight w:val="0"/>
      <w:marTop w:val="0"/>
      <w:marBottom w:val="0"/>
      <w:divBdr>
        <w:top w:val="none" w:sz="0" w:space="0" w:color="auto"/>
        <w:left w:val="none" w:sz="0" w:space="0" w:color="auto"/>
        <w:bottom w:val="none" w:sz="0" w:space="0" w:color="auto"/>
        <w:right w:val="none" w:sz="0" w:space="0" w:color="auto"/>
      </w:divBdr>
    </w:div>
    <w:div w:id="432215144">
      <w:bodyDiv w:val="1"/>
      <w:marLeft w:val="0"/>
      <w:marRight w:val="0"/>
      <w:marTop w:val="0"/>
      <w:marBottom w:val="0"/>
      <w:divBdr>
        <w:top w:val="none" w:sz="0" w:space="0" w:color="auto"/>
        <w:left w:val="none" w:sz="0" w:space="0" w:color="auto"/>
        <w:bottom w:val="none" w:sz="0" w:space="0" w:color="auto"/>
        <w:right w:val="none" w:sz="0" w:space="0" w:color="auto"/>
      </w:divBdr>
    </w:div>
    <w:div w:id="1048721664">
      <w:bodyDiv w:val="1"/>
      <w:marLeft w:val="0"/>
      <w:marRight w:val="0"/>
      <w:marTop w:val="0"/>
      <w:marBottom w:val="0"/>
      <w:divBdr>
        <w:top w:val="none" w:sz="0" w:space="0" w:color="auto"/>
        <w:left w:val="none" w:sz="0" w:space="0" w:color="auto"/>
        <w:bottom w:val="none" w:sz="0" w:space="0" w:color="auto"/>
        <w:right w:val="none" w:sz="0" w:space="0" w:color="auto"/>
      </w:divBdr>
    </w:div>
    <w:div w:id="1327710508">
      <w:bodyDiv w:val="1"/>
      <w:marLeft w:val="0"/>
      <w:marRight w:val="0"/>
      <w:marTop w:val="0"/>
      <w:marBottom w:val="0"/>
      <w:divBdr>
        <w:top w:val="none" w:sz="0" w:space="0" w:color="auto"/>
        <w:left w:val="none" w:sz="0" w:space="0" w:color="auto"/>
        <w:bottom w:val="none" w:sz="0" w:space="0" w:color="auto"/>
        <w:right w:val="none" w:sz="0" w:space="0" w:color="auto"/>
      </w:divBdr>
    </w:div>
    <w:div w:id="1761246930">
      <w:bodyDiv w:val="1"/>
      <w:marLeft w:val="0"/>
      <w:marRight w:val="0"/>
      <w:marTop w:val="0"/>
      <w:marBottom w:val="0"/>
      <w:divBdr>
        <w:top w:val="none" w:sz="0" w:space="0" w:color="auto"/>
        <w:left w:val="none" w:sz="0" w:space="0" w:color="auto"/>
        <w:bottom w:val="none" w:sz="0" w:space="0" w:color="auto"/>
        <w:right w:val="none" w:sz="0" w:space="0" w:color="auto"/>
      </w:divBdr>
    </w:div>
    <w:div w:id="200088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rights-drugpolic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pna.gov.ph/articles/1180284%20" TargetMode="External"/><Relationship Id="rId18" Type="http://schemas.openxmlformats.org/officeDocument/2006/relationships/hyperlink" Target="https://www.pna.gov.ph/articles/1152132" TargetMode="External"/><Relationship Id="rId26" Type="http://schemas.openxmlformats.org/officeDocument/2006/relationships/hyperlink" Target="https://www.pna.gov.ph/articles/1174275" TargetMode="External"/><Relationship Id="rId39" Type="http://schemas.openxmlformats.org/officeDocument/2006/relationships/hyperlink" Target="https://sc.judiciary.gov.ph/17874/" TargetMode="External"/><Relationship Id="rId21" Type="http://schemas.openxmlformats.org/officeDocument/2006/relationships/hyperlink" Target="https://chr.gov.ph/statement-of-chr-spokesperson-atty-jacqueline-ann-de-guia-welcoming-the-dojs-preliminary-investigation-on-the-batangas-couple-killed-on-bloody-sunday-raids/" TargetMode="External"/><Relationship Id="rId34" Type="http://schemas.openxmlformats.org/officeDocument/2006/relationships/hyperlink" Target="https://spcommreports.ohchr.org/TMResultsBase/DownLoadPublicCommunicationFile?gId=25942" TargetMode="External"/><Relationship Id="rId42" Type="http://schemas.openxmlformats.org/officeDocument/2006/relationships/hyperlink" Target="https://chr.gov.ph/statement-of-chr-commissioner-karen-gomez-dumpit-focal-commissioner-on-womens-rights-on-the-arrest-of-maria-salome-sally-crisostomo-ujano/" TargetMode="External"/><Relationship Id="rId47" Type="http://schemas.openxmlformats.org/officeDocument/2006/relationships/hyperlink" Target="https://en.unesco.org/themes/safety-journalists/observatory/country/223790" TargetMode="External"/><Relationship Id="rId50" Type="http://schemas.openxmlformats.org/officeDocument/2006/relationships/hyperlink" Target="https://www.pna.gov.ph/articles/1166071" TargetMode="External"/><Relationship Id="rId55" Type="http://schemas.openxmlformats.org/officeDocument/2006/relationships/hyperlink" Target="https://spcommreports.ohchr.org/TMResultsBase/DownLoadPublicCommunicationFile?gId=26662" TargetMode="External"/><Relationship Id="rId63" Type="http://schemas.openxmlformats.org/officeDocument/2006/relationships/hyperlink" Target="https://undocs.org/A/HRC/WGEID/121/1" TargetMode="External"/><Relationship Id="rId68" Type="http://schemas.openxmlformats.org/officeDocument/2006/relationships/hyperlink" Target="https://lawphil.net/statutes/repacts/ra2020/pdf/ra_11479_2020.pdf" TargetMode="External"/><Relationship Id="rId76" Type="http://schemas.openxmlformats.org/officeDocument/2006/relationships/hyperlink" Target="https://chr.gov.ph/statement-of-chr-spokesperson-atty-jacqueline-ann-de-guia-on-the-passage-of-the-anti-terrorism-law/" TargetMode="External"/><Relationship Id="rId84" Type="http://schemas.openxmlformats.org/officeDocument/2006/relationships/hyperlink" Target="https://www.facebook.com/pnp.pio/videos/434441455404687" TargetMode="External"/><Relationship Id="rId89" Type="http://schemas.openxmlformats.org/officeDocument/2006/relationships/hyperlink" Target="https://www.humanrights-drugpolicy.org/" TargetMode="External"/><Relationship Id="rId7" Type="http://schemas.openxmlformats.org/officeDocument/2006/relationships/hyperlink" Target="https://reports.unocha.org/en/country/philippines" TargetMode="External"/><Relationship Id="rId71" Type="http://schemas.openxmlformats.org/officeDocument/2006/relationships/hyperlink" Target="https://spcommreports.ohchr.org/TMResultsBase/DownLoadPublicCommunicationFile?gId=25384" TargetMode="External"/><Relationship Id="rId2" Type="http://schemas.openxmlformats.org/officeDocument/2006/relationships/hyperlink" Target="https://philippines.un.org/sites/default/files/2021-11/UN%20Socioeconomic%20and%20Peacebuilding%20Framework%20Final_1.pdf" TargetMode="External"/><Relationship Id="rId16" Type="http://schemas.openxmlformats.org/officeDocument/2006/relationships/hyperlink" Target="https://chr.gov.ph/statement-of-chr-executive-director-atty-jacqueline-ann-de-guia-on-the-delay-in-the-implementation-of-the-arrest-warrant-for-those-accused-in-the-killing-of-businessman-diego-bello-lafuente/" TargetMode="External"/><Relationship Id="rId29" Type="http://schemas.openxmlformats.org/officeDocument/2006/relationships/hyperlink" Target="https://pdea.gov.ph/index.php?option=com_content&amp;view=article&amp;layout=edit&amp;id=279%20" TargetMode="External"/><Relationship Id="rId11" Type="http://schemas.openxmlformats.org/officeDocument/2006/relationships/hyperlink" Target="https://chr.gov.ph/chr-announces-the-appointment-of-new-chairperson/" TargetMode="External"/><Relationship Id="rId24" Type="http://schemas.openxmlformats.org/officeDocument/2006/relationships/hyperlink" Target="https://tbinternet.ohchr.org/_layouts/15/TreatyBodyExternal/Treaty.aspx?CountryID=137&amp;Lang=EN" TargetMode="External"/><Relationship Id="rId32" Type="http://schemas.openxmlformats.org/officeDocument/2006/relationships/hyperlink" Target="https://law.upd.edu.ph/wp-content/uploads/2020/11/PNP-Memorandum-Circular-No-2020-060.pdf" TargetMode="External"/><Relationship Id="rId37" Type="http://schemas.openxmlformats.org/officeDocument/2006/relationships/hyperlink" Target="https://www.ohchr.org/en/2021/03/press-briefing-notes-philippines" TargetMode="External"/><Relationship Id="rId40" Type="http://schemas.openxmlformats.org/officeDocument/2006/relationships/hyperlink" Target="https://legacy.senate.gov.ph/lis/bill_res.aspx?congress=18&amp;q=SRN-691" TargetMode="External"/><Relationship Id="rId45" Type="http://schemas.openxmlformats.org/officeDocument/2006/relationships/hyperlink" Target="https://chr.gov.ph/statement-of-the-commission-on-human-rights-on-the-recanted-testimony-against-" TargetMode="External"/><Relationship Id="rId53" Type="http://schemas.openxmlformats.org/officeDocument/2006/relationships/hyperlink" Target="https://chr.gov.ph/statement-of-chr-spokesperson-atty-jacqueline-ann-de-guia-on-the-string-of-arrests-on-human-rights-day/" TargetMode="External"/><Relationship Id="rId58" Type="http://schemas.openxmlformats.org/officeDocument/2006/relationships/hyperlink" Target="https://www.pna.gov.ph/articles/1166069" TargetMode="External"/><Relationship Id="rId66" Type="http://schemas.openxmlformats.org/officeDocument/2006/relationships/hyperlink" Target="https://spcommreports.ohchr.org/TMResultsBase/DownLoadPublicCommunicationFile?gId=25384" TargetMode="External"/><Relationship Id="rId74" Type="http://schemas.openxmlformats.org/officeDocument/2006/relationships/hyperlink" Target="https://www.civicus.org/index.php/media-resources/media-releases/4269-philippines-raids-on-ngo-offices-arbitrary-arrests-of-activists-and-freezing-of-accounts" TargetMode="External"/><Relationship Id="rId79" Type="http://schemas.openxmlformats.org/officeDocument/2006/relationships/hyperlink" Target="https://newsinfo.inquirer.net/1609050/bongbong-marcos-to-continue-drug-war-within-framework-of-law-human-rights-says-swedish-envoy" TargetMode="External"/><Relationship Id="rId87" Type="http://schemas.openxmlformats.org/officeDocument/2006/relationships/hyperlink" Target="https://legacy.senate.gov.ph/lis/bill_res.aspx?congress=19&amp;q=SBN-198" TargetMode="External"/><Relationship Id="rId5" Type="http://schemas.openxmlformats.org/officeDocument/2006/relationships/hyperlink" Target="https://chr.gov.ph/wp-content/uploads/2022/05/CHR-Report-Addressing-Inequality-During-the-Pandemic.pdf" TargetMode="External"/><Relationship Id="rId61" Type="http://schemas.openxmlformats.org/officeDocument/2006/relationships/hyperlink" Target="file:///\\fshq.ad.ohchr.org\Executive%20Office\DPU%20Main%20Folder\HUMAN%20RIGHTS%20COUNCIL\51st%20session\51-60\58\%09https:\tbinternet.ohchr.org\_layouts\15\TreatyBodyExternal\countries.aspx%3fCountryCode=PHL&amp;Lang=EN.%20" TargetMode="External"/><Relationship Id="rId82" Type="http://schemas.openxmlformats.org/officeDocument/2006/relationships/hyperlink" Target="https://pdea.gov.ph/2-uncategorised/839-pdea-officially-launches-balay-silangan-reformation-program" TargetMode="External"/><Relationship Id="rId19" Type="http://schemas.openxmlformats.org/officeDocument/2006/relationships/hyperlink" Target="https://www.officialgazette.gov.ph/2012/11/22/administrative-order-no-35-s-2012/" TargetMode="External"/><Relationship Id="rId4" Type="http://schemas.openxmlformats.org/officeDocument/2006/relationships/hyperlink" Target="https://chr.gov.ph/statement-of-chr-spokesperson-atty-jacqueline-ann-de-guia-on-the-arrest-of-8-protesters-in-up-cebu-due-to-alleged-violation-of-quarantine-rules/" TargetMode="External"/><Relationship Id="rId9" Type="http://schemas.openxmlformats.org/officeDocument/2006/relationships/hyperlink" Target="https://philippines.un.org/sites/default/files/2021-11/UN%20Socioeconomic%20and%20Peacebuilding%20Framework%20Final_1.pdf" TargetMode="External"/><Relationship Id="rId14" Type="http://schemas.openxmlformats.org/officeDocument/2006/relationships/hyperlink" Target="https://www.doj.gov.ph/news_article.html?newsid=661" TargetMode="External"/><Relationship Id="rId22" Type="http://schemas.openxmlformats.org/officeDocument/2006/relationships/hyperlink" Target="https://www.pna.gov.ph/articles/1156436" TargetMode="External"/><Relationship Id="rId27" Type="http://schemas.openxmlformats.org/officeDocument/2006/relationships/hyperlink" Target="https://www.icnl.org/wp-content/uploads/bodycamwarrants.pdf" TargetMode="External"/><Relationship Id="rId30" Type="http://schemas.openxmlformats.org/officeDocument/2006/relationships/hyperlink" Target="https://www.facebook.com/pnp.pio/videos/434441455404687.%20%20" TargetMode="External"/><Relationship Id="rId35" Type="http://schemas.openxmlformats.org/officeDocument/2006/relationships/hyperlink" Target="https://spcommreports.ohchr.org/TMResultsBase/DownLoadPublicCommunicationFile?gId=26417" TargetMode="External"/><Relationship Id="rId43" Type="http://schemas.openxmlformats.org/officeDocument/2006/relationships/hyperlink" Target="https://chr.gov.ph/statement-of-chr-executive-director-atty-jacqueline-ann-de-guia-on-the-arrest-of-environmental-defender-in-laguna/" TargetMode="External"/><Relationship Id="rId48" Type="http://schemas.openxmlformats.org/officeDocument/2006/relationships/hyperlink" Target="https://www.pna.gov.ph/articles/1166098" TargetMode="External"/><Relationship Id="rId56" Type="http://schemas.openxmlformats.org/officeDocument/2006/relationships/hyperlink" Target="https://spcommreports.ohchr.org/TMResultsBase/DownLoadFile?gId=36754" TargetMode="External"/><Relationship Id="rId64" Type="http://schemas.openxmlformats.org/officeDocument/2006/relationships/hyperlink" Target="https://www.undocs.org/A/HRC/48/57" TargetMode="External"/><Relationship Id="rId69" Type="http://schemas.openxmlformats.org/officeDocument/2006/relationships/hyperlink" Target="https://www.pna.gov.ph/articles/1162280" TargetMode="External"/><Relationship Id="rId77" Type="http://schemas.openxmlformats.org/officeDocument/2006/relationships/hyperlink" Target="https://www.pna.gov.ph/articles/1177342" TargetMode="External"/><Relationship Id="rId8" Type="http://schemas.openxmlformats.org/officeDocument/2006/relationships/hyperlink" Target="https://philippines.un.org/en/191082-un-and-humanitarian-partners-support-1m-odette-affected-persons-last-six-months-recovery%23:~:text=MANILA%2C%2020%20July%202022%2D%2D,assistance%20to%20over%20a%20million" TargetMode="External"/><Relationship Id="rId51" Type="http://schemas.openxmlformats.org/officeDocument/2006/relationships/hyperlink" Target="https://en.unesco.org/themes/safety-journalists/observatory/country/223790" TargetMode="External"/><Relationship Id="rId72" Type="http://schemas.openxmlformats.org/officeDocument/2006/relationships/hyperlink" Target="https://chr.gov.ph/press-statement-of-chr-spokesperson-atty-jacqueline-ann-de-guia-on-the-allegations-of-the-maltreatment-of-aetas-by-the-philippine-armys-7th-infantry-division/" TargetMode="External"/><Relationship Id="rId80" Type="http://schemas.openxmlformats.org/officeDocument/2006/relationships/hyperlink" Target="https://www.ddb.gov.ph/images/unodc_publications/CBT_Guidance_Doc_Philippines_Final.pdf" TargetMode="External"/><Relationship Id="rId85" Type="http://schemas.openxmlformats.org/officeDocument/2006/relationships/hyperlink" Target="https://undocs.org/A/HRC/47/40" TargetMode="External"/><Relationship Id="rId3" Type="http://schemas.openxmlformats.org/officeDocument/2006/relationships/hyperlink" Target="https://spcommreports.ohchr.org/TMResultsBase/DownLoadPublicCommunicationFile?gId=25323" TargetMode="External"/><Relationship Id="rId12" Type="http://schemas.openxmlformats.org/officeDocument/2006/relationships/hyperlink" Target="https://www.icc-cpi.int/news/statement-prosecutor-international-criminal-court-karim-khan-qc-following-application-order" TargetMode="External"/><Relationship Id="rId17" Type="http://schemas.openxmlformats.org/officeDocument/2006/relationships/hyperlink" Target="https://idpc.net/alerts/2021/10/statement-on-the-human-rights-situation-in-the-philippines-human-rights-council-48th-session" TargetMode="External"/><Relationship Id="rId25" Type="http://schemas.openxmlformats.org/officeDocument/2006/relationships/hyperlink" Target="https://news.un.org/en/story/2021/09/1100612" TargetMode="External"/><Relationship Id="rId33" Type="http://schemas.openxmlformats.org/officeDocument/2006/relationships/hyperlink" Target="https://www.ohchr.org/en/documents/reports/ahrc4828-cooperation-united-nations-its-representatives-and-mechanisms-field" TargetMode="External"/><Relationship Id="rId38" Type="http://schemas.openxmlformats.org/officeDocument/2006/relationships/hyperlink" Target="https://spcommreports.ohchr.org/TMResultsBase/DownLoadFile?gId=36850" TargetMode="External"/><Relationship Id="rId46" Type="http://schemas.openxmlformats.org/officeDocument/2006/relationships/hyperlink" Target="https://www.escr-net.org/news/2022/global-call-philippine-authorities-stop-criminalization-human-rights-defenders-0" TargetMode="External"/><Relationship Id="rId59" Type="http://schemas.openxmlformats.org/officeDocument/2006/relationships/hyperlink" Target="https://www.ohchr.org/en/press-releases/2021/03/philippines-expert-urges-congress-enact-human-rights-defenders-law?LangID=E&amp;NewsID=26914" TargetMode="External"/><Relationship Id="rId67" Type="http://schemas.openxmlformats.org/officeDocument/2006/relationships/hyperlink" Target="https://spcommreports.ohchr.org/TMResultsBase/DownLoadFile?gId=35537" TargetMode="External"/><Relationship Id="rId20" Type="http://schemas.openxmlformats.org/officeDocument/2006/relationships/hyperlink" Target="https://www.ohchr.org/en/2021/03/press-briefing-notes-philippines?LangID=E&amp;NewsID=26865" TargetMode="External"/><Relationship Id="rId41" Type="http://schemas.openxmlformats.org/officeDocument/2006/relationships/hyperlink" Target="https://www.philstar.com/headlines/2021/03/11/2083558/flag-report-found-almost-half-lawyers-killed-linked-legal-practice" TargetMode="External"/><Relationship Id="rId54" Type="http://schemas.openxmlformats.org/officeDocument/2006/relationships/hyperlink" Target="https://chr.gov.ph/statement-of-chr-spokesperson-atty-jacqueline-ann-de-guia-on-the-red-tagging-of-a-mandaluyong-city-judge/" TargetMode="External"/><Relationship Id="rId62" Type="http://schemas.openxmlformats.org/officeDocument/2006/relationships/hyperlink" Target="https://spcommreports.ohchr.org/TmSearch/Results" TargetMode="External"/><Relationship Id="rId70" Type="http://schemas.openxmlformats.org/officeDocument/2006/relationships/hyperlink" Target="https://sc.judiciary.gov.ph/26426/" TargetMode="External"/><Relationship Id="rId75" Type="http://schemas.openxmlformats.org/officeDocument/2006/relationships/hyperlink" Target="https://www.pna.gov.ph/articles/1150613" TargetMode="External"/><Relationship Id="rId83" Type="http://schemas.openxmlformats.org/officeDocument/2006/relationships/hyperlink" Target="https://chr.gov.ph/statement-of-chr-executive-director-atty-jacqueline-ann-de-guia-on-the-decongestion-efforts-of-the-bureau-of-jail-management-and-penology/" TargetMode="External"/><Relationship Id="rId88" Type="http://schemas.openxmlformats.org/officeDocument/2006/relationships/hyperlink" Target="https://documents-dds-ny.un.org/doc/UNDOC/GEN/G19/261/15/PDF/G1926115.pdf?OpenElement" TargetMode="External"/><Relationship Id="rId1" Type="http://schemas.openxmlformats.org/officeDocument/2006/relationships/hyperlink" Target="https://undocs.org/A/HRC/RES/44/22" TargetMode="External"/><Relationship Id="rId6" Type="http://schemas.openxmlformats.org/officeDocument/2006/relationships/hyperlink" Target="https://news.un.org/en/story/2020/04/1062632" TargetMode="External"/><Relationship Id="rId15" Type="http://schemas.openxmlformats.org/officeDocument/2006/relationships/hyperlink" Target="https://www.pna.gov.ph/articles/1157212" TargetMode="External"/><Relationship Id="rId23" Type="http://schemas.openxmlformats.org/officeDocument/2006/relationships/hyperlink" Target="https://services.ca.judiciary.gov.ph/csisver3-war/faces/pages/ResultInformation.xhtml" TargetMode="External"/><Relationship Id="rId28" Type="http://schemas.openxmlformats.org/officeDocument/2006/relationships/hyperlink" Target="https://www.facebook.com/realnumbersph/" TargetMode="External"/><Relationship Id="rId36" Type="http://schemas.openxmlformats.org/officeDocument/2006/relationships/hyperlink" Target="https://chr.gov.ph/statement-of-chr-executive-director-atty-jacqueline-de-guia-on-the-statement-of-the-incoming-national-security-adviser-against-red-tagging/" TargetMode="External"/><Relationship Id="rId49" Type="http://schemas.openxmlformats.org/officeDocument/2006/relationships/hyperlink" Target="https://www.pna.gov.ph/articles/1166098" TargetMode="External"/><Relationship Id="rId57" Type="http://schemas.openxmlformats.org/officeDocument/2006/relationships/hyperlink" Target="https://cpj.org/2022/02/three-philippine-media-outlets-string-of-cyberattacks/" TargetMode="External"/><Relationship Id="rId10" Type="http://schemas.openxmlformats.org/officeDocument/2006/relationships/hyperlink" Target="http://chr.gov.ph/wp-content/uploads/2020/10/The-Haran-Report-2019-FINAL-REY-2019-12-04.pdf" TargetMode="External"/><Relationship Id="rId31" Type="http://schemas.openxmlformats.org/officeDocument/2006/relationships/hyperlink" Target="https://chr.gov.ph/wp-content/uploads/2022/05/CHR-National-Report-April-2022-Full-Final.pdf" TargetMode="External"/><Relationship Id="rId44" Type="http://schemas.openxmlformats.org/officeDocument/2006/relationships/hyperlink" Target="https://undocs.org/A/HRC/WGAD/2018/61" TargetMode="External"/><Relationship Id="rId52" Type="http://schemas.openxmlformats.org/officeDocument/2006/relationships/hyperlink" Target="https://www.ohchr.org/en/press-releases/2022/07/philippines-un-expert-slams-court-decision-upholding-criminal-conviction" TargetMode="External"/><Relationship Id="rId60" Type="http://schemas.openxmlformats.org/officeDocument/2006/relationships/hyperlink" Target="https://www.ohchr.org/sites/default/files/2022-04/OHCHR_BerkeleyProtocol.pdf" TargetMode="External"/><Relationship Id="rId65" Type="http://schemas.openxmlformats.org/officeDocument/2006/relationships/hyperlink" Target="https://www.officialgazette.gov.ph/downloads/2020/06jun/20200703-RA-11479-RRD.pdf" TargetMode="External"/><Relationship Id="rId73" Type="http://schemas.openxmlformats.org/officeDocument/2006/relationships/hyperlink" Target="https://atc.gov.ph/wp-content/uploads/2022/02/Resolution-No.-28-2022_Final-as-of-15-Feb-2022.pdf" TargetMode="External"/><Relationship Id="rId78" Type="http://schemas.openxmlformats.org/officeDocument/2006/relationships/hyperlink" Target="https://www.pna.gov.ph/articles/1177393" TargetMode="External"/><Relationship Id="rId81" Type="http://schemas.openxmlformats.org/officeDocument/2006/relationships/hyperlink" Target="https://www.who.int/philippines/news/detail/12-11-2021-voluntary-care-model-for-persons-who-use-drugs-resulted-in-over-90-completion-for-treatment-rate" TargetMode="External"/><Relationship Id="rId86" Type="http://schemas.openxmlformats.org/officeDocument/2006/relationships/hyperlink" Target="https://undocs.org/A/HRC/4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43C09-D45F-40BC-8A30-0AF165A54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16</Pages>
  <Words>7425</Words>
  <Characters>42325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A/HRC/45/51</vt:lpstr>
    </vt:vector>
  </TitlesOfParts>
  <Company>DCM</Company>
  <LinksUpToDate>false</LinksUpToDate>
  <CharactersWithSpaces>49651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A/HRC/45/51</dc:title>
  <dc:subject>2010496</dc:subject>
  <dc:creator>cg</dc:creator>
  <cp:keywords/>
  <dc:description/>
  <cp:lastModifiedBy>LAM Esther</cp:lastModifiedBy>
  <cp:revision>2</cp:revision>
  <cp:lastPrinted>2022-08-16T07:32:00Z</cp:lastPrinted>
  <dcterms:created xsi:type="dcterms:W3CDTF">2022-09-27T15:57:00Z</dcterms:created>
  <dcterms:modified xsi:type="dcterms:W3CDTF">2022-09-27T15:57:00Z</dcterms:modified>
</cp:coreProperties>
</file>