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28220909" w14:textId="77777777" w:rsidTr="00DD7D05">
        <w:trPr>
          <w:trHeight w:val="851"/>
        </w:trPr>
        <w:tc>
          <w:tcPr>
            <w:tcW w:w="1259" w:type="dxa"/>
            <w:tcBorders>
              <w:top w:val="nil"/>
              <w:left w:val="nil"/>
              <w:bottom w:val="single" w:sz="4" w:space="0" w:color="auto"/>
              <w:right w:val="nil"/>
            </w:tcBorders>
          </w:tcPr>
          <w:p w14:paraId="1E74D068" w14:textId="3F55BCAF" w:rsidR="00EC2011" w:rsidRDefault="00EC2011" w:rsidP="00DD7D05">
            <w:pPr>
              <w:pStyle w:val="SingleTxtG"/>
            </w:pPr>
          </w:p>
        </w:tc>
        <w:tc>
          <w:tcPr>
            <w:tcW w:w="2236" w:type="dxa"/>
            <w:tcBorders>
              <w:top w:val="nil"/>
              <w:left w:val="nil"/>
              <w:bottom w:val="single" w:sz="4" w:space="0" w:color="auto"/>
              <w:right w:val="nil"/>
            </w:tcBorders>
            <w:vAlign w:val="bottom"/>
          </w:tcPr>
          <w:p w14:paraId="026BE76C" w14:textId="5D96FC94"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099D236" w14:textId="77777777" w:rsidR="00EC2011" w:rsidRDefault="003E3217" w:rsidP="003E3217">
            <w:pPr>
              <w:suppressAutoHyphens w:val="0"/>
              <w:spacing w:after="20"/>
              <w:jc w:val="right"/>
            </w:pPr>
            <w:r w:rsidRPr="003E3217">
              <w:rPr>
                <w:sz w:val="40"/>
              </w:rPr>
              <w:t>A</w:t>
            </w:r>
            <w:r>
              <w:t>/HRC/52/75</w:t>
            </w:r>
          </w:p>
        </w:tc>
      </w:tr>
      <w:tr w:rsidR="00EC2011" w14:paraId="605EFCCB" w14:textId="77777777" w:rsidTr="00DD7D05">
        <w:trPr>
          <w:trHeight w:val="2835"/>
        </w:trPr>
        <w:tc>
          <w:tcPr>
            <w:tcW w:w="1259" w:type="dxa"/>
            <w:tcBorders>
              <w:top w:val="single" w:sz="4" w:space="0" w:color="auto"/>
              <w:left w:val="nil"/>
              <w:bottom w:val="single" w:sz="12" w:space="0" w:color="auto"/>
              <w:right w:val="nil"/>
            </w:tcBorders>
          </w:tcPr>
          <w:p w14:paraId="3CC15736" w14:textId="7A911672"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603B7B1C" w14:textId="743FAD46" w:rsidR="00EC2011" w:rsidRDefault="006208BC"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64EEC413" w14:textId="77777777" w:rsidR="00EC2011" w:rsidRDefault="003E3217" w:rsidP="003E3217">
            <w:pPr>
              <w:spacing w:before="240"/>
            </w:pPr>
            <w:r>
              <w:t>Distr.: General</w:t>
            </w:r>
          </w:p>
          <w:p w14:paraId="36E5041D" w14:textId="083EB63B" w:rsidR="003E3217" w:rsidRDefault="00751A15" w:rsidP="003E3217">
            <w:pPr>
              <w:suppressAutoHyphens w:val="0"/>
            </w:pPr>
            <w:r>
              <w:t>13</w:t>
            </w:r>
            <w:r w:rsidR="003E3217">
              <w:t xml:space="preserve"> February 2023</w:t>
            </w:r>
          </w:p>
          <w:p w14:paraId="0ADBA601" w14:textId="77777777" w:rsidR="003E3217" w:rsidRDefault="003E3217" w:rsidP="003E3217">
            <w:pPr>
              <w:suppressAutoHyphens w:val="0"/>
            </w:pPr>
          </w:p>
          <w:p w14:paraId="277C2332" w14:textId="77777777" w:rsidR="003E3217" w:rsidRDefault="003E3217" w:rsidP="003E3217">
            <w:pPr>
              <w:suppressAutoHyphens w:val="0"/>
            </w:pPr>
            <w:r>
              <w:t>Original: English</w:t>
            </w:r>
          </w:p>
        </w:tc>
      </w:tr>
    </w:tbl>
    <w:p w14:paraId="0E24C6E7" w14:textId="77777777" w:rsidR="00C13EBD" w:rsidRDefault="003E3217" w:rsidP="003E3217">
      <w:pPr>
        <w:spacing w:before="120"/>
        <w:rPr>
          <w:b/>
          <w:sz w:val="22"/>
          <w:szCs w:val="22"/>
        </w:rPr>
      </w:pPr>
      <w:r w:rsidRPr="00C43A92">
        <w:rPr>
          <w:b/>
          <w:sz w:val="22"/>
          <w:szCs w:val="22"/>
        </w:rPr>
        <w:t>Human Rights Council</w:t>
      </w:r>
    </w:p>
    <w:p w14:paraId="25A5656B" w14:textId="32D41B36" w:rsidR="003E3217" w:rsidRPr="00E30BE0" w:rsidRDefault="003E3217" w:rsidP="00C13EBD">
      <w:pPr>
        <w:rPr>
          <w:b/>
          <w:sz w:val="24"/>
          <w:szCs w:val="24"/>
        </w:rPr>
      </w:pPr>
      <w:r w:rsidRPr="00C43A92">
        <w:rPr>
          <w:b/>
        </w:rPr>
        <w:t>Fifty-second session</w:t>
      </w:r>
    </w:p>
    <w:p w14:paraId="55308207" w14:textId="77777777" w:rsidR="003E3217" w:rsidRPr="00E30BE0" w:rsidRDefault="003E3217" w:rsidP="003E3217">
      <w:r>
        <w:t>27 February–</w:t>
      </w:r>
      <w:r w:rsidRPr="00E30BE0">
        <w:t>31 March 2023</w:t>
      </w:r>
    </w:p>
    <w:p w14:paraId="40F91D4F" w14:textId="77777777" w:rsidR="003E3217" w:rsidRPr="00E30BE0" w:rsidRDefault="003E3217" w:rsidP="003E3217">
      <w:r w:rsidRPr="00E30BE0">
        <w:t>Agenda item 2</w:t>
      </w:r>
      <w:bookmarkStart w:id="0" w:name="_GoBack"/>
      <w:bookmarkEnd w:id="0"/>
    </w:p>
    <w:p w14:paraId="2FE64694" w14:textId="77777777" w:rsidR="003E3217" w:rsidRPr="00E30BE0" w:rsidRDefault="003E3217" w:rsidP="003E3217">
      <w:pPr>
        <w:rPr>
          <w:b/>
          <w:bCs/>
        </w:rPr>
      </w:pPr>
      <w:r w:rsidRPr="00E30BE0">
        <w:rPr>
          <w:b/>
          <w:bCs/>
        </w:rPr>
        <w:t>Annual report of the United Nations High Commissioner</w:t>
      </w:r>
      <w:r w:rsidRPr="00E30BE0">
        <w:rPr>
          <w:b/>
          <w:bCs/>
        </w:rPr>
        <w:br/>
        <w:t>for Human Rights and reports of the Office of the</w:t>
      </w:r>
      <w:r w:rsidRPr="00E30BE0">
        <w:rPr>
          <w:b/>
          <w:bCs/>
        </w:rPr>
        <w:br/>
        <w:t>High Commissioner and the Secretary-General</w:t>
      </w:r>
    </w:p>
    <w:p w14:paraId="302E5E4E" w14:textId="77777777" w:rsidR="003E3217" w:rsidRPr="00E30BE0" w:rsidRDefault="003E3217" w:rsidP="00C13EBD">
      <w:pPr>
        <w:pStyle w:val="HChG"/>
      </w:pPr>
      <w:r w:rsidRPr="00E30BE0">
        <w:tab/>
      </w:r>
      <w:r w:rsidRPr="00E30BE0">
        <w:tab/>
        <w:t>Human rights situation in the Occupied</w:t>
      </w:r>
      <w:r>
        <w:t xml:space="preserve"> Palestinian </w:t>
      </w:r>
      <w:r w:rsidRPr="00E30BE0">
        <w:t>Territory,</w:t>
      </w:r>
      <w:r>
        <w:t xml:space="preserve"> </w:t>
      </w:r>
      <w:r w:rsidRPr="00E30BE0">
        <w:t>including East</w:t>
      </w:r>
      <w:r>
        <w:t xml:space="preserve"> </w:t>
      </w:r>
      <w:r w:rsidRPr="00E30BE0">
        <w:t>Jerusalem, and the</w:t>
      </w:r>
      <w:r>
        <w:t xml:space="preserve"> </w:t>
      </w:r>
      <w:r w:rsidRPr="00E30BE0">
        <w:t>obligation to ensure</w:t>
      </w:r>
      <w:r>
        <w:t xml:space="preserve"> </w:t>
      </w:r>
      <w:r w:rsidRPr="00E30BE0">
        <w:t>accountability and justice</w:t>
      </w:r>
    </w:p>
    <w:p w14:paraId="7DE49533" w14:textId="440AF5F8" w:rsidR="003E3217" w:rsidRDefault="003E3217" w:rsidP="00C13EBD">
      <w:pPr>
        <w:pStyle w:val="H1G"/>
        <w:rPr>
          <w:sz w:val="20"/>
          <w:lang w:val="en-US"/>
        </w:rPr>
      </w:pPr>
      <w:r w:rsidRPr="00E30BE0">
        <w:tab/>
      </w:r>
      <w:r w:rsidRPr="00E30BE0">
        <w:tab/>
        <w:t>Report of the United Nations High Commissioner</w:t>
      </w:r>
      <w:r>
        <w:t xml:space="preserve"> </w:t>
      </w:r>
      <w:r w:rsidRPr="00E30BE0">
        <w:t>for Human Rights</w:t>
      </w:r>
      <w:r w:rsidR="00C13EBD" w:rsidRPr="00C13EBD">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C13EBD" w14:paraId="0589BD69" w14:textId="77777777" w:rsidTr="00C13EBD">
        <w:trPr>
          <w:jc w:val="center"/>
        </w:trPr>
        <w:tc>
          <w:tcPr>
            <w:tcW w:w="9637" w:type="dxa"/>
            <w:tcBorders>
              <w:bottom w:val="nil"/>
            </w:tcBorders>
          </w:tcPr>
          <w:p w14:paraId="6DCA50C6" w14:textId="1727A89F" w:rsidR="00C13EBD" w:rsidRPr="00C13EBD" w:rsidRDefault="00C13EBD" w:rsidP="00C13EBD">
            <w:pPr>
              <w:tabs>
                <w:tab w:val="left" w:pos="255"/>
              </w:tabs>
              <w:suppressAutoHyphens w:val="0"/>
              <w:spacing w:before="240" w:after="120"/>
              <w:rPr>
                <w:sz w:val="24"/>
              </w:rPr>
            </w:pPr>
            <w:r>
              <w:tab/>
            </w:r>
            <w:r>
              <w:rPr>
                <w:i/>
                <w:sz w:val="24"/>
              </w:rPr>
              <w:t>Summary</w:t>
            </w:r>
          </w:p>
        </w:tc>
      </w:tr>
      <w:tr w:rsidR="00C13EBD" w14:paraId="38E965B6" w14:textId="77777777" w:rsidTr="00C13EBD">
        <w:trPr>
          <w:jc w:val="center"/>
        </w:trPr>
        <w:tc>
          <w:tcPr>
            <w:tcW w:w="9637" w:type="dxa"/>
            <w:tcBorders>
              <w:top w:val="nil"/>
              <w:bottom w:val="nil"/>
            </w:tcBorders>
            <w:shd w:val="clear" w:color="auto" w:fill="auto"/>
          </w:tcPr>
          <w:p w14:paraId="103413D4" w14:textId="2979271E" w:rsidR="00C13EBD" w:rsidRDefault="00C13EBD" w:rsidP="00C13EBD">
            <w:pPr>
              <w:pStyle w:val="SingleTxtG"/>
            </w:pPr>
            <w:r>
              <w:rPr>
                <w:lang w:val="en-GB"/>
              </w:rPr>
              <w:tab/>
            </w:r>
            <w:r w:rsidRPr="00E30BE0">
              <w:rPr>
                <w:lang w:val="en-GB"/>
              </w:rPr>
              <w:t>The present report is submitted pursuant to Human Rights Council resolution 49/4</w:t>
            </w:r>
            <w:r>
              <w:rPr>
                <w:lang w:val="en-GB"/>
              </w:rPr>
              <w:t>. It</w:t>
            </w:r>
            <w:r w:rsidRPr="00E30BE0">
              <w:rPr>
                <w:lang w:val="en-GB"/>
              </w:rPr>
              <w:t xml:space="preserve"> provides an overview of the implementation of the resolution and developments relevant to the human rights situation in the Occupied Palestinian Territory and the obligation to ensure accountability and justice.</w:t>
            </w:r>
          </w:p>
        </w:tc>
      </w:tr>
      <w:tr w:rsidR="00C13EBD" w14:paraId="4666E1BA" w14:textId="77777777" w:rsidTr="00C13EBD">
        <w:trPr>
          <w:jc w:val="center"/>
        </w:trPr>
        <w:tc>
          <w:tcPr>
            <w:tcW w:w="9637" w:type="dxa"/>
            <w:tcBorders>
              <w:top w:val="nil"/>
            </w:tcBorders>
          </w:tcPr>
          <w:p w14:paraId="6CEFCBB5" w14:textId="77777777" w:rsidR="00C13EBD" w:rsidRDefault="00C13EBD" w:rsidP="00C13EBD">
            <w:pPr>
              <w:suppressAutoHyphens w:val="0"/>
            </w:pPr>
          </w:p>
        </w:tc>
      </w:tr>
    </w:tbl>
    <w:p w14:paraId="75AEE1D0" w14:textId="77777777" w:rsidR="003E3217" w:rsidRPr="00E30BE0" w:rsidRDefault="003E3217" w:rsidP="003E3217">
      <w:pPr>
        <w:spacing w:after="200" w:line="276" w:lineRule="auto"/>
      </w:pPr>
      <w:r w:rsidRPr="00E30BE0">
        <w:br w:type="page"/>
      </w:r>
    </w:p>
    <w:p w14:paraId="5119E159" w14:textId="77777777" w:rsidR="003E3217" w:rsidRPr="00E30BE0" w:rsidRDefault="003E3217" w:rsidP="00C13EBD">
      <w:pPr>
        <w:pStyle w:val="HChG"/>
      </w:pPr>
      <w:r w:rsidRPr="00E30BE0">
        <w:lastRenderedPageBreak/>
        <w:tab/>
        <w:t>I.</w:t>
      </w:r>
      <w:r w:rsidRPr="00E30BE0">
        <w:tab/>
        <w:t>Introduction</w:t>
      </w:r>
    </w:p>
    <w:p w14:paraId="68E6E5AD" w14:textId="77777777" w:rsidR="003E3217" w:rsidRPr="00F81291" w:rsidRDefault="003E3217" w:rsidP="00C13EBD">
      <w:pPr>
        <w:pStyle w:val="SingleTxtG"/>
        <w:rPr>
          <w:rStyle w:val="FootnoteReference"/>
        </w:rPr>
      </w:pPr>
      <w:r w:rsidRPr="00D119E7">
        <w:t>1.</w:t>
      </w:r>
      <w:r w:rsidRPr="00D119E7">
        <w:tab/>
        <w:t xml:space="preserve">The present report is submitted pursuant to Human Rights Council resolution 49/4 and covers the period between 1 November 2021 and 31 October 2022. It draws on human rights monitoring conducted by the Office of the United Nations High Commissioner for Human Rights (OHCHR) in the Occupied Palestinian Territory, and information from governmental sources, other </w:t>
      </w:r>
      <w:r>
        <w:t>United Nations</w:t>
      </w:r>
      <w:r w:rsidRPr="00D119E7">
        <w:t xml:space="preserve"> entities and non-governmental organizations</w:t>
      </w:r>
      <w:r>
        <w:t xml:space="preserve"> (NGOs)</w:t>
      </w:r>
      <w:r w:rsidRPr="00D119E7">
        <w:t xml:space="preserve">. The international staff of OHCHR continued to remain outside </w:t>
      </w:r>
      <w:r>
        <w:t>the Occupied Palestinian Territory</w:t>
      </w:r>
      <w:r w:rsidRPr="00D119E7">
        <w:t xml:space="preserve"> during th</w:t>
      </w:r>
      <w:r>
        <w:t>e</w:t>
      </w:r>
      <w:r w:rsidRPr="00D119E7">
        <w:t xml:space="preserve"> reporting period due to </w:t>
      </w:r>
      <w:r>
        <w:t>the</w:t>
      </w:r>
      <w:r w:rsidRPr="00D119E7">
        <w:t xml:space="preserve"> failure </w:t>
      </w:r>
      <w:r>
        <w:t xml:space="preserve">by Israel </w:t>
      </w:r>
      <w:r w:rsidRPr="00D119E7">
        <w:t>to grant entry</w:t>
      </w:r>
      <w:r>
        <w:t xml:space="preserve"> </w:t>
      </w:r>
      <w:r w:rsidRPr="00D119E7">
        <w:t>visas.</w:t>
      </w:r>
      <w:r w:rsidRPr="00F81291">
        <w:rPr>
          <w:rStyle w:val="FootnoteReference"/>
        </w:rPr>
        <w:footnoteReference w:id="3"/>
      </w:r>
    </w:p>
    <w:p w14:paraId="7D060F96" w14:textId="77777777" w:rsidR="003E3217" w:rsidRPr="00D119E7" w:rsidRDefault="003E3217" w:rsidP="00C13EBD">
      <w:pPr>
        <w:pStyle w:val="SingleTxtG"/>
      </w:pPr>
      <w:r w:rsidRPr="00D119E7">
        <w:t>2.</w:t>
      </w:r>
      <w:r w:rsidRPr="00D119E7">
        <w:tab/>
        <w:t xml:space="preserve">For over 55 years, the </w:t>
      </w:r>
      <w:r>
        <w:t>Occupied Palestinian Territory</w:t>
      </w:r>
      <w:r w:rsidRPr="00D119E7">
        <w:t xml:space="preserve"> – </w:t>
      </w:r>
      <w:r>
        <w:t xml:space="preserve">the </w:t>
      </w:r>
      <w:r w:rsidRPr="00D119E7">
        <w:t xml:space="preserve">West Bank, including East Jerusalem, and Gaza – has remained under belligerent occupation by Israel, </w:t>
      </w:r>
      <w:r>
        <w:t>affecting</w:t>
      </w:r>
      <w:r w:rsidRPr="00D119E7">
        <w:t xml:space="preserve"> all rights of Palestinians, including the right to self-determination. </w:t>
      </w:r>
      <w:r>
        <w:t xml:space="preserve">The </w:t>
      </w:r>
      <w:r w:rsidRPr="00D119E7">
        <w:t xml:space="preserve">actions </w:t>
      </w:r>
      <w:r>
        <w:t xml:space="preserve">of Israel </w:t>
      </w:r>
      <w:r w:rsidRPr="00D119E7">
        <w:t>as the occupying Power also affect the protection and fulfilment of rights by the other duty bearers: the State of Palestine and the de facto authorities in Gaza. Th</w:t>
      </w:r>
      <w:r>
        <w:t>e present</w:t>
      </w:r>
      <w:r w:rsidRPr="00D119E7">
        <w:t xml:space="preserve"> report </w:t>
      </w:r>
      <w:r>
        <w:t xml:space="preserve">covers </w:t>
      </w:r>
      <w:r w:rsidRPr="00D119E7">
        <w:t xml:space="preserve">alleged violations of </w:t>
      </w:r>
      <w:bookmarkStart w:id="1" w:name="_Hlk62630484"/>
      <w:r w:rsidRPr="00D119E7">
        <w:t>international human rights law and international humanitarian law</w:t>
      </w:r>
      <w:bookmarkEnd w:id="1"/>
      <w:r w:rsidRPr="00D119E7">
        <w:t xml:space="preserve"> by all duty bearers in the </w:t>
      </w:r>
      <w:r>
        <w:t>Occupied Palestinian Territory</w:t>
      </w:r>
      <w:r w:rsidRPr="00D119E7">
        <w:t>, and accountability for them. It should be read in conjunction with recent relevant reports of the Secretary-General and the United Nations High Commissioner for Human Rights.</w:t>
      </w:r>
      <w:r w:rsidRPr="00F81291">
        <w:rPr>
          <w:rStyle w:val="FootnoteReference"/>
        </w:rPr>
        <w:footnoteReference w:id="4"/>
      </w:r>
      <w:r w:rsidRPr="00F81291">
        <w:rPr>
          <w:rStyle w:val="FootnoteReference"/>
        </w:rPr>
        <w:t xml:space="preserve"> </w:t>
      </w:r>
    </w:p>
    <w:p w14:paraId="6C90E35A" w14:textId="77777777" w:rsidR="003E3217" w:rsidRPr="002A3EE1" w:rsidRDefault="003E3217" w:rsidP="00C13EBD">
      <w:pPr>
        <w:pStyle w:val="SingleTxtG"/>
        <w:rPr>
          <w:lang w:val="en-US"/>
        </w:rPr>
      </w:pPr>
      <w:r w:rsidRPr="002A3EE1">
        <w:rPr>
          <w:lang w:val="en-US"/>
        </w:rPr>
        <w:t>3.</w:t>
      </w:r>
      <w:r w:rsidRPr="002A3EE1">
        <w:rPr>
          <w:lang w:val="en-US"/>
        </w:rPr>
        <w:tab/>
      </w:r>
      <w:r w:rsidRPr="00D119E7">
        <w:t xml:space="preserve">On 25 November 2022, OHCHR requested Israel and the State of Palestine to provide information on any accountability measures adopted during the reporting period. OHCHR also requested other States Members </w:t>
      </w:r>
      <w:r>
        <w:t xml:space="preserve">of the United Nations </w:t>
      </w:r>
      <w:r w:rsidRPr="00D119E7">
        <w:t xml:space="preserve">to provide information on the steps taken by them as third States to promote compliance with international law. </w:t>
      </w:r>
      <w:r w:rsidRPr="002A3EE1">
        <w:rPr>
          <w:lang w:val="en-US"/>
        </w:rPr>
        <w:t xml:space="preserve">As </w:t>
      </w:r>
      <w:r>
        <w:rPr>
          <w:lang w:val="en-US"/>
        </w:rPr>
        <w:t>at</w:t>
      </w:r>
      <w:r w:rsidRPr="002A3EE1">
        <w:rPr>
          <w:lang w:val="en-US"/>
        </w:rPr>
        <w:t xml:space="preserve"> 28 December, only Qatar had responded.</w:t>
      </w:r>
    </w:p>
    <w:p w14:paraId="0D6EE943" w14:textId="005C8C21" w:rsidR="003E3217" w:rsidRPr="00D119E7" w:rsidRDefault="003E3217" w:rsidP="00C13EBD">
      <w:pPr>
        <w:pStyle w:val="SingleTxtG"/>
      </w:pPr>
      <w:r w:rsidRPr="00D119E7">
        <w:t>4.</w:t>
      </w:r>
      <w:r w:rsidRPr="00D119E7">
        <w:tab/>
        <w:t xml:space="preserve">The human rights situation in the </w:t>
      </w:r>
      <w:r>
        <w:t>Occupied Palestinian Territory</w:t>
      </w:r>
      <w:r w:rsidRPr="00D119E7">
        <w:t xml:space="preserve"> continued to deteriorate during the reporting period, particularly in the northern West Bank. There was a sharp increase in the number of Palestinians killed in the West Bank, as well as Israeli fatalities. During the reporting period, at least 161 Palestinians were killed and 10,298 </w:t>
      </w:r>
      <w:r>
        <w:t xml:space="preserve">were </w:t>
      </w:r>
      <w:r w:rsidRPr="00D119E7">
        <w:t xml:space="preserve">injured in the </w:t>
      </w:r>
      <w:r>
        <w:t>Occupied Palestinian Territory</w:t>
      </w:r>
      <w:r w:rsidRPr="00D119E7">
        <w:t xml:space="preserve"> by Israeli </w:t>
      </w:r>
      <w:r>
        <w:t>s</w:t>
      </w:r>
      <w:r w:rsidRPr="00D119E7">
        <w:t>ecurity forces.</w:t>
      </w:r>
      <w:r w:rsidRPr="00F81291">
        <w:rPr>
          <w:rStyle w:val="FootnoteReference"/>
        </w:rPr>
        <w:footnoteReference w:id="5"/>
      </w:r>
      <w:r w:rsidRPr="00F81291">
        <w:rPr>
          <w:rStyle w:val="FootnoteReference"/>
        </w:rPr>
        <w:t xml:space="preserve"> </w:t>
      </w:r>
      <w:r w:rsidRPr="00D119E7">
        <w:t>This includes 30 killed and 383 injured during the escalation of hostilities in Gaza in August 2022, and 131 killed and 9</w:t>
      </w:r>
      <w:r>
        <w:t>,</w:t>
      </w:r>
      <w:r w:rsidRPr="00D119E7">
        <w:t>904 injured in the West Bank</w:t>
      </w:r>
      <w:r>
        <w:t>,</w:t>
      </w:r>
      <w:r w:rsidRPr="00D119E7">
        <w:t xml:space="preserve"> including East Jerusalem.</w:t>
      </w:r>
      <w:r w:rsidRPr="00F81291">
        <w:rPr>
          <w:rStyle w:val="FootnoteReference"/>
        </w:rPr>
        <w:footnoteReference w:id="6"/>
      </w:r>
      <w:r w:rsidRPr="00F81291">
        <w:rPr>
          <w:rStyle w:val="FootnoteReference"/>
        </w:rPr>
        <w:t xml:space="preserve"> </w:t>
      </w:r>
      <w:r w:rsidRPr="00D119E7">
        <w:t xml:space="preserve">The majority of the casualties were in the two northern </w:t>
      </w:r>
      <w:r>
        <w:t>G</w:t>
      </w:r>
      <w:r w:rsidRPr="00D119E7">
        <w:t>overnorates of Jenin and Nablus. Settler violence</w:t>
      </w:r>
      <w:r w:rsidR="00FC5976">
        <w:t xml:space="preserve"> </w:t>
      </w:r>
      <w:r w:rsidRPr="00D119E7">
        <w:t xml:space="preserve">continued unabated – with 2 Palestinian men killed and 248 injured by settlers – while </w:t>
      </w:r>
      <w:r>
        <w:t>2</w:t>
      </w:r>
      <w:r w:rsidRPr="00D119E7">
        <w:t xml:space="preserve"> Palestinian boys were killed either by </w:t>
      </w:r>
      <w:r>
        <w:t>Israeli security forces</w:t>
      </w:r>
      <w:r w:rsidRPr="00D119E7">
        <w:t xml:space="preserve"> or settlers, who both used firearms simultaneously. </w:t>
      </w:r>
      <w:r>
        <w:t>Twenty</w:t>
      </w:r>
      <w:r w:rsidRPr="00D119E7">
        <w:t xml:space="preserve"> Israelis were killed – the majority by individual Palestinian attackers in Israel – and at least 112 injured.</w:t>
      </w:r>
      <w:r w:rsidRPr="00F81291">
        <w:rPr>
          <w:rStyle w:val="FootnoteReference"/>
        </w:rPr>
        <w:footnoteReference w:id="7"/>
      </w:r>
      <w:r w:rsidRPr="00F81291">
        <w:rPr>
          <w:rStyle w:val="FootnoteReference"/>
        </w:rPr>
        <w:t xml:space="preserve"> </w:t>
      </w:r>
    </w:p>
    <w:p w14:paraId="72F762AA" w14:textId="77777777" w:rsidR="003E3217" w:rsidRPr="00D119E7" w:rsidRDefault="003E3217" w:rsidP="00C13EBD">
      <w:pPr>
        <w:pStyle w:val="SingleTxtG"/>
      </w:pPr>
      <w:r w:rsidRPr="00D119E7">
        <w:t>5.</w:t>
      </w:r>
      <w:r w:rsidRPr="00D119E7">
        <w:tab/>
        <w:t xml:space="preserve">In the West Bank, including East Jerusalem, serious concerns persist that Israel continues to violate its </w:t>
      </w:r>
      <w:r>
        <w:t>international humanitarian law</w:t>
      </w:r>
      <w:r w:rsidRPr="00D119E7">
        <w:t xml:space="preserve"> and </w:t>
      </w:r>
      <w:r>
        <w:t>international human rights law</w:t>
      </w:r>
      <w:r w:rsidRPr="00D119E7">
        <w:t xml:space="preserve"> obligations. Many incidents raised serious concerns that the force used was unlawful, often leading to arbitrary deprivation of life, including extrajudicial execution. OHCHR monitoring of incidents during the escalation of hostilities in Gaza between Israel and some Palestinian armed groups indicated insufficient respect for </w:t>
      </w:r>
      <w:r>
        <w:t>international humanitarian law</w:t>
      </w:r>
      <w:r w:rsidRPr="00D119E7">
        <w:t xml:space="preserve"> by all parties to the conflict. The prevailing climate of impunity by all duty</w:t>
      </w:r>
      <w:r>
        <w:t xml:space="preserve"> </w:t>
      </w:r>
      <w:r w:rsidRPr="00D119E7">
        <w:t>bearers, noted previously by the Secretary-General and the High Commissioner,</w:t>
      </w:r>
      <w:r w:rsidRPr="00F81291">
        <w:rPr>
          <w:rStyle w:val="FootnoteReference"/>
        </w:rPr>
        <w:footnoteReference w:id="8"/>
      </w:r>
      <w:r w:rsidRPr="00F81291">
        <w:rPr>
          <w:rStyle w:val="FootnoteReference"/>
        </w:rPr>
        <w:t xml:space="preserve"> </w:t>
      </w:r>
      <w:r w:rsidRPr="00D119E7">
        <w:t>persisted.</w:t>
      </w:r>
    </w:p>
    <w:p w14:paraId="1790FDDC" w14:textId="77777777" w:rsidR="003E3217" w:rsidRPr="00E30BE0" w:rsidRDefault="003E3217" w:rsidP="00C13EBD">
      <w:pPr>
        <w:pStyle w:val="HChG"/>
      </w:pPr>
      <w:r w:rsidRPr="00E30BE0">
        <w:lastRenderedPageBreak/>
        <w:tab/>
        <w:t>II.</w:t>
      </w:r>
      <w:r w:rsidRPr="00E30BE0">
        <w:tab/>
        <w:t xml:space="preserve">Human </w:t>
      </w:r>
      <w:r>
        <w:t>r</w:t>
      </w:r>
      <w:r w:rsidRPr="00E30BE0">
        <w:t xml:space="preserve">ights </w:t>
      </w:r>
      <w:r>
        <w:t>s</w:t>
      </w:r>
      <w:r w:rsidRPr="00E30BE0">
        <w:t xml:space="preserve">ituation in the </w:t>
      </w:r>
      <w:r>
        <w:t>Occupied Palestinian Territory</w:t>
      </w:r>
    </w:p>
    <w:p w14:paraId="30679C31" w14:textId="77777777" w:rsidR="003E3217" w:rsidRPr="00E30BE0" w:rsidRDefault="003E3217" w:rsidP="00C13EBD">
      <w:pPr>
        <w:pStyle w:val="H1G"/>
      </w:pPr>
      <w:r w:rsidRPr="00E30BE0">
        <w:tab/>
        <w:t>A.</w:t>
      </w:r>
      <w:r w:rsidRPr="00E30BE0">
        <w:tab/>
        <w:t xml:space="preserve">Civilian casualties and damage to civilian objects during conduct of hostilities </w:t>
      </w:r>
    </w:p>
    <w:p w14:paraId="11DFD148" w14:textId="77777777" w:rsidR="003E3217" w:rsidRPr="00D119E7" w:rsidRDefault="003E3217" w:rsidP="00C13EBD">
      <w:pPr>
        <w:pStyle w:val="SingleTxtG"/>
      </w:pPr>
      <w:r w:rsidRPr="00D119E7">
        <w:t>6.</w:t>
      </w:r>
      <w:r w:rsidRPr="00D119E7">
        <w:tab/>
        <w:t>Civilians faced the brunt of the escalation of hostilities in Gaza from 5</w:t>
      </w:r>
      <w:r>
        <w:t xml:space="preserve"> to </w:t>
      </w:r>
      <w:r w:rsidRPr="00D119E7">
        <w:t xml:space="preserve">7 August 2022, which resulted in the death of at least 50 Palestinians – 30 killed by </w:t>
      </w:r>
      <w:r>
        <w:t>Israeli security forces and</w:t>
      </w:r>
      <w:r w:rsidRPr="00D119E7">
        <w:t xml:space="preserve"> 16 by Palestinian armed groups</w:t>
      </w:r>
      <w:r>
        <w:t>;</w:t>
      </w:r>
      <w:r w:rsidRPr="00D119E7">
        <w:t xml:space="preserve"> </w:t>
      </w:r>
      <w:r>
        <w:t>the</w:t>
      </w:r>
      <w:r w:rsidRPr="00D119E7">
        <w:t xml:space="preserve"> perpetrator is unclear for </w:t>
      </w:r>
      <w:r>
        <w:t xml:space="preserve">the </w:t>
      </w:r>
      <w:r w:rsidRPr="00D119E7">
        <w:t>deaths of four persons killed in one incident. OHCHR monitoring indicates that among those killed were 36 civilians (15 men, 12 boys, 5 girls</w:t>
      </w:r>
      <w:r>
        <w:t xml:space="preserve"> and</w:t>
      </w:r>
      <w:r w:rsidRPr="00D119E7">
        <w:t xml:space="preserve"> 4 women), while the </w:t>
      </w:r>
      <w:r w:rsidRPr="00971EA3">
        <w:t>status</w:t>
      </w:r>
      <w:r w:rsidRPr="00D119E7">
        <w:t xml:space="preserve"> of </w:t>
      </w:r>
      <w:r>
        <w:t>6</w:t>
      </w:r>
      <w:r w:rsidRPr="00D119E7">
        <w:t xml:space="preserve"> Palestinians remains undetermined. Of the 383 Palestinians injured (255 </w:t>
      </w:r>
      <w:r>
        <w:t>men and boys</w:t>
      </w:r>
      <w:r w:rsidRPr="00D119E7">
        <w:t xml:space="preserve">, 128 </w:t>
      </w:r>
      <w:r>
        <w:t>women and girls</w:t>
      </w:r>
      <w:r w:rsidRPr="00D119E7">
        <w:t>), the vast majority were civilians, including 164 children.</w:t>
      </w:r>
      <w:r w:rsidRPr="00F81291">
        <w:rPr>
          <w:rStyle w:val="FootnoteReference"/>
        </w:rPr>
        <w:footnoteReference w:id="9"/>
      </w:r>
      <w:r w:rsidRPr="00F81291">
        <w:rPr>
          <w:rStyle w:val="FootnoteReference"/>
        </w:rPr>
        <w:t xml:space="preserve"> </w:t>
      </w:r>
      <w:r w:rsidRPr="00D119E7">
        <w:t>No Israelis were killed</w:t>
      </w:r>
      <w:r>
        <w:t>;</w:t>
      </w:r>
      <w:r w:rsidRPr="00D119E7">
        <w:t xml:space="preserve"> according to Israeli sources</w:t>
      </w:r>
      <w:r>
        <w:t>,</w:t>
      </w:r>
      <w:r w:rsidRPr="00D119E7">
        <w:t xml:space="preserve"> 34 </w:t>
      </w:r>
      <w:r>
        <w:t xml:space="preserve">Israelis </w:t>
      </w:r>
      <w:r w:rsidRPr="00D119E7">
        <w:t>were injured.</w:t>
      </w:r>
      <w:r w:rsidRPr="00F81291">
        <w:rPr>
          <w:rStyle w:val="FootnoteReference"/>
        </w:rPr>
        <w:footnoteReference w:id="10"/>
      </w:r>
      <w:r w:rsidRPr="00F81291">
        <w:rPr>
          <w:rStyle w:val="FootnoteReference"/>
        </w:rPr>
        <w:t xml:space="preserve"> </w:t>
      </w:r>
    </w:p>
    <w:p w14:paraId="526C6397" w14:textId="225FE4F5" w:rsidR="003E3217" w:rsidRPr="00D119E7" w:rsidRDefault="003E3217" w:rsidP="00C13EBD">
      <w:pPr>
        <w:pStyle w:val="SingleTxtG"/>
      </w:pPr>
      <w:r w:rsidRPr="00D119E7">
        <w:t>7.</w:t>
      </w:r>
      <w:r w:rsidRPr="00D119E7">
        <w:tab/>
        <w:t>The escalation began with Israeli air</w:t>
      </w:r>
      <w:r>
        <w:t xml:space="preserve"> </w:t>
      </w:r>
      <w:r w:rsidRPr="00D119E7">
        <w:t xml:space="preserve">strikes against members of </w:t>
      </w:r>
      <w:r>
        <w:t xml:space="preserve">the </w:t>
      </w:r>
      <w:r w:rsidRPr="00D119E7">
        <w:t xml:space="preserve">Al-Quds </w:t>
      </w:r>
      <w:r>
        <w:t>B</w:t>
      </w:r>
      <w:r w:rsidRPr="00D119E7">
        <w:t>rigade</w:t>
      </w:r>
      <w:r>
        <w:t>s</w:t>
      </w:r>
      <w:r w:rsidRPr="00D119E7">
        <w:t xml:space="preserve">, the </w:t>
      </w:r>
      <w:r>
        <w:t>armed</w:t>
      </w:r>
      <w:r w:rsidRPr="00D119E7">
        <w:t xml:space="preserve"> wing of the Palestinian Islamic Jihad, allegedly for </w:t>
      </w:r>
      <w:r w:rsidR="00FC5976">
        <w:t>“</w:t>
      </w:r>
      <w:r w:rsidRPr="00D119E7">
        <w:t>the elimination of a concrete threat</w:t>
      </w:r>
      <w:r w:rsidR="00FC5976">
        <w:t>”</w:t>
      </w:r>
      <w:r w:rsidRPr="00D119E7">
        <w:t>.</w:t>
      </w:r>
      <w:r w:rsidRPr="00F81291">
        <w:rPr>
          <w:rStyle w:val="FootnoteReference"/>
        </w:rPr>
        <w:footnoteReference w:id="11"/>
      </w:r>
      <w:r w:rsidRPr="00F81291">
        <w:rPr>
          <w:rStyle w:val="FootnoteReference"/>
        </w:rPr>
        <w:t xml:space="preserve"> </w:t>
      </w:r>
      <w:r w:rsidRPr="00D119E7">
        <w:t>On 5 August, a senior Al-Quds commander was killed by Israeli air</w:t>
      </w:r>
      <w:r>
        <w:t xml:space="preserve"> </w:t>
      </w:r>
      <w:r w:rsidRPr="00D119E7">
        <w:t>strikes at an apartment</w:t>
      </w:r>
      <w:r>
        <w:t xml:space="preserve"> </w:t>
      </w:r>
      <w:r w:rsidRPr="00D119E7">
        <w:t xml:space="preserve">block in Gaza </w:t>
      </w:r>
      <w:r>
        <w:t>C</w:t>
      </w:r>
      <w:r w:rsidRPr="00D119E7">
        <w:t xml:space="preserve">ity. While no civilians were killed, over 50 families were left homeless due to </w:t>
      </w:r>
      <w:r>
        <w:t xml:space="preserve">building </w:t>
      </w:r>
      <w:r w:rsidRPr="00D119E7">
        <w:t>damage. Another senior commander was killed, along with two other armed-group members, in an Israeli attack in Rafah on 7 August. The air</w:t>
      </w:r>
      <w:r>
        <w:t xml:space="preserve"> </w:t>
      </w:r>
      <w:r w:rsidRPr="00D119E7">
        <w:t xml:space="preserve">strikes destroyed the targeted three-storey building and seven adjacent buildings and also killed </w:t>
      </w:r>
      <w:r>
        <w:t>4</w:t>
      </w:r>
      <w:r w:rsidRPr="00D119E7">
        <w:t xml:space="preserve"> civilians, injured 58 more and damaged 117 additional buildings, raising questions about the respect for the prohibition of indiscriminate attacks and the principles of proportionality and precautions in attack. Similar questions of precautions also arise with respect to the killing of a </w:t>
      </w:r>
      <w:r>
        <w:t>5</w:t>
      </w:r>
      <w:r w:rsidRPr="00D119E7">
        <w:t>-year</w:t>
      </w:r>
      <w:r w:rsidR="00091E07">
        <w:t>-</w:t>
      </w:r>
      <w:r w:rsidRPr="00D119E7">
        <w:t>old girl, along with another civilian</w:t>
      </w:r>
      <w:r>
        <w:t>,</w:t>
      </w:r>
      <w:r w:rsidRPr="00D119E7">
        <w:t xml:space="preserve"> in an air</w:t>
      </w:r>
      <w:r>
        <w:t xml:space="preserve"> </w:t>
      </w:r>
      <w:r w:rsidRPr="00D119E7">
        <w:t xml:space="preserve">strike that killed one armed-group member in </w:t>
      </w:r>
      <w:r w:rsidRPr="002A3EE1">
        <w:t>Shuja</w:t>
      </w:r>
      <w:r w:rsidR="00FC5976">
        <w:t>’</w:t>
      </w:r>
      <w:r w:rsidRPr="002A3EE1">
        <w:t>iyah</w:t>
      </w:r>
      <w:r w:rsidRPr="00D119E7">
        <w:t xml:space="preserve"> on 5 August.</w:t>
      </w:r>
      <w:r w:rsidR="00FC5976">
        <w:t xml:space="preserve"> </w:t>
      </w:r>
    </w:p>
    <w:p w14:paraId="233566AF" w14:textId="36B0F094" w:rsidR="003E3217" w:rsidRPr="00D119E7" w:rsidRDefault="003E3217" w:rsidP="00C13EBD">
      <w:pPr>
        <w:pStyle w:val="SingleTxtG"/>
      </w:pPr>
      <w:r w:rsidRPr="00D119E7">
        <w:t>8.</w:t>
      </w:r>
      <w:r w:rsidRPr="00D119E7">
        <w:tab/>
        <w:t>On 7 August, an Israeli air</w:t>
      </w:r>
      <w:r>
        <w:t xml:space="preserve"> </w:t>
      </w:r>
      <w:r w:rsidRPr="00D119E7">
        <w:t>strike on a cemetery in Jabal</w:t>
      </w:r>
      <w:r>
        <w:t>y</w:t>
      </w:r>
      <w:r w:rsidRPr="00D119E7">
        <w:t>a killed five boys, including a 4-year-old, and injured four other civilians. According to eyewitnesses, four of the boys had gathered around their grandfather</w:t>
      </w:r>
      <w:r w:rsidR="00FC5976">
        <w:t>’</w:t>
      </w:r>
      <w:r w:rsidRPr="00D119E7">
        <w:t xml:space="preserve">s tomb with a friend. While </w:t>
      </w:r>
      <w:r>
        <w:t>the Israeli Defense Forces</w:t>
      </w:r>
      <w:r w:rsidRPr="00D119E7">
        <w:t xml:space="preserve"> initially rejected responsibility, </w:t>
      </w:r>
      <w:r>
        <w:t>s</w:t>
      </w:r>
      <w:r w:rsidRPr="00D119E7">
        <w:t>enior officials reportedly acknowledged responsibility.</w:t>
      </w:r>
      <w:r w:rsidRPr="00F81291">
        <w:rPr>
          <w:rStyle w:val="FootnoteReference"/>
        </w:rPr>
        <w:footnoteReference w:id="12"/>
      </w:r>
      <w:r w:rsidRPr="00F81291">
        <w:rPr>
          <w:rStyle w:val="FootnoteReference"/>
        </w:rPr>
        <w:t xml:space="preserve"> </w:t>
      </w:r>
      <w:r w:rsidRPr="00D119E7">
        <w:t>This is consistent with OHCHR findings.</w:t>
      </w:r>
      <w:r w:rsidRPr="00F81291">
        <w:rPr>
          <w:rStyle w:val="FootnoteReference"/>
        </w:rPr>
        <w:footnoteReference w:id="13"/>
      </w:r>
      <w:r w:rsidRPr="00F81291">
        <w:rPr>
          <w:rStyle w:val="FootnoteReference"/>
        </w:rPr>
        <w:t xml:space="preserve"> </w:t>
      </w:r>
      <w:r w:rsidRPr="00D119E7">
        <w:t xml:space="preserve">There was no apparent military objective nearby, raising concerns that this could potentially amount to a direct attack on civilians. Under international law, intentionally directing </w:t>
      </w:r>
      <w:r>
        <w:t xml:space="preserve">an </w:t>
      </w:r>
      <w:r w:rsidRPr="00D119E7">
        <w:t>attack against civilians not taking direct part in hostilities constitute</w:t>
      </w:r>
      <w:r>
        <w:t>s</w:t>
      </w:r>
      <w:r w:rsidRPr="00D119E7">
        <w:t xml:space="preserve"> </w:t>
      </w:r>
      <w:r>
        <w:t xml:space="preserve">a </w:t>
      </w:r>
      <w:r w:rsidRPr="00D119E7">
        <w:t>war crime.</w:t>
      </w:r>
      <w:r w:rsidRPr="00F81291">
        <w:rPr>
          <w:rStyle w:val="FootnoteReference"/>
        </w:rPr>
        <w:footnoteReference w:id="14"/>
      </w:r>
      <w:r w:rsidRPr="00F81291">
        <w:rPr>
          <w:rStyle w:val="FootnoteReference"/>
        </w:rPr>
        <w:t xml:space="preserve"> </w:t>
      </w:r>
    </w:p>
    <w:p w14:paraId="52B0FE59" w14:textId="67D99E3F" w:rsidR="003E3217" w:rsidRPr="002A3EE1" w:rsidRDefault="003E3217" w:rsidP="00C13EBD">
      <w:pPr>
        <w:pStyle w:val="SingleTxtG"/>
        <w:rPr>
          <w:lang w:val="en-US"/>
        </w:rPr>
      </w:pPr>
      <w:r w:rsidRPr="002A3EE1">
        <w:rPr>
          <w:lang w:val="en-US"/>
        </w:rPr>
        <w:t>9.</w:t>
      </w:r>
      <w:r w:rsidRPr="002A3EE1">
        <w:rPr>
          <w:lang w:val="en-US"/>
        </w:rPr>
        <w:tab/>
      </w:r>
      <w:r w:rsidRPr="00D119E7">
        <w:t>Israeli strikes also hit prima facie civilian objects, causing civilian casualties and damage to civilian objects. According to the Office for the Coordination of Humanitarian Affairs, 32 houses were completely destroyed, 126 severely damaged and rendered inhabitable, and 1</w:t>
      </w:r>
      <w:r>
        <w:t>,</w:t>
      </w:r>
      <w:r w:rsidRPr="00D119E7">
        <w:t xml:space="preserve">445 partially damaged. </w:t>
      </w:r>
      <w:r>
        <w:t xml:space="preserve">Approximately </w:t>
      </w:r>
      <w:r w:rsidRPr="002A3EE1">
        <w:rPr>
          <w:lang w:val="en-US"/>
        </w:rPr>
        <w:t>600 Palestinians were rendered homeless.</w:t>
      </w:r>
    </w:p>
    <w:p w14:paraId="6B1A6DB4" w14:textId="233D89CD" w:rsidR="003E3217" w:rsidRPr="00D119E7" w:rsidRDefault="003E3217" w:rsidP="00C13EBD">
      <w:pPr>
        <w:pStyle w:val="SingleTxtG"/>
      </w:pPr>
      <w:r w:rsidRPr="00D119E7">
        <w:t>10.</w:t>
      </w:r>
      <w:r w:rsidRPr="00D119E7">
        <w:tab/>
        <w:t>Palestinian armed groups, mainly Al-Quds Brigade</w:t>
      </w:r>
      <w:r>
        <w:t>s</w:t>
      </w:r>
      <w:r w:rsidRPr="00D119E7">
        <w:t>, fired hundreds of rockets and mortars towards Israel. Most were intercepted, although some caused injuries and material damage in Israel. Many of the rockets</w:t>
      </w:r>
      <w:r w:rsidR="00FC5976">
        <w:t xml:space="preserve"> </w:t>
      </w:r>
      <w:r w:rsidRPr="00D119E7">
        <w:t>fell short, killing 16 Palestinians (</w:t>
      </w:r>
      <w:r>
        <w:t>6</w:t>
      </w:r>
      <w:r w:rsidRPr="00D119E7">
        <w:t xml:space="preserve"> men, </w:t>
      </w:r>
      <w:r>
        <w:t>6</w:t>
      </w:r>
      <w:r w:rsidRPr="00D119E7">
        <w:t xml:space="preserve"> boys, </w:t>
      </w:r>
      <w:r>
        <w:t>3</w:t>
      </w:r>
      <w:r w:rsidRPr="00D119E7">
        <w:t xml:space="preserve"> girls</w:t>
      </w:r>
      <w:r>
        <w:t xml:space="preserve"> and</w:t>
      </w:r>
      <w:r w:rsidRPr="00D119E7">
        <w:t xml:space="preserve"> </w:t>
      </w:r>
      <w:r>
        <w:t>1</w:t>
      </w:r>
      <w:r w:rsidRPr="00D119E7">
        <w:t xml:space="preserve"> woman) and injuring others in Gaza. On 6 August, seven civilians, including four boys, were killed after an explosion in a crowded area in Jabal</w:t>
      </w:r>
      <w:r>
        <w:t>y</w:t>
      </w:r>
      <w:r w:rsidRPr="00D119E7">
        <w:t xml:space="preserve">a camp. According to the Gaza Ministry of Health, 37 others were injured, including 24 children. </w:t>
      </w:r>
      <w:r>
        <w:t>Israeli security forces</w:t>
      </w:r>
      <w:r w:rsidRPr="00D119E7">
        <w:t xml:space="preserve"> denied responsibility for the attack.</w:t>
      </w:r>
      <w:r w:rsidRPr="00F81291">
        <w:rPr>
          <w:rStyle w:val="FootnoteReference"/>
        </w:rPr>
        <w:footnoteReference w:id="15"/>
      </w:r>
      <w:r w:rsidRPr="00F81291">
        <w:rPr>
          <w:rStyle w:val="FootnoteReference"/>
        </w:rPr>
        <w:t xml:space="preserve"> </w:t>
      </w:r>
      <w:r w:rsidRPr="00D119E7">
        <w:t xml:space="preserve">OHCHR monitoring indicates that the cause of the explosion was a rocket fired by Palestinian armed groups that fell short of </w:t>
      </w:r>
      <w:r>
        <w:t>the</w:t>
      </w:r>
      <w:r w:rsidRPr="00D119E7">
        <w:t xml:space="preserve"> intended target. </w:t>
      </w:r>
      <w:r w:rsidRPr="00D119E7">
        <w:lastRenderedPageBreak/>
        <w:t xml:space="preserve">In another instance, a Palestinian armed group fired a mortar shell </w:t>
      </w:r>
      <w:r>
        <w:t>that</w:t>
      </w:r>
      <w:r w:rsidRPr="00D119E7">
        <w:t xml:space="preserve"> killed a Palestinian woman and a girl in Beit Hanun on 6 August.</w:t>
      </w:r>
    </w:p>
    <w:p w14:paraId="6FEF7644" w14:textId="77777777" w:rsidR="003E3217" w:rsidRPr="00D119E7" w:rsidRDefault="003E3217" w:rsidP="00C13EBD">
      <w:pPr>
        <w:pStyle w:val="SingleTxtG"/>
      </w:pPr>
      <w:r w:rsidRPr="00D119E7">
        <w:t>11.</w:t>
      </w:r>
      <w:r w:rsidRPr="00D119E7">
        <w:tab/>
        <w:t>The rockets fired by Palestinian armed groups are inherently indiscriminate.</w:t>
      </w:r>
      <w:r w:rsidRPr="00F81291">
        <w:rPr>
          <w:rStyle w:val="FootnoteReference"/>
        </w:rPr>
        <w:footnoteReference w:id="16"/>
      </w:r>
      <w:r w:rsidRPr="00F81291">
        <w:rPr>
          <w:rStyle w:val="FootnoteReference"/>
        </w:rPr>
        <w:t xml:space="preserve"> </w:t>
      </w:r>
      <w:r w:rsidRPr="00D119E7">
        <w:t xml:space="preserve">Their use constitutes a clear violation of the prohibition of indiscriminate attacks under </w:t>
      </w:r>
      <w:r>
        <w:t>international humanitarian law</w:t>
      </w:r>
      <w:r w:rsidRPr="00D119E7">
        <w:t xml:space="preserve"> and may amount to a war crime.</w:t>
      </w:r>
      <w:r w:rsidRPr="00F81291">
        <w:rPr>
          <w:rStyle w:val="FootnoteReference"/>
        </w:rPr>
        <w:footnoteReference w:id="17"/>
      </w:r>
      <w:r w:rsidRPr="00F81291">
        <w:rPr>
          <w:rStyle w:val="FootnoteReference"/>
        </w:rPr>
        <w:t xml:space="preserve"> </w:t>
      </w:r>
      <w:r w:rsidRPr="00D119E7">
        <w:t>The launching of mortars in indiscriminate attacks raises similar concerns.</w:t>
      </w:r>
      <w:r w:rsidRPr="00F81291">
        <w:rPr>
          <w:rStyle w:val="FootnoteReference"/>
        </w:rPr>
        <w:footnoteReference w:id="18"/>
      </w:r>
      <w:r w:rsidRPr="00F81291">
        <w:rPr>
          <w:rStyle w:val="FootnoteReference"/>
        </w:rPr>
        <w:t xml:space="preserve"> </w:t>
      </w:r>
    </w:p>
    <w:p w14:paraId="509913DA" w14:textId="0D83FB22" w:rsidR="003E3217" w:rsidRPr="00E30BE0" w:rsidRDefault="003E3217" w:rsidP="00C13EBD">
      <w:pPr>
        <w:pStyle w:val="H1G"/>
      </w:pPr>
      <w:r w:rsidRPr="00E30BE0">
        <w:tab/>
        <w:t>B.</w:t>
      </w:r>
      <w:r w:rsidRPr="00E30BE0">
        <w:tab/>
        <w:t xml:space="preserve">Collective </w:t>
      </w:r>
      <w:r>
        <w:t>p</w:t>
      </w:r>
      <w:r w:rsidRPr="00E30BE0">
        <w:t>unishment</w:t>
      </w:r>
    </w:p>
    <w:p w14:paraId="1B9B637F" w14:textId="77777777" w:rsidR="003E3217" w:rsidRPr="00F81291" w:rsidRDefault="003E3217" w:rsidP="00C13EBD">
      <w:pPr>
        <w:pStyle w:val="SingleTxtG"/>
        <w:rPr>
          <w:rStyle w:val="FootnoteReference"/>
        </w:rPr>
      </w:pPr>
      <w:r w:rsidRPr="00D119E7">
        <w:t>12.</w:t>
      </w:r>
      <w:r w:rsidRPr="00D119E7">
        <w:tab/>
        <w:t>Israeli practices that may amount to collective punishment – imposing punitive measures on individuals and communities for offences they did not commit – continued.</w:t>
      </w:r>
      <w:r w:rsidRPr="00F81291">
        <w:rPr>
          <w:rStyle w:val="FootnoteReference"/>
        </w:rPr>
        <w:footnoteReference w:id="19"/>
      </w:r>
      <w:r w:rsidRPr="00F81291">
        <w:rPr>
          <w:rStyle w:val="FootnoteReference"/>
        </w:rPr>
        <w:t xml:space="preserve"> </w:t>
      </w:r>
      <w:r w:rsidRPr="00D119E7">
        <w:t xml:space="preserve">Collective punishment is expressly prohibited by </w:t>
      </w:r>
      <w:r>
        <w:t>international humanitarian law</w:t>
      </w:r>
      <w:r w:rsidRPr="00F81291">
        <w:rPr>
          <w:rStyle w:val="FootnoteReference"/>
        </w:rPr>
        <w:footnoteReference w:id="20"/>
      </w:r>
      <w:r w:rsidRPr="00F81291">
        <w:rPr>
          <w:rStyle w:val="FootnoteReference"/>
        </w:rPr>
        <w:t xml:space="preserve"> </w:t>
      </w:r>
      <w:r w:rsidRPr="00D119E7">
        <w:t>and is incompatible with several provisions</w:t>
      </w:r>
      <w:r>
        <w:t xml:space="preserve"> of international human rights law</w:t>
      </w:r>
      <w:r w:rsidRPr="00D119E7">
        <w:t>.</w:t>
      </w:r>
      <w:r w:rsidRPr="00F81291">
        <w:rPr>
          <w:rStyle w:val="FootnoteReference"/>
        </w:rPr>
        <w:footnoteReference w:id="21"/>
      </w:r>
    </w:p>
    <w:p w14:paraId="3344B5B0" w14:textId="77777777" w:rsidR="003E3217" w:rsidRPr="00F81291" w:rsidRDefault="003E3217" w:rsidP="00C13EBD">
      <w:pPr>
        <w:pStyle w:val="SingleTxtG"/>
        <w:rPr>
          <w:rStyle w:val="FootnoteReference"/>
        </w:rPr>
      </w:pPr>
      <w:r w:rsidRPr="00D119E7">
        <w:t>13.</w:t>
      </w:r>
      <w:r w:rsidRPr="00D119E7">
        <w:tab/>
      </w:r>
      <w:r>
        <w:t>The</w:t>
      </w:r>
      <w:r w:rsidRPr="00D119E7">
        <w:t xml:space="preserve"> land, sea and air blockade and </w:t>
      </w:r>
      <w:r>
        <w:t xml:space="preserve">the </w:t>
      </w:r>
      <w:r w:rsidRPr="00D119E7">
        <w:t>closure of Gaza, which constitute collective punishment,</w:t>
      </w:r>
      <w:r w:rsidRPr="00F81291">
        <w:rPr>
          <w:rStyle w:val="FootnoteReference"/>
        </w:rPr>
        <w:footnoteReference w:id="22"/>
      </w:r>
      <w:r w:rsidRPr="00F81291">
        <w:rPr>
          <w:rStyle w:val="FootnoteReference"/>
        </w:rPr>
        <w:t xml:space="preserve"> </w:t>
      </w:r>
      <w:r>
        <w:t>entered</w:t>
      </w:r>
      <w:r w:rsidRPr="00D119E7">
        <w:t xml:space="preserve"> its </w:t>
      </w:r>
      <w:r>
        <w:t>sixteenth</w:t>
      </w:r>
      <w:r w:rsidRPr="00D119E7">
        <w:t xml:space="preserve"> year, with extremely detrimental impacts on freedom of movement, and the enjoyment of economic, social and cultural rights, such as the rights to an adequate standard of living, health, education, work and family life.</w:t>
      </w:r>
      <w:r w:rsidRPr="00F81291">
        <w:rPr>
          <w:rStyle w:val="FootnoteReference"/>
        </w:rPr>
        <w:footnoteReference w:id="23"/>
      </w:r>
      <w:r w:rsidRPr="00F81291">
        <w:rPr>
          <w:rStyle w:val="FootnoteReference"/>
        </w:rPr>
        <w:t xml:space="preserve"> </w:t>
      </w:r>
      <w:r>
        <w:t>One</w:t>
      </w:r>
      <w:r w:rsidRPr="00D119E7">
        <w:t xml:space="preserve"> significant consequence of the blockade is severe restrictions on access to specialized medical care not available in Gaza. </w:t>
      </w:r>
      <w:r>
        <w:t>Affected</w:t>
      </w:r>
      <w:r w:rsidRPr="00D119E7">
        <w:t xml:space="preserve"> patients require an Israeli exit</w:t>
      </w:r>
      <w:r>
        <w:t xml:space="preserve"> </w:t>
      </w:r>
      <w:r w:rsidRPr="00D119E7">
        <w:t>permit to receive critical and sometimes life</w:t>
      </w:r>
      <w:r>
        <w:t>-</w:t>
      </w:r>
      <w:r w:rsidRPr="00D119E7">
        <w:t>saving care</w:t>
      </w:r>
      <w:r>
        <w:t>. Such permits are often</w:t>
      </w:r>
      <w:r w:rsidRPr="00D119E7">
        <w:t xml:space="preserve"> delayed or denied. Between January and October 2022, OHCHR recorded the death of 11 patients (5 men, 4 boys, 1 woman</w:t>
      </w:r>
      <w:r>
        <w:t xml:space="preserve"> and </w:t>
      </w:r>
      <w:r w:rsidRPr="00D119E7">
        <w:t xml:space="preserve">1 girl) </w:t>
      </w:r>
      <w:r>
        <w:t xml:space="preserve">who died </w:t>
      </w:r>
      <w:r w:rsidRPr="00D119E7">
        <w:t>while waiting for exit</w:t>
      </w:r>
      <w:r>
        <w:t xml:space="preserve"> </w:t>
      </w:r>
      <w:r w:rsidRPr="00D119E7">
        <w:t>permits to receive potentially life-saving care.</w:t>
      </w:r>
      <w:r w:rsidRPr="00F81291">
        <w:rPr>
          <w:rStyle w:val="FootnoteReference"/>
        </w:rPr>
        <w:footnoteReference w:id="24"/>
      </w:r>
    </w:p>
    <w:p w14:paraId="6DFADD67" w14:textId="6E960994" w:rsidR="003E3217" w:rsidRPr="00D119E7" w:rsidRDefault="003E3217" w:rsidP="00C13EBD">
      <w:pPr>
        <w:pStyle w:val="SingleTxtG"/>
      </w:pPr>
      <w:r w:rsidRPr="00D119E7">
        <w:t>14.</w:t>
      </w:r>
      <w:r w:rsidRPr="00D119E7">
        <w:tab/>
        <w:t xml:space="preserve">Closures also repeatedly took place in the context of </w:t>
      </w:r>
      <w:r>
        <w:t>Israeli security forces</w:t>
      </w:r>
      <w:r w:rsidRPr="00D119E7">
        <w:t xml:space="preserve"> operations in the West Bank. Some may amount </w:t>
      </w:r>
      <w:r>
        <w:t>to</w:t>
      </w:r>
      <w:r w:rsidRPr="00D119E7">
        <w:t xml:space="preserve"> collective punishment, as they penalized entire communities without regard to individual responsibility. </w:t>
      </w:r>
      <w:r>
        <w:t>For example,</w:t>
      </w:r>
      <w:r w:rsidRPr="00D119E7">
        <w:t xml:space="preserve"> following the killing of an Israeli soldier, </w:t>
      </w:r>
      <w:r>
        <w:t>Israeli security forces</w:t>
      </w:r>
      <w:r w:rsidRPr="00D119E7">
        <w:t xml:space="preserve"> stated it</w:t>
      </w:r>
      <w:r>
        <w:t xml:space="preserve"> had</w:t>
      </w:r>
      <w:r w:rsidRPr="00D119E7">
        <w:t xml:space="preserve"> </w:t>
      </w:r>
      <w:r w:rsidR="00FC5976">
        <w:t>“</w:t>
      </w:r>
      <w:r w:rsidRPr="00D119E7">
        <w:t>implemented blockades and inspections around the city of Nablus and the nearby villages due to the recent rise in terrorism within the city</w:t>
      </w:r>
      <w:r w:rsidR="00FC5976">
        <w:t>”</w:t>
      </w:r>
      <w:r>
        <w:t>.</w:t>
      </w:r>
      <w:r w:rsidRPr="00F81291">
        <w:rPr>
          <w:rStyle w:val="FootnoteReference"/>
        </w:rPr>
        <w:footnoteReference w:id="25"/>
      </w:r>
      <w:r w:rsidRPr="00F81291">
        <w:rPr>
          <w:rStyle w:val="FootnoteReference"/>
        </w:rPr>
        <w:t xml:space="preserve"> </w:t>
      </w:r>
      <w:r w:rsidRPr="00F75964">
        <w:t>Israeli security forces controlled entry and exit into the majority of the city with permanent checkpoints, closed metal gates, and earth mounds.</w:t>
      </w:r>
      <w:r w:rsidRPr="00F81291">
        <w:rPr>
          <w:rStyle w:val="FootnoteReference"/>
        </w:rPr>
        <w:footnoteReference w:id="26"/>
      </w:r>
      <w:r w:rsidRPr="00F81291">
        <w:rPr>
          <w:rStyle w:val="FootnoteReference"/>
        </w:rPr>
        <w:t xml:space="preserve"> </w:t>
      </w:r>
      <w:r w:rsidRPr="002A3EE1">
        <w:t xml:space="preserve">These closures from 11 October to 3 November affected almost 200,000 Palestinians, including </w:t>
      </w:r>
      <w:r>
        <w:t>their</w:t>
      </w:r>
      <w:r w:rsidRPr="00F75964">
        <w:t xml:space="preserve"> access to education and health care.</w:t>
      </w:r>
      <w:r w:rsidRPr="00D119E7">
        <w:t xml:space="preserve"> Children and teachers struggled to reach schools</w:t>
      </w:r>
      <w:r>
        <w:t>, and</w:t>
      </w:r>
      <w:r w:rsidRPr="00D119E7">
        <w:t xml:space="preserve"> there was a 20</w:t>
      </w:r>
      <w:r>
        <w:t xml:space="preserve"> per cent</w:t>
      </w:r>
      <w:r w:rsidRPr="00D119E7">
        <w:t xml:space="preserve"> drop in patients arriving at primary health</w:t>
      </w:r>
      <w:r>
        <w:t>-</w:t>
      </w:r>
      <w:r w:rsidRPr="00D119E7">
        <w:t>care facilities in Nablus. The closures also had a dramatic impact on the economy.</w:t>
      </w:r>
      <w:r w:rsidRPr="00F81291">
        <w:rPr>
          <w:rStyle w:val="FootnoteReference"/>
        </w:rPr>
        <w:footnoteReference w:id="27"/>
      </w:r>
      <w:r w:rsidRPr="00F81291">
        <w:rPr>
          <w:rStyle w:val="FootnoteReference"/>
        </w:rPr>
        <w:t xml:space="preserve"> </w:t>
      </w:r>
      <w:r w:rsidRPr="00D119E7">
        <w:t xml:space="preserve">Disproportionate </w:t>
      </w:r>
      <w:r w:rsidRPr="00D119E7">
        <w:lastRenderedPageBreak/>
        <w:t>restrictions are inconsistent with the obligations of Israel, as the occupying Power, to ensure</w:t>
      </w:r>
      <w:r>
        <w:t xml:space="preserve"> that</w:t>
      </w:r>
      <w:r w:rsidRPr="00D119E7">
        <w:t xml:space="preserve"> Palestinians enjoy the rights to freedom of movement, health and education. </w:t>
      </w:r>
    </w:p>
    <w:p w14:paraId="4C0CA8A9" w14:textId="77777777" w:rsidR="003E3217" w:rsidRPr="00D119E7" w:rsidRDefault="003E3217" w:rsidP="00C13EBD">
      <w:pPr>
        <w:pStyle w:val="SingleTxtG"/>
      </w:pPr>
      <w:r w:rsidRPr="00D119E7">
        <w:t>15.</w:t>
      </w:r>
      <w:r w:rsidRPr="00D119E7">
        <w:tab/>
        <w:t xml:space="preserve">Israeli authorities continued punitive demolitions of </w:t>
      </w:r>
      <w:r>
        <w:t xml:space="preserve">the </w:t>
      </w:r>
      <w:r w:rsidRPr="00D119E7">
        <w:t xml:space="preserve">family homes of alleged Palestinian attackers as collective punishment . During the reporting period, </w:t>
      </w:r>
      <w:r>
        <w:t>Israeli security forces</w:t>
      </w:r>
      <w:r w:rsidRPr="00D119E7">
        <w:t xml:space="preserve"> punitively demolished 11 residential structures in the West Bank, including East Jerusalem, forcibly evicting 71 Palestinians (40 male</w:t>
      </w:r>
      <w:r>
        <w:t xml:space="preserve"> and</w:t>
      </w:r>
      <w:r w:rsidRPr="00D119E7">
        <w:t xml:space="preserve"> 31 female, including 29 children)</w:t>
      </w:r>
      <w:r>
        <w:t>;</w:t>
      </w:r>
      <w:r w:rsidRPr="00D119E7">
        <w:t xml:space="preserve"> 59 others</w:t>
      </w:r>
      <w:r>
        <w:t xml:space="preserve"> were also affected</w:t>
      </w:r>
      <w:r w:rsidRPr="00D119E7">
        <w:t>.</w:t>
      </w:r>
      <w:r w:rsidRPr="00F81291">
        <w:rPr>
          <w:rStyle w:val="FootnoteReference"/>
        </w:rPr>
        <w:footnoteReference w:id="28"/>
      </w:r>
      <w:r w:rsidRPr="00F81291">
        <w:rPr>
          <w:rStyle w:val="FootnoteReference"/>
        </w:rPr>
        <w:t xml:space="preserve"> </w:t>
      </w:r>
      <w:r w:rsidRPr="00D119E7">
        <w:t xml:space="preserve">Punitive home demolitions violate </w:t>
      </w:r>
      <w:r>
        <w:t>international human rights law</w:t>
      </w:r>
      <w:r w:rsidRPr="00D119E7">
        <w:t>,</w:t>
      </w:r>
      <w:r w:rsidRPr="00F81291">
        <w:rPr>
          <w:rStyle w:val="FootnoteReference"/>
        </w:rPr>
        <w:footnoteReference w:id="29"/>
      </w:r>
      <w:r w:rsidRPr="00F81291">
        <w:rPr>
          <w:rStyle w:val="FootnoteReference"/>
        </w:rPr>
        <w:t xml:space="preserve"> </w:t>
      </w:r>
      <w:r w:rsidRPr="00D119E7">
        <w:t xml:space="preserve">and are prohibited by </w:t>
      </w:r>
      <w:r>
        <w:t>international humanitarian law</w:t>
      </w:r>
      <w:r w:rsidRPr="00D119E7">
        <w:t>.</w:t>
      </w:r>
      <w:r w:rsidRPr="00F81291">
        <w:rPr>
          <w:rStyle w:val="FootnoteReference"/>
        </w:rPr>
        <w:footnoteReference w:id="30"/>
      </w:r>
      <w:r w:rsidRPr="00F81291">
        <w:rPr>
          <w:rStyle w:val="FootnoteReference"/>
        </w:rPr>
        <w:t xml:space="preserve"> </w:t>
      </w:r>
      <w:r w:rsidRPr="00D119E7">
        <w:t>They disproportionally affect Palestinian women and girls</w:t>
      </w:r>
      <w:r>
        <w:t>,</w:t>
      </w:r>
      <w:r w:rsidRPr="00D119E7">
        <w:t xml:space="preserve"> with severe impacts on their physical and psychological well-being.</w:t>
      </w:r>
      <w:r w:rsidRPr="00F81291">
        <w:rPr>
          <w:rStyle w:val="FootnoteReference"/>
        </w:rPr>
        <w:footnoteReference w:id="31"/>
      </w:r>
      <w:r w:rsidRPr="00F81291">
        <w:rPr>
          <w:rStyle w:val="FootnoteReference"/>
        </w:rPr>
        <w:t xml:space="preserve"> </w:t>
      </w:r>
      <w:r w:rsidRPr="00D119E7">
        <w:t>Extensive destruction and appropriation of property in occupied territory, not justified by military necessity and carried out unlawfully and wantonly</w:t>
      </w:r>
      <w:r>
        <w:t>,</w:t>
      </w:r>
      <w:r w:rsidRPr="00D119E7">
        <w:t xml:space="preserve"> is a grave breach of</w:t>
      </w:r>
      <w:r>
        <w:t xml:space="preserve"> article 147 of</w:t>
      </w:r>
      <w:r w:rsidRPr="00D119E7">
        <w:t xml:space="preserve"> the </w:t>
      </w:r>
      <w:r>
        <w:rPr>
          <w:lang w:val="en-US"/>
        </w:rPr>
        <w:t>Geneva Convention relative to the Protection of Civilian Persons in Time of War</w:t>
      </w:r>
      <w:r w:rsidRPr="00D119E7">
        <w:t xml:space="preserve"> </w:t>
      </w:r>
      <w:r>
        <w:t>(</w:t>
      </w:r>
      <w:r w:rsidRPr="00D119E7">
        <w:t>Fourth Geneva Convention</w:t>
      </w:r>
      <w:r>
        <w:t>)</w:t>
      </w:r>
      <w:r w:rsidRPr="00D119E7">
        <w:t xml:space="preserve"> and thus a war crime. </w:t>
      </w:r>
    </w:p>
    <w:p w14:paraId="1CAF3922" w14:textId="77777777" w:rsidR="003E3217" w:rsidRPr="00BF47AF" w:rsidRDefault="003E3217" w:rsidP="00C13EBD">
      <w:pPr>
        <w:pStyle w:val="SingleTxtG"/>
      </w:pPr>
      <w:r w:rsidRPr="00BF47AF">
        <w:t>16.</w:t>
      </w:r>
      <w:r w:rsidRPr="00BF47AF">
        <w:tab/>
      </w:r>
      <w:r w:rsidRPr="00D119E7">
        <w:t xml:space="preserve">Israel continued withholding bodies of Palestinians killed by </w:t>
      </w:r>
      <w:r>
        <w:t>Israeli security forces</w:t>
      </w:r>
      <w:r w:rsidRPr="00D119E7">
        <w:t>. During the reporting period, Israeli authorities withheld 30 bodies</w:t>
      </w:r>
      <w:r>
        <w:t>,</w:t>
      </w:r>
      <w:r w:rsidRPr="00D119E7">
        <w:t xml:space="preserve"> including </w:t>
      </w:r>
      <w:r>
        <w:t xml:space="preserve">those of </w:t>
      </w:r>
      <w:r w:rsidRPr="00D119E7">
        <w:t>3 boys and 1 woman</w:t>
      </w:r>
      <w:r w:rsidRPr="004855C9">
        <w:t>. As at 31 October, a total of 114 bodies were being held, including of at least 12 boys and 2 women.</w:t>
      </w:r>
      <w:r w:rsidRPr="00F81291">
        <w:rPr>
          <w:rStyle w:val="FootnoteReference"/>
        </w:rPr>
        <w:footnoteReference w:id="32"/>
      </w:r>
      <w:r w:rsidRPr="00F81291">
        <w:rPr>
          <w:rStyle w:val="FootnoteReference"/>
        </w:rPr>
        <w:t xml:space="preserve"> </w:t>
      </w:r>
      <w:r w:rsidRPr="00D119E7">
        <w:t xml:space="preserve">There were no developments regarding two Israeli civilians and </w:t>
      </w:r>
      <w:r>
        <w:t xml:space="preserve">the </w:t>
      </w:r>
      <w:r w:rsidRPr="00D119E7">
        <w:t>bodies of two Israeli soldiers being held in Gaza.</w:t>
      </w:r>
      <w:r w:rsidRPr="00F81291">
        <w:rPr>
          <w:rStyle w:val="FootnoteReference"/>
        </w:rPr>
        <w:footnoteReference w:id="33"/>
      </w:r>
      <w:r w:rsidRPr="00F81291">
        <w:rPr>
          <w:rStyle w:val="FootnoteReference"/>
        </w:rPr>
        <w:t xml:space="preserve"> </w:t>
      </w:r>
      <w:r w:rsidRPr="00D119E7">
        <w:t>The Human Rights Committee has noted that withholding bodies of the deceased and denying the right of families to a burial may amount to torture and ill-treatment.</w:t>
      </w:r>
      <w:r w:rsidRPr="00F81291">
        <w:rPr>
          <w:rStyle w:val="FootnoteReference"/>
        </w:rPr>
        <w:footnoteReference w:id="34"/>
      </w:r>
      <w:r w:rsidRPr="00F81291">
        <w:rPr>
          <w:rStyle w:val="FootnoteReference"/>
        </w:rPr>
        <w:t xml:space="preserve"> </w:t>
      </w:r>
      <w:r w:rsidRPr="00BF47AF">
        <w:t>Withholding of bodies is also inconsistent with the obligations of Israel as an occupying Power.</w:t>
      </w:r>
      <w:r w:rsidRPr="00F81291">
        <w:rPr>
          <w:rStyle w:val="FootnoteReference"/>
        </w:rPr>
        <w:footnoteReference w:id="35"/>
      </w:r>
      <w:r w:rsidRPr="00F81291">
        <w:rPr>
          <w:rStyle w:val="FootnoteReference"/>
        </w:rPr>
        <w:t xml:space="preserve"> </w:t>
      </w:r>
    </w:p>
    <w:p w14:paraId="092F89BF" w14:textId="77777777" w:rsidR="003E3217" w:rsidRPr="00E30BE0" w:rsidRDefault="003E3217" w:rsidP="00C13EBD">
      <w:pPr>
        <w:pStyle w:val="H1G"/>
      </w:pPr>
      <w:r w:rsidRPr="00E30BE0">
        <w:tab/>
        <w:t>C.</w:t>
      </w:r>
      <w:r w:rsidRPr="00E30BE0">
        <w:tab/>
        <w:t>Unlawful killings and injuries in the context of law enforcement</w:t>
      </w:r>
    </w:p>
    <w:p w14:paraId="7FC4274B" w14:textId="77777777" w:rsidR="003E3217" w:rsidRPr="00D119E7" w:rsidRDefault="003E3217" w:rsidP="00C13EBD">
      <w:pPr>
        <w:pStyle w:val="SingleTxtG"/>
        <w:rPr>
          <w:b/>
        </w:rPr>
      </w:pPr>
      <w:r w:rsidRPr="00D119E7">
        <w:t>17.</w:t>
      </w:r>
      <w:r w:rsidRPr="00D119E7">
        <w:tab/>
        <w:t>During the reporting period</w:t>
      </w:r>
      <w:r>
        <w:t>,</w:t>
      </w:r>
      <w:r w:rsidRPr="00D119E7">
        <w:t xml:space="preserve"> </w:t>
      </w:r>
      <w:r>
        <w:t>Israeli security forces</w:t>
      </w:r>
      <w:r w:rsidRPr="00D119E7">
        <w:t xml:space="preserve"> killed 131 Palestinians (97 men, 29 boys</w:t>
      </w:r>
      <w:r>
        <w:t xml:space="preserve"> and </w:t>
      </w:r>
      <w:r w:rsidRPr="00D119E7">
        <w:t>5 women) in the West Bank</w:t>
      </w:r>
      <w:r>
        <w:t>,</w:t>
      </w:r>
      <w:r w:rsidRPr="00D119E7">
        <w:t xml:space="preserve"> including East Jerusalem, mostly by use of firearms. Nearly half (65) were killed in the context of attempted or alleged attacks on Israelis or in armed clashes. Many of the clashes took place in Jenin and Nablus during Israeli raids against armed Palestinians. </w:t>
      </w:r>
      <w:r>
        <w:t>H</w:t>
      </w:r>
      <w:r w:rsidRPr="00D119E7">
        <w:t>eavy troop deployment</w:t>
      </w:r>
      <w:r>
        <w:t xml:space="preserve"> by Israeli security forces</w:t>
      </w:r>
      <w:r w:rsidRPr="00D119E7">
        <w:t xml:space="preserve"> and</w:t>
      </w:r>
      <w:r>
        <w:t xml:space="preserve"> their</w:t>
      </w:r>
      <w:r w:rsidRPr="00D119E7">
        <w:t xml:space="preserve"> use of heavy</w:t>
      </w:r>
      <w:r>
        <w:t xml:space="preserve"> </w:t>
      </w:r>
      <w:r w:rsidRPr="00D119E7">
        <w:t xml:space="preserve">weaponry in densely populated areas exposed Palestinian residents and bystanders, including children, to serious harm and loss of life. In one arrest raid in Jenin on 13 May, </w:t>
      </w:r>
      <w:r>
        <w:t>Israeli security forces</w:t>
      </w:r>
      <w:r w:rsidRPr="00D119E7">
        <w:t xml:space="preserve"> used the 16-year-old sister of a wanted Palestinian man as a human shield, forcing her to stand in front of an Israeli military vehicle for over two hours during a firefight with armed Palestinians. The use of human shields in law enforcement operations constitute</w:t>
      </w:r>
      <w:r>
        <w:t>s</w:t>
      </w:r>
      <w:r w:rsidRPr="00D119E7">
        <w:t xml:space="preserve"> a violation of the right to life. </w:t>
      </w:r>
    </w:p>
    <w:p w14:paraId="23247051" w14:textId="77777777" w:rsidR="003E3217" w:rsidRPr="00F81291" w:rsidRDefault="003E3217" w:rsidP="00C13EBD">
      <w:pPr>
        <w:pStyle w:val="SingleTxtG"/>
        <w:rPr>
          <w:rStyle w:val="FootnoteReference"/>
        </w:rPr>
      </w:pPr>
      <w:r w:rsidRPr="00D119E7">
        <w:t>18.</w:t>
      </w:r>
      <w:r w:rsidRPr="00D119E7">
        <w:tab/>
        <w:t xml:space="preserve">In another alarming resumption of an unlawful practice, at least one Palestinian was killed in an apparent targeted killing: a blatant violation of </w:t>
      </w:r>
      <w:r>
        <w:t>international human rights law</w:t>
      </w:r>
      <w:r w:rsidRPr="00D119E7">
        <w:t>.</w:t>
      </w:r>
      <w:r w:rsidRPr="00F81291">
        <w:rPr>
          <w:rStyle w:val="FootnoteReference"/>
        </w:rPr>
        <w:footnoteReference w:id="36"/>
      </w:r>
      <w:r w:rsidRPr="00F81291">
        <w:rPr>
          <w:rStyle w:val="FootnoteReference"/>
        </w:rPr>
        <w:t xml:space="preserve"> </w:t>
      </w:r>
      <w:r w:rsidRPr="00D119E7">
        <w:t xml:space="preserve">On 22 October, a Palestinian man, reported to be a leader of a loose group of armed Palestinians in Nablus, was killed when an explosive device attached to a motorcycle detonated near him in the old city. Although Israel neither confirmed nor denied carrying out the operation, the modus operandi is consistent with previous Israeli extrajudicial </w:t>
      </w:r>
      <w:r w:rsidRPr="00D119E7">
        <w:lastRenderedPageBreak/>
        <w:t>executions.</w:t>
      </w:r>
      <w:r w:rsidRPr="00F81291">
        <w:rPr>
          <w:rStyle w:val="FootnoteReference"/>
        </w:rPr>
        <w:footnoteReference w:id="37"/>
      </w:r>
      <w:r w:rsidRPr="00F81291">
        <w:rPr>
          <w:rStyle w:val="FootnoteReference"/>
        </w:rPr>
        <w:t xml:space="preserve"> </w:t>
      </w:r>
      <w:r w:rsidRPr="00D119E7">
        <w:t>There are also concerns that other members of the same group may also have been targeted.</w:t>
      </w:r>
      <w:r w:rsidRPr="00F81291">
        <w:rPr>
          <w:rStyle w:val="FootnoteReference"/>
        </w:rPr>
        <w:footnoteReference w:id="38"/>
      </w:r>
    </w:p>
    <w:p w14:paraId="47F5A7DF" w14:textId="58E01921" w:rsidR="003E3217" w:rsidRPr="00D119E7" w:rsidRDefault="003E3217" w:rsidP="00C13EBD">
      <w:pPr>
        <w:pStyle w:val="SingleTxtG"/>
      </w:pPr>
      <w:r w:rsidRPr="00D119E7">
        <w:t>19.</w:t>
      </w:r>
      <w:r w:rsidRPr="00D119E7">
        <w:tab/>
        <w:t xml:space="preserve">OHCHR monitored several instances of apparent extrajudicial executions, where </w:t>
      </w:r>
      <w:r>
        <w:t>Israeli security forces</w:t>
      </w:r>
      <w:r w:rsidRPr="00D119E7">
        <w:t xml:space="preserve"> used lethal force against attackers when they were wounded or subdued and no longer presenting imminent threat, to </w:t>
      </w:r>
      <w:r w:rsidR="00FC5976">
        <w:t>“</w:t>
      </w:r>
      <w:r w:rsidRPr="00D119E7">
        <w:t>confirm the kill</w:t>
      </w:r>
      <w:r w:rsidR="00FC5976">
        <w:t>”</w:t>
      </w:r>
      <w:r>
        <w:t>.</w:t>
      </w:r>
      <w:r w:rsidRPr="00D119E7">
        <w:t xml:space="preserve"> </w:t>
      </w:r>
      <w:r>
        <w:t>For example,</w:t>
      </w:r>
      <w:r w:rsidRPr="00D119E7">
        <w:t xml:space="preserve"> on 7 March, </w:t>
      </w:r>
      <w:r>
        <w:t>Israeli security forces</w:t>
      </w:r>
      <w:r w:rsidRPr="00D119E7">
        <w:t xml:space="preserve"> killed a 22-year-old Palestinian man at an Al</w:t>
      </w:r>
      <w:r>
        <w:t>-</w:t>
      </w:r>
      <w:r w:rsidRPr="00D119E7">
        <w:t>Aqsa Compound gate in East Jerusalem after he stabbed police officers. According to an eyewitness, one of the injured officers grabbed the knife from the Palestinian man</w:t>
      </w:r>
      <w:r>
        <w:t>,</w:t>
      </w:r>
      <w:r w:rsidRPr="00D119E7">
        <w:t xml:space="preserve"> who was lying on the ground barely conscious after a struggle with one officer in which both rolled down a set of stairs. A second officer shot </w:t>
      </w:r>
      <w:r>
        <w:t>five or six</w:t>
      </w:r>
      <w:r w:rsidRPr="00D119E7">
        <w:t xml:space="preserve"> bullets at him. Soon after, as seen on a video recorded by another eyewitness, the officer fired a single shot at close range at the upper body of the wounded man.</w:t>
      </w:r>
      <w:r w:rsidR="00FC5976">
        <w:t xml:space="preserve"> </w:t>
      </w:r>
    </w:p>
    <w:p w14:paraId="3635E4B0" w14:textId="4946A689" w:rsidR="003E3217" w:rsidRPr="00D119E7" w:rsidRDefault="003E3217" w:rsidP="00C13EBD">
      <w:pPr>
        <w:pStyle w:val="SingleTxtG"/>
        <w:rPr>
          <w:b/>
        </w:rPr>
      </w:pPr>
      <w:r w:rsidRPr="00D119E7">
        <w:t>20.</w:t>
      </w:r>
      <w:r w:rsidRPr="00D119E7">
        <w:tab/>
        <w:t>Nearly half (65) of the Palestinians were killed in the context of stone</w:t>
      </w:r>
      <w:r>
        <w:t>-</w:t>
      </w:r>
      <w:r w:rsidRPr="00D119E7">
        <w:t>throwing confrontations or otherwise during operations</w:t>
      </w:r>
      <w:r>
        <w:t xml:space="preserve"> of Israeli security forces</w:t>
      </w:r>
      <w:r w:rsidRPr="00D119E7">
        <w:t xml:space="preserve"> (i.e., without exchange of fire). During one such raid in Nablus</w:t>
      </w:r>
      <w:r w:rsidR="00FC5976">
        <w:t>’</w:t>
      </w:r>
      <w:r w:rsidRPr="00D119E7">
        <w:t xml:space="preserve"> old city on 9 August, </w:t>
      </w:r>
      <w:r>
        <w:t>Israeli security forces</w:t>
      </w:r>
      <w:r w:rsidRPr="00D119E7">
        <w:t xml:space="preserve"> shot dead two Palestinians – including a 16-year-old boy – and injured with live ammunition 76 Palestinians, including 15 boys.</w:t>
      </w:r>
      <w:r w:rsidRPr="00F81291">
        <w:rPr>
          <w:rStyle w:val="FootnoteReference"/>
        </w:rPr>
        <w:footnoteReference w:id="39"/>
      </w:r>
      <w:r w:rsidRPr="00F81291">
        <w:rPr>
          <w:rStyle w:val="FootnoteReference"/>
        </w:rPr>
        <w:t xml:space="preserve"> </w:t>
      </w:r>
      <w:r w:rsidRPr="00D119E7">
        <w:t xml:space="preserve">Both killings and most injuries took place as </w:t>
      </w:r>
      <w:r>
        <w:t>Israeli security forces</w:t>
      </w:r>
      <w:r w:rsidRPr="00D119E7">
        <w:t xml:space="preserve"> in the outer cordon used firearms extensively against Palestinians throwing stones at </w:t>
      </w:r>
      <w:r>
        <w:t>Israeli security forces</w:t>
      </w:r>
      <w:r w:rsidRPr="00D119E7">
        <w:t xml:space="preserve"> vehicles and seeking to enter the old city. Among those killed in </w:t>
      </w:r>
      <w:r>
        <w:t>such</w:t>
      </w:r>
      <w:r w:rsidRPr="00D119E7">
        <w:t xml:space="preserve"> operations was journalist Shireen Abu Akleh.</w:t>
      </w:r>
      <w:r w:rsidRPr="00F81291">
        <w:rPr>
          <w:rStyle w:val="FootnoteReference"/>
        </w:rPr>
        <w:footnoteReference w:id="40"/>
      </w:r>
      <w:r w:rsidRPr="00F81291">
        <w:rPr>
          <w:rStyle w:val="FootnoteReference"/>
        </w:rPr>
        <w:t xml:space="preserve"> </w:t>
      </w:r>
      <w:r w:rsidRPr="00D119E7">
        <w:t xml:space="preserve">In that instance and </w:t>
      </w:r>
      <w:r>
        <w:t xml:space="preserve">in </w:t>
      </w:r>
      <w:r w:rsidRPr="00D119E7">
        <w:t xml:space="preserve">many other killings monitored by OHCHR, </w:t>
      </w:r>
      <w:r>
        <w:t>Israeli security forces</w:t>
      </w:r>
      <w:r w:rsidRPr="00D119E7">
        <w:t xml:space="preserve"> used force unnecessarily or in a disproportionate manner, resulting in unlawful killings, in some cases possibl</w:t>
      </w:r>
      <w:r>
        <w:t>y amounting to</w:t>
      </w:r>
      <w:r w:rsidRPr="00D119E7">
        <w:t xml:space="preserve"> extrajudicial executions. </w:t>
      </w:r>
    </w:p>
    <w:p w14:paraId="4C930323" w14:textId="77777777" w:rsidR="003E3217" w:rsidRPr="00D119E7" w:rsidRDefault="003E3217" w:rsidP="00C13EBD">
      <w:pPr>
        <w:pStyle w:val="SingleTxtG"/>
      </w:pPr>
      <w:r w:rsidRPr="00D119E7">
        <w:t>21.</w:t>
      </w:r>
      <w:r w:rsidRPr="00D119E7">
        <w:tab/>
        <w:t xml:space="preserve">On 26 July, </w:t>
      </w:r>
      <w:r>
        <w:t>Israeli security forces</w:t>
      </w:r>
      <w:r w:rsidRPr="00D119E7">
        <w:t xml:space="preserve"> shot a 59-year-old man with severe mental disabilit</w:t>
      </w:r>
      <w:r>
        <w:t>ies</w:t>
      </w:r>
      <w:r w:rsidRPr="00D119E7">
        <w:t xml:space="preserve"> at Huwwara checkpoint, near Nablus – he succumbed to his wounds three days later. The man was apparently initially shot in the legs by </w:t>
      </w:r>
      <w:r>
        <w:t>Israeli security forces</w:t>
      </w:r>
      <w:r w:rsidRPr="00D119E7">
        <w:t xml:space="preserve"> from a military tower as he approached the checkpoint. According to witnesses, while the injured and unarmed man was limping away from the checkpoint, </w:t>
      </w:r>
      <w:r>
        <w:t>Israeli security forces</w:t>
      </w:r>
      <w:r w:rsidRPr="00D119E7">
        <w:t xml:space="preserve"> arrived in a military jeep and shot him in the upper body several times from close range</w:t>
      </w:r>
      <w:r>
        <w:t>,</w:t>
      </w:r>
      <w:r w:rsidRPr="00D119E7">
        <w:t xml:space="preserve"> as he did not stop as directed.</w:t>
      </w:r>
    </w:p>
    <w:p w14:paraId="3EEC2F54" w14:textId="77777777" w:rsidR="003E3217" w:rsidRPr="00D119E7" w:rsidRDefault="003E3217" w:rsidP="00C13EBD">
      <w:pPr>
        <w:pStyle w:val="SingleTxtG"/>
      </w:pPr>
      <w:r w:rsidRPr="00D119E7">
        <w:t>22.</w:t>
      </w:r>
      <w:r w:rsidRPr="00D119E7">
        <w:tab/>
        <w:t xml:space="preserve">In a series of incidents, unwarranted lethal force was employed against Palestinian workers attempting to cross the </w:t>
      </w:r>
      <w:r>
        <w:t>w</w:t>
      </w:r>
      <w:r w:rsidRPr="00D119E7">
        <w:t xml:space="preserve">all into Israel. On 8 May, </w:t>
      </w:r>
      <w:r>
        <w:t>Israeli security forces</w:t>
      </w:r>
      <w:r w:rsidRPr="00D119E7">
        <w:t xml:space="preserve"> shot dead a 27-year-old Palestinian worker while he was attempting to cross the </w:t>
      </w:r>
      <w:r>
        <w:t>w</w:t>
      </w:r>
      <w:r w:rsidRPr="00D119E7">
        <w:t xml:space="preserve">all south of Tulkarm. </w:t>
      </w:r>
      <w:r>
        <w:t>Israeli security forces</w:t>
      </w:r>
      <w:r w:rsidRPr="00D119E7">
        <w:t xml:space="preserve"> publicly stated that the man </w:t>
      </w:r>
      <w:r>
        <w:t>had been</w:t>
      </w:r>
      <w:r w:rsidRPr="00D119E7">
        <w:t xml:space="preserve"> unarmed when shot.</w:t>
      </w:r>
      <w:r w:rsidRPr="00F81291">
        <w:rPr>
          <w:rStyle w:val="FootnoteReference"/>
        </w:rPr>
        <w:footnoteReference w:id="41"/>
      </w:r>
      <w:r w:rsidRPr="00F81291">
        <w:rPr>
          <w:rStyle w:val="FootnoteReference"/>
        </w:rPr>
        <w:t xml:space="preserve"> </w:t>
      </w:r>
      <w:r w:rsidRPr="00D119E7">
        <w:t xml:space="preserve">A similar incident took place on 19 June near Qalqiliya, where </w:t>
      </w:r>
      <w:r>
        <w:t>Israeli security forces</w:t>
      </w:r>
      <w:r w:rsidRPr="00D119E7">
        <w:t xml:space="preserve"> shot a 53-year-old worker multiple times in </w:t>
      </w:r>
      <w:r>
        <w:t>the</w:t>
      </w:r>
      <w:r w:rsidRPr="00D119E7">
        <w:t xml:space="preserve"> back and killed him, allegedly solely for damaging the separation barrier in an attempt to cross into Israel.</w:t>
      </w:r>
      <w:r w:rsidRPr="00F81291">
        <w:rPr>
          <w:rStyle w:val="FootnoteReference"/>
        </w:rPr>
        <w:footnoteReference w:id="42"/>
      </w:r>
      <w:r w:rsidRPr="00F81291">
        <w:rPr>
          <w:rStyle w:val="FootnoteReference"/>
        </w:rPr>
        <w:t xml:space="preserve"> </w:t>
      </w:r>
      <w:r w:rsidRPr="00D119E7">
        <w:t xml:space="preserve">There was no claim that the man was armed or otherwise presenting an imminent threat to life or of serious injury. In the reporting period </w:t>
      </w:r>
      <w:r>
        <w:t>Israeli security forces</w:t>
      </w:r>
      <w:r w:rsidRPr="00D119E7">
        <w:t xml:space="preserve"> shot and injured 35 workers crossing into Israel.</w:t>
      </w:r>
      <w:r w:rsidRPr="00F81291">
        <w:rPr>
          <w:rStyle w:val="FootnoteReference"/>
        </w:rPr>
        <w:footnoteReference w:id="43"/>
      </w:r>
      <w:r w:rsidRPr="00F81291">
        <w:rPr>
          <w:rStyle w:val="FootnoteReference"/>
        </w:rPr>
        <w:t xml:space="preserve"> </w:t>
      </w:r>
    </w:p>
    <w:p w14:paraId="05E08CA6" w14:textId="77777777" w:rsidR="003E3217" w:rsidRPr="00D119E7" w:rsidRDefault="003E3217" w:rsidP="00C13EBD">
      <w:pPr>
        <w:pStyle w:val="SingleTxtG"/>
      </w:pPr>
      <w:r w:rsidRPr="00D119E7">
        <w:t>23.</w:t>
      </w:r>
      <w:r w:rsidRPr="00D119E7">
        <w:tab/>
        <w:t xml:space="preserve">The above instances of extensive use of firearms, often wholly unwarranted, by </w:t>
      </w:r>
      <w:r>
        <w:t>Israeli security forces</w:t>
      </w:r>
      <w:r w:rsidRPr="00D119E7">
        <w:t xml:space="preserve"> in the </w:t>
      </w:r>
      <w:r>
        <w:t>Occupied Palestinian Territory</w:t>
      </w:r>
      <w:r w:rsidRPr="00D119E7">
        <w:t xml:space="preserve"> raise serious questions as to what extent </w:t>
      </w:r>
      <w:r>
        <w:t>Israeli security forces</w:t>
      </w:r>
      <w:r w:rsidRPr="00D119E7">
        <w:t xml:space="preserve"> rules of engagement, particularly around arrest</w:t>
      </w:r>
      <w:r>
        <w:t>s</w:t>
      </w:r>
      <w:r w:rsidRPr="00D119E7">
        <w:t xml:space="preserve">, comply with international standards on the use of force. </w:t>
      </w:r>
      <w:r>
        <w:t>International human rights law</w:t>
      </w:r>
      <w:r w:rsidRPr="00D119E7">
        <w:t xml:space="preserve"> permits the use of </w:t>
      </w:r>
      <w:r w:rsidRPr="00D119E7">
        <w:lastRenderedPageBreak/>
        <w:t>firearms</w:t>
      </w:r>
      <w:r>
        <w:t xml:space="preserve"> </w:t>
      </w:r>
      <w:r w:rsidRPr="00D119E7">
        <w:t>only when absolutely necessary, in extremely limited circumstances, namely where there is an imminent threat of death or serious injury.</w:t>
      </w:r>
      <w:r w:rsidRPr="00F81291">
        <w:rPr>
          <w:rStyle w:val="FootnoteReference"/>
        </w:rPr>
        <w:footnoteReference w:id="44"/>
      </w:r>
      <w:r w:rsidRPr="00F81291">
        <w:rPr>
          <w:rStyle w:val="FootnoteReference"/>
        </w:rPr>
        <w:t xml:space="preserve"> </w:t>
      </w:r>
    </w:p>
    <w:p w14:paraId="12807BB2" w14:textId="77777777" w:rsidR="003E3217" w:rsidRPr="00D119E7" w:rsidRDefault="003E3217" w:rsidP="00C13EBD">
      <w:pPr>
        <w:pStyle w:val="SingleTxtG"/>
      </w:pPr>
      <w:r w:rsidRPr="00D119E7">
        <w:t>24.</w:t>
      </w:r>
      <w:r w:rsidRPr="00D119E7">
        <w:tab/>
        <w:t xml:space="preserve">Similar concerns also arise with respect to </w:t>
      </w:r>
      <w:r>
        <w:t>the Israeli security forces</w:t>
      </w:r>
      <w:r w:rsidRPr="00D119E7">
        <w:t xml:space="preserve"> approach of using firearms against Palestinian stone</w:t>
      </w:r>
      <w:r>
        <w:t xml:space="preserve"> </w:t>
      </w:r>
      <w:r w:rsidRPr="00D119E7">
        <w:t xml:space="preserve">throwers, even though they rarely present any imminent threat to Israeli armoured vehicles and well-protected personnel, often at great distance. </w:t>
      </w:r>
      <w:r>
        <w:t>For example,</w:t>
      </w:r>
      <w:r w:rsidRPr="00D119E7">
        <w:t xml:space="preserve"> on 9 August, </w:t>
      </w:r>
      <w:r>
        <w:t>Israeli security forces</w:t>
      </w:r>
      <w:r w:rsidRPr="00D119E7">
        <w:t xml:space="preserve"> killed a 16-year-old boy during stone</w:t>
      </w:r>
      <w:r>
        <w:t xml:space="preserve"> </w:t>
      </w:r>
      <w:r w:rsidRPr="00D119E7">
        <w:t xml:space="preserve">throwing by Palestinians in Hebron. According to eyewitnesses, an Israeli sniper, lying prone on the street, fired several rounds of live ammunition at </w:t>
      </w:r>
      <w:r w:rsidRPr="0053628D">
        <w:t>stone throwers</w:t>
      </w:r>
      <w:r w:rsidRPr="00D119E7">
        <w:t xml:space="preserve"> approximately 70 met</w:t>
      </w:r>
      <w:r>
        <w:t>r</w:t>
      </w:r>
      <w:r w:rsidRPr="00D119E7">
        <w:t xml:space="preserve">es away, hitting the boy in the chest. These testimonies are consistent with photographs and video showing the distances. At least five other Palestinians were injured by live ammunition during the incident, including two teenage boys. </w:t>
      </w:r>
    </w:p>
    <w:p w14:paraId="661628C3" w14:textId="562B75E6" w:rsidR="003E3217" w:rsidRPr="00D119E7" w:rsidRDefault="003E3217" w:rsidP="00C13EBD">
      <w:pPr>
        <w:pStyle w:val="SingleTxtG"/>
      </w:pPr>
      <w:r w:rsidRPr="00D119E7">
        <w:t>25.</w:t>
      </w:r>
      <w:r w:rsidRPr="00D119E7">
        <w:tab/>
        <w:t xml:space="preserve">Concerns of Israeli unlawful use of force against Palestinian fishing boats along the Gaza coast remain. </w:t>
      </w:r>
      <w:r>
        <w:t>Israeli security forces</w:t>
      </w:r>
      <w:r w:rsidRPr="00D119E7">
        <w:t xml:space="preserve"> reportedly injured at least 23 fishers (all male, including 2 boys), and arrested 65 male fishers, including 7 boys. This is a dramatic increase from the three fishers arrested and six injured during the previous reporting period. OHCHR monitoring indicates that the use of force against the fishers and their detention appears arbitrary, with many incidents taking place within the fishing zone</w:t>
      </w:r>
      <w:r>
        <w:t xml:space="preserve"> unilaterally declared by Israel</w:t>
      </w:r>
      <w:r w:rsidRPr="00D119E7">
        <w:t xml:space="preserve">. </w:t>
      </w:r>
      <w:r>
        <w:t>Israeli security forces</w:t>
      </w:r>
      <w:r w:rsidRPr="00D119E7">
        <w:t xml:space="preserve"> also confiscated at least 20 boats – only 2 </w:t>
      </w:r>
      <w:r>
        <w:t>had been</w:t>
      </w:r>
      <w:r w:rsidRPr="00D119E7">
        <w:t xml:space="preserve"> returned as </w:t>
      </w:r>
      <w:r>
        <w:t>at</w:t>
      </w:r>
      <w:r w:rsidRPr="00D119E7">
        <w:t xml:space="preserve"> 31 October – directly</w:t>
      </w:r>
      <w:r>
        <w:t xml:space="preserve"> affecting</w:t>
      </w:r>
      <w:r w:rsidRPr="00D119E7">
        <w:t xml:space="preserve"> livelihoods.</w:t>
      </w:r>
    </w:p>
    <w:p w14:paraId="7B26BD84" w14:textId="76D5F826" w:rsidR="003E3217" w:rsidRPr="00F81291" w:rsidRDefault="003E3217" w:rsidP="00C13EBD">
      <w:pPr>
        <w:pStyle w:val="SingleTxtG"/>
        <w:rPr>
          <w:rStyle w:val="FootnoteReference"/>
        </w:rPr>
      </w:pPr>
      <w:r w:rsidRPr="00D119E7">
        <w:t>26.</w:t>
      </w:r>
      <w:r w:rsidRPr="00D119E7">
        <w:tab/>
      </w:r>
      <w:r>
        <w:t>Israeli security forces</w:t>
      </w:r>
      <w:r w:rsidR="00FC5976">
        <w:t>’</w:t>
      </w:r>
      <w:r w:rsidRPr="00D119E7">
        <w:t xml:space="preserve"> use of lethal force has become a pervasive practice in the </w:t>
      </w:r>
      <w:r>
        <w:t>Occupied Palestinian Territory</w:t>
      </w:r>
      <w:r w:rsidRPr="00D119E7">
        <w:t>, often employed regardless of the specific level of gravity of the potential threat detected and often as a first rather than as a last resort, contrary to international standards.</w:t>
      </w:r>
      <w:r w:rsidRPr="00F81291">
        <w:rPr>
          <w:rStyle w:val="FootnoteReference"/>
        </w:rPr>
        <w:footnoteReference w:id="45"/>
      </w:r>
      <w:r w:rsidRPr="00F81291">
        <w:rPr>
          <w:rStyle w:val="FootnoteReference"/>
        </w:rPr>
        <w:t xml:space="preserve"> </w:t>
      </w:r>
      <w:r w:rsidRPr="00D119E7">
        <w:t xml:space="preserve">The use of firearms causing </w:t>
      </w:r>
      <w:r>
        <w:t xml:space="preserve">the </w:t>
      </w:r>
      <w:r w:rsidRPr="00D119E7">
        <w:t>death of persons not posing a threat to life or serious injury constitutes a violation of the right to life. In an occupation, these may also amount to wilful killings, under the Fourth Geneva Convention</w:t>
      </w:r>
      <w:r>
        <w:t xml:space="preserve"> (art. 147)</w:t>
      </w:r>
      <w:r w:rsidRPr="00D119E7">
        <w:t>, which is a war crime.</w:t>
      </w:r>
      <w:r w:rsidRPr="00F81291">
        <w:rPr>
          <w:rStyle w:val="FootnoteReference"/>
        </w:rPr>
        <w:footnoteReference w:id="46"/>
      </w:r>
    </w:p>
    <w:p w14:paraId="18417AC0" w14:textId="77777777" w:rsidR="003E3217" w:rsidRPr="002A3EE1" w:rsidRDefault="003E3217" w:rsidP="00C13EBD">
      <w:pPr>
        <w:pStyle w:val="SingleTxtG"/>
        <w:rPr>
          <w:lang w:val="en-US"/>
        </w:rPr>
      </w:pPr>
      <w:r w:rsidRPr="002A3EE1">
        <w:rPr>
          <w:lang w:val="en-US"/>
        </w:rPr>
        <w:t>27.</w:t>
      </w:r>
      <w:r w:rsidRPr="002A3EE1">
        <w:rPr>
          <w:lang w:val="en-US"/>
        </w:rPr>
        <w:tab/>
      </w:r>
      <w:r w:rsidRPr="00D119E7">
        <w:t>Specific instances during the reporting period also raised concerns of unlawful use of force by Palestinian forces. On 4 October,</w:t>
      </w:r>
      <w:r>
        <w:t xml:space="preserve"> police of</w:t>
      </w:r>
      <w:r w:rsidRPr="00D119E7">
        <w:t xml:space="preserve"> </w:t>
      </w:r>
      <w:r>
        <w:t>the de facto authorities</w:t>
      </w:r>
      <w:r w:rsidRPr="00D119E7">
        <w:t xml:space="preserve"> </w:t>
      </w:r>
      <w:r>
        <w:t xml:space="preserve">in </w:t>
      </w:r>
      <w:r w:rsidRPr="00D119E7">
        <w:t>Gaza</w:t>
      </w:r>
      <w:r>
        <w:t xml:space="preserve"> </w:t>
      </w:r>
      <w:r w:rsidRPr="00D119E7">
        <w:t xml:space="preserve">killed two men and seriously injured another young man in central Gaza in an alleged anti-drug raid. Although the Gaza Ministry of </w:t>
      </w:r>
      <w:r>
        <w:t xml:space="preserve">the </w:t>
      </w:r>
      <w:r w:rsidRPr="00D119E7">
        <w:t>Interior claims that there was an exchange of fire, OHCHR monitoring suggests that this was a planned ambush</w:t>
      </w:r>
      <w:r>
        <w:t>,</w:t>
      </w:r>
      <w:r w:rsidRPr="00D119E7">
        <w:t xml:space="preserve"> raising questions of extrajudicial executions. In another instance, on 9 June, </w:t>
      </w:r>
      <w:r>
        <w:t>the forces of the de facto authorities</w:t>
      </w:r>
      <w:r w:rsidRPr="00D119E7">
        <w:t xml:space="preserve"> shot and injured four men during stone</w:t>
      </w:r>
      <w:r>
        <w:t>-</w:t>
      </w:r>
      <w:r w:rsidRPr="00D119E7">
        <w:t xml:space="preserve">throwing confrontations triggered by a forced eviction in Beit Lahiya. </w:t>
      </w:r>
      <w:r w:rsidRPr="002A3EE1">
        <w:rPr>
          <w:lang w:val="en-US"/>
        </w:rPr>
        <w:t xml:space="preserve">Dozens of others were beaten with batons. </w:t>
      </w:r>
    </w:p>
    <w:p w14:paraId="230ECCBA" w14:textId="77777777" w:rsidR="003E3217" w:rsidRPr="00D119E7" w:rsidRDefault="003E3217" w:rsidP="00C13EBD">
      <w:pPr>
        <w:pStyle w:val="SingleTxtG"/>
      </w:pPr>
      <w:r w:rsidRPr="00D119E7">
        <w:t>28.</w:t>
      </w:r>
      <w:r w:rsidRPr="00D119E7">
        <w:tab/>
        <w:t xml:space="preserve">In the West Bank, Palestinian </w:t>
      </w:r>
      <w:r>
        <w:t>s</w:t>
      </w:r>
      <w:r w:rsidRPr="00D119E7">
        <w:t xml:space="preserve">ecurity </w:t>
      </w:r>
      <w:r>
        <w:t>f</w:t>
      </w:r>
      <w:r w:rsidRPr="00D119E7">
        <w:t>orces shot and injured a 22-year-old Palestinian man near Budrus on 17 July, reportedly after firing at an unlicensed car</w:t>
      </w:r>
      <w:r>
        <w:t xml:space="preserve"> that</w:t>
      </w:r>
      <w:r w:rsidRPr="00D119E7">
        <w:t xml:space="preserve"> turned away from a checkpoint. In another incident on 19</w:t>
      </w:r>
      <w:r>
        <w:t xml:space="preserve"> and </w:t>
      </w:r>
      <w:r w:rsidRPr="00D119E7">
        <w:t xml:space="preserve">20 September, </w:t>
      </w:r>
      <w:r>
        <w:t>Palestinian security forces</w:t>
      </w:r>
      <w:r w:rsidRPr="00D119E7">
        <w:t xml:space="preserve"> carried out a large operation in Nablus</w:t>
      </w:r>
      <w:r>
        <w:t>,</w:t>
      </w:r>
      <w:r w:rsidRPr="00D119E7">
        <w:t xml:space="preserve"> arresting two men reportedly wanted by Israel. Clashes took place with armed Palestinians</w:t>
      </w:r>
      <w:r>
        <w:t>,</w:t>
      </w:r>
      <w:r w:rsidRPr="00D119E7">
        <w:t xml:space="preserve"> during which a 55-year-old bystander was shot dead, apparently by </w:t>
      </w:r>
      <w:r>
        <w:t>Palestinian security forces</w:t>
      </w:r>
      <w:r w:rsidRPr="00D119E7">
        <w:t>. Eight other Palestinian</w:t>
      </w:r>
      <w:r>
        <w:t>s</w:t>
      </w:r>
      <w:r w:rsidRPr="00D119E7">
        <w:t xml:space="preserve"> and one </w:t>
      </w:r>
      <w:r>
        <w:t>Palestinian security forces</w:t>
      </w:r>
      <w:r w:rsidRPr="00D119E7">
        <w:t xml:space="preserve"> member were reported to have been shot during the incident, where protest</w:t>
      </w:r>
      <w:r>
        <w:t>e</w:t>
      </w:r>
      <w:r w:rsidRPr="00D119E7">
        <w:t xml:space="preserve">rs threw stones and damaged property. </w:t>
      </w:r>
    </w:p>
    <w:p w14:paraId="09D0BF29" w14:textId="558AFB73" w:rsidR="003E3217" w:rsidRPr="00E30BE0" w:rsidRDefault="003E3217" w:rsidP="00BC580B">
      <w:pPr>
        <w:pStyle w:val="H1G"/>
      </w:pPr>
      <w:r w:rsidRPr="00E30BE0">
        <w:tab/>
        <w:t>D.</w:t>
      </w:r>
      <w:r w:rsidRPr="00E30BE0">
        <w:tab/>
        <w:t>Undue restrictions on freedoms of expression and association</w:t>
      </w:r>
    </w:p>
    <w:p w14:paraId="2842353A" w14:textId="05897E68" w:rsidR="003E3217" w:rsidRPr="00D119E7" w:rsidRDefault="003E3217" w:rsidP="00C13EBD">
      <w:pPr>
        <w:pStyle w:val="SingleTxtG"/>
      </w:pPr>
      <w:r w:rsidRPr="00D119E7">
        <w:t>29.</w:t>
      </w:r>
      <w:r w:rsidRPr="00D119E7">
        <w:tab/>
        <w:t xml:space="preserve">Civil society space continued to shrink. On 3 February, five human rights and humanitarian organizations submitted a procedural objection to the November 2021 decision </w:t>
      </w:r>
      <w:r w:rsidRPr="00D119E7">
        <w:lastRenderedPageBreak/>
        <w:t xml:space="preserve">of the Israeli military commander of the West Bank declaring them </w:t>
      </w:r>
      <w:r w:rsidR="00FC5976">
        <w:t>“</w:t>
      </w:r>
      <w:r w:rsidRPr="00D119E7">
        <w:t>unlawful</w:t>
      </w:r>
      <w:r w:rsidR="00FC5976">
        <w:t>”</w:t>
      </w:r>
      <w:r>
        <w:t>,</w:t>
      </w:r>
      <w:r w:rsidRPr="00F81291">
        <w:rPr>
          <w:rStyle w:val="FootnoteReference"/>
        </w:rPr>
        <w:footnoteReference w:id="47"/>
      </w:r>
      <w:r w:rsidRPr="00F81291">
        <w:rPr>
          <w:rStyle w:val="FootnoteReference"/>
        </w:rPr>
        <w:t xml:space="preserve"> </w:t>
      </w:r>
      <w:r w:rsidRPr="00D119E7">
        <w:t>based on the lack of due process and evidence. On 17 August, the military commander rejected the objection. Early</w:t>
      </w:r>
      <w:r>
        <w:t xml:space="preserve"> the</w:t>
      </w:r>
      <w:r w:rsidRPr="00D119E7">
        <w:t xml:space="preserve"> next morning, in Ramallah, </w:t>
      </w:r>
      <w:r>
        <w:t>Israeli security forces</w:t>
      </w:r>
      <w:r w:rsidRPr="00D119E7">
        <w:t xml:space="preserve"> broke into and searched the offices of those organizations and another two declared </w:t>
      </w:r>
      <w:r w:rsidR="00FC5976">
        <w:t>“</w:t>
      </w:r>
      <w:r w:rsidRPr="00D119E7">
        <w:t>unlawful</w:t>
      </w:r>
      <w:r w:rsidR="00FC5976">
        <w:t>”</w:t>
      </w:r>
      <w:r w:rsidRPr="00D119E7">
        <w:t xml:space="preserve"> in January 2020.</w:t>
      </w:r>
      <w:r w:rsidRPr="00F81291">
        <w:rPr>
          <w:rStyle w:val="FootnoteReference"/>
        </w:rPr>
        <w:footnoteReference w:id="48"/>
      </w:r>
      <w:r w:rsidRPr="00F81291">
        <w:rPr>
          <w:rStyle w:val="FootnoteReference"/>
        </w:rPr>
        <w:t xml:space="preserve"> </w:t>
      </w:r>
      <w:r>
        <w:t>Israeli security forces</w:t>
      </w:r>
      <w:r w:rsidRPr="00D119E7">
        <w:t xml:space="preserve"> sealed the offices</w:t>
      </w:r>
      <w:r w:rsidR="00FC5976">
        <w:t>’</w:t>
      </w:r>
      <w:r w:rsidRPr="00D119E7">
        <w:t xml:space="preserve"> entrances with iron plates, confiscated and destroyed equipment and documents, and left copies of military orders to close the offices of the organizations. Between 18 August and 15 September, </w:t>
      </w:r>
      <w:r>
        <w:t>d</w:t>
      </w:r>
      <w:r w:rsidRPr="00D119E7">
        <w:t xml:space="preserve">irectors of four of the organizations were summoned by the Israeli Security Agency for interrogation. They all told OHCHR that the </w:t>
      </w:r>
      <w:r>
        <w:t>Agency</w:t>
      </w:r>
      <w:r w:rsidRPr="00D119E7">
        <w:t xml:space="preserve"> officials</w:t>
      </w:r>
      <w:r>
        <w:t xml:space="preserve"> had</w:t>
      </w:r>
      <w:r w:rsidRPr="00D119E7">
        <w:t xml:space="preserve"> threatened them with further consequences, including arrest, if they did not stop working for the organizations. Two also reported </w:t>
      </w:r>
      <w:r>
        <w:t>Israeli Security Agency</w:t>
      </w:r>
      <w:r w:rsidRPr="00D119E7">
        <w:t xml:space="preserve"> intimidation directed at their children. The continued Israeli measures against the seven organizations raise serious concern of flagrant undue interference with the legitimate work of th</w:t>
      </w:r>
      <w:r>
        <w:t>o</w:t>
      </w:r>
      <w:r w:rsidRPr="00D119E7">
        <w:t>se organizations, undue restrictions on freedoms of expression and association, harassment and threats against human rights defenders, and a chilling effect on broader civil society organizations.</w:t>
      </w:r>
    </w:p>
    <w:p w14:paraId="0F00C7CB" w14:textId="06C52AC7" w:rsidR="003E3217" w:rsidRPr="00D119E7" w:rsidRDefault="003E3217" w:rsidP="00C13EBD">
      <w:pPr>
        <w:pStyle w:val="SingleTxtG"/>
      </w:pPr>
      <w:r w:rsidRPr="00D119E7">
        <w:t>30.</w:t>
      </w:r>
      <w:r w:rsidRPr="00D119E7">
        <w:tab/>
        <w:t xml:space="preserve">The Palestinian </w:t>
      </w:r>
      <w:r>
        <w:t>A</w:t>
      </w:r>
      <w:r w:rsidRPr="00D119E7">
        <w:t>uthority continued to introduce regulations raising serious concerns of unduly restricting freedom of association.</w:t>
      </w:r>
      <w:r w:rsidRPr="00F81291">
        <w:rPr>
          <w:rStyle w:val="FootnoteReference"/>
        </w:rPr>
        <w:footnoteReference w:id="49"/>
      </w:r>
      <w:r w:rsidRPr="00F81291">
        <w:rPr>
          <w:rStyle w:val="FootnoteReference"/>
        </w:rPr>
        <w:t xml:space="preserve"> </w:t>
      </w:r>
      <w:r w:rsidRPr="00D119E7">
        <w:t>In September 2022, the Council of Ministers issued a regulation</w:t>
      </w:r>
      <w:r>
        <w:t xml:space="preserve"> that</w:t>
      </w:r>
      <w:r w:rsidRPr="00D119E7">
        <w:t>, among other restrictions, placed a limit of 25</w:t>
      </w:r>
      <w:r>
        <w:t xml:space="preserve"> per cent</w:t>
      </w:r>
      <w:r w:rsidRPr="00D119E7">
        <w:t xml:space="preserve"> on salar</w:t>
      </w:r>
      <w:r>
        <w:t>y</w:t>
      </w:r>
      <w:r w:rsidRPr="00D119E7">
        <w:t xml:space="preserve"> and operating expenses in non-profit companies,</w:t>
      </w:r>
      <w:r w:rsidRPr="00F81291">
        <w:rPr>
          <w:rStyle w:val="FootnoteReference"/>
        </w:rPr>
        <w:footnoteReference w:id="50"/>
      </w:r>
      <w:r w:rsidRPr="00F81291">
        <w:rPr>
          <w:rStyle w:val="FootnoteReference"/>
        </w:rPr>
        <w:t xml:space="preserve"> </w:t>
      </w:r>
      <w:r w:rsidRPr="00D119E7">
        <w:t>identical to a change in the NGO law</w:t>
      </w:r>
      <w:r>
        <w:t xml:space="preserve"> made</w:t>
      </w:r>
      <w:r w:rsidRPr="00D119E7">
        <w:t xml:space="preserve"> in 2021</w:t>
      </w:r>
      <w:r>
        <w:t>, the implementation of</w:t>
      </w:r>
      <w:r w:rsidRPr="00D119E7">
        <w:t xml:space="preserve"> which was subsequently frozen. The regulation includes extensive reporting requirements, ministerial approval as </w:t>
      </w:r>
      <w:r>
        <w:t xml:space="preserve">a </w:t>
      </w:r>
      <w:r w:rsidRPr="00D119E7">
        <w:t xml:space="preserve">condition for donations, and broad powers for the </w:t>
      </w:r>
      <w:r>
        <w:t>r</w:t>
      </w:r>
      <w:r w:rsidRPr="00D119E7">
        <w:t xml:space="preserve">egistrar, including </w:t>
      </w:r>
      <w:r>
        <w:t>conducting</w:t>
      </w:r>
      <w:r w:rsidRPr="00D119E7">
        <w:t xml:space="preserve"> risk assessments of non-profits</w:t>
      </w:r>
      <w:r w:rsidR="00FC5976">
        <w:t>’</w:t>
      </w:r>
      <w:r w:rsidRPr="00D119E7">
        <w:t xml:space="preserve"> activities. </w:t>
      </w:r>
    </w:p>
    <w:p w14:paraId="2BFD626E" w14:textId="77777777" w:rsidR="003E3217" w:rsidRPr="002A3EE1" w:rsidRDefault="003E3217" w:rsidP="00C13EBD">
      <w:pPr>
        <w:pStyle w:val="SingleTxtG"/>
        <w:rPr>
          <w:lang w:val="en-US"/>
        </w:rPr>
      </w:pPr>
      <w:r w:rsidRPr="002A3EE1">
        <w:rPr>
          <w:lang w:val="en-US"/>
        </w:rPr>
        <w:t>31.</w:t>
      </w:r>
      <w:r w:rsidRPr="002A3EE1">
        <w:rPr>
          <w:lang w:val="en-US"/>
        </w:rPr>
        <w:tab/>
      </w:r>
      <w:r w:rsidRPr="00D119E7">
        <w:t>The</w:t>
      </w:r>
      <w:r>
        <w:t xml:space="preserve"> de facto authorities in Gaza</w:t>
      </w:r>
      <w:r w:rsidRPr="00D119E7">
        <w:t xml:space="preserve"> continued to severely hamper the exercise of freedom of expression, especially of journalists. For example, on 30 October, the authorities briefly detained and questioned a Palestinian journalist who was investigating incidents related to misfired rockets during the August 2022 escalation. </w:t>
      </w:r>
      <w:r w:rsidRPr="002A3EE1">
        <w:rPr>
          <w:lang w:val="en-US"/>
        </w:rPr>
        <w:t>Another journalist reported similar treatment.</w:t>
      </w:r>
    </w:p>
    <w:p w14:paraId="32B5EBD4" w14:textId="77777777" w:rsidR="003E3217" w:rsidRPr="00E30BE0" w:rsidRDefault="003E3217" w:rsidP="00BC580B">
      <w:pPr>
        <w:pStyle w:val="H1G"/>
      </w:pPr>
      <w:r w:rsidRPr="00E30BE0">
        <w:tab/>
        <w:t>E.</w:t>
      </w:r>
      <w:r w:rsidRPr="00E30BE0">
        <w:tab/>
        <w:t xml:space="preserve">Gender-based violence, including against women human rights defenders </w:t>
      </w:r>
    </w:p>
    <w:p w14:paraId="08250401" w14:textId="0982A146" w:rsidR="003E3217" w:rsidRPr="00D119E7" w:rsidRDefault="003E3217" w:rsidP="00C13EBD">
      <w:pPr>
        <w:pStyle w:val="SingleTxtG"/>
      </w:pPr>
      <w:r w:rsidRPr="00D119E7">
        <w:t>32.</w:t>
      </w:r>
      <w:r w:rsidRPr="00D119E7">
        <w:tab/>
        <w:t xml:space="preserve">In connection </w:t>
      </w:r>
      <w:r>
        <w:t>with</w:t>
      </w:r>
      <w:r w:rsidRPr="00D119E7">
        <w:t xml:space="preserve"> </w:t>
      </w:r>
      <w:r>
        <w:t xml:space="preserve">the </w:t>
      </w:r>
      <w:r w:rsidRPr="00D119E7">
        <w:t>designation and declaration</w:t>
      </w:r>
      <w:r>
        <w:t xml:space="preserve"> by Israel</w:t>
      </w:r>
      <w:r w:rsidRPr="00D119E7">
        <w:t xml:space="preserve"> of seven Palestinian organi</w:t>
      </w:r>
      <w:r>
        <w:t>z</w:t>
      </w:r>
      <w:r w:rsidRPr="00D119E7">
        <w:t xml:space="preserve">ations as </w:t>
      </w:r>
      <w:r w:rsidR="00FC5976">
        <w:t>“</w:t>
      </w:r>
      <w:r w:rsidRPr="00D119E7">
        <w:t>terrorist</w:t>
      </w:r>
      <w:r w:rsidR="00FC5976">
        <w:t>”</w:t>
      </w:r>
      <w:r w:rsidRPr="00D119E7">
        <w:t xml:space="preserve"> or </w:t>
      </w:r>
      <w:r w:rsidR="00FC5976">
        <w:t>“</w:t>
      </w:r>
      <w:r w:rsidRPr="00D119E7">
        <w:t>unlawful</w:t>
      </w:r>
      <w:r w:rsidR="00FC5976">
        <w:t>”</w:t>
      </w:r>
      <w:r w:rsidRPr="00D119E7">
        <w:t>, some women in senior positions in organizations promoting women</w:t>
      </w:r>
      <w:r w:rsidR="00FC5976">
        <w:t>’</w:t>
      </w:r>
      <w:r w:rsidRPr="00D119E7">
        <w:t>s rights were targeted and arbitrarily detained. On 17 November 2021, an Israeli military court sentenced Juana Rishmawi to 13 months</w:t>
      </w:r>
      <w:r w:rsidR="00FC5976">
        <w:t>’</w:t>
      </w:r>
      <w:r w:rsidRPr="00D119E7">
        <w:t xml:space="preserve"> imprisonment and a fine</w:t>
      </w:r>
      <w:r>
        <w:t>,</w:t>
      </w:r>
      <w:r w:rsidRPr="00D119E7">
        <w:t xml:space="preserve"> including for providing services to an </w:t>
      </w:r>
      <w:r w:rsidR="00FC5976">
        <w:t>“</w:t>
      </w:r>
      <w:r w:rsidRPr="00D119E7">
        <w:t>unlawful</w:t>
      </w:r>
      <w:r w:rsidR="00FC5976">
        <w:t>”</w:t>
      </w:r>
      <w:r w:rsidRPr="00D119E7">
        <w:t xml:space="preserve"> association</w:t>
      </w:r>
      <w:r>
        <w:t>,</w:t>
      </w:r>
      <w:r w:rsidRPr="00D119E7">
        <w:t xml:space="preserve"> </w:t>
      </w:r>
      <w:r>
        <w:t xml:space="preserve">a </w:t>
      </w:r>
      <w:r w:rsidRPr="00D119E7">
        <w:t>refer</w:t>
      </w:r>
      <w:r>
        <w:t>ence</w:t>
      </w:r>
      <w:r w:rsidRPr="00D119E7">
        <w:t xml:space="preserve"> to her fundraising work for Health Work Committees. She was released from prison on 7 February</w:t>
      </w:r>
      <w:r>
        <w:t xml:space="preserve"> 2022</w:t>
      </w:r>
      <w:r w:rsidRPr="00D119E7">
        <w:t>, having been in detention since April 2021. On 12 May 2022, an Israeli military court sentenced Shatha Odeh to 16 months</w:t>
      </w:r>
      <w:r w:rsidR="00FC5976">
        <w:t>’</w:t>
      </w:r>
      <w:r w:rsidRPr="00D119E7">
        <w:t xml:space="preserve"> imprisonment, a fine and a suspended five-year imprisonment sentence. She was convicted of holding a position in and attending a meeting of an </w:t>
      </w:r>
      <w:r w:rsidR="00FC5976">
        <w:t>“</w:t>
      </w:r>
      <w:r w:rsidRPr="00D119E7">
        <w:t>unlawful</w:t>
      </w:r>
      <w:r w:rsidR="00FC5976">
        <w:t>”</w:t>
      </w:r>
      <w:r w:rsidRPr="00D119E7">
        <w:t xml:space="preserve"> association, </w:t>
      </w:r>
      <w:r>
        <w:t>namely</w:t>
      </w:r>
      <w:r w:rsidRPr="00D119E7">
        <w:t>, H</w:t>
      </w:r>
      <w:r>
        <w:t xml:space="preserve">ealth Work Committees, </w:t>
      </w:r>
      <w:r w:rsidRPr="00D119E7">
        <w:t>of which she was the Director, and receiving and bringing funds into the West Bank without military authorization. She was released on 3 June 2022, having been detained since July 2021.</w:t>
      </w:r>
    </w:p>
    <w:p w14:paraId="0F1741A1" w14:textId="6BB368BE" w:rsidR="003E3217" w:rsidRPr="00F81291" w:rsidRDefault="003E3217" w:rsidP="00C13EBD">
      <w:pPr>
        <w:pStyle w:val="SingleTxtG"/>
        <w:rPr>
          <w:rStyle w:val="FootnoteReference"/>
        </w:rPr>
      </w:pPr>
      <w:r w:rsidRPr="00D119E7">
        <w:t>33.</w:t>
      </w:r>
      <w:r w:rsidRPr="00D119E7">
        <w:tab/>
        <w:t>Both women were convicted on the basis of plea</w:t>
      </w:r>
      <w:r>
        <w:t xml:space="preserve"> </w:t>
      </w:r>
      <w:r w:rsidRPr="00D119E7">
        <w:t xml:space="preserve">bargains. </w:t>
      </w:r>
      <w:r>
        <w:t>Ms.</w:t>
      </w:r>
      <w:r w:rsidRPr="00D119E7">
        <w:t xml:space="preserve"> Odeh told OHCHR that she had no option but to accept it because of her age and health condition and because she believed she would be sentenced regardless of her innocence. Her testimony of ill-treatment</w:t>
      </w:r>
      <w:r>
        <w:t xml:space="preserve"> that she</w:t>
      </w:r>
      <w:r w:rsidRPr="00D119E7">
        <w:t xml:space="preserve"> suffered for weeks – limited sleep, 8-to-11-hour interrogations, </w:t>
      </w:r>
      <w:r>
        <w:t xml:space="preserve">being </w:t>
      </w:r>
      <w:r w:rsidRPr="00D119E7">
        <w:t>transport</w:t>
      </w:r>
      <w:r>
        <w:t>ed</w:t>
      </w:r>
      <w:r w:rsidRPr="00D119E7">
        <w:t xml:space="preserve"> to interrogation while handcuffed</w:t>
      </w:r>
      <w:r>
        <w:t>,</w:t>
      </w:r>
      <w:r w:rsidRPr="00D119E7">
        <w:t xml:space="preserve"> and </w:t>
      </w:r>
      <w:r>
        <w:t xml:space="preserve">being </w:t>
      </w:r>
      <w:r w:rsidRPr="00D119E7">
        <w:t xml:space="preserve">shackled for 8 hours every day – and that it led to her coerced confession, raises serious concerns of torture. </w:t>
      </w:r>
      <w:r>
        <w:t>Ms.</w:t>
      </w:r>
      <w:r w:rsidRPr="00D119E7">
        <w:t xml:space="preserve"> Rishmawi was held in incommunicado detention for 13 days and not allowed to meet her lawyer for </w:t>
      </w:r>
      <w:r w:rsidRPr="00D119E7">
        <w:lastRenderedPageBreak/>
        <w:t xml:space="preserve">seven weeks. She described the plea bargain as </w:t>
      </w:r>
      <w:r w:rsidR="00FC5976">
        <w:t>“</w:t>
      </w:r>
      <w:r w:rsidRPr="00D119E7">
        <w:t>blackmail</w:t>
      </w:r>
      <w:r w:rsidR="00FC5976">
        <w:t>”</w:t>
      </w:r>
      <w:r w:rsidRPr="00D119E7">
        <w:t xml:space="preserve"> – the only way of ending her detention. Both women were also detained </w:t>
      </w:r>
      <w:r>
        <w:t>three to four</w:t>
      </w:r>
      <w:r w:rsidRPr="00D119E7">
        <w:t xml:space="preserve"> weeks in a cell in a men</w:t>
      </w:r>
      <w:r w:rsidR="00FC5976">
        <w:t>’</w:t>
      </w:r>
      <w:r w:rsidRPr="00D119E7">
        <w:t xml:space="preserve">s prison, apparently a practice to intimidate women at the beginning of their detention, and in violation of </w:t>
      </w:r>
      <w:r>
        <w:t xml:space="preserve">the </w:t>
      </w:r>
      <w:r w:rsidRPr="00D119E7">
        <w:t>international human rights obligation</w:t>
      </w:r>
      <w:r>
        <w:t xml:space="preserve"> </w:t>
      </w:r>
      <w:r w:rsidRPr="00D119E7">
        <w:t>to incarcerate women and men separately.</w:t>
      </w:r>
      <w:r w:rsidRPr="00F81291">
        <w:rPr>
          <w:rStyle w:val="FootnoteReference"/>
        </w:rPr>
        <w:footnoteReference w:id="51"/>
      </w:r>
    </w:p>
    <w:p w14:paraId="0A3D77DC" w14:textId="3BCFAAAE" w:rsidR="003E3217" w:rsidRPr="00D119E7" w:rsidRDefault="003E3217" w:rsidP="00C13EBD">
      <w:pPr>
        <w:pStyle w:val="SingleTxtG"/>
      </w:pPr>
      <w:r w:rsidRPr="00D119E7">
        <w:t>34.</w:t>
      </w:r>
      <w:r w:rsidRPr="00D119E7">
        <w:tab/>
        <w:t>Another designated organization – the Union of Palestinian Women</w:t>
      </w:r>
      <w:r w:rsidR="00FC5976">
        <w:t>’</w:t>
      </w:r>
      <w:r w:rsidRPr="00D119E7">
        <w:t>s Committees</w:t>
      </w:r>
      <w:r>
        <w:t xml:space="preserve"> </w:t>
      </w:r>
      <w:r w:rsidRPr="00D119E7">
        <w:t xml:space="preserve">– reported that 15 women staff or volunteers </w:t>
      </w:r>
      <w:r>
        <w:t>had been</w:t>
      </w:r>
      <w:r w:rsidRPr="00D119E7">
        <w:t xml:space="preserve"> interrogated or called by the </w:t>
      </w:r>
      <w:r>
        <w:t>Israeli Security Agency</w:t>
      </w:r>
      <w:r w:rsidRPr="00D119E7">
        <w:t xml:space="preserve"> in the reporting period. All were told to stop working for </w:t>
      </w:r>
      <w:r>
        <w:t>the Union</w:t>
      </w:r>
      <w:r w:rsidRPr="00D119E7">
        <w:t xml:space="preserve">, some were intimidated, including </w:t>
      </w:r>
      <w:r>
        <w:t xml:space="preserve">with threats </w:t>
      </w:r>
      <w:r w:rsidRPr="00D119E7">
        <w:t>of action against their families. Some of the reported threats had a clear gender dimension, driven by deep-rooted discrimination against women and stereotypes about their appropriate role in society</w:t>
      </w:r>
      <w:r>
        <w:t>, and were aimed at</w:t>
      </w:r>
      <w:r w:rsidRPr="00D119E7">
        <w:t xml:space="preserve"> intimidat</w:t>
      </w:r>
      <w:r>
        <w:t>ing</w:t>
      </w:r>
      <w:r w:rsidRPr="00D119E7">
        <w:t xml:space="preserve"> and silenc</w:t>
      </w:r>
      <w:r>
        <w:t>ing</w:t>
      </w:r>
      <w:r w:rsidRPr="00D119E7">
        <w:t xml:space="preserve"> them.</w:t>
      </w:r>
      <w:r w:rsidRPr="00F81291">
        <w:rPr>
          <w:rStyle w:val="FootnoteReference"/>
        </w:rPr>
        <w:footnoteReference w:id="52"/>
      </w:r>
      <w:r w:rsidRPr="00F81291">
        <w:rPr>
          <w:rStyle w:val="FootnoteReference"/>
        </w:rPr>
        <w:t xml:space="preserve"> </w:t>
      </w:r>
    </w:p>
    <w:p w14:paraId="732BF980" w14:textId="5D0BEA97" w:rsidR="003E3217" w:rsidRPr="00D119E7" w:rsidRDefault="003E3217" w:rsidP="00C13EBD">
      <w:pPr>
        <w:pStyle w:val="SingleTxtG"/>
      </w:pPr>
      <w:r w:rsidRPr="00D119E7">
        <w:t>35.</w:t>
      </w:r>
      <w:r w:rsidRPr="00D119E7">
        <w:tab/>
        <w:t>The declarations and the arbitrary detention and intimidation of women human rights defenders had a significant chilling effect on the women</w:t>
      </w:r>
      <w:r w:rsidR="00FC5976">
        <w:t>’</w:t>
      </w:r>
      <w:r w:rsidRPr="00D119E7">
        <w:t xml:space="preserve">s rights movement in Palestine, as it deprived it of leaders and intimidated other women. </w:t>
      </w:r>
      <w:r>
        <w:t>Such defenders</w:t>
      </w:r>
      <w:r w:rsidRPr="00D119E7">
        <w:t xml:space="preserve"> also face threats and hate speech from private actors, mostly on social media, without significant protection from Palestinian authorities. The intimidation includes accusations of </w:t>
      </w:r>
      <w:r w:rsidR="00FC5976">
        <w:t>“</w:t>
      </w:r>
      <w:r w:rsidRPr="00D119E7">
        <w:t>destroying</w:t>
      </w:r>
      <w:r w:rsidR="00FC5976">
        <w:t>”</w:t>
      </w:r>
      <w:r w:rsidRPr="00D119E7">
        <w:t xml:space="preserve"> the </w:t>
      </w:r>
      <w:r w:rsidR="00FC5976">
        <w:t>“</w:t>
      </w:r>
      <w:r w:rsidRPr="00D119E7">
        <w:t xml:space="preserve">social fabric and collaborating with Israel and Western countries. In March, one </w:t>
      </w:r>
      <w:r>
        <w:t>such defender</w:t>
      </w:r>
      <w:r w:rsidRPr="00D119E7">
        <w:t xml:space="preserve"> was vilified on a</w:t>
      </w:r>
      <w:r>
        <w:t xml:space="preserve"> website against the</w:t>
      </w:r>
      <w:r w:rsidRPr="00D119E7">
        <w:t xml:space="preserve"> </w:t>
      </w:r>
      <w:r>
        <w:t>Convention on the Elimination of All Forms of Discrimination against Women, which</w:t>
      </w:r>
      <w:r w:rsidRPr="00D119E7">
        <w:t xml:space="preserve"> labell</w:t>
      </w:r>
      <w:r>
        <w:t>ed</w:t>
      </w:r>
      <w:r w:rsidRPr="00D119E7">
        <w:t xml:space="preserve"> her and other </w:t>
      </w:r>
      <w:r>
        <w:t xml:space="preserve">women human rights defenders </w:t>
      </w:r>
      <w:r w:rsidR="00FC5976">
        <w:t>“</w:t>
      </w:r>
      <w:r w:rsidRPr="00D119E7">
        <w:t>collaborators</w:t>
      </w:r>
      <w:r w:rsidR="00FC5976">
        <w:t>”</w:t>
      </w:r>
      <w:r w:rsidRPr="00D119E7">
        <w:t xml:space="preserve"> and threaten</w:t>
      </w:r>
      <w:r>
        <w:t>ed</w:t>
      </w:r>
      <w:r w:rsidRPr="00D119E7">
        <w:t xml:space="preserve"> her. On 31 March, she submitted a complaint to the Palestinian Attorney General, but was unaware of any steps taken as </w:t>
      </w:r>
      <w:r>
        <w:t>at</w:t>
      </w:r>
      <w:r w:rsidRPr="00D119E7">
        <w:t xml:space="preserve"> 31 October. </w:t>
      </w:r>
    </w:p>
    <w:p w14:paraId="790FA7BF" w14:textId="61E343BE" w:rsidR="003E3217" w:rsidRPr="00D119E7" w:rsidRDefault="003E3217" w:rsidP="00C13EBD">
      <w:pPr>
        <w:pStyle w:val="SingleTxtG"/>
      </w:pPr>
      <w:r w:rsidRPr="00D119E7">
        <w:t>36.</w:t>
      </w:r>
      <w:r w:rsidRPr="00D119E7">
        <w:tab/>
        <w:t>Gender-based violence in the private sphere – exacerbated by the occupation – remained a human rights violation of utmost concern.</w:t>
      </w:r>
      <w:r w:rsidRPr="00F81291">
        <w:rPr>
          <w:rStyle w:val="FootnoteReference"/>
        </w:rPr>
        <w:footnoteReference w:id="53"/>
      </w:r>
      <w:r w:rsidRPr="00F81291">
        <w:rPr>
          <w:rStyle w:val="FootnoteReference"/>
        </w:rPr>
        <w:t xml:space="preserve"> </w:t>
      </w:r>
      <w:r w:rsidRPr="00D119E7">
        <w:t xml:space="preserve">According to the July 2022 results of an official Palestinian </w:t>
      </w:r>
      <w:r>
        <w:t xml:space="preserve">survey on </w:t>
      </w:r>
      <w:r w:rsidRPr="00D119E7">
        <w:t>violence, 59.3</w:t>
      </w:r>
      <w:r>
        <w:t xml:space="preserve"> per cent</w:t>
      </w:r>
      <w:r w:rsidRPr="00D119E7">
        <w:t xml:space="preserve"> of Palestinian women – 70.4</w:t>
      </w:r>
      <w:r>
        <w:t xml:space="preserve"> per cent</w:t>
      </w:r>
      <w:r w:rsidRPr="00D119E7">
        <w:t xml:space="preserve"> in Gaza and 52.3</w:t>
      </w:r>
      <w:r>
        <w:t xml:space="preserve"> per cent</w:t>
      </w:r>
      <w:r w:rsidRPr="00D119E7">
        <w:t xml:space="preserve"> in the West Bank – </w:t>
      </w:r>
      <w:r>
        <w:t xml:space="preserve">had </w:t>
      </w:r>
      <w:r w:rsidRPr="00D119E7">
        <w:t>experienced violence by their husbands.</w:t>
      </w:r>
      <w:r w:rsidRPr="00F81291">
        <w:rPr>
          <w:rStyle w:val="FootnoteReference"/>
        </w:rPr>
        <w:footnoteReference w:id="54"/>
      </w:r>
      <w:r w:rsidRPr="00F81291">
        <w:rPr>
          <w:rStyle w:val="FootnoteReference"/>
        </w:rPr>
        <w:t xml:space="preserve"> </w:t>
      </w:r>
      <w:r w:rsidRPr="00D119E7">
        <w:t>In the reporting period, OHCHR noted 23 cases raising concerns of gender-</w:t>
      </w:r>
      <w:r>
        <w:t>based</w:t>
      </w:r>
      <w:r w:rsidRPr="00D119E7">
        <w:t xml:space="preserve"> killings or femicides of women (20) and girls (3) – 17 in the West Bank and </w:t>
      </w:r>
      <w:r>
        <w:t>6</w:t>
      </w:r>
      <w:r w:rsidRPr="00D119E7">
        <w:t xml:space="preserve"> in Gaza – a slight decrease from the </w:t>
      </w:r>
      <w:r>
        <w:t>previous</w:t>
      </w:r>
      <w:r w:rsidRPr="00D119E7">
        <w:t xml:space="preserve"> period (26). Many of these cases are officially reported as suicides, </w:t>
      </w:r>
      <w:r w:rsidR="00FC5976">
        <w:t>“</w:t>
      </w:r>
      <w:r w:rsidRPr="00D119E7">
        <w:t>accidents</w:t>
      </w:r>
      <w:r w:rsidR="00FC5976">
        <w:t>”</w:t>
      </w:r>
      <w:r w:rsidRPr="00D119E7">
        <w:t xml:space="preserve"> and deaths in unclarified circumstances. Women, including victims of </w:t>
      </w:r>
      <w:r>
        <w:t>gender-based violence</w:t>
      </w:r>
      <w:r w:rsidRPr="00D119E7">
        <w:t>, who report to the police</w:t>
      </w:r>
      <w:r w:rsidR="00FC5976">
        <w:t xml:space="preserve"> </w:t>
      </w:r>
      <w:r w:rsidRPr="00D119E7">
        <w:t>continue to be arbitrarily detained on discriminatory charges</w:t>
      </w:r>
      <w:r>
        <w:t>,</w:t>
      </w:r>
      <w:r w:rsidRPr="00D119E7">
        <w:t xml:space="preserve"> such as</w:t>
      </w:r>
      <w:r>
        <w:t xml:space="preserve"> for</w:t>
      </w:r>
      <w:r w:rsidRPr="00D119E7">
        <w:t xml:space="preserve"> adultery and other moral crimes, leading to their revictimization.</w:t>
      </w:r>
      <w:r w:rsidRPr="00F81291">
        <w:rPr>
          <w:rStyle w:val="FootnoteReference"/>
        </w:rPr>
        <w:footnoteReference w:id="55"/>
      </w:r>
      <w:r w:rsidRPr="00F81291">
        <w:rPr>
          <w:rStyle w:val="FootnoteReference"/>
        </w:rPr>
        <w:t xml:space="preserve"> </w:t>
      </w:r>
      <w:r w:rsidRPr="00D119E7">
        <w:t xml:space="preserve">Claiming pressure from conservative groups, the </w:t>
      </w:r>
      <w:r>
        <w:t>G</w:t>
      </w:r>
      <w:r w:rsidRPr="00D119E7">
        <w:t xml:space="preserve">overnment of the State of Palestine also stalled the adoption of a </w:t>
      </w:r>
      <w:r>
        <w:t>f</w:t>
      </w:r>
      <w:r w:rsidRPr="00D119E7">
        <w:t xml:space="preserve">amily </w:t>
      </w:r>
      <w:r>
        <w:t>p</w:t>
      </w:r>
      <w:r w:rsidRPr="00D119E7">
        <w:t xml:space="preserve">rotection </w:t>
      </w:r>
      <w:r>
        <w:t>b</w:t>
      </w:r>
      <w:r w:rsidRPr="00D119E7">
        <w:t xml:space="preserve">ill pending since </w:t>
      </w:r>
      <w:r>
        <w:t xml:space="preserve">the </w:t>
      </w:r>
      <w:r w:rsidRPr="00D119E7">
        <w:t xml:space="preserve">early 2000s and the revision of outdated criminal and personal status laws that discriminate against women and girls and create fertile ground for </w:t>
      </w:r>
      <w:r>
        <w:t>gender-based violence</w:t>
      </w:r>
      <w:r w:rsidRPr="00D119E7">
        <w:t xml:space="preserve">. </w:t>
      </w:r>
    </w:p>
    <w:p w14:paraId="68A33B27" w14:textId="2D4BD2EE" w:rsidR="003E3217" w:rsidRPr="00D119E7" w:rsidRDefault="003E3217" w:rsidP="00C13EBD">
      <w:pPr>
        <w:pStyle w:val="SingleTxtG"/>
      </w:pPr>
      <w:r w:rsidRPr="00D119E7">
        <w:t>37.</w:t>
      </w:r>
      <w:r w:rsidRPr="00D119E7">
        <w:tab/>
        <w:t xml:space="preserve">During the reporting period, there were various instances of intimidation, including by individuals and groups involved with the </w:t>
      </w:r>
      <w:r>
        <w:t>movement against the Convention on the Elimination of All Forms of Discrimination against Women</w:t>
      </w:r>
      <w:r w:rsidRPr="00D119E7">
        <w:t xml:space="preserve">, </w:t>
      </w:r>
      <w:r>
        <w:t xml:space="preserve">who </w:t>
      </w:r>
      <w:r w:rsidRPr="00D119E7">
        <w:t>coerc</w:t>
      </w:r>
      <w:r>
        <w:t>ed</w:t>
      </w:r>
      <w:r w:rsidRPr="00D119E7">
        <w:t xml:space="preserve"> organi</w:t>
      </w:r>
      <w:r>
        <w:t>z</w:t>
      </w:r>
      <w:r w:rsidRPr="00D119E7">
        <w:t xml:space="preserve">ations to cancel activities perceived to promote LGBTI+ rights and gender equality. </w:t>
      </w:r>
      <w:r>
        <w:t>For example,</w:t>
      </w:r>
      <w:r w:rsidRPr="00D119E7">
        <w:t xml:space="preserve"> on 17 June, approximately 40 Palestinian men attacked the Al-Mustawda</w:t>
      </w:r>
      <w:r w:rsidR="00FC5976">
        <w:t>’</w:t>
      </w:r>
      <w:r w:rsidRPr="00D119E7">
        <w:t xml:space="preserve"> cultural centre in Ramallah, forcing the cancellation of a concert</w:t>
      </w:r>
      <w:r>
        <w:t>,</w:t>
      </w:r>
      <w:r w:rsidRPr="00D119E7">
        <w:t xml:space="preserve"> alleging that the singer was gay. Similarly, on 8 July, </w:t>
      </w:r>
      <w:r>
        <w:t xml:space="preserve">participants in a </w:t>
      </w:r>
      <w:r w:rsidRPr="00D119E7">
        <w:t>march by the Ashtar Theatre group in Ramallah w</w:t>
      </w:r>
      <w:r>
        <w:t>ere</w:t>
      </w:r>
      <w:r w:rsidRPr="00D119E7">
        <w:t xml:space="preserve"> attacked by young Palestinians shouting </w:t>
      </w:r>
      <w:r w:rsidR="00FC5976">
        <w:t>“</w:t>
      </w:r>
      <w:r w:rsidRPr="00D119E7">
        <w:t>gay, LGBTI</w:t>
      </w:r>
      <w:r>
        <w:t>,</w:t>
      </w:r>
      <w:r w:rsidRPr="00D119E7">
        <w:t xml:space="preserve"> collaborators</w:t>
      </w:r>
      <w:r w:rsidR="00FC5976">
        <w:t>”</w:t>
      </w:r>
      <w:r>
        <w:t>.</w:t>
      </w:r>
      <w:r w:rsidRPr="00D119E7">
        <w:t xml:space="preserve"> In these incidents, there was concern that Palestinian authorities failed to protect the rights of the affected groups or hold the perpetrators to account. </w:t>
      </w:r>
    </w:p>
    <w:p w14:paraId="59212F3E" w14:textId="65446FC7" w:rsidR="003E3217" w:rsidRPr="00D119E7" w:rsidRDefault="003E3217" w:rsidP="00C13EBD">
      <w:pPr>
        <w:pStyle w:val="SingleTxtG"/>
      </w:pPr>
      <w:r w:rsidRPr="00D119E7">
        <w:t>38.</w:t>
      </w:r>
      <w:r w:rsidRPr="00D119E7">
        <w:tab/>
        <w:t>LGBTI+ pe</w:t>
      </w:r>
      <w:r>
        <w:t>rsons</w:t>
      </w:r>
      <w:r w:rsidR="00FC5976">
        <w:t xml:space="preserve"> </w:t>
      </w:r>
      <w:r w:rsidRPr="00D119E7">
        <w:t>continued to be subjected to violence in</w:t>
      </w:r>
      <w:r>
        <w:t xml:space="preserve"> </w:t>
      </w:r>
      <w:r w:rsidRPr="00D119E7">
        <w:t xml:space="preserve">the private </w:t>
      </w:r>
      <w:r>
        <w:t>and</w:t>
      </w:r>
      <w:r w:rsidRPr="00D119E7">
        <w:t xml:space="preserve"> public sphere</w:t>
      </w:r>
      <w:r>
        <w:t>s</w:t>
      </w:r>
      <w:r w:rsidRPr="00D119E7">
        <w:t xml:space="preserve">. On 5 October, 25-year-old Ahmad Abu Markhiyeh was beheaded in Hebron, allegedly by an acquaintance who was arrested at the crime scene. The victim had escaped his community in Hebron in 2020 reportedly following threats due to his sexual orientation. </w:t>
      </w:r>
      <w:r w:rsidRPr="00D119E7">
        <w:lastRenderedPageBreak/>
        <w:t xml:space="preserve">He entered Israel, where he filed </w:t>
      </w:r>
      <w:r>
        <w:t xml:space="preserve">a </w:t>
      </w:r>
      <w:r w:rsidRPr="00D119E7">
        <w:t xml:space="preserve">request for asylum in a third country. </w:t>
      </w:r>
      <w:r>
        <w:t>The</w:t>
      </w:r>
      <w:r w:rsidRPr="00D119E7">
        <w:t xml:space="preserve"> reasons for </w:t>
      </w:r>
      <w:r>
        <w:t xml:space="preserve">his </w:t>
      </w:r>
      <w:r w:rsidRPr="00D119E7">
        <w:t>return to Hebron are unclear. On 8 October, in a tribal reconciliation ceremony, the family of the alleged perpetrator agreed to pay 50,000 Jordanian dinars to the victim</w:t>
      </w:r>
      <w:r w:rsidR="00FC5976">
        <w:t>’</w:t>
      </w:r>
      <w:r w:rsidRPr="00D119E7">
        <w:t xml:space="preserve">s family. As </w:t>
      </w:r>
      <w:r>
        <w:t>at</w:t>
      </w:r>
      <w:r w:rsidRPr="00D119E7">
        <w:t xml:space="preserve"> 31 October, the suspect remained under arrest, but no indictment ha</w:t>
      </w:r>
      <w:r>
        <w:t>d</w:t>
      </w:r>
      <w:r w:rsidRPr="00D119E7">
        <w:t xml:space="preserve"> been filed.</w:t>
      </w:r>
    </w:p>
    <w:p w14:paraId="691E42D3" w14:textId="77777777" w:rsidR="003E3217" w:rsidRPr="00D119E7" w:rsidRDefault="003E3217" w:rsidP="00C13EBD">
      <w:pPr>
        <w:pStyle w:val="SingleTxtG"/>
      </w:pPr>
      <w:r w:rsidRPr="00D119E7">
        <w:t>39.</w:t>
      </w:r>
      <w:r w:rsidRPr="00D119E7">
        <w:tab/>
        <w:t>LGBTI+ pe</w:t>
      </w:r>
      <w:r>
        <w:t>rsons</w:t>
      </w:r>
      <w:r w:rsidRPr="00D119E7">
        <w:t xml:space="preserve"> have </w:t>
      </w:r>
      <w:r>
        <w:t>few</w:t>
      </w:r>
      <w:r w:rsidRPr="00D119E7">
        <w:t xml:space="preserve"> or no avenues for protection</w:t>
      </w:r>
      <w:r>
        <w:t>,</w:t>
      </w:r>
      <w:r w:rsidRPr="00D119E7">
        <w:t xml:space="preserve"> and limited access to services in the </w:t>
      </w:r>
      <w:r>
        <w:t>Occupied Palestinian Territory</w:t>
      </w:r>
      <w:r w:rsidRPr="00D119E7">
        <w:t>.</w:t>
      </w:r>
      <w:r w:rsidRPr="00F81291">
        <w:rPr>
          <w:rStyle w:val="FootnoteReference"/>
        </w:rPr>
        <w:footnoteReference w:id="56"/>
      </w:r>
      <w:r w:rsidRPr="00F81291">
        <w:rPr>
          <w:rStyle w:val="FootnoteReference"/>
        </w:rPr>
        <w:t xml:space="preserve"> </w:t>
      </w:r>
      <w:r w:rsidRPr="00D119E7">
        <w:t>If they manage to flee to Israel, they are vulnerable to further violence and abuse.</w:t>
      </w:r>
      <w:r w:rsidRPr="00F81291">
        <w:rPr>
          <w:rStyle w:val="FootnoteReference"/>
        </w:rPr>
        <w:footnoteReference w:id="57"/>
      </w:r>
      <w:r w:rsidRPr="00F81291">
        <w:rPr>
          <w:rStyle w:val="FootnoteReference"/>
        </w:rPr>
        <w:t xml:space="preserve"> </w:t>
      </w:r>
      <w:r w:rsidRPr="00D119E7">
        <w:t xml:space="preserve">The situation of </w:t>
      </w:r>
      <w:r>
        <w:t>victims of gender-based violence</w:t>
      </w:r>
      <w:r w:rsidRPr="00D119E7">
        <w:t xml:space="preserve"> is compounded in Gaza, where vulnerability to </w:t>
      </w:r>
      <w:r>
        <w:t>such violence</w:t>
      </w:r>
      <w:r w:rsidRPr="00D119E7">
        <w:t xml:space="preserve"> is further exacerbated by the ongoing blockade, </w:t>
      </w:r>
      <w:r>
        <w:t xml:space="preserve">the </w:t>
      </w:r>
      <w:r w:rsidRPr="00D119E7">
        <w:t>high rate of unemployment and</w:t>
      </w:r>
      <w:r>
        <w:t xml:space="preserve"> the</w:t>
      </w:r>
      <w:r w:rsidRPr="00D119E7">
        <w:t xml:space="preserve"> recurrent escalation of hostilities. During the reporting period, OHCHR documented cases of women and LGBTI+ individuals who </w:t>
      </w:r>
      <w:r>
        <w:t>we</w:t>
      </w:r>
      <w:r w:rsidRPr="00D119E7">
        <w:t>re trapped in Gaza, unable to leave due to the Israeli blockade. They are forced either to hide or endure violence and other violations as the</w:t>
      </w:r>
      <w:r>
        <w:t xml:space="preserve"> de facto authorities</w:t>
      </w:r>
      <w:r w:rsidRPr="00D119E7">
        <w:t xml:space="preserve"> are unwilling or unable to provide protection due to prevailing patriarchal norms. </w:t>
      </w:r>
    </w:p>
    <w:p w14:paraId="48F688AB" w14:textId="77777777" w:rsidR="003E3217" w:rsidRPr="00E30BE0" w:rsidRDefault="003E3217" w:rsidP="00BC580B">
      <w:pPr>
        <w:pStyle w:val="H1G"/>
      </w:pPr>
      <w:r w:rsidRPr="00E30BE0">
        <w:tab/>
        <w:t>F.</w:t>
      </w:r>
      <w:r w:rsidRPr="00E30BE0">
        <w:tab/>
        <w:t xml:space="preserve">Arbitrary detention, torture and ill-treatment </w:t>
      </w:r>
    </w:p>
    <w:p w14:paraId="34E5F72A" w14:textId="4973389D" w:rsidR="003E3217" w:rsidRPr="00F81291" w:rsidRDefault="003E3217" w:rsidP="00C13EBD">
      <w:pPr>
        <w:pStyle w:val="SingleTxtG"/>
        <w:rPr>
          <w:rStyle w:val="FootnoteReference"/>
        </w:rPr>
      </w:pPr>
      <w:r w:rsidRPr="00D119E7">
        <w:t>40.</w:t>
      </w:r>
      <w:r w:rsidRPr="00D119E7">
        <w:tab/>
        <w:t xml:space="preserve">As </w:t>
      </w:r>
      <w:r>
        <w:t>at</w:t>
      </w:r>
      <w:r w:rsidRPr="00D119E7">
        <w:t xml:space="preserve"> 31 October,</w:t>
      </w:r>
      <w:r w:rsidRPr="00D119E7">
        <w:rPr>
          <w:b/>
        </w:rPr>
        <w:t xml:space="preserve"> </w:t>
      </w:r>
      <w:r w:rsidRPr="00D119E7">
        <w:t>Israel held 820 Palestinians in administrative detention (812 men,</w:t>
      </w:r>
      <w:r w:rsidR="00FC5976">
        <w:t xml:space="preserve"> </w:t>
      </w:r>
      <w:r w:rsidRPr="00D119E7">
        <w:t>5 boys</w:t>
      </w:r>
      <w:r>
        <w:t xml:space="preserve"> and 3 women</w:t>
      </w:r>
      <w:r w:rsidRPr="00D119E7">
        <w:t>) without charge or trial. This is the highest number since 2008, and a dramatic increase from the 500 in the previous reporting period.</w:t>
      </w:r>
      <w:r w:rsidRPr="00F81291">
        <w:rPr>
          <w:rStyle w:val="FootnoteReference"/>
        </w:rPr>
        <w:footnoteReference w:id="58"/>
      </w:r>
      <w:r w:rsidRPr="00F81291">
        <w:rPr>
          <w:rStyle w:val="FootnoteReference"/>
        </w:rPr>
        <w:t xml:space="preserve"> </w:t>
      </w:r>
      <w:r w:rsidRPr="00D119E7">
        <w:rPr>
          <w:shd w:val="clear" w:color="auto" w:fill="FFFFFF"/>
        </w:rPr>
        <w:t>More than</w:t>
      </w:r>
      <w:r w:rsidR="00F36190">
        <w:rPr>
          <w:shd w:val="clear" w:color="auto" w:fill="FFFFFF"/>
        </w:rPr>
        <w:t xml:space="preserve"> </w:t>
      </w:r>
      <w:r w:rsidRPr="00D119E7">
        <w:rPr>
          <w:shd w:val="clear" w:color="auto" w:fill="FFFFFF"/>
        </w:rPr>
        <w:t xml:space="preserve">70 detainees boycotted courts in protest against the Israeli administrative detention policy </w:t>
      </w:r>
      <w:r w:rsidRPr="00D119E7">
        <w:t>and several carried out prolonged hunger strikes</w:t>
      </w:r>
      <w:r w:rsidRPr="00D119E7">
        <w:rPr>
          <w:shd w:val="clear" w:color="auto" w:fill="FFFFFF"/>
        </w:rPr>
        <w:t>.</w:t>
      </w:r>
      <w:r w:rsidRPr="00F81291">
        <w:rPr>
          <w:rStyle w:val="FootnoteReference"/>
        </w:rPr>
        <w:footnoteReference w:id="59"/>
      </w:r>
    </w:p>
    <w:p w14:paraId="7547E770" w14:textId="033850EF" w:rsidR="003E3217" w:rsidRPr="00D119E7" w:rsidRDefault="003E3217" w:rsidP="00C13EBD">
      <w:pPr>
        <w:pStyle w:val="SingleTxtG"/>
        <w:rPr>
          <w:i/>
          <w:u w:val="single"/>
          <w:shd w:val="clear" w:color="auto" w:fill="FFFFFF"/>
        </w:rPr>
      </w:pPr>
      <w:r w:rsidRPr="00D119E7">
        <w:t>41.</w:t>
      </w:r>
      <w:r w:rsidRPr="00D119E7">
        <w:tab/>
      </w:r>
      <w:r w:rsidRPr="00D119E7">
        <w:rPr>
          <w:shd w:val="clear" w:color="auto" w:fill="FFFFFF"/>
        </w:rPr>
        <w:t xml:space="preserve">Among those held without charge or trial is </w:t>
      </w:r>
      <w:r w:rsidRPr="00D119E7">
        <w:t xml:space="preserve">Palestinian-French </w:t>
      </w:r>
      <w:r>
        <w:t>human rights defender</w:t>
      </w:r>
      <w:r w:rsidR="00FC5976">
        <w:t xml:space="preserve"> </w:t>
      </w:r>
      <w:r w:rsidRPr="00D119E7">
        <w:t>Salah Hammouri. He was arrested on 7 March and subsequently placed under administrative detention for three months,</w:t>
      </w:r>
      <w:r>
        <w:t xml:space="preserve"> which was</w:t>
      </w:r>
      <w:r w:rsidRPr="00D119E7">
        <w:t xml:space="preserve"> extended twice, based on secret evidence. In July, shortly after Mr. Hammouri wrote to the President </w:t>
      </w:r>
      <w:r>
        <w:t xml:space="preserve">of France </w:t>
      </w:r>
      <w:r w:rsidRPr="00D119E7">
        <w:t xml:space="preserve">protesting his detention, Israeli authorities categorized him as an </w:t>
      </w:r>
      <w:r w:rsidR="00FC5976">
        <w:t>“</w:t>
      </w:r>
      <w:r w:rsidRPr="00D119E7">
        <w:t>extremely dangerous prisoner</w:t>
      </w:r>
      <w:r w:rsidR="00FC5976">
        <w:t>”</w:t>
      </w:r>
      <w:r w:rsidRPr="00D119E7">
        <w:t>, entailing a number of restrictions</w:t>
      </w:r>
      <w:r>
        <w:t>,</w:t>
      </w:r>
      <w:r w:rsidRPr="00D119E7">
        <w:t xml:space="preserve"> including solitary confinement. Mr. Hammouri</w:t>
      </w:r>
      <w:r w:rsidR="00FC5976">
        <w:t>’</w:t>
      </w:r>
      <w:r>
        <w:t>s</w:t>
      </w:r>
      <w:r w:rsidRPr="00D119E7">
        <w:t xml:space="preserve"> East Jerusalem residency permit </w:t>
      </w:r>
      <w:r>
        <w:t xml:space="preserve">was unlawfully </w:t>
      </w:r>
      <w:r w:rsidRPr="00D119E7">
        <w:t xml:space="preserve">revoked in October 2021 for </w:t>
      </w:r>
      <w:r w:rsidR="00FC5976">
        <w:t>“</w:t>
      </w:r>
      <w:r w:rsidRPr="00D119E7">
        <w:t>breach of allegiance</w:t>
      </w:r>
      <w:r w:rsidR="00FC5976">
        <w:t>”</w:t>
      </w:r>
      <w:r w:rsidRPr="00D119E7">
        <w:t xml:space="preserve"> to Israel – explicitly prohibited by </w:t>
      </w:r>
      <w:r>
        <w:t>international humanitarian law</w:t>
      </w:r>
      <w:r w:rsidRPr="00D119E7">
        <w:t>.</w:t>
      </w:r>
      <w:r w:rsidRPr="00F81291">
        <w:rPr>
          <w:rStyle w:val="FootnoteReference"/>
        </w:rPr>
        <w:footnoteReference w:id="60"/>
      </w:r>
      <w:r w:rsidRPr="00F81291">
        <w:rPr>
          <w:rStyle w:val="FootnoteReference"/>
        </w:rPr>
        <w:t xml:space="preserve"> </w:t>
      </w:r>
    </w:p>
    <w:p w14:paraId="6286A414" w14:textId="77777777" w:rsidR="003E3217" w:rsidRPr="00F81291" w:rsidRDefault="003E3217" w:rsidP="00C13EBD">
      <w:pPr>
        <w:pStyle w:val="SingleTxtG"/>
        <w:rPr>
          <w:rStyle w:val="FootnoteReference"/>
        </w:rPr>
      </w:pPr>
      <w:r w:rsidRPr="00D119E7">
        <w:t>42.</w:t>
      </w:r>
      <w:r w:rsidRPr="00D119E7">
        <w:tab/>
      </w:r>
      <w:r w:rsidRPr="00D119E7">
        <w:rPr>
          <w:shd w:val="clear" w:color="auto" w:fill="FFFFFF"/>
        </w:rPr>
        <w:t>On 30 August, Mohamm</w:t>
      </w:r>
      <w:r>
        <w:rPr>
          <w:shd w:val="clear" w:color="auto" w:fill="FFFFFF"/>
        </w:rPr>
        <w:t>a</w:t>
      </w:r>
      <w:r w:rsidRPr="00D119E7">
        <w:rPr>
          <w:shd w:val="clear" w:color="auto" w:fill="FFFFFF"/>
        </w:rPr>
        <w:t xml:space="preserve">d el-Halabi the former </w:t>
      </w:r>
      <w:r>
        <w:rPr>
          <w:shd w:val="clear" w:color="auto" w:fill="FFFFFF"/>
        </w:rPr>
        <w:t>head</w:t>
      </w:r>
      <w:r w:rsidRPr="00D119E7">
        <w:rPr>
          <w:shd w:val="clear" w:color="auto" w:fill="FFFFFF"/>
        </w:rPr>
        <w:t xml:space="preserve"> of the World Vision</w:t>
      </w:r>
      <w:r>
        <w:rPr>
          <w:shd w:val="clear" w:color="auto" w:fill="FFFFFF"/>
        </w:rPr>
        <w:t xml:space="preserve"> International</w:t>
      </w:r>
      <w:r w:rsidRPr="00D119E7">
        <w:rPr>
          <w:shd w:val="clear" w:color="auto" w:fill="FFFFFF"/>
        </w:rPr>
        <w:t xml:space="preserve"> office in Gaza, was sentenced by an Israeli court to 12 years in prison, after </w:t>
      </w:r>
      <w:r>
        <w:rPr>
          <w:shd w:val="clear" w:color="auto" w:fill="FFFFFF"/>
        </w:rPr>
        <w:t>being held in detention for six years; there are</w:t>
      </w:r>
      <w:r w:rsidRPr="00D119E7">
        <w:rPr>
          <w:shd w:val="clear" w:color="auto" w:fill="FFFFFF"/>
        </w:rPr>
        <w:t xml:space="preserve"> credible allegations of torture, incommunicado detention and pressure to confess under duress. He was convicted of 13 counts of terrorism-related crimes, despite</w:t>
      </w:r>
      <w:r w:rsidRPr="00D119E7">
        <w:rPr>
          <w:bCs/>
          <w:shd w:val="clear" w:color="auto" w:fill="FFFFFF"/>
        </w:rPr>
        <w:t xml:space="preserve"> </w:t>
      </w:r>
      <w:r w:rsidRPr="00D119E7">
        <w:rPr>
          <w:shd w:val="clear" w:color="auto" w:fill="FFFFFF"/>
        </w:rPr>
        <w:t>serious due process violations, including the lack of evidence against him presented in open court, extensive use of secret evidence and closed-door hearings and restricted access to his lawyer.</w:t>
      </w:r>
      <w:r w:rsidRPr="00F81291">
        <w:rPr>
          <w:rStyle w:val="FootnoteReference"/>
        </w:rPr>
        <w:footnoteReference w:id="61"/>
      </w:r>
      <w:r w:rsidRPr="00F81291">
        <w:rPr>
          <w:rStyle w:val="FootnoteReference"/>
        </w:rPr>
        <w:t xml:space="preserve"> </w:t>
      </w:r>
      <w:r w:rsidRPr="00D119E7">
        <w:rPr>
          <w:shd w:val="clear" w:color="auto" w:fill="FFFFFF"/>
        </w:rPr>
        <w:t xml:space="preserve">Despite enormous pressure to accept a plea deal seemingly in the absence of evidence, Mr. </w:t>
      </w:r>
      <w:r w:rsidRPr="00D119E7">
        <w:t>e</w:t>
      </w:r>
      <w:r w:rsidRPr="00D119E7">
        <w:rPr>
          <w:shd w:val="clear" w:color="auto" w:fill="FFFFFF"/>
        </w:rPr>
        <w:t xml:space="preserve">l-Halabi maintained his innocence. His lawyers submitted an appeal to the Supreme Court </w:t>
      </w:r>
      <w:r w:rsidRPr="00D119E7">
        <w:rPr>
          <w:bCs/>
          <w:shd w:val="clear" w:color="auto" w:fill="FFFFFF"/>
        </w:rPr>
        <w:t xml:space="preserve">of Israel </w:t>
      </w:r>
      <w:r w:rsidRPr="00D119E7">
        <w:rPr>
          <w:shd w:val="clear" w:color="auto" w:fill="FFFFFF"/>
        </w:rPr>
        <w:t xml:space="preserve">on 18 October. His continuing </w:t>
      </w:r>
      <w:r w:rsidRPr="00D119E7">
        <w:t>deprivation of liberty may amount to arbitrary detention, given the serious due process violations.</w:t>
      </w:r>
      <w:r w:rsidRPr="00F81291">
        <w:rPr>
          <w:rStyle w:val="FootnoteReference"/>
        </w:rPr>
        <w:footnoteReference w:id="62"/>
      </w:r>
    </w:p>
    <w:p w14:paraId="62517EC9" w14:textId="1DC405AC" w:rsidR="003E3217" w:rsidRPr="00D119E7" w:rsidRDefault="003E3217" w:rsidP="00C13EBD">
      <w:pPr>
        <w:pStyle w:val="SingleTxtG"/>
        <w:rPr>
          <w:i/>
          <w:u w:val="single"/>
          <w:shd w:val="clear" w:color="auto" w:fill="FFFFFF"/>
        </w:rPr>
      </w:pPr>
      <w:r w:rsidRPr="00D119E7">
        <w:t>43.</w:t>
      </w:r>
      <w:r w:rsidRPr="00D119E7">
        <w:tab/>
        <w:t xml:space="preserve">On 19 June, an Israel Prison Service special committee denied Ahmad Manasrah the possibility of early release, based on retroactive application of a 2016 </w:t>
      </w:r>
      <w:r>
        <w:t>c</w:t>
      </w:r>
      <w:r w:rsidRPr="00D119E7">
        <w:t>ounter-</w:t>
      </w:r>
      <w:r>
        <w:t>t</w:t>
      </w:r>
      <w:r w:rsidRPr="00D119E7">
        <w:t xml:space="preserve">errorism </w:t>
      </w:r>
      <w:r>
        <w:t>l</w:t>
      </w:r>
      <w:r w:rsidRPr="00D119E7">
        <w:t>aw.</w:t>
      </w:r>
      <w:r w:rsidRPr="00F81291">
        <w:rPr>
          <w:rStyle w:val="FootnoteReference"/>
        </w:rPr>
        <w:footnoteReference w:id="63"/>
      </w:r>
      <w:r w:rsidRPr="00F81291">
        <w:rPr>
          <w:rStyle w:val="FootnoteReference"/>
        </w:rPr>
        <w:t xml:space="preserve"> </w:t>
      </w:r>
      <w:r w:rsidRPr="00D119E7">
        <w:t xml:space="preserve">In 2016, Manasrah, then aged 13, was sentenced to </w:t>
      </w:r>
      <w:r>
        <w:t>nine and a half</w:t>
      </w:r>
      <w:r w:rsidRPr="00D119E7">
        <w:t xml:space="preserve"> years of imprisonment for participation in a knife</w:t>
      </w:r>
      <w:r>
        <w:t xml:space="preserve"> </w:t>
      </w:r>
      <w:r w:rsidRPr="00D119E7">
        <w:t xml:space="preserve">attack that injured two settlers. Despite serious concerns for his </w:t>
      </w:r>
      <w:r w:rsidRPr="00D119E7">
        <w:lastRenderedPageBreak/>
        <w:t>psychological and physical health</w:t>
      </w:r>
      <w:r>
        <w:t>,</w:t>
      </w:r>
      <w:r w:rsidRPr="00D119E7">
        <w:t xml:space="preserve"> the Israel Prison Service parole committee also rejected his early-release motion on medical grounds on 28 June. As </w:t>
      </w:r>
      <w:r>
        <w:t>at</w:t>
      </w:r>
      <w:r w:rsidRPr="00D119E7">
        <w:t xml:space="preserve"> 31 October 2022, </w:t>
      </w:r>
      <w:r>
        <w:t>Mr.</w:t>
      </w:r>
      <w:r w:rsidR="00FE776F">
        <w:t> </w:t>
      </w:r>
      <w:r w:rsidRPr="00D119E7">
        <w:t xml:space="preserve">Manasrah remains in solitary confinement – since November 2021 – despite his schizophrenia diagnosis, raising serious concerns of torture or ill-treatment. </w:t>
      </w:r>
    </w:p>
    <w:p w14:paraId="6B79D7F5" w14:textId="77777777" w:rsidR="003E3217" w:rsidRPr="00D119E7" w:rsidRDefault="003E3217" w:rsidP="00C13EBD">
      <w:pPr>
        <w:pStyle w:val="SingleTxtG"/>
      </w:pPr>
      <w:r w:rsidRPr="00D119E7">
        <w:t>44.</w:t>
      </w:r>
      <w:r w:rsidRPr="00D119E7">
        <w:tab/>
        <w:t>During the reporting period, OHCHR continued to document allegations of ill-treatment, in some cases possibly amounting to torture, in Palestinian detention facilities in the West Bank and Gaza.</w:t>
      </w:r>
    </w:p>
    <w:p w14:paraId="3C5EC445" w14:textId="77777777" w:rsidR="003E3217" w:rsidRPr="00D119E7" w:rsidRDefault="003E3217" w:rsidP="00C13EBD">
      <w:pPr>
        <w:pStyle w:val="SingleTxtG"/>
        <w:rPr>
          <w:bCs/>
        </w:rPr>
      </w:pPr>
      <w:r w:rsidRPr="00D119E7">
        <w:rPr>
          <w:bCs/>
        </w:rPr>
        <w:t>45.</w:t>
      </w:r>
      <w:r w:rsidRPr="00D119E7">
        <w:rPr>
          <w:bCs/>
        </w:rPr>
        <w:tab/>
      </w:r>
      <w:r w:rsidRPr="00D119E7">
        <w:t>In the West Bank, the Independent Commission for Human Rights received 220 complaints (from 210 males</w:t>
      </w:r>
      <w:r>
        <w:t xml:space="preserve"> and</w:t>
      </w:r>
      <w:r w:rsidRPr="00D119E7">
        <w:t xml:space="preserve"> 10 females, including 15 children) of torture or ill-treatment in the West Bank. OHCHR monitored several cases of concern. Following an explosion on 6 June in Ramallah, six Palestinian men were arrested by </w:t>
      </w:r>
      <w:r>
        <w:t>Palestinian security forces</w:t>
      </w:r>
      <w:r w:rsidRPr="00D119E7">
        <w:t xml:space="preserve"> for manufacturing explosives. OHCHR detention monitoring indicated that at least two of the six men were subjected to severe beatings in detention, which may amount to torture. The beatings allegedly intensified as a reprisal after they spoke to </w:t>
      </w:r>
      <w:r>
        <w:t xml:space="preserve">representatives of </w:t>
      </w:r>
      <w:r w:rsidRPr="00D119E7">
        <w:t xml:space="preserve">OHCHR and other organizations who visited them in detention. In July, eight detainees held in the police detention facility in Bethlehem made credible allegations of torture and ill-treatment during interrogation. Alleged treatment included stress positions, particularly suspension for long hours with hands cuffed behind; flogging with electric cables and sticks; beating, punching, slapping, kicking and stomping on different parts of their bodies, including </w:t>
      </w:r>
      <w:r>
        <w:t xml:space="preserve">the </w:t>
      </w:r>
      <w:r w:rsidRPr="00D119E7">
        <w:t xml:space="preserve">head and genitals; sleep deprivation; and deprivation of access to food, water and </w:t>
      </w:r>
      <w:r>
        <w:t xml:space="preserve">the </w:t>
      </w:r>
      <w:r w:rsidRPr="00D119E7">
        <w:t xml:space="preserve">toilet for several days. OHCHR documented injuries and marks on the bodies of four of the detainees, consistent with the allegations. These four detainees, who were held in relation to the same incident, consistently stated that they were subjected to this physical violence in order to force them to confess to the crime of robbery, raising serious concerns </w:t>
      </w:r>
      <w:r>
        <w:t>of</w:t>
      </w:r>
      <w:r w:rsidRPr="00D119E7">
        <w:t xml:space="preserve"> torture.</w:t>
      </w:r>
    </w:p>
    <w:p w14:paraId="1A9C650F" w14:textId="77777777" w:rsidR="003E3217" w:rsidRPr="00D119E7" w:rsidRDefault="003E3217" w:rsidP="00C13EBD">
      <w:pPr>
        <w:pStyle w:val="SingleTxtG"/>
        <w:rPr>
          <w:i/>
          <w:u w:val="single"/>
          <w:shd w:val="clear" w:color="auto" w:fill="FFFFFF"/>
        </w:rPr>
      </w:pPr>
      <w:r w:rsidRPr="00D119E7">
        <w:t>46.</w:t>
      </w:r>
      <w:r w:rsidRPr="00D119E7">
        <w:tab/>
        <w:t xml:space="preserve">In Gaza, </w:t>
      </w:r>
      <w:r>
        <w:t xml:space="preserve">the </w:t>
      </w:r>
      <w:r w:rsidRPr="00D119E7">
        <w:t>Independent Commission for Human Rights received 223 complaints (from 209 male</w:t>
      </w:r>
      <w:r>
        <w:t xml:space="preserve"> and</w:t>
      </w:r>
      <w:r w:rsidRPr="00D119E7">
        <w:t xml:space="preserve"> 14 female</w:t>
      </w:r>
      <w:r>
        <w:t xml:space="preserve"> complainants,</w:t>
      </w:r>
      <w:r w:rsidRPr="00D119E7">
        <w:t xml:space="preserve"> including 59 children). In one incident, a 52</w:t>
      </w:r>
      <w:r w:rsidRPr="00D119E7">
        <w:rPr>
          <w:i/>
        </w:rPr>
        <w:t>-</w:t>
      </w:r>
      <w:r w:rsidRPr="00D119E7">
        <w:t>year-old man died in custody several weeks after his arrest on 2 September by the</w:t>
      </w:r>
      <w:r>
        <w:t xml:space="preserve"> a</w:t>
      </w:r>
      <w:r w:rsidRPr="00D119E7">
        <w:t>nti-drug police</w:t>
      </w:r>
      <w:r>
        <w:t xml:space="preserve"> of the de facto authorities</w:t>
      </w:r>
      <w:r w:rsidRPr="00D119E7">
        <w:t>. On 16 October, the Gaza Ministry of</w:t>
      </w:r>
      <w:r>
        <w:t xml:space="preserve"> the</w:t>
      </w:r>
      <w:r w:rsidRPr="00D119E7">
        <w:t xml:space="preserve"> Interior announced that he </w:t>
      </w:r>
      <w:r>
        <w:t xml:space="preserve">had </w:t>
      </w:r>
      <w:r w:rsidRPr="00D119E7">
        <w:t>died due to a heart attack after being transferred to a hospital two days before</w:t>
      </w:r>
      <w:r>
        <w:t>.</w:t>
      </w:r>
      <w:r w:rsidRPr="00D119E7">
        <w:t xml:space="preserve"> However, he </w:t>
      </w:r>
      <w:r>
        <w:t xml:space="preserve">had </w:t>
      </w:r>
      <w:r w:rsidRPr="00D119E7">
        <w:t xml:space="preserve">reportedly complained about ill-treatment and torture and about his ill-health. </w:t>
      </w:r>
    </w:p>
    <w:p w14:paraId="7CDDA9B1" w14:textId="77777777" w:rsidR="003E3217" w:rsidRPr="00E30BE0" w:rsidRDefault="003E3217" w:rsidP="00BC580B">
      <w:pPr>
        <w:pStyle w:val="H1G"/>
      </w:pPr>
      <w:r w:rsidRPr="00E30BE0">
        <w:tab/>
        <w:t>G.</w:t>
      </w:r>
      <w:r w:rsidRPr="00E30BE0">
        <w:tab/>
        <w:t xml:space="preserve">Death penalty </w:t>
      </w:r>
    </w:p>
    <w:p w14:paraId="5EC3E2CF" w14:textId="51CA415C" w:rsidR="003E3217" w:rsidRPr="00705AEB" w:rsidRDefault="003E3217" w:rsidP="00C13EBD">
      <w:pPr>
        <w:pStyle w:val="SingleTxtG"/>
      </w:pPr>
      <w:r w:rsidRPr="00705AEB">
        <w:t>47.</w:t>
      </w:r>
      <w:r w:rsidRPr="00705AEB">
        <w:tab/>
      </w:r>
      <w:r w:rsidRPr="00D119E7">
        <w:t xml:space="preserve">On 4 September, the </w:t>
      </w:r>
      <w:r>
        <w:t xml:space="preserve">de facto authorities in </w:t>
      </w:r>
      <w:r w:rsidRPr="00D119E7">
        <w:t>Gaza</w:t>
      </w:r>
      <w:r>
        <w:t xml:space="preserve"> </w:t>
      </w:r>
      <w:r w:rsidRPr="00D119E7">
        <w:t>executed two men sentenced to death for collaboration with the enemy and three men convicted of murder. These were the first executions since May 2017 and were condemned by OHCHR.</w:t>
      </w:r>
      <w:r w:rsidRPr="00F81291">
        <w:rPr>
          <w:rStyle w:val="FootnoteReference"/>
        </w:rPr>
        <w:footnoteReference w:id="64"/>
      </w:r>
      <w:r w:rsidRPr="00F81291">
        <w:rPr>
          <w:rStyle w:val="FootnoteReference"/>
        </w:rPr>
        <w:t xml:space="preserve"> </w:t>
      </w:r>
      <w:r w:rsidRPr="00D119E7">
        <w:t xml:space="preserve">Despite requirements under Palestinian law, the approval of the President was not secured, nor were there opportunities for the men to seek clemency or a pardon. Courts in Gaza also issued 20 death sentences (all men), including </w:t>
      </w:r>
      <w:r w:rsidR="00484C38">
        <w:t>8</w:t>
      </w:r>
      <w:r w:rsidRPr="00D119E7">
        <w:t xml:space="preserve"> by military courts</w:t>
      </w:r>
      <w:r>
        <w:t>;</w:t>
      </w:r>
      <w:r w:rsidRPr="00D119E7">
        <w:t xml:space="preserve"> appeals courts confirmed 16 </w:t>
      </w:r>
      <w:r>
        <w:t xml:space="preserve">death </w:t>
      </w:r>
      <w:r w:rsidRPr="00D119E7">
        <w:t>sentences and cassation courts</w:t>
      </w:r>
      <w:r>
        <w:t>,</w:t>
      </w:r>
      <w:r w:rsidRPr="00D119E7">
        <w:t xml:space="preserve"> </w:t>
      </w:r>
      <w:r w:rsidR="00A42DC8">
        <w:t>5</w:t>
      </w:r>
      <w:r w:rsidRPr="00D119E7">
        <w:t xml:space="preserve">. Serious concern remains that criminal proceedings resulting in the imposition of death sentences in Gaza do not meet due process requirements </w:t>
      </w:r>
      <w:r w:rsidRPr="00705AEB">
        <w:t xml:space="preserve">and fair trial guarantees. </w:t>
      </w:r>
    </w:p>
    <w:p w14:paraId="1BE1149D" w14:textId="77777777" w:rsidR="003E3217" w:rsidRPr="00D119E7" w:rsidRDefault="003E3217" w:rsidP="00C13EBD">
      <w:pPr>
        <w:pStyle w:val="SingleTxtG"/>
      </w:pPr>
      <w:r w:rsidRPr="00D119E7">
        <w:t>48.</w:t>
      </w:r>
      <w:r w:rsidRPr="00D119E7">
        <w:tab/>
      </w:r>
      <w:r w:rsidRPr="00705AEB">
        <w:t>No death sentences were issued in the West Bank. However, two prisoners apparently have remained under death sentences since 2015,</w:t>
      </w:r>
      <w:r w:rsidRPr="00F81291">
        <w:rPr>
          <w:rStyle w:val="FootnoteReference"/>
        </w:rPr>
        <w:footnoteReference w:id="65"/>
      </w:r>
      <w:r w:rsidRPr="00F81291">
        <w:rPr>
          <w:rStyle w:val="FootnoteReference"/>
        </w:rPr>
        <w:t xml:space="preserve"> </w:t>
      </w:r>
      <w:r w:rsidRPr="00705AEB">
        <w:t>even though the State of Palestine has committed to abolishing the death penalty by its 2019 accession to the Second Optional Protocol to the International Covenant on Civil</w:t>
      </w:r>
      <w:r w:rsidRPr="00D119E7">
        <w:t xml:space="preserve"> and Political Rights</w:t>
      </w:r>
      <w:r>
        <w:t>, aiming at the abolition of the death penalty</w:t>
      </w:r>
      <w:r w:rsidRPr="00D119E7">
        <w:t xml:space="preserve">. </w:t>
      </w:r>
    </w:p>
    <w:p w14:paraId="24E096B7" w14:textId="77777777" w:rsidR="003E3217" w:rsidRPr="00E30BE0" w:rsidRDefault="003E3217" w:rsidP="00BC580B">
      <w:pPr>
        <w:pStyle w:val="HChG"/>
      </w:pPr>
      <w:r w:rsidRPr="00E30BE0">
        <w:lastRenderedPageBreak/>
        <w:tab/>
        <w:t>III.</w:t>
      </w:r>
      <w:r w:rsidRPr="00E30BE0">
        <w:tab/>
        <w:t>Update on accountability</w:t>
      </w:r>
    </w:p>
    <w:p w14:paraId="5702AF7D" w14:textId="77777777" w:rsidR="003E3217" w:rsidRPr="00E30BE0" w:rsidRDefault="003E3217" w:rsidP="00BC580B">
      <w:pPr>
        <w:pStyle w:val="H1G"/>
      </w:pPr>
      <w:r w:rsidRPr="00E30BE0">
        <w:tab/>
        <w:t>A.</w:t>
      </w:r>
      <w:r w:rsidRPr="00E30BE0">
        <w:tab/>
        <w:t xml:space="preserve">Violations during </w:t>
      </w:r>
      <w:r>
        <w:t xml:space="preserve">the </w:t>
      </w:r>
      <w:r w:rsidRPr="00E30BE0">
        <w:t>escalation of hostilities in Gaza</w:t>
      </w:r>
    </w:p>
    <w:p w14:paraId="1D13336A" w14:textId="77777777" w:rsidR="003E3217" w:rsidRPr="00D119E7" w:rsidRDefault="003E3217" w:rsidP="00C13EBD">
      <w:pPr>
        <w:pStyle w:val="SingleTxtG"/>
        <w:rPr>
          <w:b/>
        </w:rPr>
      </w:pPr>
      <w:r w:rsidRPr="00D119E7">
        <w:t>49.</w:t>
      </w:r>
      <w:r w:rsidRPr="00D119E7">
        <w:tab/>
        <w:t xml:space="preserve">As </w:t>
      </w:r>
      <w:r>
        <w:t>at</w:t>
      </w:r>
      <w:r w:rsidRPr="00D119E7">
        <w:t xml:space="preserve"> 31 October, OHCHR was not aware of any criminal investigations opened by Israel into </w:t>
      </w:r>
      <w:r>
        <w:t xml:space="preserve">the </w:t>
      </w:r>
      <w:r w:rsidRPr="00D119E7">
        <w:t>conduct</w:t>
      </w:r>
      <w:r>
        <w:t xml:space="preserve"> of the Israeli Defense Forces</w:t>
      </w:r>
      <w:r w:rsidRPr="00D119E7">
        <w:t xml:space="preserve"> during the August 2022 hostilities. There is also no </w:t>
      </w:r>
      <w:r w:rsidRPr="00D119E7" w:rsidDel="00EF3E21">
        <w:t xml:space="preserve">information </w:t>
      </w:r>
      <w:r w:rsidRPr="00D119E7">
        <w:t>o</w:t>
      </w:r>
      <w:r>
        <w:t>n</w:t>
      </w:r>
      <w:r w:rsidRPr="00D119E7">
        <w:t xml:space="preserve"> </w:t>
      </w:r>
      <w:r w:rsidRPr="00D119E7" w:rsidDel="00EF3E21">
        <w:t>step</w:t>
      </w:r>
      <w:r w:rsidRPr="00D119E7">
        <w:t>s</w:t>
      </w:r>
      <w:r w:rsidRPr="00D119E7" w:rsidDel="00EF3E21">
        <w:t xml:space="preserve"> taken by the State of Palestine to investigate </w:t>
      </w:r>
      <w:r w:rsidRPr="00D119E7">
        <w:t xml:space="preserve">apparent </w:t>
      </w:r>
      <w:r w:rsidRPr="00D119E7" w:rsidDel="00EF3E21">
        <w:t xml:space="preserve">violations of </w:t>
      </w:r>
      <w:r>
        <w:t xml:space="preserve">international humanitarian law </w:t>
      </w:r>
      <w:r w:rsidRPr="00D119E7" w:rsidDel="00EF3E21">
        <w:t>by Palestinian armed groups</w:t>
      </w:r>
      <w:r w:rsidRPr="00D119E7">
        <w:t xml:space="preserve">. According to the </w:t>
      </w:r>
      <w:r>
        <w:t>de facto authorities in Gaza</w:t>
      </w:r>
      <w:r w:rsidRPr="00D119E7">
        <w:t xml:space="preserve">, investigations into allegations of violations by both sides have been initiated, but no outcome was known as </w:t>
      </w:r>
      <w:r>
        <w:t>at</w:t>
      </w:r>
      <w:r w:rsidRPr="00D119E7">
        <w:t xml:space="preserve"> 31 October</w:t>
      </w:r>
      <w:r w:rsidRPr="00D119E7" w:rsidDel="00EF3E21">
        <w:t>.</w:t>
      </w:r>
    </w:p>
    <w:p w14:paraId="04A83DA8" w14:textId="38D0A03E" w:rsidR="003E3217" w:rsidRPr="00F81291" w:rsidRDefault="003E3217" w:rsidP="00C13EBD">
      <w:pPr>
        <w:pStyle w:val="SingleTxtG"/>
        <w:rPr>
          <w:rStyle w:val="FootnoteReference"/>
        </w:rPr>
      </w:pPr>
      <w:r w:rsidRPr="00D119E7">
        <w:t>50.</w:t>
      </w:r>
      <w:r w:rsidRPr="00D119E7">
        <w:tab/>
        <w:t>Impunity</w:t>
      </w:r>
      <w:r w:rsidR="00FC5976">
        <w:t xml:space="preserve"> </w:t>
      </w:r>
      <w:r w:rsidRPr="00D119E7">
        <w:t>persist</w:t>
      </w:r>
      <w:r>
        <w:t>s</w:t>
      </w:r>
      <w:r w:rsidRPr="00D119E7">
        <w:t>. OHCHR is not aware of any step</w:t>
      </w:r>
      <w:r>
        <w:t>s</w:t>
      </w:r>
      <w:r w:rsidRPr="00D119E7">
        <w:t xml:space="preserve"> taken during the reporting period by any party to the conflict to ensure accountability for actual or potential violations of </w:t>
      </w:r>
      <w:r>
        <w:t>international humanitarian law</w:t>
      </w:r>
      <w:r w:rsidRPr="00D119E7">
        <w:t xml:space="preserve">, including alleged war crimes, perpetrated in the context of previous rounds of hostilities. In April, the </w:t>
      </w:r>
      <w:r>
        <w:t>Israeli Defense Forces</w:t>
      </w:r>
      <w:r w:rsidRPr="00D119E7">
        <w:t xml:space="preserve"> provided information</w:t>
      </w:r>
      <w:r>
        <w:t xml:space="preserve"> </w:t>
      </w:r>
      <w:r w:rsidRPr="00D119E7">
        <w:t>to Yesh Din regarding the May 2021 escalation, showing no significant progress.</w:t>
      </w:r>
      <w:r w:rsidRPr="00F81291">
        <w:rPr>
          <w:rStyle w:val="FootnoteReference"/>
        </w:rPr>
        <w:footnoteReference w:id="66"/>
      </w:r>
      <w:r w:rsidRPr="00F81291">
        <w:rPr>
          <w:rStyle w:val="FootnoteReference"/>
        </w:rPr>
        <w:t xml:space="preserve"> </w:t>
      </w:r>
      <w:r w:rsidRPr="00D119E7">
        <w:t>On 24 April, the Israeli High Court of Justice upheld the decision by the Attorney</w:t>
      </w:r>
      <w:r>
        <w:t xml:space="preserve"> </w:t>
      </w:r>
      <w:r w:rsidRPr="00D119E7">
        <w:t xml:space="preserve">General to close the investigation into an Israeli attack </w:t>
      </w:r>
      <w:r>
        <w:t>that</w:t>
      </w:r>
      <w:r w:rsidRPr="00D119E7">
        <w:t xml:space="preserve"> killed four Palestinian boys on a Gaza beach on 16 July 2014, notwithstanding serious concerns about the attack and the conduct of the investigation.</w:t>
      </w:r>
      <w:r w:rsidRPr="00F81291">
        <w:rPr>
          <w:rStyle w:val="FootnoteReference"/>
        </w:rPr>
        <w:footnoteReference w:id="67"/>
      </w:r>
    </w:p>
    <w:p w14:paraId="455208D5" w14:textId="77777777" w:rsidR="003E3217" w:rsidRPr="00D119E7" w:rsidRDefault="003E3217" w:rsidP="00C13EBD">
      <w:pPr>
        <w:pStyle w:val="SingleTxtG"/>
      </w:pPr>
      <w:r w:rsidRPr="00D119E7">
        <w:t>51.</w:t>
      </w:r>
      <w:r w:rsidRPr="00D119E7">
        <w:tab/>
        <w:t xml:space="preserve">The High Commissioner has previously expressed concerns with regard to the independence, impartiality, promptness and transparency of the Israeli </w:t>
      </w:r>
      <w:r>
        <w:t>o</w:t>
      </w:r>
      <w:r w:rsidRPr="00D119E7">
        <w:t>ffice of the Military Advocate General,</w:t>
      </w:r>
      <w:r w:rsidRPr="00F81291">
        <w:rPr>
          <w:rStyle w:val="FootnoteReference"/>
        </w:rPr>
        <w:footnoteReference w:id="68"/>
      </w:r>
      <w:r w:rsidRPr="00F81291">
        <w:rPr>
          <w:rStyle w:val="FootnoteReference"/>
        </w:rPr>
        <w:t xml:space="preserve"> </w:t>
      </w:r>
      <w:r w:rsidRPr="00D119E7">
        <w:t xml:space="preserve">and the consistent failure of all parties to ensure accountability for alleged serious violations of </w:t>
      </w:r>
      <w:r>
        <w:t>international humanitarian law</w:t>
      </w:r>
      <w:r w:rsidRPr="00D119E7">
        <w:t xml:space="preserve"> in the context of hostilities.</w:t>
      </w:r>
      <w:r w:rsidRPr="00F81291">
        <w:rPr>
          <w:rStyle w:val="FootnoteReference"/>
        </w:rPr>
        <w:footnoteReference w:id="69"/>
      </w:r>
      <w:r w:rsidRPr="00F81291">
        <w:rPr>
          <w:rStyle w:val="FootnoteReference"/>
        </w:rPr>
        <w:t xml:space="preserve"> </w:t>
      </w:r>
      <w:r w:rsidRPr="00D119E7">
        <w:t>The Human Rights Committee expressed concern in March that no perpetrator ha</w:t>
      </w:r>
      <w:r>
        <w:t>d</w:t>
      </w:r>
      <w:r w:rsidRPr="00D119E7">
        <w:t xml:space="preserve"> been brought to justice for violations committed during the May 2021 escalation.</w:t>
      </w:r>
      <w:r w:rsidRPr="00F81291">
        <w:rPr>
          <w:rStyle w:val="FootnoteReference"/>
        </w:rPr>
        <w:footnoteReference w:id="70"/>
      </w:r>
      <w:r w:rsidRPr="00F81291">
        <w:rPr>
          <w:rStyle w:val="FootnoteReference"/>
        </w:rPr>
        <w:t xml:space="preserve"> </w:t>
      </w:r>
      <w:r w:rsidRPr="00D119E7">
        <w:t>It further regretted the lack of updated information on investigation into previous escalations in 2008</w:t>
      </w:r>
      <w:r>
        <w:t>/0</w:t>
      </w:r>
      <w:r w:rsidRPr="00D119E7">
        <w:t>9, 2012 and 2014 and their outcomes.</w:t>
      </w:r>
      <w:r w:rsidRPr="00F81291">
        <w:rPr>
          <w:rStyle w:val="FootnoteReference"/>
        </w:rPr>
        <w:footnoteReference w:id="71"/>
      </w:r>
      <w:r w:rsidRPr="00F81291">
        <w:rPr>
          <w:rStyle w:val="FootnoteReference"/>
        </w:rPr>
        <w:t xml:space="preserve"> </w:t>
      </w:r>
    </w:p>
    <w:p w14:paraId="7729B30F" w14:textId="77777777" w:rsidR="003E3217" w:rsidRPr="00E30BE0" w:rsidRDefault="003E3217" w:rsidP="00BC580B">
      <w:pPr>
        <w:pStyle w:val="H1G"/>
        <w:rPr>
          <w:bCs/>
          <w:i/>
          <w:iCs/>
        </w:rPr>
      </w:pPr>
      <w:r w:rsidRPr="00E30BE0">
        <w:tab/>
        <w:t>B.</w:t>
      </w:r>
      <w:r w:rsidRPr="00E30BE0">
        <w:tab/>
        <w:t xml:space="preserve">Unlawful use of force, </w:t>
      </w:r>
      <w:r>
        <w:t xml:space="preserve">and </w:t>
      </w:r>
      <w:r w:rsidRPr="00E30BE0">
        <w:t>other violations of international human rights law</w:t>
      </w:r>
    </w:p>
    <w:p w14:paraId="15C744EE" w14:textId="77777777" w:rsidR="003E3217" w:rsidRPr="00F81291" w:rsidRDefault="003E3217" w:rsidP="00C13EBD">
      <w:pPr>
        <w:pStyle w:val="SingleTxtG"/>
        <w:rPr>
          <w:rStyle w:val="FootnoteReference"/>
        </w:rPr>
      </w:pPr>
      <w:r w:rsidRPr="00D119E7">
        <w:t>52.</w:t>
      </w:r>
      <w:r w:rsidRPr="00D119E7">
        <w:tab/>
        <w:t xml:space="preserve">Impunity remained pervasive for incidents of apparent unlawful use of force by </w:t>
      </w:r>
      <w:r>
        <w:t>Israeli security forces</w:t>
      </w:r>
      <w:r w:rsidRPr="00D119E7">
        <w:t xml:space="preserve"> in law enforcement operations, outside the context of hostilities.</w:t>
      </w:r>
      <w:r w:rsidRPr="00F81291">
        <w:rPr>
          <w:rStyle w:val="FootnoteReference"/>
        </w:rPr>
        <w:footnoteReference w:id="72"/>
      </w:r>
      <w:r w:rsidRPr="00F81291">
        <w:rPr>
          <w:rStyle w:val="FootnoteReference"/>
        </w:rPr>
        <w:t xml:space="preserve"> </w:t>
      </w:r>
      <w:r w:rsidRPr="00D119E7">
        <w:t>Between 1 January 2017 – when the High Commissioner began reporting to the Human Rights Council on accountability – and 31 October 2022, 559 Palestinians</w:t>
      </w:r>
      <w:r w:rsidRPr="00D119E7">
        <w:rPr>
          <w:vertAlign w:val="superscript"/>
        </w:rPr>
        <w:t xml:space="preserve"> </w:t>
      </w:r>
      <w:r w:rsidRPr="00D119E7">
        <w:t xml:space="preserve">(including 120 children) were killed by </w:t>
      </w:r>
      <w:r>
        <w:t>Israeli security forces</w:t>
      </w:r>
      <w:r w:rsidRPr="00D119E7">
        <w:t xml:space="preserve"> in law enforcement operations in the </w:t>
      </w:r>
      <w:r>
        <w:t>Occupied Palestinian Territory</w:t>
      </w:r>
      <w:r w:rsidRPr="00D119E7">
        <w:t>.</w:t>
      </w:r>
      <w:r w:rsidRPr="00F81291">
        <w:rPr>
          <w:rStyle w:val="FootnoteReference"/>
        </w:rPr>
        <w:footnoteReference w:id="73"/>
      </w:r>
      <w:r w:rsidRPr="00F81291">
        <w:rPr>
          <w:rStyle w:val="FootnoteReference"/>
        </w:rPr>
        <w:t xml:space="preserve"> </w:t>
      </w:r>
      <w:r w:rsidRPr="00D119E7">
        <w:t xml:space="preserve">OHCHR is aware of 79 criminal investigations opened in relation to these deaths, of which at least 30 were closed without further action and only 5 resulted in indictments, 3 of which led to convictions. </w:t>
      </w:r>
      <w:r>
        <w:t xml:space="preserve">OHCHR is unaware of any </w:t>
      </w:r>
      <w:r w:rsidRPr="00D119E7">
        <w:t xml:space="preserve">indictment </w:t>
      </w:r>
      <w:r>
        <w:t>made during</w:t>
      </w:r>
      <w:r w:rsidRPr="00D119E7">
        <w:t xml:space="preserve"> the reporting period, and the lack of transparency continues</w:t>
      </w:r>
      <w:r>
        <w:t>.</w:t>
      </w:r>
      <w:r w:rsidRPr="00F81291">
        <w:rPr>
          <w:rStyle w:val="FootnoteReference"/>
        </w:rPr>
        <w:footnoteReference w:id="74"/>
      </w:r>
    </w:p>
    <w:p w14:paraId="18AC2951" w14:textId="07FD6AC2" w:rsidR="003E3217" w:rsidRPr="00D119E7" w:rsidRDefault="003E3217" w:rsidP="00C13EBD">
      <w:pPr>
        <w:pStyle w:val="SingleTxtG"/>
      </w:pPr>
      <w:r w:rsidRPr="00D119E7">
        <w:lastRenderedPageBreak/>
        <w:t>53.</w:t>
      </w:r>
      <w:r w:rsidRPr="00D119E7">
        <w:tab/>
      </w:r>
      <w:r>
        <w:t>International human rights law</w:t>
      </w:r>
      <w:r w:rsidRPr="00D119E7">
        <w:t xml:space="preserve"> requires that all deaths and injuries caused by use of force in law enforcement operations be subject to an independent, impartial, transparent, thorough and effective investigation. The </w:t>
      </w:r>
      <w:r>
        <w:t>Israeli Defense Forces</w:t>
      </w:r>
      <w:r w:rsidRPr="00D119E7">
        <w:t xml:space="preserve"> investigation policy applicable in the West Bank since 2011 requires an immediate investigation into operations that result in the death of a person, except when the incident involves </w:t>
      </w:r>
      <w:r w:rsidR="00FC5976">
        <w:t>“</w:t>
      </w:r>
      <w:r w:rsidRPr="00D119E7">
        <w:t>actual combat</w:t>
      </w:r>
      <w:r w:rsidR="00FC5976">
        <w:t>”</w:t>
      </w:r>
      <w:r w:rsidRPr="00D119E7">
        <w:t>.</w:t>
      </w:r>
      <w:r w:rsidRPr="00F81291">
        <w:rPr>
          <w:rStyle w:val="FootnoteReference"/>
        </w:rPr>
        <w:footnoteReference w:id="75"/>
      </w:r>
      <w:r w:rsidRPr="00F81291">
        <w:rPr>
          <w:rStyle w:val="FootnoteReference"/>
        </w:rPr>
        <w:t xml:space="preserve"> </w:t>
      </w:r>
      <w:r w:rsidRPr="00D119E7">
        <w:t>This is understood broadly to include any exchange of fire.</w:t>
      </w:r>
      <w:r w:rsidRPr="00F81291">
        <w:rPr>
          <w:rStyle w:val="FootnoteReference"/>
        </w:rPr>
        <w:footnoteReference w:id="76"/>
      </w:r>
      <w:r w:rsidRPr="00F81291">
        <w:rPr>
          <w:rStyle w:val="FootnoteReference"/>
        </w:rPr>
        <w:t xml:space="preserve"> </w:t>
      </w:r>
      <w:r w:rsidRPr="00D119E7">
        <w:t>It appears that if the</w:t>
      </w:r>
      <w:r>
        <w:t xml:space="preserve"> office of the</w:t>
      </w:r>
      <w:r w:rsidRPr="00D119E7">
        <w:t xml:space="preserve"> Military Advocate General understands the incident to include </w:t>
      </w:r>
      <w:r w:rsidR="00FC5976">
        <w:t>“</w:t>
      </w:r>
      <w:r w:rsidRPr="00D119E7">
        <w:t>actual combat</w:t>
      </w:r>
      <w:r w:rsidR="00FC5976">
        <w:t>”</w:t>
      </w:r>
      <w:r w:rsidRPr="00D119E7">
        <w:t xml:space="preserve">, </w:t>
      </w:r>
      <w:r>
        <w:t>it</w:t>
      </w:r>
      <w:r w:rsidRPr="00D119E7">
        <w:t xml:space="preserve"> appl</w:t>
      </w:r>
      <w:r>
        <w:t>ies the</w:t>
      </w:r>
      <w:r w:rsidRPr="00D119E7">
        <w:t xml:space="preserve"> rules regulating the conduct of hostilities.</w:t>
      </w:r>
      <w:r w:rsidRPr="00F81291">
        <w:rPr>
          <w:rStyle w:val="FootnoteReference"/>
        </w:rPr>
        <w:footnoteReference w:id="77"/>
      </w:r>
      <w:r w:rsidRPr="00F81291">
        <w:rPr>
          <w:rStyle w:val="FootnoteReference"/>
        </w:rPr>
        <w:t xml:space="preserve"> </w:t>
      </w:r>
    </w:p>
    <w:p w14:paraId="1FB9CD83" w14:textId="7A725D51" w:rsidR="003E3217" w:rsidRPr="00F81291" w:rsidRDefault="003E3217" w:rsidP="00C13EBD">
      <w:pPr>
        <w:pStyle w:val="SingleTxtG"/>
        <w:rPr>
          <w:rStyle w:val="FootnoteReference"/>
        </w:rPr>
      </w:pPr>
      <w:r w:rsidRPr="002F3C30">
        <w:t>54.</w:t>
      </w:r>
      <w:r w:rsidRPr="00D119E7">
        <w:tab/>
        <w:t xml:space="preserve">Such </w:t>
      </w:r>
      <w:r>
        <w:t xml:space="preserve">a </w:t>
      </w:r>
      <w:r w:rsidR="00FC5976">
        <w:t>“</w:t>
      </w:r>
      <w:r w:rsidRPr="00D119E7">
        <w:t>combat</w:t>
      </w:r>
      <w:r w:rsidR="00FC5976">
        <w:t>”</w:t>
      </w:r>
      <w:r w:rsidRPr="00D119E7">
        <w:t xml:space="preserve"> exemption was also claimed by Israeli authorities in the killing of Palestinian-American journalist Shireen Abu Akleh on 11 May, who was shot dead by an Israeli soldier while covering an </w:t>
      </w:r>
      <w:r>
        <w:t>Israeli security forces</w:t>
      </w:r>
      <w:r w:rsidRPr="00D119E7">
        <w:t xml:space="preserve"> operation in the Jenin </w:t>
      </w:r>
      <w:r>
        <w:t>r</w:t>
      </w:r>
      <w:r w:rsidRPr="00D119E7">
        <w:t xml:space="preserve">efugee camp that triggered armed clashes with Palestinians. On 5 September, the </w:t>
      </w:r>
      <w:r>
        <w:t>Israeli Defense Forces</w:t>
      </w:r>
      <w:r w:rsidRPr="00D119E7">
        <w:t xml:space="preserve"> admitted it was highly probable the journalist was killed by an Israeli soldier,</w:t>
      </w:r>
      <w:r w:rsidRPr="00F81291">
        <w:rPr>
          <w:rStyle w:val="FootnoteReference"/>
        </w:rPr>
        <w:footnoteReference w:id="78"/>
      </w:r>
      <w:r w:rsidRPr="00F81291">
        <w:rPr>
          <w:rStyle w:val="FootnoteReference"/>
        </w:rPr>
        <w:t xml:space="preserve"> </w:t>
      </w:r>
      <w:r w:rsidRPr="00D119E7">
        <w:t xml:space="preserve">but </w:t>
      </w:r>
      <w:r>
        <w:t xml:space="preserve">the </w:t>
      </w:r>
      <w:r w:rsidRPr="00D119E7">
        <w:t xml:space="preserve">Military Advocate General stated that no criminal investigation into any soldiers would be opened as it </w:t>
      </w:r>
      <w:r>
        <w:t xml:space="preserve">had </w:t>
      </w:r>
      <w:r w:rsidRPr="00D119E7">
        <w:t>happened in a situation of combat and there was no suspicion that a criminal offen</w:t>
      </w:r>
      <w:r>
        <w:t>c</w:t>
      </w:r>
      <w:r w:rsidRPr="00D119E7">
        <w:t xml:space="preserve">e </w:t>
      </w:r>
      <w:r>
        <w:t>had been</w:t>
      </w:r>
      <w:r w:rsidRPr="00D119E7">
        <w:t xml:space="preserve"> committed.</w:t>
      </w:r>
      <w:r w:rsidRPr="00F81291">
        <w:rPr>
          <w:rStyle w:val="FootnoteReference"/>
        </w:rPr>
        <w:footnoteReference w:id="79"/>
      </w:r>
    </w:p>
    <w:p w14:paraId="360DE033" w14:textId="5FB99916" w:rsidR="003E3217" w:rsidRPr="00F81291" w:rsidRDefault="003E3217" w:rsidP="00C13EBD">
      <w:pPr>
        <w:pStyle w:val="SingleTxtG"/>
        <w:rPr>
          <w:rStyle w:val="FootnoteReference"/>
        </w:rPr>
      </w:pPr>
      <w:r w:rsidRPr="00D119E7">
        <w:t>55.</w:t>
      </w:r>
      <w:r w:rsidRPr="00D119E7">
        <w:tab/>
        <w:t xml:space="preserve">In practice, the </w:t>
      </w:r>
      <w:r>
        <w:t>Israeli Defense Forces</w:t>
      </w:r>
      <w:r w:rsidRPr="00D119E7">
        <w:t xml:space="preserve"> appears to have adopted an even broader interpretation of </w:t>
      </w:r>
      <w:r w:rsidR="00FC5976">
        <w:t>“</w:t>
      </w:r>
      <w:r w:rsidRPr="00D119E7">
        <w:t>actual combat</w:t>
      </w:r>
      <w:r w:rsidR="00FC5976">
        <w:t>”</w:t>
      </w:r>
      <w:r w:rsidRPr="00D119E7">
        <w:t xml:space="preserve"> , as the majority of Palestinian deaths are not investigated – even when they take place in the context of alleged stabbing or ramming attacks</w:t>
      </w:r>
      <w:r>
        <w:t>,</w:t>
      </w:r>
      <w:r w:rsidRPr="00D119E7">
        <w:t xml:space="preserve"> stone</w:t>
      </w:r>
      <w:r>
        <w:t xml:space="preserve"> </w:t>
      </w:r>
      <w:r w:rsidRPr="00D119E7">
        <w:t>throwing or Molotov</w:t>
      </w:r>
      <w:r>
        <w:t>-</w:t>
      </w:r>
      <w:r w:rsidRPr="00D119E7">
        <w:t xml:space="preserve">cocktail throwing, and in the absence of exchange of fire. </w:t>
      </w:r>
      <w:r>
        <w:t>For example,</w:t>
      </w:r>
      <w:r w:rsidRPr="00D119E7">
        <w:t xml:space="preserve"> </w:t>
      </w:r>
      <w:r>
        <w:t>o</w:t>
      </w:r>
      <w:r w:rsidRPr="00D119E7">
        <w:t xml:space="preserve">n 11 May, </w:t>
      </w:r>
      <w:r>
        <w:t>Israeli security forces</w:t>
      </w:r>
      <w:r w:rsidRPr="00D119E7">
        <w:t xml:space="preserve"> shot dead a 16-year-old boy near his school in Al</w:t>
      </w:r>
      <w:r>
        <w:t xml:space="preserve"> </w:t>
      </w:r>
      <w:r w:rsidRPr="00D119E7">
        <w:t>Bireh – 100 met</w:t>
      </w:r>
      <w:r>
        <w:t>r</w:t>
      </w:r>
      <w:r w:rsidRPr="00D119E7">
        <w:t>es away from soldiers and not posing any threat</w:t>
      </w:r>
      <w:r>
        <w:t>;</w:t>
      </w:r>
      <w:r w:rsidRPr="00D119E7">
        <w:t xml:space="preserve"> no criminal investigation was announced. Commonly, instead of a criminal investigation</w:t>
      </w:r>
      <w:r>
        <w:t>,</w:t>
      </w:r>
      <w:r w:rsidRPr="00D119E7">
        <w:t xml:space="preserve"> as required by the policy</w:t>
      </w:r>
      <w:r>
        <w:t>,</w:t>
      </w:r>
      <w:r w:rsidRPr="00D119E7">
        <w:t xml:space="preserve"> only operational military probes are conducted within the </w:t>
      </w:r>
      <w:r>
        <w:t>Israeli security forces</w:t>
      </w:r>
      <w:r w:rsidRPr="00D119E7">
        <w:t xml:space="preserve"> unit involved in the incident, solely based on soldiers</w:t>
      </w:r>
      <w:r w:rsidR="00FC5976">
        <w:t>’</w:t>
      </w:r>
      <w:r w:rsidRPr="00D119E7">
        <w:t xml:space="preserve"> accounts without collecting evidence from other witnesses and sources.</w:t>
      </w:r>
      <w:r w:rsidRPr="00F81291">
        <w:rPr>
          <w:rStyle w:val="FootnoteReference"/>
        </w:rPr>
        <w:footnoteReference w:id="80"/>
      </w:r>
      <w:r w:rsidRPr="00F81291">
        <w:rPr>
          <w:rStyle w:val="FootnoteReference"/>
        </w:rPr>
        <w:t xml:space="preserve"> </w:t>
      </w:r>
      <w:r w:rsidRPr="00D119E7">
        <w:t xml:space="preserve">Of concern, such overbroad interpretations of </w:t>
      </w:r>
      <w:r w:rsidR="00FC5976">
        <w:t>“</w:t>
      </w:r>
      <w:r w:rsidRPr="00D119E7">
        <w:t>combat exemption</w:t>
      </w:r>
      <w:r w:rsidR="00FC5976">
        <w:t>”</w:t>
      </w:r>
      <w:r w:rsidRPr="00D119E7">
        <w:t xml:space="preserve"> have previously been approved by the </w:t>
      </w:r>
      <w:r>
        <w:t>High Court of Justice</w:t>
      </w:r>
      <w:r w:rsidRPr="00D119E7">
        <w:t xml:space="preserve"> in clear contradiction of international law.</w:t>
      </w:r>
      <w:r w:rsidRPr="00F81291">
        <w:rPr>
          <w:rStyle w:val="FootnoteReference"/>
        </w:rPr>
        <w:footnoteReference w:id="81"/>
      </w:r>
    </w:p>
    <w:p w14:paraId="4D5ED48D" w14:textId="2FD979A4" w:rsidR="003E3217" w:rsidRPr="002A3EE1" w:rsidRDefault="003E3217" w:rsidP="00C13EBD">
      <w:pPr>
        <w:pStyle w:val="SingleTxtG"/>
        <w:rPr>
          <w:lang w:val="en-US"/>
        </w:rPr>
      </w:pPr>
      <w:r w:rsidRPr="002A3EE1">
        <w:rPr>
          <w:lang w:val="en-US"/>
        </w:rPr>
        <w:t>56.</w:t>
      </w:r>
      <w:r w:rsidRPr="002A3EE1">
        <w:rPr>
          <w:lang w:val="en-US"/>
        </w:rPr>
        <w:tab/>
      </w:r>
      <w:r w:rsidRPr="00D119E7">
        <w:t xml:space="preserve">The Israeli conflation of two distinct regimes on use of force – law-enforcement operations regulated by </w:t>
      </w:r>
      <w:r>
        <w:t>international human rights law</w:t>
      </w:r>
      <w:r w:rsidRPr="00D119E7">
        <w:t xml:space="preserve"> and hostilities regulated by </w:t>
      </w:r>
      <w:r>
        <w:t>international humanitarian law</w:t>
      </w:r>
      <w:r w:rsidRPr="00D119E7">
        <w:t xml:space="preserve"> rules – is key in ensuring that Palestinian deaths in the West Bank and along the Gaza border are rarely investigated. Such lack of investigation extends to apparent cases of extrajudicial executions or wilful killings. </w:t>
      </w:r>
      <w:r>
        <w:t>For example</w:t>
      </w:r>
      <w:r w:rsidRPr="00D119E7">
        <w:t xml:space="preserve">, on 2 September, </w:t>
      </w:r>
      <w:r>
        <w:t>Israeli security forces</w:t>
      </w:r>
      <w:r w:rsidRPr="00D119E7">
        <w:t xml:space="preserve"> repeatedly shot and killed a 19-year-old Palestinian attacker, while he was lying injured on the ground in Beit </w:t>
      </w:r>
      <w:r w:rsidR="00FC5976">
        <w:t>‘</w:t>
      </w:r>
      <w:r w:rsidRPr="00D119E7">
        <w:t>Ein</w:t>
      </w:r>
      <w:r>
        <w:t>u</w:t>
      </w:r>
      <w:r w:rsidRPr="00D119E7">
        <w:t xml:space="preserve">n, near Hebron, and not presenting any further threat. </w:t>
      </w:r>
      <w:r w:rsidRPr="002A3EE1">
        <w:rPr>
          <w:lang w:val="en-US"/>
        </w:rPr>
        <w:t>No criminal investigation was opened.</w:t>
      </w:r>
    </w:p>
    <w:p w14:paraId="4A0CFEC3" w14:textId="6AD08D5F" w:rsidR="003E3217" w:rsidRPr="00F81291" w:rsidRDefault="003E3217" w:rsidP="00C13EBD">
      <w:pPr>
        <w:pStyle w:val="SingleTxtG"/>
        <w:rPr>
          <w:rStyle w:val="FootnoteReference"/>
        </w:rPr>
      </w:pPr>
      <w:r w:rsidRPr="00D119E7">
        <w:t>57.</w:t>
      </w:r>
      <w:r w:rsidRPr="00D119E7">
        <w:tab/>
        <w:t>The approach in East Jerusalem appears to be similar, as noted above</w:t>
      </w:r>
      <w:r>
        <w:t>.</w:t>
      </w:r>
      <w:r w:rsidRPr="00D119E7">
        <w:t xml:space="preserve"> </w:t>
      </w:r>
      <w:r>
        <w:t>O</w:t>
      </w:r>
      <w:r w:rsidRPr="00D119E7">
        <w:t xml:space="preserve">n 7 March, </w:t>
      </w:r>
      <w:r>
        <w:t>Israeli security forces</w:t>
      </w:r>
      <w:r w:rsidRPr="00D119E7">
        <w:t xml:space="preserve"> shot and killed a barely conscious Palestinian attacker. No criminal investigation was opened</w:t>
      </w:r>
      <w:r>
        <w:t>;</w:t>
      </w:r>
      <w:r w:rsidRPr="00D119E7">
        <w:t xml:space="preserve"> instead</w:t>
      </w:r>
      <w:r>
        <w:t>,</w:t>
      </w:r>
      <w:r w:rsidRPr="00D119E7">
        <w:t xml:space="preserve"> Israeli political and security leaders reportedly praised the soldiers.</w:t>
      </w:r>
      <w:r w:rsidRPr="00F81291">
        <w:rPr>
          <w:rStyle w:val="FootnoteReference"/>
        </w:rPr>
        <w:footnoteReference w:id="82"/>
      </w:r>
      <w:r w:rsidRPr="00F81291">
        <w:rPr>
          <w:rStyle w:val="FootnoteReference"/>
        </w:rPr>
        <w:t xml:space="preserve"> </w:t>
      </w:r>
      <w:r w:rsidRPr="00D119E7">
        <w:t xml:space="preserve">Even where investigations </w:t>
      </w:r>
      <w:r>
        <w:t>are</w:t>
      </w:r>
      <w:r w:rsidRPr="00D119E7">
        <w:t xml:space="preserve"> opened, they raise questions of impartiality. </w:t>
      </w:r>
      <w:r>
        <w:t>For example,</w:t>
      </w:r>
      <w:r w:rsidRPr="00D119E7">
        <w:t xml:space="preserve"> on 4 December 2021, </w:t>
      </w:r>
      <w:r>
        <w:t>Israeli security forces</w:t>
      </w:r>
      <w:r w:rsidRPr="00D119E7">
        <w:t xml:space="preserve"> shot and killed a 25-year-old Palestinian stabber near Jerusalem</w:t>
      </w:r>
      <w:r w:rsidR="00FC5976">
        <w:t>’</w:t>
      </w:r>
      <w:r w:rsidRPr="00D119E7">
        <w:t xml:space="preserve">s old city. Despite the man being shot, injured on the ground and no longer posing any apparent threat, </w:t>
      </w:r>
      <w:r>
        <w:t>Israeli security forces</w:t>
      </w:r>
      <w:r w:rsidRPr="00D119E7">
        <w:t xml:space="preserve"> subsequently shot him twice. Such </w:t>
      </w:r>
      <w:r w:rsidR="00FC5976">
        <w:t>“</w:t>
      </w:r>
      <w:r w:rsidRPr="00D119E7">
        <w:t>confirmation of kill</w:t>
      </w:r>
      <w:r w:rsidR="00FC5976">
        <w:t>”</w:t>
      </w:r>
      <w:r w:rsidRPr="00D119E7">
        <w:t xml:space="preserve"> raises serious concerns of extrajudicial execution and </w:t>
      </w:r>
      <w:r w:rsidRPr="00D119E7">
        <w:lastRenderedPageBreak/>
        <w:t>may amount to wilful killing, yet the Israel</w:t>
      </w:r>
      <w:r>
        <w:t>i Ministry of</w:t>
      </w:r>
      <w:r w:rsidRPr="00D119E7">
        <w:t xml:space="preserve"> Justice closed the investigation on 9 December</w:t>
      </w:r>
      <w:r>
        <w:t>,</w:t>
      </w:r>
      <w:r w:rsidRPr="00D119E7">
        <w:t xml:space="preserve"> asserting that the officers </w:t>
      </w:r>
      <w:r>
        <w:t xml:space="preserve">had </w:t>
      </w:r>
      <w:r w:rsidRPr="00D119E7">
        <w:t>acted in self-defen</w:t>
      </w:r>
      <w:r>
        <w:t>c</w:t>
      </w:r>
      <w:r w:rsidRPr="00D119E7">
        <w:t xml:space="preserve">e as </w:t>
      </w:r>
      <w:r w:rsidR="00FC5976">
        <w:t>“</w:t>
      </w:r>
      <w:r w:rsidRPr="00D119E7">
        <w:t>there was a real and concrete threat to the lives of the fighters and the civilians in the area</w:t>
      </w:r>
      <w:r w:rsidR="00FC5976">
        <w:t>”</w:t>
      </w:r>
      <w:r w:rsidRPr="00D119E7">
        <w:t>.</w:t>
      </w:r>
      <w:r w:rsidRPr="00F81291">
        <w:rPr>
          <w:rStyle w:val="FootnoteReference"/>
        </w:rPr>
        <w:footnoteReference w:id="83"/>
      </w:r>
    </w:p>
    <w:p w14:paraId="6F965B00" w14:textId="77777777" w:rsidR="003E3217" w:rsidRPr="00D119E7" w:rsidRDefault="003E3217" w:rsidP="00C13EBD">
      <w:pPr>
        <w:pStyle w:val="SingleTxtG"/>
      </w:pPr>
      <w:r w:rsidRPr="00D119E7">
        <w:t>58.</w:t>
      </w:r>
      <w:r w:rsidRPr="00D119E7">
        <w:tab/>
        <w:t xml:space="preserve">Concerns of impunity also apply to the continuing lack of progress in investigations relating to widespread use </w:t>
      </w:r>
      <w:r>
        <w:t>by Israeli security forces</w:t>
      </w:r>
      <w:r w:rsidRPr="00D119E7">
        <w:t xml:space="preserve"> of lethal force in the context of the Great March of Return demonstrations (2018</w:t>
      </w:r>
      <w:r>
        <w:t>/</w:t>
      </w:r>
      <w:r w:rsidRPr="00D119E7">
        <w:t>19)</w:t>
      </w:r>
      <w:r>
        <w:t xml:space="preserve"> in Gaza</w:t>
      </w:r>
      <w:r w:rsidRPr="00D119E7">
        <w:t>.</w:t>
      </w:r>
      <w:r w:rsidRPr="00F81291">
        <w:rPr>
          <w:rStyle w:val="FootnoteReference"/>
        </w:rPr>
        <w:footnoteReference w:id="84"/>
      </w:r>
      <w:r w:rsidRPr="00F81291">
        <w:rPr>
          <w:rStyle w:val="FootnoteReference"/>
        </w:rPr>
        <w:t xml:space="preserve"> </w:t>
      </w:r>
      <w:r w:rsidRPr="00D119E7">
        <w:t>OHCHR is not aware of any accountability steps taken by Israeli authorities in the reporting period.</w:t>
      </w:r>
      <w:r w:rsidRPr="00F81291">
        <w:rPr>
          <w:rStyle w:val="FootnoteReference"/>
        </w:rPr>
        <w:footnoteReference w:id="85"/>
      </w:r>
      <w:r w:rsidRPr="00F81291">
        <w:rPr>
          <w:rStyle w:val="FootnoteReference"/>
        </w:rPr>
        <w:t xml:space="preserve"> </w:t>
      </w:r>
    </w:p>
    <w:p w14:paraId="762DF8DF" w14:textId="77777777" w:rsidR="003E3217" w:rsidRPr="00D119E7" w:rsidRDefault="003E3217" w:rsidP="00C13EBD">
      <w:pPr>
        <w:pStyle w:val="SingleTxtG"/>
      </w:pPr>
      <w:r w:rsidRPr="00D119E7">
        <w:t>59.</w:t>
      </w:r>
      <w:r w:rsidRPr="00D119E7">
        <w:tab/>
        <w:t xml:space="preserve">The duty of the </w:t>
      </w:r>
      <w:r>
        <w:t>S</w:t>
      </w:r>
      <w:r w:rsidRPr="00D119E7">
        <w:t>tate to investigate potential unlawful deaths is an important element of the protection afforded to the right to life.</w:t>
      </w:r>
      <w:r w:rsidRPr="00F81291">
        <w:rPr>
          <w:rStyle w:val="FootnoteReference"/>
        </w:rPr>
        <w:footnoteReference w:id="86"/>
      </w:r>
      <w:r w:rsidRPr="00F81291">
        <w:rPr>
          <w:rStyle w:val="FootnoteReference"/>
        </w:rPr>
        <w:t xml:space="preserve"> </w:t>
      </w:r>
      <w:r w:rsidRPr="00D119E7">
        <w:t xml:space="preserve">The Human Rights Committee </w:t>
      </w:r>
      <w:r>
        <w:t>has</w:t>
      </w:r>
      <w:r w:rsidRPr="00D119E7">
        <w:t xml:space="preserve"> highlighted its deep concern at continuing and consistent reports of excessive use of lethal force by </w:t>
      </w:r>
      <w:r>
        <w:t>Israeli security forces</w:t>
      </w:r>
      <w:r w:rsidRPr="00D119E7">
        <w:t xml:space="preserve"> against Palestinians and the lack of accountability for th</w:t>
      </w:r>
      <w:r>
        <w:t>o</w:t>
      </w:r>
      <w:r w:rsidRPr="00D119E7">
        <w:t>se acts, resulting in a general climate of impunity.</w:t>
      </w:r>
      <w:r w:rsidRPr="00F81291">
        <w:rPr>
          <w:rStyle w:val="FootnoteReference"/>
        </w:rPr>
        <w:footnoteReference w:id="87"/>
      </w:r>
      <w:r w:rsidRPr="00F81291">
        <w:rPr>
          <w:rStyle w:val="FootnoteReference"/>
        </w:rPr>
        <w:t xml:space="preserve"> </w:t>
      </w:r>
      <w:r w:rsidRPr="00D119E7">
        <w:t>The systematic Israeli failure to investigate such incidents furthers impunity, leading invariably to increased Palestinian casualties.</w:t>
      </w:r>
    </w:p>
    <w:p w14:paraId="5CB1762D" w14:textId="059398D6" w:rsidR="003E3217" w:rsidRPr="00D119E7" w:rsidRDefault="003E3217" w:rsidP="00C13EBD">
      <w:pPr>
        <w:pStyle w:val="SingleTxtG"/>
      </w:pPr>
      <w:r w:rsidRPr="00D119E7">
        <w:t>60.</w:t>
      </w:r>
      <w:r w:rsidRPr="00D119E7">
        <w:tab/>
        <w:t>While complaint</w:t>
      </w:r>
      <w:r>
        <w:t xml:space="preserve"> </w:t>
      </w:r>
      <w:r w:rsidRPr="00D119E7">
        <w:t xml:space="preserve">channels exist for Palestinians living under the effective control of the Palestinian Authority and </w:t>
      </w:r>
      <w:r>
        <w:t>the de facto authorities in Gaza</w:t>
      </w:r>
      <w:r w:rsidRPr="00D119E7">
        <w:t xml:space="preserve">, there is rarely any action towards accountability. </w:t>
      </w:r>
      <w:r>
        <w:t>T</w:t>
      </w:r>
      <w:r w:rsidRPr="00D119E7">
        <w:t xml:space="preserve">he Palestinian Security Forces Justice Commission received six complaints of use of force </w:t>
      </w:r>
      <w:r>
        <w:t>by Palestinian security forces</w:t>
      </w:r>
      <w:r w:rsidRPr="00D119E7">
        <w:t xml:space="preserve"> – one is being investigated</w:t>
      </w:r>
      <w:r>
        <w:t xml:space="preserve"> and</w:t>
      </w:r>
      <w:r w:rsidRPr="00D119E7">
        <w:t xml:space="preserve"> four were closed without charge</w:t>
      </w:r>
      <w:r>
        <w:t>.</w:t>
      </w:r>
      <w:r w:rsidRPr="00D119E7">
        <w:t xml:space="preserve"> </w:t>
      </w:r>
      <w:r>
        <w:t>O</w:t>
      </w:r>
      <w:r w:rsidRPr="00D119E7">
        <w:t xml:space="preserve">ne </w:t>
      </w:r>
      <w:r>
        <w:t>has proceeded to</w:t>
      </w:r>
      <w:r w:rsidRPr="00D119E7">
        <w:t xml:space="preserve"> trial</w:t>
      </w:r>
      <w:r>
        <w:t>; it</w:t>
      </w:r>
      <w:r w:rsidRPr="00D119E7">
        <w:t xml:space="preserve"> may relate to the Budrus shooting (</w:t>
      </w:r>
      <w:r>
        <w:t xml:space="preserve">see </w:t>
      </w:r>
      <w:r w:rsidRPr="00D119E7">
        <w:t>para</w:t>
      </w:r>
      <w:r>
        <w:t>.</w:t>
      </w:r>
      <w:r w:rsidRPr="00D119E7">
        <w:t xml:space="preserve"> 2</w:t>
      </w:r>
      <w:r>
        <w:t>8 above</w:t>
      </w:r>
      <w:r w:rsidRPr="00D119E7">
        <w:t xml:space="preserve">) </w:t>
      </w:r>
      <w:r>
        <w:t>–</w:t>
      </w:r>
      <w:r w:rsidRPr="00D119E7">
        <w:t xml:space="preserve"> according to the complainant</w:t>
      </w:r>
      <w:r w:rsidR="00FC5976">
        <w:t>’</w:t>
      </w:r>
      <w:r>
        <w:t xml:space="preserve">s </w:t>
      </w:r>
      <w:r w:rsidRPr="00D119E7">
        <w:t xml:space="preserve">family, one </w:t>
      </w:r>
      <w:r>
        <w:t>Palestinian security forces</w:t>
      </w:r>
      <w:r w:rsidRPr="00D119E7">
        <w:t xml:space="preserve"> member is </w:t>
      </w:r>
      <w:r>
        <w:t xml:space="preserve">currently </w:t>
      </w:r>
      <w:r w:rsidRPr="00D119E7">
        <w:t xml:space="preserve">detained while undergoing trial. However, no complaint was registered by the Security Forces Justice Commission with respect to the killing of a bystander in Nablus </w:t>
      </w:r>
      <w:r>
        <w:t>in</w:t>
      </w:r>
      <w:r w:rsidRPr="00D119E7">
        <w:t xml:space="preserve"> September. Although </w:t>
      </w:r>
      <w:r>
        <w:t>Palestinian security forces</w:t>
      </w:r>
      <w:r w:rsidRPr="00D119E7">
        <w:t xml:space="preserve"> denied responsibility, there is no information on an investigation into the death.</w:t>
      </w:r>
    </w:p>
    <w:p w14:paraId="1F0F7D3B" w14:textId="77777777" w:rsidR="003E3217" w:rsidRPr="00D119E7" w:rsidRDefault="003E3217" w:rsidP="00C13EBD">
      <w:pPr>
        <w:pStyle w:val="SingleTxtG"/>
        <w:rPr>
          <w:bCs/>
        </w:rPr>
      </w:pPr>
      <w:r w:rsidRPr="00D119E7">
        <w:rPr>
          <w:bCs/>
        </w:rPr>
        <w:t>61.</w:t>
      </w:r>
      <w:r w:rsidRPr="00D119E7">
        <w:rPr>
          <w:bCs/>
        </w:rPr>
        <w:tab/>
      </w:r>
      <w:r w:rsidRPr="00D119E7">
        <w:t>With regard to the June 2021 killing of opposition activist Nizar Banat, the military court in Ramallah has significantly delayed</w:t>
      </w:r>
      <w:r>
        <w:t xml:space="preserve">, </w:t>
      </w:r>
      <w:r w:rsidRPr="00D119E7">
        <w:rPr>
          <w:bCs/>
        </w:rPr>
        <w:t>with no justification</w:t>
      </w:r>
      <w:r>
        <w:rPr>
          <w:bCs/>
        </w:rPr>
        <w:t>,</w:t>
      </w:r>
      <w:r w:rsidRPr="00D119E7">
        <w:t xml:space="preserve"> the</w:t>
      </w:r>
      <w:r w:rsidRPr="00D119E7">
        <w:rPr>
          <w:bCs/>
        </w:rPr>
        <w:t xml:space="preserve"> trial of </w:t>
      </w:r>
      <w:r>
        <w:rPr>
          <w:bCs/>
        </w:rPr>
        <w:t xml:space="preserve">the </w:t>
      </w:r>
      <w:r w:rsidRPr="00D119E7">
        <w:rPr>
          <w:bCs/>
        </w:rPr>
        <w:t>14 accused</w:t>
      </w:r>
      <w:r>
        <w:rPr>
          <w:bCs/>
        </w:rPr>
        <w:t xml:space="preserve"> Palestinian security forces</w:t>
      </w:r>
      <w:r w:rsidRPr="00D119E7">
        <w:rPr>
          <w:bCs/>
        </w:rPr>
        <w:t xml:space="preserve"> personnel. </w:t>
      </w:r>
      <w:r>
        <w:rPr>
          <w:bCs/>
        </w:rPr>
        <w:t>O</w:t>
      </w:r>
      <w:r w:rsidRPr="00D119E7">
        <w:rPr>
          <w:bCs/>
        </w:rPr>
        <w:t xml:space="preserve">n 21 June the </w:t>
      </w:r>
      <w:r>
        <w:rPr>
          <w:bCs/>
        </w:rPr>
        <w:t>m</w:t>
      </w:r>
      <w:r w:rsidRPr="00D119E7">
        <w:rPr>
          <w:bCs/>
        </w:rPr>
        <w:t xml:space="preserve">ilitary </w:t>
      </w:r>
      <w:r>
        <w:rPr>
          <w:bCs/>
        </w:rPr>
        <w:t>p</w:t>
      </w:r>
      <w:r w:rsidRPr="00D119E7">
        <w:rPr>
          <w:bCs/>
        </w:rPr>
        <w:t xml:space="preserve">ublic </w:t>
      </w:r>
      <w:r>
        <w:rPr>
          <w:bCs/>
        </w:rPr>
        <w:t>p</w:t>
      </w:r>
      <w:r w:rsidRPr="00D119E7">
        <w:rPr>
          <w:bCs/>
        </w:rPr>
        <w:t xml:space="preserve">rosecutor decided to release all 14 from detention. OHCHR is unaware of any legal basis for such release and has serious concerns about the willingness of the Palestinian authorities to ensure accountability for the killing of </w:t>
      </w:r>
      <w:r>
        <w:rPr>
          <w:bCs/>
        </w:rPr>
        <w:t xml:space="preserve">Mr. </w:t>
      </w:r>
      <w:r w:rsidRPr="00D119E7">
        <w:rPr>
          <w:bCs/>
        </w:rPr>
        <w:t xml:space="preserve">Banat. The </w:t>
      </w:r>
      <w:r w:rsidRPr="00D119E7">
        <w:t>Security Forces Justice Commission</w:t>
      </w:r>
      <w:r w:rsidRPr="00D119E7">
        <w:rPr>
          <w:bCs/>
        </w:rPr>
        <w:t xml:space="preserve"> did not respond to </w:t>
      </w:r>
      <w:r>
        <w:rPr>
          <w:bCs/>
        </w:rPr>
        <w:t xml:space="preserve">the </w:t>
      </w:r>
      <w:r w:rsidRPr="00D119E7">
        <w:rPr>
          <w:bCs/>
        </w:rPr>
        <w:t>specific query</w:t>
      </w:r>
      <w:r>
        <w:rPr>
          <w:bCs/>
        </w:rPr>
        <w:t xml:space="preserve"> from OHCHR</w:t>
      </w:r>
      <w:r w:rsidRPr="00D119E7">
        <w:rPr>
          <w:bCs/>
        </w:rPr>
        <w:t xml:space="preserve"> in this regard</w:t>
      </w:r>
      <w:r w:rsidRPr="00D119E7">
        <w:t>.</w:t>
      </w:r>
    </w:p>
    <w:p w14:paraId="304414F4" w14:textId="77777777" w:rsidR="003E3217" w:rsidRPr="00D119E7" w:rsidRDefault="003E3217" w:rsidP="00C13EBD">
      <w:pPr>
        <w:pStyle w:val="SingleTxtG"/>
      </w:pPr>
      <w:r w:rsidRPr="00D119E7">
        <w:t>62.</w:t>
      </w:r>
      <w:r w:rsidRPr="00D119E7">
        <w:tab/>
        <w:t>In Gaza,</w:t>
      </w:r>
      <w:r>
        <w:t xml:space="preserve"> the de facto authorities</w:t>
      </w:r>
      <w:r w:rsidRPr="00D119E7">
        <w:t xml:space="preserve"> announced that some police officers </w:t>
      </w:r>
      <w:r>
        <w:t>had been</w:t>
      </w:r>
      <w:r w:rsidRPr="00D119E7">
        <w:t xml:space="preserve"> injured in the incident in Beit Lahiya on 9 June (</w:t>
      </w:r>
      <w:r>
        <w:t xml:space="preserve">see </w:t>
      </w:r>
      <w:r w:rsidRPr="00D119E7">
        <w:t>para</w:t>
      </w:r>
      <w:r>
        <w:t>.</w:t>
      </w:r>
      <w:r w:rsidRPr="00D119E7">
        <w:t xml:space="preserve"> 2</w:t>
      </w:r>
      <w:r>
        <w:t>7 above</w:t>
      </w:r>
      <w:r w:rsidRPr="00D119E7">
        <w:t xml:space="preserve">) and vowed to investigate the incident. However, OHCHR is unaware of any action taken as </w:t>
      </w:r>
      <w:r>
        <w:t>at</w:t>
      </w:r>
      <w:r w:rsidRPr="00D119E7">
        <w:t xml:space="preserve"> 31 October.</w:t>
      </w:r>
      <w:r>
        <w:t xml:space="preserve"> The de facto authorities</w:t>
      </w:r>
      <w:r w:rsidRPr="00D119E7">
        <w:t xml:space="preserve"> also indicated that no investigation was being carried out into the shooting</w:t>
      </w:r>
      <w:r>
        <w:t xml:space="preserve"> </w:t>
      </w:r>
      <w:r w:rsidRPr="00D119E7">
        <w:t>incident on 4 October (</w:t>
      </w:r>
      <w:r>
        <w:t xml:space="preserve">see </w:t>
      </w:r>
      <w:r w:rsidRPr="00D119E7">
        <w:t>para</w:t>
      </w:r>
      <w:r>
        <w:t>.</w:t>
      </w:r>
      <w:r w:rsidRPr="00D119E7">
        <w:t xml:space="preserve"> 2</w:t>
      </w:r>
      <w:r>
        <w:t>7 above</w:t>
      </w:r>
      <w:r w:rsidRPr="00D119E7">
        <w:t>), as it involved exchange of fire with those wanted for drug trafficking and previous violence against the police.</w:t>
      </w:r>
    </w:p>
    <w:p w14:paraId="3EE4AA49" w14:textId="5B026B51" w:rsidR="003E3217" w:rsidRPr="00D119E7" w:rsidRDefault="003E3217" w:rsidP="00C13EBD">
      <w:pPr>
        <w:pStyle w:val="SingleTxtG"/>
      </w:pPr>
      <w:bookmarkStart w:id="5" w:name="_Hlk120882222"/>
      <w:r w:rsidRPr="00D119E7">
        <w:t>63.</w:t>
      </w:r>
      <w:r w:rsidRPr="00D119E7">
        <w:tab/>
        <w:t>Impunity for gender-</w:t>
      </w:r>
      <w:r>
        <w:t>based</w:t>
      </w:r>
      <w:r w:rsidRPr="00D119E7">
        <w:t xml:space="preserve"> violence remains pervasive in both </w:t>
      </w:r>
      <w:r>
        <w:t xml:space="preserve">the </w:t>
      </w:r>
      <w:r w:rsidRPr="00D119E7">
        <w:t>West Bank and Gaza.</w:t>
      </w:r>
      <w:r w:rsidRPr="00D119E7">
        <w:rPr>
          <w:vertAlign w:val="superscript"/>
        </w:rPr>
        <w:t xml:space="preserve"> </w:t>
      </w:r>
      <w:r w:rsidRPr="00D119E7">
        <w:t>In the West Bank, a trial is still ongoing three years after the murder of 21-year-old Israa Ghrayeb.</w:t>
      </w:r>
      <w:r w:rsidRPr="00F81291">
        <w:rPr>
          <w:rStyle w:val="FootnoteReference"/>
        </w:rPr>
        <w:footnoteReference w:id="88"/>
      </w:r>
      <w:r w:rsidRPr="00F81291">
        <w:rPr>
          <w:rStyle w:val="FootnoteReference"/>
        </w:rPr>
        <w:t xml:space="preserve"> </w:t>
      </w:r>
      <w:r w:rsidRPr="00D119E7">
        <w:t>Of 17 likely</w:t>
      </w:r>
      <w:r>
        <w:t xml:space="preserve"> </w:t>
      </w:r>
      <w:r w:rsidRPr="00D119E7">
        <w:t>cases of gender-</w:t>
      </w:r>
      <w:r>
        <w:t>based</w:t>
      </w:r>
      <w:r w:rsidRPr="00D119E7">
        <w:t xml:space="preserve"> killings of women and girls in the West Bank in the reporting period, according to the Attorney General</w:t>
      </w:r>
      <w:r w:rsidR="00FC5976">
        <w:t>’</w:t>
      </w:r>
      <w:r>
        <w:t>s</w:t>
      </w:r>
      <w:r w:rsidRPr="00D119E7">
        <w:t xml:space="preserve"> Office</w:t>
      </w:r>
      <w:r>
        <w:t xml:space="preserve"> of the Palestinian Authority</w:t>
      </w:r>
      <w:r w:rsidRPr="00D119E7">
        <w:t xml:space="preserve">, three indictments were filed, six cases were closed for lack of criminal suspicion, and seven cases remained under investigation as </w:t>
      </w:r>
      <w:r>
        <w:t>at</w:t>
      </w:r>
      <w:r w:rsidRPr="00D119E7">
        <w:t xml:space="preserve"> 31 October. One case involving a member of the security forces was transferred to the military prosecution. According to the </w:t>
      </w:r>
      <w:r>
        <w:t>de facto authorities in Gaza</w:t>
      </w:r>
      <w:r w:rsidRPr="00D119E7">
        <w:t>, of the six cases there, three were reportedly closed, while in two cases alleged perpetrators were sentenced to death. One case was transferred to the military prosecution as it involved a member of</w:t>
      </w:r>
      <w:r>
        <w:t xml:space="preserve"> the de facto authorities</w:t>
      </w:r>
      <w:r w:rsidR="00FC5976">
        <w:t>’</w:t>
      </w:r>
      <w:r w:rsidRPr="00D119E7">
        <w:t xml:space="preserve"> forces.</w:t>
      </w:r>
    </w:p>
    <w:bookmarkEnd w:id="5"/>
    <w:p w14:paraId="65657D99" w14:textId="77777777" w:rsidR="003E3217" w:rsidRPr="00E30BE0" w:rsidRDefault="003E3217" w:rsidP="00751DCC">
      <w:pPr>
        <w:pStyle w:val="H1G"/>
      </w:pPr>
      <w:r w:rsidRPr="00E30BE0">
        <w:lastRenderedPageBreak/>
        <w:tab/>
        <w:t>C.</w:t>
      </w:r>
      <w:r w:rsidRPr="00E30BE0">
        <w:tab/>
        <w:t>Violations relating to torture and ill-treatment</w:t>
      </w:r>
    </w:p>
    <w:p w14:paraId="01903093" w14:textId="76C4CB55" w:rsidR="003E3217" w:rsidRPr="00F81291" w:rsidRDefault="003E3217" w:rsidP="00C13EBD">
      <w:pPr>
        <w:pStyle w:val="SingleTxtG"/>
        <w:rPr>
          <w:rStyle w:val="FootnoteReference"/>
        </w:rPr>
      </w:pPr>
      <w:r w:rsidRPr="00D119E7">
        <w:t>64.</w:t>
      </w:r>
      <w:r w:rsidRPr="00D119E7">
        <w:tab/>
      </w:r>
      <w:r w:rsidRPr="00611155">
        <w:t>Concerns persisted regarding lack of accountability by relevant Israeli authorities in investigating allegations of torture or ill-treatment of Palestinians, including sexual violence</w:t>
      </w:r>
      <w:r>
        <w:t>,</w:t>
      </w:r>
      <w:r w:rsidRPr="00611155">
        <w:t xml:space="preserve"> in Israeli detention facilities.</w:t>
      </w:r>
      <w:r w:rsidRPr="00611155">
        <w:rPr>
          <w:vertAlign w:val="superscript"/>
        </w:rPr>
        <w:t xml:space="preserve"> </w:t>
      </w:r>
      <w:r w:rsidRPr="00611155">
        <w:t>In May, the Israeli Ministry of Justice decided not to open a criminal investigation into alleged torture or ill-treatment by the Israeli Security Agency against Palestinian</w:t>
      </w:r>
      <w:r w:rsidRPr="00D119E7">
        <w:t xml:space="preserve"> prisoner Tariq Bargut in February 2019.</w:t>
      </w:r>
      <w:r w:rsidRPr="00F81291">
        <w:rPr>
          <w:rStyle w:val="FootnoteReference"/>
        </w:rPr>
        <w:footnoteReference w:id="89"/>
      </w:r>
      <w:r w:rsidRPr="00F81291">
        <w:rPr>
          <w:rStyle w:val="FootnoteReference"/>
        </w:rPr>
        <w:t xml:space="preserve"> </w:t>
      </w:r>
      <w:r w:rsidRPr="00C00D91">
        <w:t>On 25 August, the Attorney General upheld the decision to close the criminal investigation into apparent sexual assault – two forced genital searches – of a Palestinian woman detainee in 2015.</w:t>
      </w:r>
      <w:r w:rsidRPr="00F81291">
        <w:rPr>
          <w:rStyle w:val="FootnoteReference"/>
        </w:rPr>
        <w:footnoteReference w:id="90"/>
      </w:r>
      <w:r w:rsidRPr="00F81291">
        <w:rPr>
          <w:rStyle w:val="FootnoteReference"/>
        </w:rPr>
        <w:t xml:space="preserve"> </w:t>
      </w:r>
      <w:r w:rsidRPr="00D119E7">
        <w:t>On 1 September, the Israeli Supreme Court upheld the admissibility of confessions given after 36 hours of interrogations</w:t>
      </w:r>
      <w:r>
        <w:t>,</w:t>
      </w:r>
      <w:r w:rsidRPr="00D119E7">
        <w:t xml:space="preserve"> during which </w:t>
      </w:r>
      <w:r>
        <w:t>Israeli Security Agency</w:t>
      </w:r>
      <w:r w:rsidRPr="00D119E7">
        <w:t xml:space="preserve"> investigators </w:t>
      </w:r>
      <w:r>
        <w:t xml:space="preserve">had </w:t>
      </w:r>
      <w:r w:rsidRPr="00D119E7">
        <w:t xml:space="preserve">used </w:t>
      </w:r>
      <w:r w:rsidR="00FC5976">
        <w:t>“</w:t>
      </w:r>
      <w:r w:rsidRPr="00D119E7">
        <w:t>special measures</w:t>
      </w:r>
      <w:r w:rsidR="00FC5976">
        <w:t>”</w:t>
      </w:r>
      <w:r w:rsidRPr="00D119E7">
        <w:t>, including physical harm and humiliation.</w:t>
      </w:r>
      <w:r w:rsidRPr="00F81291">
        <w:rPr>
          <w:rStyle w:val="FootnoteReference"/>
        </w:rPr>
        <w:footnoteReference w:id="91"/>
      </w:r>
      <w:r w:rsidRPr="00F81291">
        <w:rPr>
          <w:rStyle w:val="FootnoteReference"/>
        </w:rPr>
        <w:t xml:space="preserve"> </w:t>
      </w:r>
      <w:r w:rsidRPr="00D119E7">
        <w:t xml:space="preserve">These decisions raise serious concern about </w:t>
      </w:r>
      <w:r>
        <w:t xml:space="preserve">a </w:t>
      </w:r>
      <w:r w:rsidRPr="00D119E7">
        <w:t>lack of respect for the absolute prohibition of torture.</w:t>
      </w:r>
      <w:r w:rsidRPr="00F81291">
        <w:rPr>
          <w:rStyle w:val="FootnoteReference"/>
        </w:rPr>
        <w:footnoteReference w:id="92"/>
      </w:r>
    </w:p>
    <w:p w14:paraId="13A430A7" w14:textId="77777777" w:rsidR="003E3217" w:rsidRPr="00F81291" w:rsidRDefault="003E3217" w:rsidP="00C13EBD">
      <w:pPr>
        <w:pStyle w:val="SingleTxtG"/>
        <w:rPr>
          <w:rStyle w:val="FootnoteReference"/>
        </w:rPr>
      </w:pPr>
      <w:r w:rsidRPr="00D119E7">
        <w:t>65.</w:t>
      </w:r>
      <w:r w:rsidRPr="00D119E7">
        <w:tab/>
        <w:t xml:space="preserve">The Human Rights Committee </w:t>
      </w:r>
      <w:r>
        <w:t>has</w:t>
      </w:r>
      <w:r w:rsidRPr="00D119E7">
        <w:t xml:space="preserve"> </w:t>
      </w:r>
      <w:r>
        <w:t>expressed</w:t>
      </w:r>
      <w:r w:rsidRPr="00D119E7">
        <w:t xml:space="preserve"> deep concern about reports of </w:t>
      </w:r>
      <w:r>
        <w:t xml:space="preserve">a </w:t>
      </w:r>
      <w:r w:rsidRPr="00D119E7">
        <w:t xml:space="preserve">widespread and systematic practice of torture and ill-treatment by </w:t>
      </w:r>
      <w:r>
        <w:t xml:space="preserve">the </w:t>
      </w:r>
      <w:r w:rsidRPr="00D119E7">
        <w:t xml:space="preserve">Israel Prison Service and </w:t>
      </w:r>
      <w:r>
        <w:t>Israeli security forces</w:t>
      </w:r>
      <w:r w:rsidRPr="00D119E7">
        <w:t xml:space="preserve"> against Palestinians. It </w:t>
      </w:r>
      <w:r>
        <w:t xml:space="preserve">has </w:t>
      </w:r>
      <w:r w:rsidRPr="00D119E7">
        <w:t>also noted with concern a low rate of criminal investigations, prosecutions and convictions</w:t>
      </w:r>
      <w:r>
        <w:t xml:space="preserve"> concerning allegations of such violations</w:t>
      </w:r>
      <w:r w:rsidRPr="00D119E7">
        <w:t>.</w:t>
      </w:r>
      <w:r w:rsidRPr="00F81291">
        <w:rPr>
          <w:rStyle w:val="FootnoteReference"/>
        </w:rPr>
        <w:footnoteReference w:id="93"/>
      </w:r>
    </w:p>
    <w:p w14:paraId="1CEB2175" w14:textId="5BF84B35" w:rsidR="003E3217" w:rsidRPr="00D119E7" w:rsidRDefault="003E3217" w:rsidP="00C13EBD">
      <w:pPr>
        <w:pStyle w:val="SingleTxtG"/>
        <w:rPr>
          <w:bCs/>
        </w:rPr>
      </w:pPr>
      <w:r w:rsidRPr="00D119E7">
        <w:rPr>
          <w:bCs/>
        </w:rPr>
        <w:t>66.</w:t>
      </w:r>
      <w:r w:rsidRPr="00D119E7">
        <w:rPr>
          <w:bCs/>
        </w:rPr>
        <w:tab/>
      </w:r>
      <w:r w:rsidRPr="00D119E7">
        <w:t>The Palestinian Security Forces Justice Commission reported having received nine complaints alleging torture or ill-treatment</w:t>
      </w:r>
      <w:r>
        <w:t xml:space="preserve"> by Palestinian security forces.</w:t>
      </w:r>
      <w:r w:rsidRPr="00D119E7">
        <w:t xml:space="preserve"> </w:t>
      </w:r>
      <w:r>
        <w:t>T</w:t>
      </w:r>
      <w:r w:rsidRPr="00D119E7">
        <w:t xml:space="preserve">wo cases are undergoing trial, five remain under investigation and two were closed without charge. According to the </w:t>
      </w:r>
      <w:r>
        <w:t>Commission</w:t>
      </w:r>
      <w:r w:rsidRPr="00D119E7">
        <w:t xml:space="preserve">, </w:t>
      </w:r>
      <w:r w:rsidR="00FC5976">
        <w:t>“</w:t>
      </w:r>
      <w:r w:rsidRPr="00D119E7">
        <w:t xml:space="preserve">no </w:t>
      </w:r>
      <w:r w:rsidRPr="00D119E7">
        <w:rPr>
          <w:bCs/>
        </w:rPr>
        <w:t>case or any action has been registered</w:t>
      </w:r>
      <w:r w:rsidR="00FC5976">
        <w:rPr>
          <w:bCs/>
        </w:rPr>
        <w:t>”</w:t>
      </w:r>
      <w:r w:rsidRPr="00D119E7">
        <w:rPr>
          <w:bCs/>
        </w:rPr>
        <w:t xml:space="preserve"> with respect to the 6 June Ramallah allegations</w:t>
      </w:r>
      <w:r>
        <w:rPr>
          <w:bCs/>
        </w:rPr>
        <w:t>,</w:t>
      </w:r>
      <w:r w:rsidRPr="00D119E7">
        <w:rPr>
          <w:bCs/>
        </w:rPr>
        <w:t xml:space="preserve"> while the July complaints</w:t>
      </w:r>
      <w:r>
        <w:rPr>
          <w:bCs/>
        </w:rPr>
        <w:t xml:space="preserve"> concerning torture in Bethlehem</w:t>
      </w:r>
      <w:r w:rsidRPr="00D119E7">
        <w:rPr>
          <w:bCs/>
        </w:rPr>
        <w:t xml:space="preserve"> were dismissed for lack of evidence (</w:t>
      </w:r>
      <w:r>
        <w:rPr>
          <w:bCs/>
        </w:rPr>
        <w:t xml:space="preserve">see </w:t>
      </w:r>
      <w:r w:rsidRPr="00D119E7">
        <w:rPr>
          <w:bCs/>
        </w:rPr>
        <w:t>para</w:t>
      </w:r>
      <w:r>
        <w:rPr>
          <w:bCs/>
        </w:rPr>
        <w:t>.</w:t>
      </w:r>
      <w:r w:rsidRPr="00D119E7">
        <w:rPr>
          <w:bCs/>
        </w:rPr>
        <w:t xml:space="preserve"> 4</w:t>
      </w:r>
      <w:r>
        <w:rPr>
          <w:bCs/>
        </w:rPr>
        <w:t>5 above</w:t>
      </w:r>
      <w:r w:rsidRPr="00D119E7">
        <w:rPr>
          <w:bCs/>
        </w:rPr>
        <w:t xml:space="preserve">). This raises serious questions about the willingness of the Palestinian authorities to ensure accountability for torture or ill-treatment </w:t>
      </w:r>
      <w:r>
        <w:rPr>
          <w:bCs/>
        </w:rPr>
        <w:t xml:space="preserve">perpetrated </w:t>
      </w:r>
      <w:r w:rsidRPr="00D119E7">
        <w:rPr>
          <w:bCs/>
        </w:rPr>
        <w:t xml:space="preserve">by </w:t>
      </w:r>
      <w:r>
        <w:rPr>
          <w:bCs/>
        </w:rPr>
        <w:t>Palestinian security forces</w:t>
      </w:r>
      <w:r w:rsidRPr="00D119E7">
        <w:rPr>
          <w:bCs/>
        </w:rPr>
        <w:t>.</w:t>
      </w:r>
    </w:p>
    <w:p w14:paraId="036F399F" w14:textId="77777777" w:rsidR="003E3217" w:rsidRPr="00F81291" w:rsidRDefault="003E3217" w:rsidP="00C13EBD">
      <w:pPr>
        <w:pStyle w:val="SingleTxtG"/>
        <w:rPr>
          <w:rStyle w:val="FootnoteReference"/>
        </w:rPr>
      </w:pPr>
      <w:r w:rsidRPr="00D119E7">
        <w:t>67.</w:t>
      </w:r>
      <w:r w:rsidRPr="00D119E7">
        <w:tab/>
        <w:t xml:space="preserve">According to the </w:t>
      </w:r>
      <w:r>
        <w:t xml:space="preserve">de facto authorities in </w:t>
      </w:r>
      <w:r w:rsidRPr="00D119E7">
        <w:t xml:space="preserve">Gaza, the 16 October death </w:t>
      </w:r>
      <w:r>
        <w:t xml:space="preserve">of a man in </w:t>
      </w:r>
      <w:r w:rsidRPr="00D119E7">
        <w:t xml:space="preserve">custody </w:t>
      </w:r>
      <w:r>
        <w:t xml:space="preserve">(see para. 46 above) </w:t>
      </w:r>
      <w:r w:rsidRPr="00D119E7">
        <w:t>was investigated and found to be a natural death</w:t>
      </w:r>
      <w:r>
        <w:t>. A</w:t>
      </w:r>
      <w:r w:rsidRPr="00D119E7">
        <w:t xml:space="preserve"> prosecutor who reportedly joined the autopsy also noted no signs of torture or ill-treatment. In July, the Committee against Torture specifically </w:t>
      </w:r>
      <w:r>
        <w:t xml:space="preserve">expressed concern about reports </w:t>
      </w:r>
      <w:r w:rsidRPr="00D119E7">
        <w:t>that individuals were held in unlawful and incommunicado detention by Palestinian armed groups for collaboration and criticism</w:t>
      </w:r>
      <w:r>
        <w:t>,</w:t>
      </w:r>
      <w:r w:rsidRPr="00D119E7">
        <w:t xml:space="preserve"> and </w:t>
      </w:r>
      <w:r>
        <w:t xml:space="preserve">about </w:t>
      </w:r>
      <w:r w:rsidRPr="00D119E7">
        <w:t>allegations of torture and ill-treatment in such unofficial places of detention.</w:t>
      </w:r>
      <w:r w:rsidRPr="00F81291">
        <w:rPr>
          <w:rStyle w:val="FootnoteReference"/>
        </w:rPr>
        <w:footnoteReference w:id="94"/>
      </w:r>
      <w:r w:rsidRPr="00F81291">
        <w:rPr>
          <w:rStyle w:val="FootnoteReference"/>
        </w:rPr>
        <w:t xml:space="preserve"> </w:t>
      </w:r>
      <w:r w:rsidRPr="00D119E7">
        <w:t xml:space="preserve">The Committee observed that there were consistent reports of torture and ill-treatment by persons in custody in both </w:t>
      </w:r>
      <w:r>
        <w:t xml:space="preserve">the </w:t>
      </w:r>
      <w:r w:rsidRPr="00D119E7">
        <w:t>West Bank and Gaza, in particular during the investigation stage</w:t>
      </w:r>
      <w:r>
        <w:t>,</w:t>
      </w:r>
      <w:r w:rsidRPr="00D119E7">
        <w:t xml:space="preserve"> and highlighted that there was a climate o</w:t>
      </w:r>
      <w:r>
        <w:t>f</w:t>
      </w:r>
      <w:r w:rsidRPr="00D119E7">
        <w:t xml:space="preserve"> impunity</w:t>
      </w:r>
      <w:r>
        <w:t>,</w:t>
      </w:r>
      <w:r w:rsidRPr="00D119E7">
        <w:t xml:space="preserve"> as few complaints had led to prosecution and almost none had led to conviction</w:t>
      </w:r>
      <w:r>
        <w:t>s</w:t>
      </w:r>
      <w:r w:rsidRPr="00D119E7">
        <w:t>.</w:t>
      </w:r>
      <w:r w:rsidRPr="00F81291">
        <w:rPr>
          <w:rStyle w:val="FootnoteReference"/>
        </w:rPr>
        <w:footnoteReference w:id="95"/>
      </w:r>
    </w:p>
    <w:p w14:paraId="5D0235C1" w14:textId="77777777" w:rsidR="003E3217" w:rsidRPr="00E30BE0" w:rsidRDefault="003E3217" w:rsidP="00751DCC">
      <w:pPr>
        <w:pStyle w:val="H1G"/>
      </w:pPr>
      <w:r w:rsidRPr="00E30BE0">
        <w:tab/>
        <w:t>D.</w:t>
      </w:r>
      <w:r w:rsidRPr="00E30BE0">
        <w:tab/>
        <w:t xml:space="preserve">Civil remedies </w:t>
      </w:r>
    </w:p>
    <w:p w14:paraId="38D51D05" w14:textId="77777777" w:rsidR="003E3217" w:rsidRPr="00D119E7" w:rsidRDefault="003E3217" w:rsidP="00C13EBD">
      <w:pPr>
        <w:pStyle w:val="SingleTxtG"/>
      </w:pPr>
      <w:r w:rsidRPr="00D119E7">
        <w:t>68.</w:t>
      </w:r>
      <w:r w:rsidRPr="00D119E7">
        <w:tab/>
        <w:t xml:space="preserve">In October, the Israeli Ministry of Defense reportedly agreed to compensate the family of a 78-year-old Palestinian-American man who </w:t>
      </w:r>
      <w:r>
        <w:t xml:space="preserve">had </w:t>
      </w:r>
      <w:r w:rsidRPr="00D119E7">
        <w:t xml:space="preserve">died in </w:t>
      </w:r>
      <w:r>
        <w:t>Israeli security forces</w:t>
      </w:r>
      <w:r w:rsidRPr="00D119E7">
        <w:t xml:space="preserve"> custody.</w:t>
      </w:r>
      <w:r w:rsidRPr="00F81291">
        <w:rPr>
          <w:rStyle w:val="FootnoteReference"/>
        </w:rPr>
        <w:footnoteReference w:id="96"/>
      </w:r>
      <w:r w:rsidRPr="00F81291">
        <w:rPr>
          <w:rStyle w:val="FootnoteReference"/>
        </w:rPr>
        <w:t xml:space="preserve"> </w:t>
      </w:r>
      <w:r w:rsidRPr="00D119E7">
        <w:t>The family reportedly rejected the offer.</w:t>
      </w:r>
      <w:r w:rsidRPr="00F81291">
        <w:rPr>
          <w:rStyle w:val="FootnoteReference"/>
        </w:rPr>
        <w:footnoteReference w:id="97"/>
      </w:r>
      <w:r w:rsidRPr="00F81291">
        <w:rPr>
          <w:rStyle w:val="FootnoteReference"/>
        </w:rPr>
        <w:t xml:space="preserve"> </w:t>
      </w:r>
      <w:r w:rsidRPr="00D119E7">
        <w:t xml:space="preserve">Palestinians in Gaza continued to face significant </w:t>
      </w:r>
      <w:r w:rsidRPr="00D119E7">
        <w:lastRenderedPageBreak/>
        <w:t>barriers in seeking civil remedies. During the reporting period</w:t>
      </w:r>
      <w:r>
        <w:t>,</w:t>
      </w:r>
      <w:r w:rsidRPr="00D119E7">
        <w:t xml:space="preserve"> the Israeli Supreme Court rejected two appeals on rulings denying Palestinians compensation. On 24 November 2021, an appeal of Izzeldin Abu El-Eish from Jabalya, whose three daughters and niece were killed by </w:t>
      </w:r>
      <w:r>
        <w:t>Israeli security forces</w:t>
      </w:r>
      <w:r w:rsidRPr="00D119E7">
        <w:t xml:space="preserve"> during the 2008</w:t>
      </w:r>
      <w:r>
        <w:t>/</w:t>
      </w:r>
      <w:r w:rsidRPr="00D119E7">
        <w:t>09 escalation, was rejected. An</w:t>
      </w:r>
      <w:r>
        <w:t xml:space="preserve"> </w:t>
      </w:r>
      <w:r w:rsidRPr="00D119E7">
        <w:t>appeal related to the shooting and serious injury of 15-year-old Palestinian Attiya Nabaheen in November 2014 in Gaza</w:t>
      </w:r>
      <w:r>
        <w:t xml:space="preserve"> </w:t>
      </w:r>
      <w:r w:rsidRPr="00D119E7">
        <w:t xml:space="preserve">was rejected on 5 July. </w:t>
      </w:r>
    </w:p>
    <w:p w14:paraId="62C71A30" w14:textId="77777777" w:rsidR="003E3217" w:rsidRPr="00E30BE0" w:rsidRDefault="003E3217" w:rsidP="00751DCC">
      <w:pPr>
        <w:pStyle w:val="HChG"/>
      </w:pPr>
      <w:r w:rsidRPr="00E30BE0">
        <w:tab/>
        <w:t>IV.</w:t>
      </w:r>
      <w:r w:rsidRPr="00E30BE0">
        <w:tab/>
        <w:t>Conclusion</w:t>
      </w:r>
      <w:r>
        <w:t>s</w:t>
      </w:r>
      <w:r w:rsidRPr="00E30BE0">
        <w:t xml:space="preserve"> and recommendations</w:t>
      </w:r>
    </w:p>
    <w:p w14:paraId="0B448752" w14:textId="77777777" w:rsidR="003E3217" w:rsidRPr="00D119E7" w:rsidRDefault="003E3217" w:rsidP="00C13EBD">
      <w:pPr>
        <w:pStyle w:val="SingleTxtG"/>
        <w:rPr>
          <w:b/>
          <w:bCs/>
        </w:rPr>
      </w:pPr>
      <w:r w:rsidRPr="00D119E7">
        <w:rPr>
          <w:bCs/>
        </w:rPr>
        <w:t>69.</w:t>
      </w:r>
      <w:r w:rsidRPr="00D119E7">
        <w:rPr>
          <w:bCs/>
        </w:rPr>
        <w:tab/>
      </w:r>
      <w:r w:rsidRPr="00D119E7">
        <w:rPr>
          <w:b/>
          <w:bCs/>
        </w:rPr>
        <w:t xml:space="preserve">The human rights situation in the </w:t>
      </w:r>
      <w:r>
        <w:rPr>
          <w:b/>
          <w:bCs/>
        </w:rPr>
        <w:t>Occupied Palestinian Territory</w:t>
      </w:r>
      <w:r w:rsidRPr="00D119E7">
        <w:rPr>
          <w:b/>
          <w:bCs/>
        </w:rPr>
        <w:t xml:space="preserve"> continues its downward spiral. As the occupation continues, Israel – the occupying Power – routinely and systematically disregards its obligations under </w:t>
      </w:r>
      <w:r>
        <w:rPr>
          <w:b/>
          <w:bCs/>
        </w:rPr>
        <w:t>international humanitarian law</w:t>
      </w:r>
      <w:r w:rsidRPr="00D119E7">
        <w:rPr>
          <w:b/>
          <w:bCs/>
        </w:rPr>
        <w:t xml:space="preserve"> and </w:t>
      </w:r>
      <w:r>
        <w:rPr>
          <w:b/>
          <w:bCs/>
        </w:rPr>
        <w:t>international human rights law</w:t>
      </w:r>
      <w:r w:rsidRPr="00D119E7">
        <w:rPr>
          <w:b/>
          <w:bCs/>
        </w:rPr>
        <w:t xml:space="preserve">. In the West Bank, Israeli use of firearms is endemic and unchecked by rules of engagement, which themselves appear inconsistent with </w:t>
      </w:r>
      <w:r>
        <w:rPr>
          <w:b/>
          <w:bCs/>
        </w:rPr>
        <w:t>international human rights law</w:t>
      </w:r>
      <w:r w:rsidRPr="00D119E7">
        <w:rPr>
          <w:b/>
          <w:bCs/>
        </w:rPr>
        <w:t xml:space="preserve">. </w:t>
      </w:r>
      <w:r>
        <w:rPr>
          <w:b/>
          <w:bCs/>
        </w:rPr>
        <w:t>The number of a</w:t>
      </w:r>
      <w:r w:rsidRPr="00D119E7">
        <w:rPr>
          <w:b/>
          <w:bCs/>
        </w:rPr>
        <w:t xml:space="preserve">rbitrary administrative detentions </w:t>
      </w:r>
      <w:r>
        <w:rPr>
          <w:b/>
          <w:bCs/>
        </w:rPr>
        <w:t>is</w:t>
      </w:r>
      <w:r w:rsidRPr="00D119E7">
        <w:rPr>
          <w:b/>
          <w:bCs/>
        </w:rPr>
        <w:t xml:space="preserve"> the highest in 15 years, collective punishment is widespread and restrictions on freedom of expression and association have increased, with the very existence of human rights and humanitarian organizations being targeted. In Gaza, the collective punishment of the population continues as the blockade and closures </w:t>
      </w:r>
      <w:r w:rsidRPr="00F80225">
        <w:rPr>
          <w:b/>
          <w:bCs/>
        </w:rPr>
        <w:t>enter a sixteenth year.</w:t>
      </w:r>
      <w:r w:rsidRPr="00D119E7">
        <w:rPr>
          <w:b/>
          <w:bCs/>
        </w:rPr>
        <w:t xml:space="preserve"> </w:t>
      </w:r>
    </w:p>
    <w:p w14:paraId="5F080D22" w14:textId="3BBC48DB" w:rsidR="003E3217" w:rsidRPr="00D119E7" w:rsidRDefault="003E3217" w:rsidP="00C13EBD">
      <w:pPr>
        <w:pStyle w:val="SingleTxtG"/>
        <w:rPr>
          <w:b/>
          <w:bCs/>
        </w:rPr>
      </w:pPr>
      <w:r w:rsidRPr="00D119E7">
        <w:rPr>
          <w:bCs/>
        </w:rPr>
        <w:t>70.</w:t>
      </w:r>
      <w:r w:rsidRPr="00D119E7">
        <w:rPr>
          <w:bCs/>
        </w:rPr>
        <w:tab/>
      </w:r>
      <w:r w:rsidRPr="00D119E7">
        <w:rPr>
          <w:b/>
          <w:bCs/>
        </w:rPr>
        <w:t xml:space="preserve">Israeli security forces and authorities are able to act with impunity given the lack of accountability for their actions violating </w:t>
      </w:r>
      <w:r>
        <w:rPr>
          <w:b/>
          <w:bCs/>
        </w:rPr>
        <w:t>international humanitarian law</w:t>
      </w:r>
      <w:r w:rsidRPr="00D119E7">
        <w:rPr>
          <w:b/>
          <w:bCs/>
        </w:rPr>
        <w:t xml:space="preserve"> and </w:t>
      </w:r>
      <w:r>
        <w:rPr>
          <w:b/>
          <w:bCs/>
        </w:rPr>
        <w:t>international human rights law</w:t>
      </w:r>
      <w:r w:rsidRPr="00D119E7">
        <w:rPr>
          <w:b/>
          <w:bCs/>
        </w:rPr>
        <w:t xml:space="preserve">, whether in the context of law enforcement or during hostilities. Such impunity also extends to unlawful use of force and torture and ill-treatment by </w:t>
      </w:r>
      <w:r>
        <w:rPr>
          <w:b/>
          <w:bCs/>
        </w:rPr>
        <w:t>Palestinian security forces,</w:t>
      </w:r>
      <w:r w:rsidRPr="00D119E7">
        <w:rPr>
          <w:b/>
          <w:bCs/>
        </w:rPr>
        <w:t xml:space="preserve"> </w:t>
      </w:r>
      <w:r>
        <w:rPr>
          <w:b/>
          <w:bCs/>
        </w:rPr>
        <w:t>as well as the</w:t>
      </w:r>
      <w:r w:rsidR="00FC5976">
        <w:rPr>
          <w:b/>
          <w:bCs/>
        </w:rPr>
        <w:t xml:space="preserve"> </w:t>
      </w:r>
      <w:r>
        <w:rPr>
          <w:b/>
          <w:bCs/>
        </w:rPr>
        <w:t>forces of the de facto authorities in Gaza</w:t>
      </w:r>
      <w:r w:rsidRPr="00D119E7">
        <w:rPr>
          <w:b/>
          <w:bCs/>
        </w:rPr>
        <w:t xml:space="preserve">. </w:t>
      </w:r>
    </w:p>
    <w:p w14:paraId="52ECC1F8" w14:textId="77777777" w:rsidR="003E3217" w:rsidRPr="00F81291" w:rsidRDefault="003E3217" w:rsidP="00C13EBD">
      <w:pPr>
        <w:pStyle w:val="SingleTxtG"/>
        <w:rPr>
          <w:rStyle w:val="FootnoteReference"/>
        </w:rPr>
      </w:pPr>
      <w:r w:rsidRPr="00D119E7">
        <w:rPr>
          <w:bCs/>
        </w:rPr>
        <w:t>71.</w:t>
      </w:r>
      <w:r w:rsidRPr="00D119E7">
        <w:rPr>
          <w:bCs/>
        </w:rPr>
        <w:tab/>
      </w:r>
      <w:r w:rsidRPr="00D119E7">
        <w:rPr>
          <w:b/>
          <w:bCs/>
        </w:rPr>
        <w:t xml:space="preserve">The reporting period included a brief escalation of hostilities in Gaza in August 2022, with all parties failing to respect </w:t>
      </w:r>
      <w:r>
        <w:rPr>
          <w:b/>
          <w:bCs/>
        </w:rPr>
        <w:t>international humanitarian law</w:t>
      </w:r>
      <w:r w:rsidRPr="00D119E7">
        <w:rPr>
          <w:b/>
          <w:bCs/>
        </w:rPr>
        <w:t xml:space="preserve"> rules on the conduct of hostilities. The long-standing pattern of such violations and the failure by all parties to take sufficient steps to prevent their repetition allow for mounting civilian casualties.</w:t>
      </w:r>
      <w:r w:rsidRPr="00F81291">
        <w:rPr>
          <w:rStyle w:val="FootnoteReference"/>
        </w:rPr>
        <w:footnoteReference w:id="98"/>
      </w:r>
    </w:p>
    <w:p w14:paraId="5FDA2128" w14:textId="77777777" w:rsidR="003E3217" w:rsidRPr="00D119E7" w:rsidRDefault="003E3217" w:rsidP="00C13EBD">
      <w:pPr>
        <w:pStyle w:val="SingleTxtG"/>
        <w:rPr>
          <w:b/>
          <w:bCs/>
        </w:rPr>
      </w:pPr>
      <w:r w:rsidRPr="00D119E7">
        <w:rPr>
          <w:bCs/>
        </w:rPr>
        <w:t>72.</w:t>
      </w:r>
      <w:r w:rsidRPr="00D119E7">
        <w:rPr>
          <w:bCs/>
        </w:rPr>
        <w:tab/>
      </w:r>
      <w:r w:rsidRPr="00D119E7">
        <w:rPr>
          <w:b/>
          <w:bCs/>
        </w:rPr>
        <w:t>Recalling the comprehensive review of the status of recommendations addressed to all parties since 2009, the High Commissioner calls on Israel to fully comply with its legal obligations, including in particular:</w:t>
      </w:r>
    </w:p>
    <w:p w14:paraId="4E36E21C" w14:textId="36F907C5" w:rsidR="003E3217" w:rsidRPr="00D119E7" w:rsidRDefault="00751DCC" w:rsidP="00C13EBD">
      <w:pPr>
        <w:pStyle w:val="SingleTxtG"/>
        <w:rPr>
          <w:b/>
          <w:bCs/>
        </w:rPr>
      </w:pPr>
      <w:r>
        <w:rPr>
          <w:bCs/>
        </w:rPr>
        <w:tab/>
      </w:r>
      <w:r w:rsidR="003E3217" w:rsidRPr="00D119E7">
        <w:rPr>
          <w:bCs/>
        </w:rPr>
        <w:t>(a)</w:t>
      </w:r>
      <w:r w:rsidR="003E3217" w:rsidRPr="00D119E7">
        <w:rPr>
          <w:bCs/>
        </w:rPr>
        <w:tab/>
      </w:r>
      <w:r w:rsidR="003E3217">
        <w:rPr>
          <w:b/>
          <w:bCs/>
        </w:rPr>
        <w:t>To e</w:t>
      </w:r>
      <w:r w:rsidR="003E3217" w:rsidRPr="00D119E7">
        <w:rPr>
          <w:b/>
          <w:bCs/>
        </w:rPr>
        <w:t xml:space="preserve">nsure that the rules of engagement of its security forces and their application are fully consistent with </w:t>
      </w:r>
      <w:r w:rsidR="003E3217">
        <w:rPr>
          <w:b/>
          <w:bCs/>
        </w:rPr>
        <w:t>international human rights law</w:t>
      </w:r>
      <w:r w:rsidR="003E3217" w:rsidRPr="00D119E7">
        <w:rPr>
          <w:b/>
          <w:bCs/>
        </w:rPr>
        <w:t xml:space="preserve">, including use of firearms in law enforcement activities only in cases of imminent threat of death or serious injury as a measure of last resort; </w:t>
      </w:r>
    </w:p>
    <w:p w14:paraId="2A8D1933" w14:textId="0AABDD26" w:rsidR="003E3217" w:rsidRPr="00D119E7" w:rsidRDefault="00751DCC" w:rsidP="00C13EBD">
      <w:pPr>
        <w:pStyle w:val="SingleTxtG"/>
        <w:rPr>
          <w:b/>
          <w:bCs/>
        </w:rPr>
      </w:pPr>
      <w:r>
        <w:rPr>
          <w:bCs/>
        </w:rPr>
        <w:tab/>
      </w:r>
      <w:r w:rsidR="003E3217" w:rsidRPr="00D119E7">
        <w:rPr>
          <w:bCs/>
        </w:rPr>
        <w:t>(b)</w:t>
      </w:r>
      <w:r w:rsidR="003E3217" w:rsidRPr="00D119E7">
        <w:rPr>
          <w:bCs/>
        </w:rPr>
        <w:tab/>
      </w:r>
      <w:r w:rsidR="003E3217">
        <w:rPr>
          <w:b/>
          <w:bCs/>
        </w:rPr>
        <w:t>To c</w:t>
      </w:r>
      <w:r w:rsidR="003E3217" w:rsidRPr="00D119E7">
        <w:rPr>
          <w:b/>
          <w:bCs/>
        </w:rPr>
        <w:t xml:space="preserve">onduct prompt, thorough, independent, impartial and effective investigations into all incidents of use of force by Israeli forces that have led to the death or injury of Palestinians, and ensure that perpetrators are held accountable and </w:t>
      </w:r>
      <w:r w:rsidR="003E3217">
        <w:rPr>
          <w:b/>
          <w:bCs/>
        </w:rPr>
        <w:t xml:space="preserve">that </w:t>
      </w:r>
      <w:r w:rsidR="003E3217" w:rsidRPr="00D119E7">
        <w:rPr>
          <w:b/>
          <w:bCs/>
        </w:rPr>
        <w:t xml:space="preserve">victims </w:t>
      </w:r>
      <w:r w:rsidR="003E3217">
        <w:rPr>
          <w:b/>
          <w:bCs/>
        </w:rPr>
        <w:t xml:space="preserve">are </w:t>
      </w:r>
      <w:r w:rsidR="003E3217" w:rsidRPr="00D119E7">
        <w:rPr>
          <w:b/>
          <w:bCs/>
        </w:rPr>
        <w:t>provided with redress;</w:t>
      </w:r>
    </w:p>
    <w:p w14:paraId="020C88E1" w14:textId="7E4FA057" w:rsidR="003E3217" w:rsidRPr="00D119E7" w:rsidRDefault="00751DCC" w:rsidP="00C13EBD">
      <w:pPr>
        <w:pStyle w:val="SingleTxtG"/>
        <w:rPr>
          <w:b/>
          <w:bCs/>
        </w:rPr>
      </w:pPr>
      <w:r>
        <w:rPr>
          <w:bCs/>
        </w:rPr>
        <w:tab/>
      </w:r>
      <w:r w:rsidR="003E3217" w:rsidRPr="00D119E7">
        <w:rPr>
          <w:bCs/>
        </w:rPr>
        <w:t>(c)</w:t>
      </w:r>
      <w:r w:rsidR="003E3217" w:rsidRPr="00D119E7">
        <w:rPr>
          <w:bCs/>
        </w:rPr>
        <w:tab/>
      </w:r>
      <w:r w:rsidR="003E3217">
        <w:rPr>
          <w:b/>
          <w:bCs/>
        </w:rPr>
        <w:t>To e</w:t>
      </w:r>
      <w:r w:rsidR="003E3217" w:rsidRPr="00D119E7">
        <w:rPr>
          <w:b/>
          <w:bCs/>
        </w:rPr>
        <w:t>nd practices of administrative detention and other forms of arbitrary detention and ensure that all detainees are released unless promptly charged and fairly tried;</w:t>
      </w:r>
    </w:p>
    <w:p w14:paraId="35EBE0ED" w14:textId="4FC729E2" w:rsidR="003E3217" w:rsidRPr="00D119E7" w:rsidRDefault="00751DCC" w:rsidP="00C13EBD">
      <w:pPr>
        <w:pStyle w:val="SingleTxtG"/>
        <w:rPr>
          <w:b/>
          <w:bCs/>
        </w:rPr>
      </w:pPr>
      <w:r>
        <w:rPr>
          <w:bCs/>
        </w:rPr>
        <w:tab/>
      </w:r>
      <w:r w:rsidR="003E3217" w:rsidRPr="00D119E7">
        <w:rPr>
          <w:bCs/>
        </w:rPr>
        <w:t>(d)</w:t>
      </w:r>
      <w:r w:rsidR="003E3217" w:rsidRPr="00D119E7">
        <w:rPr>
          <w:bCs/>
        </w:rPr>
        <w:tab/>
      </w:r>
      <w:r w:rsidR="003E3217">
        <w:rPr>
          <w:b/>
          <w:bCs/>
        </w:rPr>
        <w:t>To i</w:t>
      </w:r>
      <w:r w:rsidR="003E3217" w:rsidRPr="00D119E7">
        <w:rPr>
          <w:b/>
          <w:bCs/>
        </w:rPr>
        <w:t>mmediately end all practices of collective punishment, including lifting its blockade and closures of Gaza;</w:t>
      </w:r>
    </w:p>
    <w:p w14:paraId="3520BEFD" w14:textId="269E9BBE" w:rsidR="003E3217" w:rsidRPr="00D119E7" w:rsidRDefault="00751DCC" w:rsidP="00C13EBD">
      <w:pPr>
        <w:pStyle w:val="SingleTxtG"/>
        <w:rPr>
          <w:b/>
          <w:bCs/>
        </w:rPr>
      </w:pPr>
      <w:r>
        <w:rPr>
          <w:bCs/>
        </w:rPr>
        <w:tab/>
      </w:r>
      <w:r w:rsidR="003E3217" w:rsidRPr="00D119E7">
        <w:rPr>
          <w:bCs/>
        </w:rPr>
        <w:t>(e)</w:t>
      </w:r>
      <w:r w:rsidR="003E3217" w:rsidRPr="00D119E7">
        <w:rPr>
          <w:bCs/>
        </w:rPr>
        <w:tab/>
      </w:r>
      <w:r w:rsidR="003E3217">
        <w:rPr>
          <w:b/>
          <w:bCs/>
        </w:rPr>
        <w:t>To u</w:t>
      </w:r>
      <w:r w:rsidR="003E3217" w:rsidRPr="00D119E7">
        <w:rPr>
          <w:b/>
          <w:bCs/>
        </w:rPr>
        <w:t>rgently revoke the designations against Palestinian human rights and humanitarian organizations as terrorist or unlawful organizations;</w:t>
      </w:r>
    </w:p>
    <w:p w14:paraId="444BC70D" w14:textId="2DC99D4B" w:rsidR="003E3217" w:rsidRPr="00D119E7" w:rsidRDefault="00751DCC" w:rsidP="00C13EBD">
      <w:pPr>
        <w:pStyle w:val="SingleTxtG"/>
        <w:rPr>
          <w:b/>
          <w:bCs/>
        </w:rPr>
      </w:pPr>
      <w:r>
        <w:rPr>
          <w:bCs/>
        </w:rPr>
        <w:tab/>
      </w:r>
      <w:r w:rsidR="003E3217" w:rsidRPr="00D119E7">
        <w:rPr>
          <w:bCs/>
        </w:rPr>
        <w:t>(f)</w:t>
      </w:r>
      <w:r w:rsidR="003E3217" w:rsidRPr="00D119E7">
        <w:rPr>
          <w:bCs/>
        </w:rPr>
        <w:tab/>
      </w:r>
      <w:r w:rsidR="003E3217">
        <w:rPr>
          <w:b/>
          <w:bCs/>
        </w:rPr>
        <w:t>To r</w:t>
      </w:r>
      <w:r w:rsidR="003E3217" w:rsidRPr="00D119E7">
        <w:rPr>
          <w:b/>
          <w:bCs/>
        </w:rPr>
        <w:t xml:space="preserve">esume cooperation with OHCHR, including by granting visas to OHCHR international staff to access the </w:t>
      </w:r>
      <w:r w:rsidR="003E3217">
        <w:rPr>
          <w:b/>
          <w:bCs/>
        </w:rPr>
        <w:t>Occupied Palestinian Territory</w:t>
      </w:r>
      <w:r w:rsidR="003E3217" w:rsidRPr="00D119E7">
        <w:rPr>
          <w:b/>
          <w:bCs/>
        </w:rPr>
        <w:t xml:space="preserve">. </w:t>
      </w:r>
    </w:p>
    <w:p w14:paraId="2A202114" w14:textId="3FFE36E6" w:rsidR="003E3217" w:rsidRPr="00D119E7" w:rsidRDefault="003E3217" w:rsidP="00751DCC">
      <w:pPr>
        <w:pStyle w:val="SingleTxtG"/>
        <w:keepNext/>
        <w:rPr>
          <w:b/>
          <w:bCs/>
        </w:rPr>
      </w:pPr>
      <w:r w:rsidRPr="00D119E7">
        <w:rPr>
          <w:bCs/>
        </w:rPr>
        <w:lastRenderedPageBreak/>
        <w:t>73.</w:t>
      </w:r>
      <w:r w:rsidRPr="00D119E7">
        <w:rPr>
          <w:bCs/>
        </w:rPr>
        <w:tab/>
      </w:r>
      <w:r w:rsidRPr="00D119E7">
        <w:rPr>
          <w:b/>
          <w:bCs/>
        </w:rPr>
        <w:t>The High Commissioner further calls on</w:t>
      </w:r>
      <w:r>
        <w:rPr>
          <w:b/>
          <w:bCs/>
        </w:rPr>
        <w:t>:</w:t>
      </w:r>
    </w:p>
    <w:p w14:paraId="2DA1D090" w14:textId="063007F9" w:rsidR="003E3217" w:rsidRPr="00D119E7" w:rsidRDefault="00751DCC" w:rsidP="00751DCC">
      <w:pPr>
        <w:pStyle w:val="SingleTxtG"/>
        <w:keepNext/>
        <w:rPr>
          <w:b/>
          <w:bCs/>
        </w:rPr>
      </w:pPr>
      <w:r>
        <w:rPr>
          <w:bCs/>
        </w:rPr>
        <w:tab/>
      </w:r>
      <w:r w:rsidR="003E3217" w:rsidRPr="00D119E7">
        <w:rPr>
          <w:bCs/>
        </w:rPr>
        <w:t>(a)</w:t>
      </w:r>
      <w:r w:rsidR="003E3217" w:rsidRPr="00D119E7">
        <w:rPr>
          <w:bCs/>
        </w:rPr>
        <w:tab/>
      </w:r>
      <w:r w:rsidR="003E3217" w:rsidRPr="00D119E7">
        <w:rPr>
          <w:b/>
          <w:bCs/>
        </w:rPr>
        <w:t>Palestinian authorities to protect the rights of all Palestinians without discrimination, including discrimination based on gender, sexual orientation or gender identity;</w:t>
      </w:r>
    </w:p>
    <w:p w14:paraId="33CAE50D" w14:textId="7BAE930D" w:rsidR="003E3217" w:rsidRPr="00D119E7" w:rsidRDefault="00751DCC" w:rsidP="00C13EBD">
      <w:pPr>
        <w:pStyle w:val="SingleTxtG"/>
        <w:rPr>
          <w:b/>
          <w:bCs/>
        </w:rPr>
      </w:pPr>
      <w:r>
        <w:rPr>
          <w:bCs/>
        </w:rPr>
        <w:tab/>
      </w:r>
      <w:r w:rsidR="003E3217" w:rsidRPr="00D119E7">
        <w:rPr>
          <w:bCs/>
        </w:rPr>
        <w:t>(b)</w:t>
      </w:r>
      <w:r w:rsidR="003E3217" w:rsidRPr="00D119E7">
        <w:rPr>
          <w:bCs/>
        </w:rPr>
        <w:tab/>
      </w:r>
      <w:r w:rsidR="003E3217">
        <w:rPr>
          <w:b/>
          <w:bCs/>
        </w:rPr>
        <w:t>The d</w:t>
      </w:r>
      <w:r w:rsidR="003E3217" w:rsidRPr="00D119E7">
        <w:rPr>
          <w:b/>
          <w:bCs/>
        </w:rPr>
        <w:t xml:space="preserve">e facto authorities in Gaza to implement an immediate moratorium on the use of the death penalty, and the State of Palestine to take robust measures to abolish the death penalty in all its territory; </w:t>
      </w:r>
    </w:p>
    <w:p w14:paraId="09C1FB2B" w14:textId="734C5161" w:rsidR="003E3217" w:rsidRPr="00D119E7" w:rsidRDefault="00751DCC" w:rsidP="00C13EBD">
      <w:pPr>
        <w:pStyle w:val="SingleTxtG"/>
        <w:rPr>
          <w:b/>
          <w:bCs/>
        </w:rPr>
      </w:pPr>
      <w:r>
        <w:rPr>
          <w:bCs/>
        </w:rPr>
        <w:tab/>
      </w:r>
      <w:r w:rsidR="003E3217" w:rsidRPr="00D119E7">
        <w:rPr>
          <w:bCs/>
        </w:rPr>
        <w:t>(c)</w:t>
      </w:r>
      <w:r w:rsidR="003E3217" w:rsidRPr="00D119E7">
        <w:rPr>
          <w:bCs/>
        </w:rPr>
        <w:tab/>
      </w:r>
      <w:r w:rsidR="003E3217" w:rsidRPr="00D119E7">
        <w:rPr>
          <w:b/>
          <w:bCs/>
        </w:rPr>
        <w:t>All duty bearers to immediately end all practices that may amount to torture or ill-treatment, including sexual violence;</w:t>
      </w:r>
    </w:p>
    <w:p w14:paraId="71CD531F" w14:textId="51DAF996" w:rsidR="003E3217" w:rsidRPr="00D119E7" w:rsidRDefault="00751DCC" w:rsidP="00C13EBD">
      <w:pPr>
        <w:pStyle w:val="SingleTxtG"/>
        <w:rPr>
          <w:b/>
          <w:bCs/>
        </w:rPr>
      </w:pPr>
      <w:r>
        <w:rPr>
          <w:bCs/>
        </w:rPr>
        <w:tab/>
      </w:r>
      <w:r w:rsidR="003E3217" w:rsidRPr="00D119E7">
        <w:rPr>
          <w:bCs/>
        </w:rPr>
        <w:t>(d)</w:t>
      </w:r>
      <w:r w:rsidR="003E3217" w:rsidRPr="00D119E7">
        <w:rPr>
          <w:bCs/>
        </w:rPr>
        <w:tab/>
      </w:r>
      <w:r w:rsidR="003E3217" w:rsidRPr="00D119E7">
        <w:rPr>
          <w:b/>
          <w:bCs/>
        </w:rPr>
        <w:t xml:space="preserve">All duty bearers to put an end to impunity and conduct prompt, independent, impartial, thorough, effective and transparent investigations into all alleged violations of </w:t>
      </w:r>
      <w:r w:rsidR="003E3217">
        <w:rPr>
          <w:b/>
          <w:bCs/>
        </w:rPr>
        <w:t>international human rights law</w:t>
      </w:r>
      <w:r w:rsidR="003E3217" w:rsidRPr="00D119E7">
        <w:rPr>
          <w:b/>
          <w:bCs/>
        </w:rPr>
        <w:t xml:space="preserve"> and </w:t>
      </w:r>
      <w:r w:rsidR="003E3217">
        <w:rPr>
          <w:b/>
          <w:bCs/>
        </w:rPr>
        <w:t>international humanitarian law</w:t>
      </w:r>
      <w:r w:rsidR="003E3217" w:rsidRPr="00D119E7">
        <w:rPr>
          <w:b/>
          <w:bCs/>
        </w:rPr>
        <w:t>, including into allegations of international crimes; and also calls upon them to ensure that all victims and their families have access to effective remedies, gender-responsive reparation and truth;</w:t>
      </w:r>
    </w:p>
    <w:p w14:paraId="6CFAB66F" w14:textId="58A5D95D" w:rsidR="003E3217" w:rsidRPr="00D119E7" w:rsidRDefault="00751DCC" w:rsidP="00C13EBD">
      <w:pPr>
        <w:pStyle w:val="SingleTxtG"/>
        <w:rPr>
          <w:b/>
          <w:bCs/>
        </w:rPr>
      </w:pPr>
      <w:r>
        <w:rPr>
          <w:bCs/>
        </w:rPr>
        <w:tab/>
      </w:r>
      <w:r w:rsidR="003E3217" w:rsidRPr="00D119E7">
        <w:rPr>
          <w:bCs/>
        </w:rPr>
        <w:t>(e)</w:t>
      </w:r>
      <w:r w:rsidR="003E3217" w:rsidRPr="00D119E7">
        <w:rPr>
          <w:bCs/>
        </w:rPr>
        <w:tab/>
      </w:r>
      <w:r w:rsidR="003E3217" w:rsidRPr="00D119E7">
        <w:rPr>
          <w:b/>
          <w:bCs/>
        </w:rPr>
        <w:t xml:space="preserve">All duty bearers </w:t>
      </w:r>
      <w:r w:rsidR="003E3217">
        <w:rPr>
          <w:b/>
          <w:bCs/>
        </w:rPr>
        <w:t xml:space="preserve">to </w:t>
      </w:r>
      <w:r w:rsidR="003E3217" w:rsidRPr="00D119E7">
        <w:rPr>
          <w:b/>
          <w:bCs/>
        </w:rPr>
        <w:t>take measures to prevent all forms of gender-based violence, including in the domestic sphere, and ensure that perpetrators, including of gender-</w:t>
      </w:r>
      <w:r w:rsidR="003E3217">
        <w:rPr>
          <w:b/>
          <w:bCs/>
        </w:rPr>
        <w:t>based</w:t>
      </w:r>
      <w:r w:rsidR="003E3217" w:rsidRPr="00D119E7">
        <w:rPr>
          <w:b/>
          <w:bCs/>
        </w:rPr>
        <w:t xml:space="preserve"> killings, are prosecuted and appropriately sentenced;</w:t>
      </w:r>
    </w:p>
    <w:p w14:paraId="6935A8FF" w14:textId="6D90B7DF" w:rsidR="003E3217" w:rsidRPr="00D119E7" w:rsidRDefault="00751DCC" w:rsidP="00C13EBD">
      <w:pPr>
        <w:pStyle w:val="SingleTxtG"/>
        <w:rPr>
          <w:b/>
          <w:bCs/>
        </w:rPr>
      </w:pPr>
      <w:r>
        <w:rPr>
          <w:bCs/>
        </w:rPr>
        <w:tab/>
      </w:r>
      <w:r w:rsidR="003E3217" w:rsidRPr="00D119E7">
        <w:rPr>
          <w:bCs/>
        </w:rPr>
        <w:t>(f)</w:t>
      </w:r>
      <w:r w:rsidR="003E3217" w:rsidRPr="00D119E7">
        <w:rPr>
          <w:bCs/>
        </w:rPr>
        <w:tab/>
      </w:r>
      <w:r w:rsidR="003E3217" w:rsidRPr="00D119E7">
        <w:rPr>
          <w:b/>
          <w:bCs/>
        </w:rPr>
        <w:t>All duty bearers to ensure that the rights to freedom of expression and association are respected and protected and that civil society actors, including women human rights defenders, are able to conduct their legitimate activities safely, freely and without harassment;</w:t>
      </w:r>
    </w:p>
    <w:p w14:paraId="4AA13566" w14:textId="63EAE636" w:rsidR="003E3217" w:rsidRPr="00D119E7" w:rsidRDefault="00751DCC" w:rsidP="00C13EBD">
      <w:pPr>
        <w:pStyle w:val="SingleTxtG"/>
        <w:rPr>
          <w:b/>
          <w:bCs/>
        </w:rPr>
      </w:pPr>
      <w:r>
        <w:rPr>
          <w:bCs/>
        </w:rPr>
        <w:tab/>
      </w:r>
      <w:r w:rsidR="003E3217" w:rsidRPr="00D119E7">
        <w:rPr>
          <w:bCs/>
        </w:rPr>
        <w:t>(g)</w:t>
      </w:r>
      <w:r w:rsidR="003E3217" w:rsidRPr="00D119E7">
        <w:rPr>
          <w:bCs/>
        </w:rPr>
        <w:tab/>
      </w:r>
      <w:r w:rsidR="003E3217" w:rsidRPr="00D119E7">
        <w:rPr>
          <w:b/>
          <w:bCs/>
        </w:rPr>
        <w:t xml:space="preserve">All parties to the conflict to ensure full respect for international law, including </w:t>
      </w:r>
      <w:r w:rsidR="003E3217">
        <w:rPr>
          <w:b/>
          <w:bCs/>
        </w:rPr>
        <w:t>international humanitarian law</w:t>
      </w:r>
      <w:r w:rsidR="003E3217" w:rsidRPr="00D119E7">
        <w:rPr>
          <w:b/>
          <w:bCs/>
        </w:rPr>
        <w:t>, in particular the principles of distinction, proportionality and precautions in attack, and that they ensure accountability for serious violations;</w:t>
      </w:r>
    </w:p>
    <w:p w14:paraId="258A6013" w14:textId="458E9DBA" w:rsidR="003E3217" w:rsidRPr="00D119E7" w:rsidRDefault="00751DCC" w:rsidP="00C13EBD">
      <w:pPr>
        <w:pStyle w:val="SingleTxtG"/>
        <w:rPr>
          <w:b/>
          <w:bCs/>
        </w:rPr>
      </w:pPr>
      <w:r>
        <w:rPr>
          <w:bCs/>
        </w:rPr>
        <w:tab/>
      </w:r>
      <w:r w:rsidR="003E3217" w:rsidRPr="00D119E7">
        <w:rPr>
          <w:bCs/>
        </w:rPr>
        <w:t>(h)</w:t>
      </w:r>
      <w:r w:rsidR="003E3217" w:rsidRPr="00D119E7">
        <w:rPr>
          <w:bCs/>
        </w:rPr>
        <w:tab/>
      </w:r>
      <w:r w:rsidR="003E3217" w:rsidRPr="00D119E7">
        <w:rPr>
          <w:b/>
          <w:bCs/>
        </w:rPr>
        <w:t>All States to exert their influence, to the degree possible, to stop violations of international humanitarian law by all parties to the conflict.</w:t>
      </w:r>
    </w:p>
    <w:p w14:paraId="3AEC86D9" w14:textId="5528E003" w:rsidR="007268F9" w:rsidRPr="00751DCC" w:rsidRDefault="00751DCC" w:rsidP="00FC5976">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7268F9" w:rsidRPr="00751DCC"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AF4D3" w14:textId="77777777" w:rsidR="00423DDB" w:rsidRPr="00C47B2E" w:rsidRDefault="00423DDB" w:rsidP="00C47B2E">
      <w:pPr>
        <w:pStyle w:val="Footer"/>
      </w:pPr>
    </w:p>
  </w:endnote>
  <w:endnote w:type="continuationSeparator" w:id="0">
    <w:p w14:paraId="2E29ED45" w14:textId="77777777" w:rsidR="00423DDB" w:rsidRPr="00C47B2E" w:rsidRDefault="00423DDB" w:rsidP="00C47B2E">
      <w:pPr>
        <w:pStyle w:val="Footer"/>
      </w:pPr>
    </w:p>
  </w:endnote>
  <w:endnote w:type="continuationNotice" w:id="1">
    <w:p w14:paraId="67B49111" w14:textId="77777777" w:rsidR="00423DDB" w:rsidRPr="00C47B2E" w:rsidRDefault="00423DD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53BE" w14:textId="4E5E9053" w:rsidR="003E3217" w:rsidRDefault="003E3217" w:rsidP="003E3217">
    <w:pPr>
      <w:pStyle w:val="Footer"/>
      <w:tabs>
        <w:tab w:val="right" w:pos="9638"/>
      </w:tabs>
    </w:pPr>
    <w:r w:rsidRPr="003E3217">
      <w:rPr>
        <w:b/>
        <w:bCs/>
        <w:sz w:val="18"/>
      </w:rPr>
      <w:fldChar w:fldCharType="begin"/>
    </w:r>
    <w:r w:rsidRPr="003E3217">
      <w:rPr>
        <w:b/>
        <w:bCs/>
        <w:sz w:val="18"/>
      </w:rPr>
      <w:instrText xml:space="preserve"> PAGE  \* MERGEFORMAT </w:instrText>
    </w:r>
    <w:r w:rsidRPr="003E3217">
      <w:rPr>
        <w:b/>
        <w:bCs/>
        <w:sz w:val="18"/>
      </w:rPr>
      <w:fldChar w:fldCharType="separate"/>
    </w:r>
    <w:r w:rsidR="006208BC">
      <w:rPr>
        <w:b/>
        <w:bCs/>
        <w:noProof/>
        <w:sz w:val="18"/>
      </w:rPr>
      <w:t>6</w:t>
    </w:r>
    <w:r w:rsidRPr="003E321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A4950" w14:textId="66FB2BF9" w:rsidR="003E3217" w:rsidRDefault="003E3217" w:rsidP="003E3217">
    <w:pPr>
      <w:pStyle w:val="Footer"/>
      <w:tabs>
        <w:tab w:val="right" w:pos="9638"/>
      </w:tabs>
    </w:pPr>
    <w:r>
      <w:tab/>
    </w:r>
    <w:r w:rsidRPr="003E3217">
      <w:rPr>
        <w:b/>
        <w:bCs/>
        <w:sz w:val="18"/>
      </w:rPr>
      <w:fldChar w:fldCharType="begin"/>
    </w:r>
    <w:r w:rsidRPr="003E3217">
      <w:rPr>
        <w:b/>
        <w:bCs/>
        <w:sz w:val="18"/>
      </w:rPr>
      <w:instrText xml:space="preserve"> PAGE  \* MERGEFORMAT </w:instrText>
    </w:r>
    <w:r w:rsidRPr="003E3217">
      <w:rPr>
        <w:b/>
        <w:bCs/>
        <w:sz w:val="18"/>
      </w:rPr>
      <w:fldChar w:fldCharType="separate"/>
    </w:r>
    <w:r w:rsidR="006208BC">
      <w:rPr>
        <w:b/>
        <w:bCs/>
        <w:noProof/>
        <w:sz w:val="18"/>
      </w:rPr>
      <w:t>5</w:t>
    </w:r>
    <w:r w:rsidRPr="003E321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53FF7" w14:textId="77777777" w:rsidR="00423DDB" w:rsidRPr="00C47B2E" w:rsidRDefault="00423DDB" w:rsidP="00C47B2E">
      <w:pPr>
        <w:tabs>
          <w:tab w:val="right" w:pos="2155"/>
        </w:tabs>
        <w:spacing w:after="80" w:line="240" w:lineRule="auto"/>
        <w:ind w:left="680"/>
      </w:pPr>
      <w:r>
        <w:rPr>
          <w:u w:val="single"/>
        </w:rPr>
        <w:tab/>
      </w:r>
    </w:p>
  </w:footnote>
  <w:footnote w:type="continuationSeparator" w:id="0">
    <w:p w14:paraId="0FB70F2A" w14:textId="77777777" w:rsidR="00423DDB" w:rsidRPr="00C47B2E" w:rsidRDefault="00423DDB" w:rsidP="005E716E">
      <w:pPr>
        <w:tabs>
          <w:tab w:val="right" w:pos="2155"/>
        </w:tabs>
        <w:spacing w:after="80" w:line="240" w:lineRule="auto"/>
        <w:ind w:left="680"/>
      </w:pPr>
      <w:r>
        <w:rPr>
          <w:u w:val="single"/>
        </w:rPr>
        <w:tab/>
      </w:r>
    </w:p>
  </w:footnote>
  <w:footnote w:type="continuationNotice" w:id="1">
    <w:p w14:paraId="742321D7" w14:textId="77777777" w:rsidR="00423DDB" w:rsidRPr="00C47B2E" w:rsidRDefault="00423DDB" w:rsidP="00C47B2E">
      <w:pPr>
        <w:pStyle w:val="Footer"/>
      </w:pPr>
    </w:p>
  </w:footnote>
  <w:footnote w:id="2">
    <w:p w14:paraId="738AFDA9" w14:textId="0EE97B4E" w:rsidR="00C13EBD" w:rsidRPr="00C13EBD" w:rsidRDefault="00C13EBD" w:rsidP="00C13EBD">
      <w:pPr>
        <w:pStyle w:val="FootnoteText"/>
      </w:pPr>
      <w:r>
        <w:rPr>
          <w:rStyle w:val="FootnoteReference"/>
        </w:rPr>
        <w:tab/>
      </w:r>
      <w:r w:rsidRPr="00C13EBD">
        <w:rPr>
          <w:rStyle w:val="FootnoteReference"/>
          <w:sz w:val="20"/>
          <w:vertAlign w:val="baseline"/>
        </w:rPr>
        <w:t>*</w:t>
      </w:r>
      <w:r>
        <w:rPr>
          <w:rStyle w:val="FootnoteReference"/>
          <w:sz w:val="20"/>
          <w:vertAlign w:val="baseline"/>
        </w:rPr>
        <w:tab/>
      </w:r>
      <w:r w:rsidRPr="00DC4690">
        <w:rPr>
          <w:lang w:val="en-US"/>
        </w:rPr>
        <w:t>Agreement</w:t>
      </w:r>
      <w:r w:rsidR="004F2FAF">
        <w:rPr>
          <w:lang w:val="en-US"/>
        </w:rPr>
        <w:t xml:space="preserve"> </w:t>
      </w:r>
      <w:r w:rsidRPr="00DC4690">
        <w:rPr>
          <w:lang w:val="en-US"/>
        </w:rPr>
        <w:t>was</w:t>
      </w:r>
      <w:r w:rsidR="004F2FAF">
        <w:rPr>
          <w:lang w:val="en-US"/>
        </w:rPr>
        <w:t xml:space="preserve"> </w:t>
      </w:r>
      <w:r w:rsidRPr="00DC4690">
        <w:rPr>
          <w:lang w:val="en-US"/>
        </w:rPr>
        <w:t>reached</w:t>
      </w:r>
      <w:r w:rsidR="004F2FAF">
        <w:rPr>
          <w:lang w:val="en-US"/>
        </w:rPr>
        <w:t xml:space="preserve"> </w:t>
      </w:r>
      <w:r w:rsidRPr="00DC4690">
        <w:rPr>
          <w:lang w:val="en-US"/>
        </w:rPr>
        <w:t>to</w:t>
      </w:r>
      <w:r w:rsidR="004F2FAF">
        <w:rPr>
          <w:lang w:val="en-US"/>
        </w:rPr>
        <w:t xml:space="preserve"> </w:t>
      </w:r>
      <w:r w:rsidRPr="00DC4690">
        <w:rPr>
          <w:lang w:val="en-US"/>
        </w:rPr>
        <w:t>publish</w:t>
      </w:r>
      <w:r w:rsidR="004F2FAF">
        <w:rPr>
          <w:lang w:val="en-US"/>
        </w:rPr>
        <w:t xml:space="preserve"> </w:t>
      </w:r>
      <w:r w:rsidRPr="00DC4690">
        <w:rPr>
          <w:lang w:val="en-US"/>
        </w:rPr>
        <w:t>the</w:t>
      </w:r>
      <w:r w:rsidR="004F2FAF">
        <w:rPr>
          <w:lang w:val="en-US"/>
        </w:rPr>
        <w:t xml:space="preserve"> </w:t>
      </w:r>
      <w:r w:rsidRPr="00DC4690">
        <w:rPr>
          <w:lang w:val="en-US"/>
        </w:rPr>
        <w:t>present</w:t>
      </w:r>
      <w:r w:rsidR="004F2FAF">
        <w:rPr>
          <w:lang w:val="en-US"/>
        </w:rPr>
        <w:t xml:space="preserve"> </w:t>
      </w:r>
      <w:r w:rsidRPr="00DC4690">
        <w:rPr>
          <w:lang w:val="en-US"/>
        </w:rPr>
        <w:t>report</w:t>
      </w:r>
      <w:r w:rsidR="004F2FAF">
        <w:rPr>
          <w:lang w:val="en-US"/>
        </w:rPr>
        <w:t xml:space="preserve"> </w:t>
      </w:r>
      <w:r w:rsidRPr="00DC4690">
        <w:rPr>
          <w:lang w:val="en-US"/>
        </w:rPr>
        <w:t>after</w:t>
      </w:r>
      <w:r w:rsidR="004F2FAF">
        <w:rPr>
          <w:lang w:val="en-US"/>
        </w:rPr>
        <w:t xml:space="preserve"> </w:t>
      </w:r>
      <w:r w:rsidRPr="00DC4690">
        <w:rPr>
          <w:lang w:val="en-US"/>
        </w:rPr>
        <w:t>the</w:t>
      </w:r>
      <w:r w:rsidR="004F2FAF">
        <w:rPr>
          <w:lang w:val="en-US"/>
        </w:rPr>
        <w:t xml:space="preserve"> </w:t>
      </w:r>
      <w:r w:rsidRPr="00DC4690">
        <w:rPr>
          <w:lang w:val="en-US"/>
        </w:rPr>
        <w:t>standard</w:t>
      </w:r>
      <w:r w:rsidR="004F2FAF">
        <w:rPr>
          <w:lang w:val="en-US"/>
        </w:rPr>
        <w:t xml:space="preserve"> </w:t>
      </w:r>
      <w:r w:rsidRPr="00DC4690">
        <w:rPr>
          <w:lang w:val="en-US"/>
        </w:rPr>
        <w:t>publication</w:t>
      </w:r>
      <w:r w:rsidR="004F2FAF">
        <w:rPr>
          <w:lang w:val="en-US"/>
        </w:rPr>
        <w:t xml:space="preserve"> </w:t>
      </w:r>
      <w:r w:rsidRPr="00DC4690">
        <w:rPr>
          <w:lang w:val="en-US"/>
        </w:rPr>
        <w:t>date</w:t>
      </w:r>
      <w:r w:rsidR="004F2FAF">
        <w:rPr>
          <w:lang w:val="en-US"/>
        </w:rPr>
        <w:t xml:space="preserve"> </w:t>
      </w:r>
      <w:r w:rsidRPr="00DC4690">
        <w:rPr>
          <w:lang w:val="en-US"/>
        </w:rPr>
        <w:t>owing</w:t>
      </w:r>
      <w:r w:rsidR="004F2FAF">
        <w:rPr>
          <w:lang w:val="en-US"/>
        </w:rPr>
        <w:t xml:space="preserve"> </w:t>
      </w:r>
      <w:r w:rsidRPr="00DC4690">
        <w:rPr>
          <w:lang w:val="en-US"/>
        </w:rPr>
        <w:t>to</w:t>
      </w:r>
      <w:r w:rsidR="004F2FAF">
        <w:rPr>
          <w:lang w:val="en-US"/>
        </w:rPr>
        <w:t xml:space="preserve"> </w:t>
      </w:r>
      <w:r w:rsidRPr="00DC4690">
        <w:rPr>
          <w:lang w:val="en-US"/>
        </w:rPr>
        <w:t>circumstances</w:t>
      </w:r>
      <w:r w:rsidR="004F2FAF">
        <w:rPr>
          <w:lang w:val="en-US"/>
        </w:rPr>
        <w:t xml:space="preserve"> </w:t>
      </w:r>
      <w:r w:rsidRPr="00DC4690">
        <w:rPr>
          <w:lang w:val="en-US"/>
        </w:rPr>
        <w:t>beyond</w:t>
      </w:r>
      <w:r w:rsidR="004F2FAF">
        <w:rPr>
          <w:lang w:val="en-US"/>
        </w:rPr>
        <w:t xml:space="preserve"> </w:t>
      </w:r>
      <w:r w:rsidRPr="00DC4690">
        <w:rPr>
          <w:lang w:val="en-US"/>
        </w:rPr>
        <w:t>the</w:t>
      </w:r>
      <w:r w:rsidR="004F2FAF">
        <w:rPr>
          <w:lang w:val="en-US"/>
        </w:rPr>
        <w:t xml:space="preserve"> </w:t>
      </w:r>
      <w:r w:rsidRPr="00DC4690">
        <w:rPr>
          <w:lang w:val="en-US"/>
        </w:rPr>
        <w:t>submitter</w:t>
      </w:r>
      <w:r w:rsidR="00FC5976">
        <w:rPr>
          <w:lang w:val="en-US"/>
        </w:rPr>
        <w:t>’</w:t>
      </w:r>
      <w:r w:rsidRPr="00DC4690">
        <w:rPr>
          <w:lang w:val="en-US"/>
        </w:rPr>
        <w:t>s</w:t>
      </w:r>
      <w:r w:rsidR="004F2FAF">
        <w:rPr>
          <w:lang w:val="en-US"/>
        </w:rPr>
        <w:t xml:space="preserve"> </w:t>
      </w:r>
      <w:r w:rsidRPr="00DC4690">
        <w:rPr>
          <w:lang w:val="en-US"/>
        </w:rPr>
        <w:t>control.</w:t>
      </w:r>
    </w:p>
  </w:footnote>
  <w:footnote w:id="3">
    <w:p w14:paraId="19771CBC" w14:textId="6EA926E6" w:rsidR="003E3217" w:rsidRPr="00D119E7" w:rsidRDefault="003E3217" w:rsidP="00C13EBD">
      <w:pPr>
        <w:pStyle w:val="FootnoteText"/>
      </w:pPr>
      <w:r w:rsidRPr="00D119E7">
        <w:rPr>
          <w:szCs w:val="18"/>
        </w:rPr>
        <w:tab/>
      </w:r>
      <w:r w:rsidRPr="00F81291">
        <w:rPr>
          <w:rStyle w:val="FootnoteReference"/>
        </w:rPr>
        <w:footnoteRef/>
      </w:r>
      <w:r w:rsidRPr="00F81291">
        <w:rPr>
          <w:rStyle w:val="FootnoteReference"/>
        </w:rPr>
        <w:tab/>
      </w:r>
      <w:hyperlink r:id="rId1" w:history="1">
        <w:r w:rsidRPr="0006136B">
          <w:rPr>
            <w:rStyle w:val="Hyperlink"/>
            <w:rFonts w:eastAsia="SimSun"/>
          </w:rPr>
          <w:t>https://www.ohchr.org/en/press-releases/2022/08/bachelet-deplores-israels-failure-grant-visas-un-human-rights-staff-occupied</w:t>
        </w:r>
      </w:hyperlink>
      <w:r>
        <w:rPr>
          <w:rFonts w:eastAsia="SimSun"/>
        </w:rPr>
        <w:t>.</w:t>
      </w:r>
      <w:r w:rsidR="004F2FAF">
        <w:rPr>
          <w:szCs w:val="18"/>
        </w:rPr>
        <w:t xml:space="preserve"> </w:t>
      </w:r>
    </w:p>
  </w:footnote>
  <w:footnote w:id="4">
    <w:p w14:paraId="099617D7" w14:textId="1F79733F" w:rsidR="003E3217" w:rsidRPr="00725D3C" w:rsidRDefault="003E3217" w:rsidP="00C13EBD">
      <w:pPr>
        <w:pStyle w:val="FootnoteText"/>
      </w:pPr>
      <w:r w:rsidRPr="00D119E7">
        <w:rPr>
          <w:szCs w:val="18"/>
        </w:rPr>
        <w:tab/>
      </w:r>
      <w:r w:rsidRPr="00F81291">
        <w:rPr>
          <w:rStyle w:val="FootnoteReference"/>
        </w:rPr>
        <w:footnoteRef/>
      </w:r>
      <w:r w:rsidRPr="00F81291">
        <w:rPr>
          <w:rStyle w:val="FootnoteReference"/>
        </w:rPr>
        <w:tab/>
      </w:r>
      <w:r w:rsidRPr="00725D3C">
        <w:rPr>
          <w:szCs w:val="18"/>
        </w:rPr>
        <w:t>See</w:t>
      </w:r>
      <w:r w:rsidR="004F2FAF">
        <w:rPr>
          <w:szCs w:val="18"/>
        </w:rPr>
        <w:t xml:space="preserve"> </w:t>
      </w:r>
      <w:hyperlink r:id="rId2" w:history="1">
        <w:r w:rsidRPr="0006136B">
          <w:rPr>
            <w:rStyle w:val="Hyperlink"/>
            <w:szCs w:val="18"/>
          </w:rPr>
          <w:t>A/77/493</w:t>
        </w:r>
      </w:hyperlink>
      <w:r w:rsidRPr="00725D3C">
        <w:rPr>
          <w:szCs w:val="18"/>
        </w:rPr>
        <w:t>,</w:t>
      </w:r>
      <w:r w:rsidR="004F2FAF">
        <w:rPr>
          <w:szCs w:val="18"/>
        </w:rPr>
        <w:t xml:space="preserve"> </w:t>
      </w:r>
      <w:hyperlink r:id="rId3" w:history="1">
        <w:r w:rsidRPr="0006136B">
          <w:rPr>
            <w:rStyle w:val="Hyperlink"/>
            <w:szCs w:val="18"/>
          </w:rPr>
          <w:t>A/76/333</w:t>
        </w:r>
      </w:hyperlink>
      <w:r w:rsidR="004F2FAF">
        <w:rPr>
          <w:szCs w:val="18"/>
        </w:rPr>
        <w:t xml:space="preserve"> </w:t>
      </w:r>
      <w:r>
        <w:rPr>
          <w:szCs w:val="18"/>
        </w:rPr>
        <w:t>and</w:t>
      </w:r>
      <w:r w:rsidR="004F2FAF">
        <w:rPr>
          <w:szCs w:val="18"/>
        </w:rPr>
        <w:t xml:space="preserve"> </w:t>
      </w:r>
      <w:bookmarkStart w:id="2" w:name="_Hlk126592639"/>
      <w:r w:rsidR="0006136B">
        <w:rPr>
          <w:szCs w:val="18"/>
        </w:rPr>
        <w:fldChar w:fldCharType="begin"/>
      </w:r>
      <w:r w:rsidR="0006136B">
        <w:rPr>
          <w:szCs w:val="18"/>
        </w:rPr>
        <w:instrText>HYPERLINK "http://undocs.org/en/A/HRC/52/76"</w:instrText>
      </w:r>
      <w:r w:rsidR="0006136B">
        <w:rPr>
          <w:szCs w:val="18"/>
        </w:rPr>
        <w:fldChar w:fldCharType="separate"/>
      </w:r>
      <w:r w:rsidRPr="0006136B">
        <w:rPr>
          <w:rStyle w:val="Hyperlink"/>
          <w:szCs w:val="18"/>
        </w:rPr>
        <w:t>A/HRC/52/76</w:t>
      </w:r>
      <w:bookmarkEnd w:id="2"/>
      <w:r w:rsidRPr="0006136B">
        <w:rPr>
          <w:rStyle w:val="Hyperlink"/>
          <w:color w:val="auto"/>
          <w:szCs w:val="18"/>
        </w:rPr>
        <w:t>.</w:t>
      </w:r>
      <w:r w:rsidR="0006136B">
        <w:rPr>
          <w:szCs w:val="18"/>
        </w:rPr>
        <w:fldChar w:fldCharType="end"/>
      </w:r>
    </w:p>
  </w:footnote>
  <w:footnote w:id="5">
    <w:p w14:paraId="5E1D47C7" w14:textId="3B1847EC" w:rsidR="003E3217" w:rsidRPr="00725D3C" w:rsidRDefault="003E3217" w:rsidP="00C13EBD">
      <w:pPr>
        <w:pStyle w:val="FootnoteText"/>
      </w:pPr>
      <w:r w:rsidRPr="00725D3C">
        <w:rPr>
          <w:szCs w:val="18"/>
        </w:rPr>
        <w:tab/>
      </w:r>
      <w:r w:rsidRPr="00F81291">
        <w:rPr>
          <w:rStyle w:val="FootnoteReference"/>
        </w:rPr>
        <w:footnoteRef/>
      </w:r>
      <w:r w:rsidRPr="00F81291">
        <w:rPr>
          <w:rStyle w:val="FootnoteReference"/>
        </w:rPr>
        <w:tab/>
      </w:r>
      <w:r>
        <w:rPr>
          <w:szCs w:val="18"/>
        </w:rPr>
        <w:t>Additionally,</w:t>
      </w:r>
      <w:r w:rsidR="004F2FAF">
        <w:rPr>
          <w:szCs w:val="18"/>
        </w:rPr>
        <w:t xml:space="preserve"> </w:t>
      </w:r>
      <w:r>
        <w:t>f</w:t>
      </w:r>
      <w:r w:rsidRPr="00725D3C">
        <w:t>our</w:t>
      </w:r>
      <w:r w:rsidR="004F2FAF">
        <w:t xml:space="preserve"> </w:t>
      </w:r>
      <w:r w:rsidRPr="00725D3C">
        <w:t>West</w:t>
      </w:r>
      <w:r w:rsidR="004F2FAF">
        <w:t xml:space="preserve"> </w:t>
      </w:r>
      <w:r w:rsidRPr="00725D3C">
        <w:t>Bank</w:t>
      </w:r>
      <w:r w:rsidR="004F2FAF">
        <w:t xml:space="preserve"> </w:t>
      </w:r>
      <w:r w:rsidRPr="00725D3C">
        <w:t>Palestinians</w:t>
      </w:r>
      <w:r w:rsidR="004F2FAF">
        <w:t xml:space="preserve"> </w:t>
      </w:r>
      <w:r w:rsidRPr="00725D3C">
        <w:t>were</w:t>
      </w:r>
      <w:r w:rsidR="004F2FAF">
        <w:t xml:space="preserve"> </w:t>
      </w:r>
      <w:r w:rsidRPr="00725D3C">
        <w:t>killed</w:t>
      </w:r>
      <w:r w:rsidR="004F2FAF">
        <w:t xml:space="preserve"> </w:t>
      </w:r>
      <w:r w:rsidRPr="00725D3C">
        <w:t>by</w:t>
      </w:r>
      <w:r w:rsidR="004F2FAF">
        <w:t xml:space="preserve"> </w:t>
      </w:r>
      <w:r>
        <w:t>Israeli</w:t>
      </w:r>
      <w:r w:rsidR="004F2FAF">
        <w:t xml:space="preserve"> </w:t>
      </w:r>
      <w:r>
        <w:t>security</w:t>
      </w:r>
      <w:r w:rsidR="004F2FAF">
        <w:t xml:space="preserve"> </w:t>
      </w:r>
      <w:r>
        <w:t>forces</w:t>
      </w:r>
      <w:r w:rsidR="004F2FAF">
        <w:t xml:space="preserve"> </w:t>
      </w:r>
      <w:r w:rsidRPr="00725D3C">
        <w:t>in</w:t>
      </w:r>
      <w:r w:rsidR="004F2FAF">
        <w:t xml:space="preserve"> </w:t>
      </w:r>
      <w:r w:rsidRPr="00725D3C">
        <w:t>Israel.</w:t>
      </w:r>
    </w:p>
  </w:footnote>
  <w:footnote w:id="6">
    <w:p w14:paraId="245791BC" w14:textId="54266E59" w:rsidR="003E3217" w:rsidRPr="00725D3C" w:rsidRDefault="003E3217" w:rsidP="00C13EBD">
      <w:pPr>
        <w:pStyle w:val="FootnoteText"/>
      </w:pPr>
      <w:r w:rsidRPr="00725D3C">
        <w:rPr>
          <w:szCs w:val="18"/>
        </w:rPr>
        <w:tab/>
      </w:r>
      <w:r w:rsidRPr="00F81291">
        <w:rPr>
          <w:rStyle w:val="FootnoteReference"/>
        </w:rPr>
        <w:footnoteRef/>
      </w:r>
      <w:r w:rsidRPr="00F81291">
        <w:rPr>
          <w:rStyle w:val="FootnoteReference"/>
        </w:rPr>
        <w:tab/>
      </w:r>
      <w:r>
        <w:rPr>
          <w:szCs w:val="18"/>
        </w:rPr>
        <w:t>Also,</w:t>
      </w:r>
      <w:r w:rsidR="004F2FAF">
        <w:rPr>
          <w:szCs w:val="18"/>
        </w:rPr>
        <w:t xml:space="preserve"> </w:t>
      </w:r>
      <w:r w:rsidRPr="00725D3C">
        <w:t>11</w:t>
      </w:r>
      <w:r w:rsidR="004F2FAF">
        <w:t xml:space="preserve"> </w:t>
      </w:r>
      <w:r w:rsidRPr="00725D3C">
        <w:t>children</w:t>
      </w:r>
      <w:r w:rsidR="004F2FAF">
        <w:t xml:space="preserve"> </w:t>
      </w:r>
      <w:r w:rsidRPr="00725D3C">
        <w:t>were</w:t>
      </w:r>
      <w:r w:rsidR="004F2FAF">
        <w:t xml:space="preserve"> </w:t>
      </w:r>
      <w:r w:rsidRPr="00725D3C">
        <w:t>injured</w:t>
      </w:r>
      <w:r w:rsidR="004F2FAF">
        <w:t xml:space="preserve"> </w:t>
      </w:r>
      <w:r w:rsidRPr="00725D3C">
        <w:t>in</w:t>
      </w:r>
      <w:r w:rsidR="004F2FAF">
        <w:t xml:space="preserve"> </w:t>
      </w:r>
      <w:r w:rsidRPr="00725D3C">
        <w:t>Gaza,</w:t>
      </w:r>
      <w:r w:rsidR="004F2FAF">
        <w:t xml:space="preserve"> </w:t>
      </w:r>
      <w:r w:rsidRPr="00725D3C">
        <w:t>outside</w:t>
      </w:r>
      <w:r w:rsidR="004F2FAF">
        <w:t xml:space="preserve"> </w:t>
      </w:r>
      <w:r w:rsidRPr="00725D3C">
        <w:t>of</w:t>
      </w:r>
      <w:r w:rsidR="004F2FAF">
        <w:t xml:space="preserve"> </w:t>
      </w:r>
      <w:r w:rsidRPr="00725D3C">
        <w:t>hostilities.</w:t>
      </w:r>
    </w:p>
  </w:footnote>
  <w:footnote w:id="7">
    <w:p w14:paraId="4E7E971D" w14:textId="1F06ECAC" w:rsidR="003E3217" w:rsidRPr="002A3EE1" w:rsidRDefault="003E3217" w:rsidP="00C13EBD">
      <w:pPr>
        <w:pStyle w:val="FootnoteText"/>
        <w:rPr>
          <w:lang w:val="en-US"/>
        </w:rPr>
      </w:pPr>
      <w:r w:rsidRPr="00725D3C">
        <w:rPr>
          <w:szCs w:val="18"/>
        </w:rPr>
        <w:tab/>
      </w:r>
      <w:r w:rsidRPr="00F81291">
        <w:rPr>
          <w:rStyle w:val="FootnoteReference"/>
        </w:rPr>
        <w:footnoteRef/>
      </w:r>
      <w:r w:rsidRPr="00F81291">
        <w:rPr>
          <w:rStyle w:val="FootnoteReference"/>
        </w:rPr>
        <w:tab/>
      </w:r>
      <w:r>
        <w:rPr>
          <w:szCs w:val="18"/>
          <w:lang w:val="en-US"/>
        </w:rPr>
        <w:t>Information</w:t>
      </w:r>
      <w:r w:rsidR="004F2FAF">
        <w:rPr>
          <w:szCs w:val="18"/>
          <w:lang w:val="en-US"/>
        </w:rPr>
        <w:t xml:space="preserve"> </w:t>
      </w:r>
      <w:r>
        <w:rPr>
          <w:szCs w:val="18"/>
          <w:lang w:val="en-US"/>
        </w:rPr>
        <w:t>from</w:t>
      </w:r>
      <w:r w:rsidR="004F2FAF">
        <w:rPr>
          <w:szCs w:val="18"/>
          <w:lang w:val="en-US"/>
        </w:rPr>
        <w:t xml:space="preserve"> </w:t>
      </w:r>
      <w:r>
        <w:rPr>
          <w:szCs w:val="18"/>
          <w:lang w:val="en-US"/>
        </w:rPr>
        <w:t>the</w:t>
      </w:r>
      <w:r w:rsidR="004F2FAF">
        <w:rPr>
          <w:szCs w:val="18"/>
          <w:lang w:val="en-US"/>
        </w:rPr>
        <w:t xml:space="preserve"> </w:t>
      </w:r>
      <w:r w:rsidRPr="00D119E7">
        <w:t>Office</w:t>
      </w:r>
      <w:r w:rsidR="004F2FAF">
        <w:t xml:space="preserve"> </w:t>
      </w:r>
      <w:r w:rsidRPr="00D119E7">
        <w:t>for</w:t>
      </w:r>
      <w:r w:rsidR="004F2FAF">
        <w:t xml:space="preserve"> </w:t>
      </w:r>
      <w:r w:rsidRPr="00D119E7">
        <w:t>the</w:t>
      </w:r>
      <w:r w:rsidR="004F2FAF">
        <w:t xml:space="preserve"> </w:t>
      </w:r>
      <w:r w:rsidRPr="00D119E7">
        <w:t>Coordination</w:t>
      </w:r>
      <w:r w:rsidR="004F2FAF">
        <w:t xml:space="preserve"> </w:t>
      </w:r>
      <w:r w:rsidRPr="00D119E7">
        <w:t>of</w:t>
      </w:r>
      <w:r w:rsidR="004F2FAF">
        <w:t xml:space="preserve"> </w:t>
      </w:r>
      <w:r w:rsidRPr="00D119E7">
        <w:t>Humanitarian</w:t>
      </w:r>
      <w:r w:rsidR="004F2FAF">
        <w:t xml:space="preserve"> </w:t>
      </w:r>
      <w:r w:rsidRPr="00D119E7">
        <w:t>Affairs</w:t>
      </w:r>
      <w:r w:rsidRPr="002A3EE1">
        <w:rPr>
          <w:lang w:val="en-US"/>
        </w:rPr>
        <w:t>,</w:t>
      </w:r>
      <w:r w:rsidR="004F2FAF">
        <w:rPr>
          <w:lang w:val="en-US"/>
        </w:rPr>
        <w:t xml:space="preserve"> </w:t>
      </w:r>
      <w:r w:rsidRPr="002A3EE1">
        <w:rPr>
          <w:lang w:val="en-US"/>
        </w:rPr>
        <w:t>based</w:t>
      </w:r>
      <w:r w:rsidR="004F2FAF">
        <w:rPr>
          <w:lang w:val="en-US"/>
        </w:rPr>
        <w:t xml:space="preserve"> </w:t>
      </w:r>
      <w:r w:rsidRPr="002A3EE1">
        <w:rPr>
          <w:lang w:val="en-US"/>
        </w:rPr>
        <w:t>on</w:t>
      </w:r>
      <w:r w:rsidR="004F2FAF">
        <w:rPr>
          <w:lang w:val="en-US"/>
        </w:rPr>
        <w:t xml:space="preserve"> </w:t>
      </w:r>
      <w:r w:rsidRPr="002A3EE1">
        <w:rPr>
          <w:lang w:val="en-US"/>
        </w:rPr>
        <w:t>Israeli</w:t>
      </w:r>
      <w:r w:rsidR="004F2FAF">
        <w:rPr>
          <w:lang w:val="en-US"/>
        </w:rPr>
        <w:t xml:space="preserve"> </w:t>
      </w:r>
      <w:r w:rsidRPr="002A3EE1">
        <w:rPr>
          <w:lang w:val="en-US"/>
        </w:rPr>
        <w:t>sources.</w:t>
      </w:r>
      <w:r w:rsidR="004F2FAF">
        <w:rPr>
          <w:lang w:val="en-US"/>
        </w:rPr>
        <w:t xml:space="preserve"> </w:t>
      </w:r>
    </w:p>
  </w:footnote>
  <w:footnote w:id="8">
    <w:p w14:paraId="697807C1" w14:textId="59EB8CD6" w:rsidR="003E3217" w:rsidRPr="002A3EE1" w:rsidRDefault="003E3217" w:rsidP="00C13EBD">
      <w:pPr>
        <w:pStyle w:val="FootnoteText"/>
        <w:rPr>
          <w:lang w:val="en-US"/>
        </w:rPr>
      </w:pPr>
      <w:r w:rsidRPr="00B03B18">
        <w:rPr>
          <w:szCs w:val="18"/>
          <w:lang w:val="en-US"/>
        </w:rPr>
        <w:tab/>
      </w:r>
      <w:r w:rsidRPr="00F81291">
        <w:rPr>
          <w:rStyle w:val="FootnoteReference"/>
        </w:rPr>
        <w:footnoteRef/>
      </w:r>
      <w:r w:rsidRPr="00F81291">
        <w:rPr>
          <w:rStyle w:val="FootnoteReference"/>
        </w:rPr>
        <w:tab/>
      </w:r>
      <w:hyperlink r:id="rId4" w:history="1">
        <w:r w:rsidRPr="0006136B">
          <w:rPr>
            <w:rStyle w:val="Hyperlink"/>
            <w:lang w:val="pt-BR"/>
          </w:rPr>
          <w:t>A/76/333</w:t>
        </w:r>
      </w:hyperlink>
      <w:r w:rsidRPr="002F3525">
        <w:rPr>
          <w:lang w:val="pt-BR"/>
        </w:rPr>
        <w:t>,</w:t>
      </w:r>
      <w:r w:rsidR="004F2FAF">
        <w:rPr>
          <w:lang w:val="en-US"/>
        </w:rPr>
        <w:t xml:space="preserve"> </w:t>
      </w:r>
      <w:r w:rsidRPr="002A3EE1">
        <w:rPr>
          <w:lang w:val="en-US"/>
        </w:rPr>
        <w:t>paras.</w:t>
      </w:r>
      <w:r w:rsidR="004F2FAF">
        <w:rPr>
          <w:lang w:val="en-US"/>
        </w:rPr>
        <w:t xml:space="preserve"> </w:t>
      </w:r>
      <w:r w:rsidRPr="002A3EE1">
        <w:rPr>
          <w:lang w:val="en-US"/>
        </w:rPr>
        <w:t>16</w:t>
      </w:r>
      <w:r w:rsidR="004F2FAF">
        <w:rPr>
          <w:lang w:val="en-US"/>
        </w:rPr>
        <w:t xml:space="preserve"> </w:t>
      </w:r>
      <w:r w:rsidRPr="002A3EE1">
        <w:rPr>
          <w:lang w:val="en-US"/>
        </w:rPr>
        <w:t>and</w:t>
      </w:r>
      <w:r w:rsidR="004F2FAF">
        <w:rPr>
          <w:lang w:val="en-US"/>
        </w:rPr>
        <w:t xml:space="preserve"> </w:t>
      </w:r>
      <w:r w:rsidRPr="002A3EE1">
        <w:rPr>
          <w:lang w:val="en-US"/>
        </w:rPr>
        <w:t>30;</w:t>
      </w:r>
      <w:r w:rsidR="004F2FAF">
        <w:rPr>
          <w:lang w:val="en-US"/>
        </w:rPr>
        <w:t xml:space="preserve"> </w:t>
      </w:r>
      <w:hyperlink r:id="rId5" w:history="1">
        <w:r w:rsidRPr="0006136B">
          <w:rPr>
            <w:rStyle w:val="Hyperlink"/>
            <w:lang w:val="pt-BR"/>
          </w:rPr>
          <w:t>A/HRC/46/22</w:t>
        </w:r>
      </w:hyperlink>
      <w:r w:rsidRPr="002F3525">
        <w:rPr>
          <w:lang w:val="pt-BR"/>
        </w:rPr>
        <w:t>,</w:t>
      </w:r>
      <w:r w:rsidR="004F2FAF">
        <w:rPr>
          <w:lang w:val="pt-BR"/>
        </w:rPr>
        <w:t xml:space="preserve"> </w:t>
      </w:r>
      <w:r w:rsidRPr="002A3EE1">
        <w:rPr>
          <w:lang w:val="en-US"/>
        </w:rPr>
        <w:t>para.</w:t>
      </w:r>
      <w:r w:rsidR="004F2FAF">
        <w:rPr>
          <w:lang w:val="en-US"/>
        </w:rPr>
        <w:t xml:space="preserve"> </w:t>
      </w:r>
      <w:r w:rsidRPr="002A3EE1">
        <w:rPr>
          <w:lang w:val="en-US"/>
        </w:rPr>
        <w:t>11;</w:t>
      </w:r>
      <w:r w:rsidR="004F2FAF">
        <w:rPr>
          <w:lang w:val="en-US"/>
        </w:rPr>
        <w:t xml:space="preserve"> </w:t>
      </w:r>
      <w:r w:rsidRPr="002A3EE1">
        <w:rPr>
          <w:lang w:val="en-US"/>
        </w:rPr>
        <w:t>and</w:t>
      </w:r>
      <w:r w:rsidR="004F2FAF">
        <w:rPr>
          <w:lang w:val="en-US"/>
        </w:rPr>
        <w:t xml:space="preserve"> </w:t>
      </w:r>
      <w:hyperlink r:id="rId6" w:history="1">
        <w:r w:rsidRPr="0006136B">
          <w:rPr>
            <w:rStyle w:val="Hyperlink"/>
            <w:lang w:val="pt-BR"/>
          </w:rPr>
          <w:t>A/HRC/43/21</w:t>
        </w:r>
      </w:hyperlink>
      <w:r w:rsidRPr="002A3EE1">
        <w:rPr>
          <w:lang w:val="en-US"/>
        </w:rPr>
        <w:t>,</w:t>
      </w:r>
      <w:r w:rsidR="004F2FAF">
        <w:rPr>
          <w:lang w:val="en-US"/>
        </w:rPr>
        <w:t xml:space="preserve"> </w:t>
      </w:r>
      <w:r w:rsidRPr="002A3EE1">
        <w:rPr>
          <w:lang w:val="en-US"/>
        </w:rPr>
        <w:t>para.</w:t>
      </w:r>
      <w:r w:rsidR="004F2FAF">
        <w:rPr>
          <w:lang w:val="en-US"/>
        </w:rPr>
        <w:t xml:space="preserve"> </w:t>
      </w:r>
      <w:r w:rsidRPr="002A3EE1">
        <w:rPr>
          <w:lang w:val="en-US"/>
        </w:rPr>
        <w:t>45.</w:t>
      </w:r>
    </w:p>
  </w:footnote>
  <w:footnote w:id="9">
    <w:p w14:paraId="3CCE573F" w14:textId="19D3A77B" w:rsidR="003E3217" w:rsidRPr="002A3EE1" w:rsidRDefault="003E3217" w:rsidP="00C13EBD">
      <w:pPr>
        <w:pStyle w:val="FootnoteText"/>
        <w:rPr>
          <w:highlight w:val="yellow"/>
          <w:lang w:val="pt-BR"/>
        </w:rPr>
      </w:pPr>
      <w:r w:rsidRPr="002A3EE1">
        <w:rPr>
          <w:szCs w:val="18"/>
          <w:lang w:val="en-US"/>
        </w:rPr>
        <w:tab/>
      </w:r>
      <w:r w:rsidRPr="00F81291">
        <w:rPr>
          <w:rStyle w:val="FootnoteReference"/>
        </w:rPr>
        <w:footnoteRef/>
      </w:r>
      <w:r w:rsidRPr="00F81291">
        <w:rPr>
          <w:rStyle w:val="FootnoteReference"/>
        </w:rPr>
        <w:tab/>
      </w:r>
      <w:r>
        <w:rPr>
          <w:szCs w:val="18"/>
          <w:lang w:val="en-US"/>
        </w:rPr>
        <w:t>Information</w:t>
      </w:r>
      <w:r w:rsidR="004F2FAF">
        <w:rPr>
          <w:szCs w:val="18"/>
          <w:lang w:val="en-US"/>
        </w:rPr>
        <w:t xml:space="preserve"> </w:t>
      </w:r>
      <w:r>
        <w:rPr>
          <w:szCs w:val="18"/>
          <w:lang w:val="en-US"/>
        </w:rPr>
        <w:t>from</w:t>
      </w:r>
      <w:r w:rsidR="004F2FAF">
        <w:rPr>
          <w:szCs w:val="18"/>
          <w:lang w:val="en-US"/>
        </w:rPr>
        <w:t xml:space="preserve"> </w:t>
      </w:r>
      <w:r>
        <w:rPr>
          <w:szCs w:val="18"/>
          <w:lang w:val="en-US"/>
        </w:rPr>
        <w:t>the</w:t>
      </w:r>
      <w:r w:rsidR="004F2FAF">
        <w:rPr>
          <w:szCs w:val="18"/>
          <w:lang w:val="en-US"/>
        </w:rPr>
        <w:t xml:space="preserve"> </w:t>
      </w:r>
      <w:r w:rsidRPr="009D69E7">
        <w:t>Office</w:t>
      </w:r>
      <w:r w:rsidR="004F2FAF">
        <w:t xml:space="preserve"> </w:t>
      </w:r>
      <w:r w:rsidRPr="009D69E7">
        <w:t>for</w:t>
      </w:r>
      <w:r w:rsidR="004F2FAF">
        <w:t xml:space="preserve"> </w:t>
      </w:r>
      <w:r w:rsidRPr="009D69E7">
        <w:t>the</w:t>
      </w:r>
      <w:r w:rsidR="004F2FAF">
        <w:t xml:space="preserve"> </w:t>
      </w:r>
      <w:r w:rsidRPr="009D69E7">
        <w:t>Coordination</w:t>
      </w:r>
      <w:r w:rsidR="004F2FAF">
        <w:t xml:space="preserve"> </w:t>
      </w:r>
      <w:r w:rsidRPr="009D69E7">
        <w:t>of</w:t>
      </w:r>
      <w:r w:rsidR="004F2FAF">
        <w:t xml:space="preserve"> </w:t>
      </w:r>
      <w:r w:rsidRPr="009D69E7">
        <w:t>Humanitarian</w:t>
      </w:r>
      <w:r w:rsidR="004F2FAF">
        <w:t xml:space="preserve"> </w:t>
      </w:r>
      <w:r w:rsidRPr="009D69E7">
        <w:t>Affairs</w:t>
      </w:r>
      <w:r w:rsidRPr="009D69E7">
        <w:rPr>
          <w:lang w:val="pt-BR"/>
        </w:rPr>
        <w:t>.</w:t>
      </w:r>
    </w:p>
  </w:footnote>
  <w:footnote w:id="10">
    <w:p w14:paraId="52F5E773" w14:textId="77777777" w:rsidR="003E3217" w:rsidRPr="00661489" w:rsidRDefault="003E3217" w:rsidP="00C13EBD">
      <w:pPr>
        <w:pStyle w:val="FootnoteText"/>
        <w:rPr>
          <w:lang w:val="pt-BR"/>
        </w:rPr>
      </w:pPr>
      <w:r w:rsidRPr="002A3EE1">
        <w:rPr>
          <w:szCs w:val="18"/>
          <w:lang w:val="en-US"/>
        </w:rPr>
        <w:tab/>
      </w:r>
      <w:r w:rsidRPr="00F81291">
        <w:rPr>
          <w:rStyle w:val="FootnoteReference"/>
        </w:rPr>
        <w:footnoteRef/>
      </w:r>
      <w:r w:rsidRPr="00F81291">
        <w:rPr>
          <w:rStyle w:val="FootnoteReference"/>
        </w:rPr>
        <w:tab/>
      </w:r>
      <w:r w:rsidRPr="00661489">
        <w:rPr>
          <w:lang w:val="pt-BR"/>
        </w:rPr>
        <w:t>Ibid.</w:t>
      </w:r>
    </w:p>
  </w:footnote>
  <w:footnote w:id="11">
    <w:p w14:paraId="3EBCFF45" w14:textId="360CF965" w:rsidR="003E3217" w:rsidRPr="005041B6" w:rsidRDefault="003E3217" w:rsidP="00C13EBD">
      <w:pPr>
        <w:pStyle w:val="FootnoteText"/>
        <w:rPr>
          <w:lang w:val="pt-BR"/>
        </w:rPr>
      </w:pPr>
      <w:r w:rsidRPr="002A3EE1">
        <w:rPr>
          <w:szCs w:val="18"/>
          <w:lang w:val="en-US"/>
        </w:rPr>
        <w:tab/>
      </w:r>
      <w:r w:rsidRPr="00F81291">
        <w:rPr>
          <w:rStyle w:val="FootnoteReference"/>
        </w:rPr>
        <w:footnoteRef/>
      </w:r>
      <w:r w:rsidRPr="00F81291">
        <w:rPr>
          <w:rStyle w:val="FootnoteReference"/>
        </w:rPr>
        <w:tab/>
      </w:r>
      <w:hyperlink r:id="rId7" w:history="1">
        <w:r w:rsidRPr="00EF440C">
          <w:rPr>
            <w:rStyle w:val="Hyperlink"/>
            <w:lang w:val="pt-BR"/>
          </w:rPr>
          <w:t>https://www.ynetnews.com/article/h1mtes5p5</w:t>
        </w:r>
      </w:hyperlink>
      <w:r>
        <w:rPr>
          <w:lang w:val="pt-BR"/>
        </w:rPr>
        <w:t>.</w:t>
      </w:r>
      <w:r w:rsidR="004F2FAF">
        <w:rPr>
          <w:lang w:val="pt-BR"/>
        </w:rPr>
        <w:t xml:space="preserve"> </w:t>
      </w:r>
    </w:p>
  </w:footnote>
  <w:footnote w:id="12">
    <w:p w14:paraId="7399C165" w14:textId="679875FD" w:rsidR="003E3217" w:rsidRPr="00382C33" w:rsidRDefault="003E3217" w:rsidP="00C13EBD">
      <w:pPr>
        <w:pStyle w:val="FootnoteText"/>
        <w:rPr>
          <w:lang w:val="pt-BR"/>
        </w:rPr>
      </w:pPr>
      <w:r w:rsidRPr="002A3EE1">
        <w:rPr>
          <w:szCs w:val="18"/>
          <w:lang w:val="en-US"/>
        </w:rPr>
        <w:tab/>
      </w:r>
      <w:r w:rsidRPr="00F81291">
        <w:rPr>
          <w:rStyle w:val="FootnoteReference"/>
        </w:rPr>
        <w:footnoteRef/>
      </w:r>
      <w:r w:rsidRPr="00F81291">
        <w:rPr>
          <w:rStyle w:val="FootnoteReference"/>
        </w:rPr>
        <w:tab/>
      </w:r>
      <w:hyperlink r:id="rId8" w:history="1">
        <w:r w:rsidRPr="00EF440C">
          <w:rPr>
            <w:rStyle w:val="Hyperlink"/>
            <w:lang w:val="pt-BR"/>
          </w:rPr>
          <w:t>https://www.haaretz.com/israel-news/2022-08-16/ty-article/.highlight/after-initial-denial-israeli-officials-admit-5-palestinian-minors-killed-in-gaza-strike/00000182-a2b6-d825-a5a7-aaf6d3320000</w:t>
        </w:r>
      </w:hyperlink>
      <w:r>
        <w:rPr>
          <w:lang w:val="pt-BR"/>
        </w:rPr>
        <w:t>.</w:t>
      </w:r>
      <w:r w:rsidR="004F2FAF">
        <w:rPr>
          <w:lang w:val="pt-BR"/>
        </w:rPr>
        <w:t xml:space="preserve"> </w:t>
      </w:r>
    </w:p>
  </w:footnote>
  <w:footnote w:id="13">
    <w:p w14:paraId="6C9D3CE5" w14:textId="7A7AF21F" w:rsidR="003E3217" w:rsidRPr="00725D3C" w:rsidRDefault="003E3217" w:rsidP="00C13EBD">
      <w:pPr>
        <w:pStyle w:val="FootnoteText"/>
      </w:pPr>
      <w:r w:rsidRPr="002A3EE1">
        <w:rPr>
          <w:szCs w:val="18"/>
          <w:lang w:val="en-US"/>
        </w:rPr>
        <w:tab/>
      </w:r>
      <w:r w:rsidRPr="00F81291">
        <w:rPr>
          <w:rStyle w:val="FootnoteReference"/>
        </w:rPr>
        <w:footnoteRef/>
      </w:r>
      <w:r w:rsidRPr="00F81291">
        <w:rPr>
          <w:rStyle w:val="FootnoteReference"/>
        </w:rPr>
        <w:tab/>
      </w:r>
      <w:r w:rsidRPr="00725D3C">
        <w:t>See</w:t>
      </w:r>
      <w:r w:rsidR="004F2FAF">
        <w:t xml:space="preserve"> </w:t>
      </w:r>
      <w:r w:rsidRPr="00725D3C">
        <w:t>also</w:t>
      </w:r>
      <w:r w:rsidR="004F2FAF">
        <w:t xml:space="preserve"> </w:t>
      </w:r>
      <w:hyperlink r:id="rId9" w:history="1">
        <w:r w:rsidRPr="00EF440C">
          <w:rPr>
            <w:rStyle w:val="Hyperlink"/>
          </w:rPr>
          <w:t>https://www.amnesty.org/en/documents/mde15/6079/2022/en/</w:t>
        </w:r>
      </w:hyperlink>
      <w:r w:rsidRPr="00725D3C">
        <w:t>,</w:t>
      </w:r>
      <w:r w:rsidR="004F2FAF">
        <w:t xml:space="preserve"> </w:t>
      </w:r>
      <w:r w:rsidRPr="00725D3C">
        <w:t>p.</w:t>
      </w:r>
      <w:r w:rsidR="004F2FAF">
        <w:t xml:space="preserve"> </w:t>
      </w:r>
      <w:r w:rsidRPr="00725D3C">
        <w:t>13.</w:t>
      </w:r>
      <w:r w:rsidR="004F2FAF">
        <w:t xml:space="preserve"> </w:t>
      </w:r>
    </w:p>
  </w:footnote>
  <w:footnote w:id="14">
    <w:p w14:paraId="67360B1C" w14:textId="65DB1D46" w:rsidR="003E3217" w:rsidRPr="00725D3C" w:rsidRDefault="003E3217" w:rsidP="00C13EBD">
      <w:pPr>
        <w:pStyle w:val="FootnoteText"/>
      </w:pPr>
      <w:r w:rsidRPr="00725D3C">
        <w:rPr>
          <w:szCs w:val="18"/>
        </w:rPr>
        <w:tab/>
      </w:r>
      <w:r w:rsidRPr="00F81291">
        <w:rPr>
          <w:rStyle w:val="FootnoteReference"/>
        </w:rPr>
        <w:footnoteRef/>
      </w:r>
      <w:r w:rsidRPr="00F81291">
        <w:rPr>
          <w:rStyle w:val="FootnoteReference"/>
        </w:rPr>
        <w:tab/>
      </w:r>
      <w:r>
        <w:t>Rome</w:t>
      </w:r>
      <w:r w:rsidR="004F2FAF">
        <w:t xml:space="preserve"> </w:t>
      </w:r>
      <w:r>
        <w:t>Statute</w:t>
      </w:r>
      <w:r w:rsidR="004F2FAF">
        <w:t xml:space="preserve"> </w:t>
      </w:r>
      <w:r>
        <w:t>of</w:t>
      </w:r>
      <w:r w:rsidR="004F2FAF">
        <w:t xml:space="preserve"> </w:t>
      </w:r>
      <w:r>
        <w:t>the</w:t>
      </w:r>
      <w:r w:rsidR="004F2FAF">
        <w:t xml:space="preserve"> </w:t>
      </w:r>
      <w:r>
        <w:t>International</w:t>
      </w:r>
      <w:r w:rsidR="004F2FAF">
        <w:t xml:space="preserve"> </w:t>
      </w:r>
      <w:r>
        <w:t>Criminal</w:t>
      </w:r>
      <w:r w:rsidR="004F2FAF">
        <w:t xml:space="preserve"> </w:t>
      </w:r>
      <w:r>
        <w:t>Court,</w:t>
      </w:r>
      <w:r w:rsidR="004F2FAF">
        <w:t xml:space="preserve"> </w:t>
      </w:r>
      <w:r>
        <w:t>a</w:t>
      </w:r>
      <w:r w:rsidRPr="00725D3C">
        <w:t>rt</w:t>
      </w:r>
      <w:r>
        <w:t>.</w:t>
      </w:r>
      <w:r w:rsidR="004F2FAF">
        <w:t xml:space="preserve"> </w:t>
      </w:r>
      <w:r w:rsidRPr="00725D3C">
        <w:t>8</w:t>
      </w:r>
      <w:r w:rsidR="004F2FAF">
        <w:t xml:space="preserve"> </w:t>
      </w:r>
      <w:r w:rsidRPr="00725D3C">
        <w:t>(2)</w:t>
      </w:r>
      <w:r w:rsidR="004F2FAF">
        <w:t xml:space="preserve"> </w:t>
      </w:r>
      <w:r w:rsidRPr="00725D3C">
        <w:t>(b)</w:t>
      </w:r>
      <w:r w:rsidR="004F2FAF">
        <w:t xml:space="preserve"> </w:t>
      </w:r>
      <w:r w:rsidRPr="00725D3C">
        <w:t>(i);</w:t>
      </w:r>
      <w:r w:rsidR="004F2FAF">
        <w:t xml:space="preserve"> </w:t>
      </w:r>
      <w:r>
        <w:t>and</w:t>
      </w:r>
      <w:r w:rsidR="004F2FAF">
        <w:t xml:space="preserve"> </w:t>
      </w:r>
      <w:hyperlink r:id="rId10" w:history="1">
        <w:r w:rsidRPr="00EF440C">
          <w:rPr>
            <w:rStyle w:val="Hyperlink"/>
            <w:rFonts w:eastAsia="SimSun"/>
          </w:rPr>
          <w:t>https://ihl-databases.icrc.org/en/customary-ihl/v1/rule156</w:t>
        </w:r>
      </w:hyperlink>
      <w:r>
        <w:rPr>
          <w:rFonts w:eastAsia="SimSun"/>
        </w:rPr>
        <w:t>.</w:t>
      </w:r>
      <w:r w:rsidR="004F2FAF">
        <w:t xml:space="preserve"> </w:t>
      </w:r>
    </w:p>
  </w:footnote>
  <w:footnote w:id="15">
    <w:p w14:paraId="1F551CFF" w14:textId="4AB1FFF2" w:rsidR="003E3217" w:rsidRPr="00725D3C" w:rsidRDefault="003E3217" w:rsidP="00C13EBD">
      <w:pPr>
        <w:pStyle w:val="FootnoteText"/>
      </w:pPr>
      <w:r w:rsidRPr="00725D3C">
        <w:rPr>
          <w:szCs w:val="18"/>
        </w:rPr>
        <w:tab/>
      </w:r>
      <w:r w:rsidRPr="00F81291">
        <w:rPr>
          <w:rStyle w:val="FootnoteReference"/>
        </w:rPr>
        <w:footnoteRef/>
      </w:r>
      <w:r w:rsidRPr="00F81291">
        <w:rPr>
          <w:rStyle w:val="FootnoteReference"/>
        </w:rPr>
        <w:tab/>
      </w:r>
      <w:hyperlink r:id="rId11" w:history="1">
        <w:r w:rsidRPr="00EF440C">
          <w:rPr>
            <w:rStyle w:val="Hyperlink"/>
            <w:rFonts w:eastAsia="SimSun"/>
          </w:rPr>
          <w:t>https://www.ynetnews.com/article/syjgor3a5</w:t>
        </w:r>
      </w:hyperlink>
      <w:r>
        <w:rPr>
          <w:rFonts w:eastAsia="SimSun"/>
        </w:rPr>
        <w:t>.</w:t>
      </w:r>
      <w:r w:rsidR="004F2FAF">
        <w:t xml:space="preserve"> </w:t>
      </w:r>
    </w:p>
  </w:footnote>
  <w:footnote w:id="16">
    <w:p w14:paraId="1F4624BA" w14:textId="069A3598" w:rsidR="003E3217" w:rsidRPr="003E3217" w:rsidRDefault="003E3217" w:rsidP="00C13EBD">
      <w:pPr>
        <w:pStyle w:val="FootnoteText"/>
      </w:pPr>
      <w:r w:rsidRPr="00725D3C">
        <w:tab/>
      </w:r>
      <w:r w:rsidRPr="00F81291">
        <w:rPr>
          <w:rStyle w:val="FootnoteReference"/>
        </w:rPr>
        <w:footnoteRef/>
      </w:r>
      <w:hyperlink r:id="rId12" w:history="1">
        <w:r w:rsidRPr="004F2FAF">
          <w:rPr>
            <w:rStyle w:val="Hyperlink"/>
            <w:vertAlign w:val="superscript"/>
            <w:lang w:val="es-ES"/>
          </w:rPr>
          <w:tab/>
        </w:r>
        <w:r w:rsidRPr="004F2FAF">
          <w:rPr>
            <w:rStyle w:val="Hyperlink"/>
            <w:lang w:val="es-ES"/>
          </w:rPr>
          <w:t>https://www.ohchr.org/sites/default/files/Documents/HRBodies/HRCouncil/CoIGaza/A_HRC_CRP_4.docx</w:t>
        </w:r>
      </w:hyperlink>
      <w:r w:rsidRPr="004F2FAF">
        <w:rPr>
          <w:lang w:val="es-ES"/>
        </w:rPr>
        <w:t>,</w:t>
      </w:r>
      <w:r w:rsidR="004F2FAF">
        <w:rPr>
          <w:lang w:val="es-ES"/>
        </w:rPr>
        <w:t xml:space="preserve"> </w:t>
      </w:r>
      <w:r w:rsidRPr="00930E83">
        <w:rPr>
          <w:lang w:val="es-ES"/>
        </w:rPr>
        <w:t>para.</w:t>
      </w:r>
      <w:r w:rsidR="004F2FAF">
        <w:rPr>
          <w:lang w:val="es-ES"/>
        </w:rPr>
        <w:t xml:space="preserve"> </w:t>
      </w:r>
      <w:r w:rsidRPr="003E3217">
        <w:t>97.</w:t>
      </w:r>
    </w:p>
  </w:footnote>
  <w:footnote w:id="17">
    <w:p w14:paraId="60FBAEFD" w14:textId="083ABEC3" w:rsidR="003E3217" w:rsidRPr="002A3EE1" w:rsidRDefault="003E3217" w:rsidP="00C13EBD">
      <w:pPr>
        <w:pStyle w:val="FootnoteText"/>
        <w:rPr>
          <w:lang w:val="en-US"/>
        </w:rPr>
      </w:pPr>
      <w:r w:rsidRPr="003E3217">
        <w:tab/>
      </w:r>
      <w:r w:rsidRPr="00F81291">
        <w:rPr>
          <w:rStyle w:val="FootnoteReference"/>
        </w:rPr>
        <w:footnoteRef/>
      </w:r>
      <w:r w:rsidRPr="00F81291">
        <w:rPr>
          <w:rStyle w:val="FootnoteReference"/>
        </w:rPr>
        <w:tab/>
      </w:r>
      <w:r w:rsidRPr="002A3EE1">
        <w:rPr>
          <w:lang w:val="en-US"/>
        </w:rPr>
        <w:t>Rome</w:t>
      </w:r>
      <w:r w:rsidR="004F2FAF">
        <w:rPr>
          <w:lang w:val="en-US"/>
        </w:rPr>
        <w:t xml:space="preserve"> </w:t>
      </w:r>
      <w:r>
        <w:rPr>
          <w:lang w:val="en-US"/>
        </w:rPr>
        <w:t>Statute,</w:t>
      </w:r>
      <w:r w:rsidR="004F2FAF">
        <w:rPr>
          <w:lang w:val="en-US"/>
        </w:rPr>
        <w:t xml:space="preserve"> </w:t>
      </w:r>
      <w:r w:rsidRPr="002A3EE1">
        <w:rPr>
          <w:lang w:val="en-US"/>
        </w:rPr>
        <w:t>art.</w:t>
      </w:r>
      <w:r w:rsidR="004F2FAF">
        <w:rPr>
          <w:lang w:val="en-US"/>
        </w:rPr>
        <w:t xml:space="preserve"> </w:t>
      </w:r>
      <w:r w:rsidRPr="002A3EE1">
        <w:rPr>
          <w:lang w:val="en-US"/>
        </w:rPr>
        <w:t>8</w:t>
      </w:r>
      <w:r w:rsidR="004F2FAF">
        <w:rPr>
          <w:lang w:val="en-US"/>
        </w:rPr>
        <w:t xml:space="preserve"> </w:t>
      </w:r>
      <w:r w:rsidRPr="002A3EE1">
        <w:rPr>
          <w:lang w:val="en-US"/>
        </w:rPr>
        <w:t>(2)</w:t>
      </w:r>
      <w:r w:rsidR="004F2FAF">
        <w:rPr>
          <w:lang w:val="en-US"/>
        </w:rPr>
        <w:t xml:space="preserve"> </w:t>
      </w:r>
      <w:r w:rsidRPr="002A3EE1">
        <w:rPr>
          <w:lang w:val="en-US"/>
        </w:rPr>
        <w:t>(b)</w:t>
      </w:r>
      <w:r w:rsidR="004F2FAF">
        <w:rPr>
          <w:lang w:val="en-US"/>
        </w:rPr>
        <w:t xml:space="preserve"> </w:t>
      </w:r>
      <w:r w:rsidRPr="002A3EE1">
        <w:rPr>
          <w:lang w:val="en-US"/>
        </w:rPr>
        <w:t>and</w:t>
      </w:r>
      <w:r w:rsidR="004F2FAF">
        <w:rPr>
          <w:lang w:val="en-US"/>
        </w:rPr>
        <w:t xml:space="preserve"> </w:t>
      </w:r>
      <w:r w:rsidRPr="002A3EE1">
        <w:rPr>
          <w:lang w:val="en-US"/>
        </w:rPr>
        <w:t>(e).</w:t>
      </w:r>
    </w:p>
  </w:footnote>
  <w:footnote w:id="18">
    <w:p w14:paraId="3274FB53" w14:textId="181A519F" w:rsidR="003E3217" w:rsidRPr="002A3EE1" w:rsidRDefault="003E3217" w:rsidP="00C13EBD">
      <w:pPr>
        <w:pStyle w:val="FootnoteText"/>
        <w:rPr>
          <w:lang w:val="en-US"/>
        </w:rPr>
      </w:pPr>
      <w:r w:rsidRPr="002A3EE1">
        <w:rPr>
          <w:lang w:val="en-US"/>
        </w:rPr>
        <w:tab/>
      </w:r>
      <w:r w:rsidRPr="00F81291">
        <w:rPr>
          <w:rStyle w:val="FootnoteReference"/>
        </w:rPr>
        <w:footnoteRef/>
      </w:r>
      <w:r w:rsidRPr="00F81291">
        <w:rPr>
          <w:rStyle w:val="FootnoteReference"/>
        </w:rPr>
        <w:tab/>
      </w:r>
      <w:hyperlink r:id="rId13" w:history="1">
        <w:r w:rsidR="009224DE" w:rsidRPr="00A3510E">
          <w:rPr>
            <w:rStyle w:val="Hyperlink"/>
            <w:rFonts w:eastAsia="SimSun"/>
            <w:lang w:val="en-US"/>
          </w:rPr>
          <w:t>https://ihl-databases.icrc.org/en/customary-ihl/v1/rule11</w:t>
        </w:r>
      </w:hyperlink>
      <w:r w:rsidRPr="002A3EE1">
        <w:rPr>
          <w:rFonts w:eastAsia="SimSun"/>
          <w:lang w:val="en-US"/>
        </w:rPr>
        <w:t>.</w:t>
      </w:r>
    </w:p>
  </w:footnote>
  <w:footnote w:id="19">
    <w:p w14:paraId="4CDA69B5" w14:textId="64FF14D8" w:rsidR="003E3217" w:rsidRPr="002A3EE1" w:rsidRDefault="003E3217" w:rsidP="00C13EBD">
      <w:pPr>
        <w:pStyle w:val="FootnoteText"/>
        <w:rPr>
          <w:lang w:val="en-US"/>
        </w:rPr>
      </w:pPr>
      <w:r w:rsidRPr="002A3EE1">
        <w:rPr>
          <w:szCs w:val="18"/>
          <w:lang w:val="en-US"/>
        </w:rPr>
        <w:tab/>
      </w:r>
      <w:r w:rsidRPr="00F81291">
        <w:rPr>
          <w:rStyle w:val="FootnoteReference"/>
        </w:rPr>
        <w:footnoteRef/>
      </w:r>
      <w:r w:rsidRPr="00F81291">
        <w:rPr>
          <w:rStyle w:val="FootnoteReference"/>
        </w:rPr>
        <w:tab/>
      </w:r>
      <w:hyperlink r:id="rId14" w:history="1">
        <w:r w:rsidRPr="0006136B">
          <w:rPr>
            <w:rStyle w:val="Hyperlink"/>
            <w:lang w:val="en-US"/>
          </w:rPr>
          <w:t>A/75/336</w:t>
        </w:r>
      </w:hyperlink>
      <w:r w:rsidRPr="002A3EE1">
        <w:rPr>
          <w:lang w:val="en-US"/>
        </w:rPr>
        <w:t>,</w:t>
      </w:r>
      <w:r w:rsidR="004F2FAF">
        <w:rPr>
          <w:lang w:val="en-US"/>
        </w:rPr>
        <w:t xml:space="preserve"> </w:t>
      </w:r>
      <w:r w:rsidRPr="002A3EE1">
        <w:rPr>
          <w:lang w:val="en-US"/>
        </w:rPr>
        <w:t>para.</w:t>
      </w:r>
      <w:r w:rsidR="004F2FAF">
        <w:rPr>
          <w:lang w:val="en-US"/>
        </w:rPr>
        <w:t xml:space="preserve"> </w:t>
      </w:r>
      <w:r w:rsidRPr="002A3EE1">
        <w:rPr>
          <w:lang w:val="en-US"/>
        </w:rPr>
        <w:t>23.</w:t>
      </w:r>
    </w:p>
  </w:footnote>
  <w:footnote w:id="20">
    <w:p w14:paraId="72161453" w14:textId="6BC39B03" w:rsidR="003E3217" w:rsidRPr="002A3EE1" w:rsidRDefault="003E3217" w:rsidP="00C13EBD">
      <w:pPr>
        <w:pStyle w:val="FootnoteText"/>
        <w:rPr>
          <w:lang w:val="en-US"/>
        </w:rPr>
      </w:pPr>
      <w:r w:rsidRPr="002A3EE1">
        <w:rPr>
          <w:szCs w:val="18"/>
          <w:lang w:val="en-US"/>
        </w:rPr>
        <w:tab/>
      </w:r>
      <w:r w:rsidRPr="00F81291">
        <w:rPr>
          <w:rStyle w:val="FootnoteReference"/>
        </w:rPr>
        <w:footnoteRef/>
      </w:r>
      <w:r w:rsidRPr="00F81291">
        <w:rPr>
          <w:rStyle w:val="FootnoteReference"/>
        </w:rPr>
        <w:tab/>
      </w:r>
      <w:hyperlink r:id="rId15" w:history="1">
        <w:r w:rsidRPr="004F2FAF">
          <w:rPr>
            <w:rStyle w:val="Hyperlink"/>
            <w:rFonts w:eastAsia="SimSun"/>
            <w:lang w:val="en-US"/>
          </w:rPr>
          <w:t>https://ihl-databases.icrc.org/en/ihl-treaties/hague-conv-iv-1907</w:t>
        </w:r>
      </w:hyperlink>
      <w:r w:rsidRPr="002A3EE1">
        <w:rPr>
          <w:lang w:val="en-US"/>
        </w:rPr>
        <w:t>,</w:t>
      </w:r>
      <w:r w:rsidR="004F2FAF">
        <w:rPr>
          <w:lang w:val="en-US"/>
        </w:rPr>
        <w:t xml:space="preserve"> </w:t>
      </w:r>
      <w:r w:rsidRPr="002A3EE1">
        <w:rPr>
          <w:lang w:val="en-US"/>
        </w:rPr>
        <w:t>regulations:</w:t>
      </w:r>
      <w:r w:rsidR="004F2FAF">
        <w:rPr>
          <w:lang w:val="en-US"/>
        </w:rPr>
        <w:t xml:space="preserve"> </w:t>
      </w:r>
      <w:r w:rsidRPr="002A3EE1">
        <w:rPr>
          <w:lang w:val="en-US"/>
        </w:rPr>
        <w:t>art.</w:t>
      </w:r>
      <w:r w:rsidR="004F2FAF">
        <w:rPr>
          <w:lang w:val="en-US"/>
        </w:rPr>
        <w:t xml:space="preserve"> </w:t>
      </w:r>
      <w:r w:rsidRPr="002A3EE1">
        <w:rPr>
          <w:lang w:val="en-US"/>
        </w:rPr>
        <w:t>50;</w:t>
      </w:r>
      <w:r w:rsidR="004F2FAF">
        <w:rPr>
          <w:lang w:val="en-US"/>
        </w:rPr>
        <w:t xml:space="preserve"> </w:t>
      </w:r>
      <w:hyperlink r:id="rId16" w:history="1">
        <w:r w:rsidRPr="004F2FAF">
          <w:rPr>
            <w:rStyle w:val="Hyperlink"/>
            <w:rFonts w:eastAsia="SimSun"/>
            <w:lang w:val="en-US"/>
          </w:rPr>
          <w:t>https://ihl-databases.icrc.org/en/ihl-treaties/gciv-1949</w:t>
        </w:r>
      </w:hyperlink>
      <w:r w:rsidRPr="002A3EE1">
        <w:rPr>
          <w:lang w:val="en-US"/>
        </w:rPr>
        <w:t>,</w:t>
      </w:r>
      <w:r w:rsidR="004F2FAF">
        <w:rPr>
          <w:lang w:val="en-US"/>
        </w:rPr>
        <w:t xml:space="preserve"> </w:t>
      </w:r>
      <w:r w:rsidRPr="002A3EE1">
        <w:rPr>
          <w:lang w:val="en-US"/>
        </w:rPr>
        <w:t>art.</w:t>
      </w:r>
      <w:r w:rsidR="004F2FAF">
        <w:rPr>
          <w:lang w:val="en-US"/>
        </w:rPr>
        <w:t xml:space="preserve"> </w:t>
      </w:r>
      <w:r w:rsidRPr="002A3EE1">
        <w:rPr>
          <w:lang w:val="en-US"/>
        </w:rPr>
        <w:t>33</w:t>
      </w:r>
      <w:r w:rsidR="004F2FAF">
        <w:rPr>
          <w:lang w:val="en-US"/>
        </w:rPr>
        <w:t xml:space="preserve"> </w:t>
      </w:r>
      <w:r>
        <w:rPr>
          <w:lang w:val="en-US"/>
        </w:rPr>
        <w:t>and</w:t>
      </w:r>
      <w:r w:rsidR="004F2FAF">
        <w:rPr>
          <w:lang w:val="en-US"/>
        </w:rPr>
        <w:t xml:space="preserve"> </w:t>
      </w:r>
      <w:r>
        <w:rPr>
          <w:lang w:val="en-US"/>
        </w:rPr>
        <w:t>commentary</w:t>
      </w:r>
      <w:r w:rsidRPr="002A3EE1">
        <w:rPr>
          <w:lang w:val="en-US"/>
        </w:rPr>
        <w:t>;</w:t>
      </w:r>
      <w:r w:rsidR="004F2FAF">
        <w:rPr>
          <w:lang w:val="en-US"/>
        </w:rPr>
        <w:t xml:space="preserve"> </w:t>
      </w:r>
      <w:r>
        <w:rPr>
          <w:lang w:val="en-US"/>
        </w:rPr>
        <w:t>and</w:t>
      </w:r>
      <w:r w:rsidR="004F2FAF">
        <w:rPr>
          <w:lang w:val="en-US"/>
        </w:rPr>
        <w:t xml:space="preserve"> </w:t>
      </w:r>
      <w:hyperlink r:id="rId17" w:history="1">
        <w:r w:rsidRPr="00031CC7">
          <w:rPr>
            <w:rStyle w:val="Hyperlink"/>
            <w:rFonts w:eastAsia="SimSun"/>
            <w:lang w:val="en-US"/>
          </w:rPr>
          <w:t>https://ihl-databases.icrc.org/en/customary-ihl/v1/rule103</w:t>
        </w:r>
      </w:hyperlink>
      <w:r w:rsidRPr="002A3EE1">
        <w:rPr>
          <w:lang w:val="en-US"/>
        </w:rPr>
        <w:t>.</w:t>
      </w:r>
      <w:r w:rsidR="004F2FAF">
        <w:rPr>
          <w:lang w:val="en-US"/>
        </w:rPr>
        <w:t xml:space="preserve"> </w:t>
      </w:r>
    </w:p>
  </w:footnote>
  <w:footnote w:id="21">
    <w:p w14:paraId="5416B09B" w14:textId="161CFF5D" w:rsidR="003E3217" w:rsidRPr="00E769BC" w:rsidRDefault="003E3217" w:rsidP="00C13EBD">
      <w:pPr>
        <w:pStyle w:val="FootnoteText"/>
        <w:rPr>
          <w:lang w:val="pt-BR"/>
        </w:rPr>
      </w:pPr>
      <w:r w:rsidRPr="002A3EE1">
        <w:rPr>
          <w:szCs w:val="18"/>
          <w:lang w:val="en-US"/>
        </w:rPr>
        <w:tab/>
      </w:r>
      <w:r w:rsidRPr="00F81291">
        <w:rPr>
          <w:rStyle w:val="FootnoteReference"/>
        </w:rPr>
        <w:footnoteRef/>
      </w:r>
      <w:r w:rsidRPr="00F81291">
        <w:rPr>
          <w:rStyle w:val="FootnoteReference"/>
        </w:rPr>
        <w:tab/>
      </w:r>
      <w:r w:rsidRPr="00730529">
        <w:t>International</w:t>
      </w:r>
      <w:r w:rsidR="004F2FAF">
        <w:t xml:space="preserve"> </w:t>
      </w:r>
      <w:r w:rsidRPr="00730529">
        <w:t>Covenant</w:t>
      </w:r>
      <w:r w:rsidR="004F2FAF">
        <w:t xml:space="preserve"> </w:t>
      </w:r>
      <w:r w:rsidRPr="00730529">
        <w:t>on</w:t>
      </w:r>
      <w:r w:rsidR="004F2FAF">
        <w:t xml:space="preserve"> </w:t>
      </w:r>
      <w:r w:rsidRPr="00730529">
        <w:t>Civil</w:t>
      </w:r>
      <w:r w:rsidR="004F2FAF">
        <w:t xml:space="preserve"> </w:t>
      </w:r>
      <w:r w:rsidRPr="00730529">
        <w:t>and</w:t>
      </w:r>
      <w:r w:rsidR="004F2FAF">
        <w:t xml:space="preserve"> </w:t>
      </w:r>
      <w:r w:rsidRPr="00730529">
        <w:t>Political</w:t>
      </w:r>
      <w:r w:rsidR="004F2FAF">
        <w:t xml:space="preserve"> </w:t>
      </w:r>
      <w:r w:rsidRPr="00730529">
        <w:t>Rights,</w:t>
      </w:r>
      <w:r w:rsidR="004F2FAF">
        <w:t xml:space="preserve"> </w:t>
      </w:r>
      <w:r w:rsidRPr="002A3EE1">
        <w:t>ar</w:t>
      </w:r>
      <w:r>
        <w:t>t</w:t>
      </w:r>
      <w:r w:rsidRPr="002A3EE1">
        <w:t>s.</w:t>
      </w:r>
      <w:r w:rsidR="004F2FAF">
        <w:t xml:space="preserve"> </w:t>
      </w:r>
      <w:r w:rsidRPr="002A3EE1">
        <w:t>12</w:t>
      </w:r>
      <w:r w:rsidR="004F2FAF">
        <w:t xml:space="preserve"> </w:t>
      </w:r>
      <w:r w:rsidRPr="002A3EE1">
        <w:t>and</w:t>
      </w:r>
      <w:r w:rsidR="004F2FAF">
        <w:t xml:space="preserve"> </w:t>
      </w:r>
      <w:r w:rsidRPr="002A3EE1">
        <w:t>14;</w:t>
      </w:r>
      <w:r w:rsidR="004F2FAF">
        <w:t xml:space="preserve"> </w:t>
      </w:r>
      <w:r w:rsidRPr="002A3EE1">
        <w:t>and</w:t>
      </w:r>
      <w:r w:rsidR="004F2FAF">
        <w:t xml:space="preserve"> </w:t>
      </w:r>
      <w:r>
        <w:t>International</w:t>
      </w:r>
      <w:r w:rsidR="004F2FAF">
        <w:t xml:space="preserve"> </w:t>
      </w:r>
      <w:r>
        <w:t>Covenant</w:t>
      </w:r>
      <w:r w:rsidR="004F2FAF">
        <w:t xml:space="preserve"> </w:t>
      </w:r>
      <w:r>
        <w:t>on</w:t>
      </w:r>
      <w:r w:rsidR="004F2FAF">
        <w:t xml:space="preserve"> </w:t>
      </w:r>
      <w:r>
        <w:t>Economic,</w:t>
      </w:r>
      <w:r w:rsidR="004F2FAF">
        <w:t xml:space="preserve"> </w:t>
      </w:r>
      <w:r>
        <w:t>Social</w:t>
      </w:r>
      <w:r w:rsidR="004F2FAF">
        <w:t xml:space="preserve"> </w:t>
      </w:r>
      <w:r>
        <w:t>and</w:t>
      </w:r>
      <w:r w:rsidR="004F2FAF">
        <w:t xml:space="preserve"> </w:t>
      </w:r>
      <w:r>
        <w:t>Cultural</w:t>
      </w:r>
      <w:r w:rsidR="004F2FAF">
        <w:t xml:space="preserve"> </w:t>
      </w:r>
      <w:r>
        <w:t>Rights,</w:t>
      </w:r>
      <w:r w:rsidR="004F2FAF">
        <w:t xml:space="preserve"> </w:t>
      </w:r>
      <w:r w:rsidRPr="002A3EE1">
        <w:t>art</w:t>
      </w:r>
      <w:r>
        <w:t>.</w:t>
      </w:r>
      <w:r w:rsidR="004F2FAF">
        <w:t xml:space="preserve"> </w:t>
      </w:r>
      <w:r w:rsidRPr="002A3EE1">
        <w:t>11.</w:t>
      </w:r>
    </w:p>
  </w:footnote>
  <w:footnote w:id="22">
    <w:p w14:paraId="05821F47" w14:textId="167362A7" w:rsidR="003E3217" w:rsidRPr="009B5538" w:rsidRDefault="003E3217" w:rsidP="00C13EBD">
      <w:pPr>
        <w:pStyle w:val="FootnoteText"/>
        <w:rPr>
          <w:lang w:val="pt-BR"/>
        </w:rPr>
      </w:pPr>
      <w:r w:rsidRPr="002A3EE1">
        <w:rPr>
          <w:szCs w:val="18"/>
        </w:rPr>
        <w:tab/>
      </w:r>
      <w:r w:rsidRPr="00F81291">
        <w:rPr>
          <w:rStyle w:val="FootnoteReference"/>
        </w:rPr>
        <w:footnoteRef/>
      </w:r>
      <w:r w:rsidRPr="004F2FAF">
        <w:rPr>
          <w:rStyle w:val="FootnoteReference"/>
          <w:lang w:val="es-ES"/>
        </w:rPr>
        <w:tab/>
      </w:r>
      <w:hyperlink r:id="rId18" w:history="1">
        <w:r w:rsidRPr="0006136B">
          <w:rPr>
            <w:rStyle w:val="Hyperlink"/>
            <w:lang w:val="pt-BR"/>
          </w:rPr>
          <w:t>A/HRC/46/63</w:t>
        </w:r>
      </w:hyperlink>
      <w:r w:rsidRPr="009B5538">
        <w:rPr>
          <w:lang w:val="pt-BR"/>
        </w:rPr>
        <w:t>,</w:t>
      </w:r>
      <w:r w:rsidR="004F2FAF">
        <w:rPr>
          <w:lang w:val="pt-BR"/>
        </w:rPr>
        <w:t xml:space="preserve"> </w:t>
      </w:r>
      <w:r w:rsidRPr="009B5538">
        <w:rPr>
          <w:lang w:val="pt-BR"/>
        </w:rPr>
        <w:t>para.</w:t>
      </w:r>
      <w:r w:rsidR="004F2FAF">
        <w:rPr>
          <w:lang w:val="pt-BR"/>
        </w:rPr>
        <w:t xml:space="preserve"> </w:t>
      </w:r>
      <w:r w:rsidRPr="009B5538">
        <w:rPr>
          <w:lang w:val="pt-BR"/>
        </w:rPr>
        <w:t>7;</w:t>
      </w:r>
      <w:r w:rsidR="004F2FAF">
        <w:rPr>
          <w:lang w:val="pt-BR"/>
        </w:rPr>
        <w:t xml:space="preserve"> </w:t>
      </w:r>
      <w:hyperlink r:id="rId19" w:history="1">
        <w:r w:rsidRPr="0006136B">
          <w:rPr>
            <w:rStyle w:val="Hyperlink"/>
            <w:lang w:val="pt-BR"/>
          </w:rPr>
          <w:t>A/HRC/37/38</w:t>
        </w:r>
      </w:hyperlink>
      <w:r w:rsidRPr="009B5538">
        <w:rPr>
          <w:lang w:val="pt-BR"/>
        </w:rPr>
        <w:t>,</w:t>
      </w:r>
      <w:r w:rsidR="004F2FAF">
        <w:rPr>
          <w:lang w:val="pt-BR"/>
        </w:rPr>
        <w:t xml:space="preserve"> </w:t>
      </w:r>
      <w:r w:rsidRPr="009B5538">
        <w:rPr>
          <w:lang w:val="pt-BR"/>
        </w:rPr>
        <w:t>para.</w:t>
      </w:r>
      <w:r w:rsidR="004F2FAF">
        <w:rPr>
          <w:lang w:val="pt-BR"/>
        </w:rPr>
        <w:t xml:space="preserve"> </w:t>
      </w:r>
      <w:r w:rsidRPr="009B5538">
        <w:rPr>
          <w:lang w:val="pt-BR"/>
        </w:rPr>
        <w:t>4;</w:t>
      </w:r>
      <w:r w:rsidR="004F2FAF">
        <w:rPr>
          <w:lang w:val="pt-BR"/>
        </w:rPr>
        <w:t xml:space="preserve"> </w:t>
      </w:r>
      <w:r>
        <w:rPr>
          <w:lang w:val="pt-BR"/>
        </w:rPr>
        <w:t>and</w:t>
      </w:r>
      <w:r w:rsidR="004F2FAF">
        <w:rPr>
          <w:lang w:val="pt-BR"/>
        </w:rPr>
        <w:t xml:space="preserve"> </w:t>
      </w:r>
      <w:hyperlink r:id="rId20" w:history="1">
        <w:r w:rsidRPr="0006136B">
          <w:rPr>
            <w:rStyle w:val="Hyperlink"/>
            <w:lang w:val="pt-BR"/>
          </w:rPr>
          <w:t>A/HRC/34/36</w:t>
        </w:r>
      </w:hyperlink>
      <w:r w:rsidRPr="009B5538">
        <w:rPr>
          <w:lang w:val="pt-BR"/>
        </w:rPr>
        <w:t>,</w:t>
      </w:r>
      <w:r w:rsidR="004F2FAF">
        <w:rPr>
          <w:lang w:val="pt-BR"/>
        </w:rPr>
        <w:t xml:space="preserve"> </w:t>
      </w:r>
      <w:r w:rsidRPr="009B5538">
        <w:rPr>
          <w:lang w:val="pt-BR"/>
        </w:rPr>
        <w:t>para.</w:t>
      </w:r>
      <w:r w:rsidR="004F2FAF">
        <w:rPr>
          <w:lang w:val="pt-BR"/>
        </w:rPr>
        <w:t xml:space="preserve"> </w:t>
      </w:r>
      <w:r w:rsidRPr="009B5538">
        <w:rPr>
          <w:lang w:val="pt-BR"/>
        </w:rPr>
        <w:t>36.</w:t>
      </w:r>
    </w:p>
  </w:footnote>
  <w:footnote w:id="23">
    <w:p w14:paraId="6BF688A9" w14:textId="01D8C426" w:rsidR="003E3217" w:rsidRPr="009B5538" w:rsidRDefault="003E3217" w:rsidP="00C13EBD">
      <w:pPr>
        <w:pStyle w:val="FootnoteText"/>
        <w:rPr>
          <w:lang w:val="pt-BR"/>
        </w:rPr>
      </w:pPr>
      <w:r w:rsidRPr="002A3EE1">
        <w:rPr>
          <w:szCs w:val="18"/>
          <w:lang w:val="en-US"/>
        </w:rPr>
        <w:tab/>
      </w:r>
      <w:r w:rsidRPr="00F81291">
        <w:rPr>
          <w:rStyle w:val="FootnoteReference"/>
        </w:rPr>
        <w:footnoteRef/>
      </w:r>
      <w:r w:rsidRPr="00F81291">
        <w:rPr>
          <w:rStyle w:val="FootnoteReference"/>
        </w:rPr>
        <w:tab/>
      </w:r>
      <w:r>
        <w:rPr>
          <w:szCs w:val="18"/>
        </w:rPr>
        <w:t>See</w:t>
      </w:r>
      <w:r w:rsidR="004F2FAF">
        <w:rPr>
          <w:szCs w:val="18"/>
        </w:rPr>
        <w:t xml:space="preserve"> </w:t>
      </w:r>
      <w:hyperlink r:id="rId21" w:history="1">
        <w:r w:rsidRPr="0006136B">
          <w:rPr>
            <w:rStyle w:val="Hyperlink"/>
            <w:lang w:val="pt-BR"/>
          </w:rPr>
          <w:t>A/73/420.</w:t>
        </w:r>
      </w:hyperlink>
    </w:p>
  </w:footnote>
  <w:footnote w:id="24">
    <w:p w14:paraId="6BE59921" w14:textId="50073E05" w:rsidR="003E3217" w:rsidRPr="00725D3C" w:rsidRDefault="003E3217" w:rsidP="00C13EBD">
      <w:pPr>
        <w:pStyle w:val="FootnoteText"/>
      </w:pPr>
      <w:r w:rsidRPr="00725D3C">
        <w:rPr>
          <w:szCs w:val="18"/>
        </w:rPr>
        <w:tab/>
      </w:r>
      <w:r w:rsidRPr="00F81291">
        <w:rPr>
          <w:rStyle w:val="FootnoteReference"/>
        </w:rPr>
        <w:footnoteRef/>
      </w:r>
      <w:r w:rsidRPr="00F81291">
        <w:rPr>
          <w:rStyle w:val="FootnoteReference"/>
        </w:rPr>
        <w:tab/>
      </w:r>
      <w:r>
        <w:rPr>
          <w:szCs w:val="18"/>
        </w:rPr>
        <w:t>The</w:t>
      </w:r>
      <w:r w:rsidR="004F2FAF">
        <w:rPr>
          <w:szCs w:val="18"/>
        </w:rPr>
        <w:t xml:space="preserve"> </w:t>
      </w:r>
      <w:r>
        <w:rPr>
          <w:szCs w:val="18"/>
        </w:rPr>
        <w:t>numbers</w:t>
      </w:r>
      <w:r w:rsidR="004F2FAF">
        <w:rPr>
          <w:szCs w:val="18"/>
        </w:rPr>
        <w:t xml:space="preserve"> </w:t>
      </w:r>
      <w:r>
        <w:rPr>
          <w:szCs w:val="18"/>
        </w:rPr>
        <w:t>are</w:t>
      </w:r>
      <w:r w:rsidR="004F2FAF">
        <w:rPr>
          <w:szCs w:val="18"/>
        </w:rPr>
        <w:t xml:space="preserve"> </w:t>
      </w:r>
      <w:r>
        <w:t>l</w:t>
      </w:r>
      <w:r w:rsidRPr="00725D3C">
        <w:t>ikely</w:t>
      </w:r>
      <w:r w:rsidR="004F2FAF">
        <w:t xml:space="preserve"> </w:t>
      </w:r>
      <w:r w:rsidRPr="00725D3C">
        <w:t>underreport</w:t>
      </w:r>
      <w:r>
        <w:t>ed</w:t>
      </w:r>
      <w:r w:rsidRPr="00725D3C">
        <w:t>,</w:t>
      </w:r>
      <w:r w:rsidR="004F2FAF">
        <w:t xml:space="preserve"> </w:t>
      </w:r>
      <w:r w:rsidRPr="00725D3C">
        <w:t>as</w:t>
      </w:r>
      <w:r w:rsidR="004F2FAF">
        <w:t xml:space="preserve"> </w:t>
      </w:r>
      <w:r w:rsidRPr="00725D3C">
        <w:t>such</w:t>
      </w:r>
      <w:r w:rsidR="004F2FAF">
        <w:t xml:space="preserve"> </w:t>
      </w:r>
      <w:r w:rsidRPr="00725D3C">
        <w:t>deaths</w:t>
      </w:r>
      <w:r w:rsidR="004F2FAF">
        <w:t xml:space="preserve"> </w:t>
      </w:r>
      <w:r w:rsidRPr="00725D3C">
        <w:t>are</w:t>
      </w:r>
      <w:r w:rsidR="004F2FAF">
        <w:t xml:space="preserve"> </w:t>
      </w:r>
      <w:r w:rsidRPr="00725D3C">
        <w:t>often</w:t>
      </w:r>
      <w:r w:rsidR="004F2FAF">
        <w:t xml:space="preserve"> </w:t>
      </w:r>
      <w:r w:rsidRPr="00725D3C">
        <w:t>unknown</w:t>
      </w:r>
      <w:r w:rsidR="004F2FAF">
        <w:t xml:space="preserve"> </w:t>
      </w:r>
      <w:r w:rsidRPr="00725D3C">
        <w:t>unless</w:t>
      </w:r>
      <w:r w:rsidR="004F2FAF">
        <w:t xml:space="preserve"> </w:t>
      </w:r>
      <w:r w:rsidRPr="00725D3C">
        <w:t>families</w:t>
      </w:r>
      <w:r w:rsidR="004F2FAF">
        <w:t xml:space="preserve"> </w:t>
      </w:r>
      <w:r w:rsidRPr="00725D3C">
        <w:t>approach</w:t>
      </w:r>
      <w:r w:rsidR="004F2FAF">
        <w:t xml:space="preserve"> </w:t>
      </w:r>
      <w:r w:rsidRPr="00725D3C">
        <w:t>organizations.</w:t>
      </w:r>
    </w:p>
  </w:footnote>
  <w:footnote w:id="25">
    <w:p w14:paraId="623069D1" w14:textId="0B9F01AD" w:rsidR="003E3217" w:rsidRPr="00725D3C" w:rsidRDefault="003E3217" w:rsidP="00C13EBD">
      <w:pPr>
        <w:pStyle w:val="FootnoteText"/>
      </w:pPr>
      <w:r w:rsidRPr="00725D3C">
        <w:tab/>
      </w:r>
      <w:r w:rsidRPr="00F81291">
        <w:rPr>
          <w:rStyle w:val="FootnoteReference"/>
        </w:rPr>
        <w:footnoteRef/>
      </w:r>
      <w:r w:rsidRPr="00F81291">
        <w:rPr>
          <w:rStyle w:val="FootnoteReference"/>
        </w:rPr>
        <w:tab/>
      </w:r>
      <w:hyperlink r:id="rId22" w:history="1">
        <w:r w:rsidRPr="00031CC7">
          <w:rPr>
            <w:rStyle w:val="Hyperlink"/>
            <w:rFonts w:eastAsia="SimSun"/>
          </w:rPr>
          <w:t>https://www.nytimes.com/2022/10/26/world/middleeast/israel-palestinians-insurgency-blockade-nablus-jenin.html</w:t>
        </w:r>
      </w:hyperlink>
      <w:r>
        <w:rPr>
          <w:rFonts w:eastAsia="SimSun"/>
        </w:rPr>
        <w:t>.</w:t>
      </w:r>
      <w:r w:rsidR="004F2FAF">
        <w:t xml:space="preserve"> </w:t>
      </w:r>
    </w:p>
  </w:footnote>
  <w:footnote w:id="26">
    <w:p w14:paraId="7658673E" w14:textId="08D914E5" w:rsidR="003E3217" w:rsidRPr="00725D3C" w:rsidRDefault="003E3217" w:rsidP="00C13EBD">
      <w:pPr>
        <w:pStyle w:val="FootnoteText"/>
      </w:pPr>
      <w:r w:rsidRPr="00725D3C">
        <w:tab/>
      </w:r>
      <w:r w:rsidRPr="00F81291">
        <w:rPr>
          <w:rStyle w:val="FootnoteReference"/>
        </w:rPr>
        <w:footnoteRef/>
      </w:r>
      <w:hyperlink r:id="rId23" w:history="1">
        <w:r w:rsidRPr="00031CC7">
          <w:rPr>
            <w:rStyle w:val="Hyperlink"/>
            <w:vertAlign w:val="superscript"/>
          </w:rPr>
          <w:tab/>
        </w:r>
        <w:r w:rsidRPr="00031CC7">
          <w:rPr>
            <w:rStyle w:val="Hyperlink"/>
            <w:rFonts w:eastAsia="SimSun"/>
          </w:rPr>
          <w:t>https://static1.squarespace.com/static/54231cc6e4b0d46e9dc0c8c1/t/635ed5454fd8302e389fa2be/1667159365226/20221025+Nablus+interagency+visit+report+Final+.pdf</w:t>
        </w:r>
      </w:hyperlink>
      <w:r>
        <w:rPr>
          <w:rFonts w:eastAsia="SimSun"/>
        </w:rPr>
        <w:t>.</w:t>
      </w:r>
      <w:r w:rsidR="004F2FAF">
        <w:t xml:space="preserve"> </w:t>
      </w:r>
    </w:p>
  </w:footnote>
  <w:footnote w:id="27">
    <w:p w14:paraId="387D9A14" w14:textId="02CF0636" w:rsidR="003E3217" w:rsidRPr="00725D3C" w:rsidRDefault="003E3217" w:rsidP="00C13EBD">
      <w:pPr>
        <w:pStyle w:val="FootnoteText"/>
      </w:pPr>
      <w:r w:rsidRPr="00725D3C">
        <w:tab/>
      </w:r>
      <w:r w:rsidRPr="00F81291">
        <w:rPr>
          <w:rStyle w:val="FootnoteReference"/>
        </w:rPr>
        <w:footnoteRef/>
      </w:r>
      <w:r w:rsidRPr="00F81291">
        <w:rPr>
          <w:rStyle w:val="FootnoteReference"/>
        </w:rPr>
        <w:tab/>
      </w:r>
      <w:hyperlink r:id="rId24" w:history="1">
        <w:r w:rsidRPr="00031CC7">
          <w:rPr>
            <w:rStyle w:val="Hyperlink"/>
            <w:rFonts w:eastAsia="SimSun"/>
          </w:rPr>
          <w:t>https://www.haaretz.com/israel-news/2022-10-27/ty-article-magazine/.premium/nablus-residents-putting-the-city-under-economic-siege-will-not-bring-peace/00000184-1531-d4e5-a3e6-f77dc8210000</w:t>
        </w:r>
      </w:hyperlink>
      <w:r>
        <w:rPr>
          <w:rFonts w:eastAsia="SimSun"/>
        </w:rPr>
        <w:t>.</w:t>
      </w:r>
      <w:r w:rsidR="004F2FAF">
        <w:t xml:space="preserve"> </w:t>
      </w:r>
    </w:p>
  </w:footnote>
  <w:footnote w:id="28">
    <w:p w14:paraId="458CC21D" w14:textId="277E09B8" w:rsidR="003E3217" w:rsidRPr="002A3EE1" w:rsidRDefault="003E3217" w:rsidP="00C13EBD">
      <w:pPr>
        <w:pStyle w:val="FootnoteText"/>
        <w:rPr>
          <w:lang w:val="en-US"/>
        </w:rPr>
      </w:pPr>
      <w:r w:rsidRPr="00725D3C">
        <w:rPr>
          <w:szCs w:val="18"/>
        </w:rPr>
        <w:tab/>
      </w:r>
      <w:r w:rsidRPr="00F81291">
        <w:rPr>
          <w:rStyle w:val="FootnoteReference"/>
        </w:rPr>
        <w:footnoteRef/>
      </w:r>
      <w:r w:rsidRPr="00F81291">
        <w:rPr>
          <w:rStyle w:val="FootnoteReference"/>
        </w:rPr>
        <w:tab/>
      </w:r>
      <w:r>
        <w:rPr>
          <w:szCs w:val="18"/>
          <w:lang w:val="en-US"/>
        </w:rPr>
        <w:t>Information</w:t>
      </w:r>
      <w:r w:rsidR="004F2FAF">
        <w:rPr>
          <w:szCs w:val="18"/>
          <w:lang w:val="en-US"/>
        </w:rPr>
        <w:t xml:space="preserve"> </w:t>
      </w:r>
      <w:r>
        <w:rPr>
          <w:szCs w:val="18"/>
          <w:lang w:val="en-US"/>
        </w:rPr>
        <w:t>from</w:t>
      </w:r>
      <w:r w:rsidR="004F2FAF">
        <w:rPr>
          <w:szCs w:val="18"/>
          <w:lang w:val="en-US"/>
        </w:rPr>
        <w:t xml:space="preserve"> </w:t>
      </w:r>
      <w:r>
        <w:rPr>
          <w:szCs w:val="18"/>
          <w:lang w:val="en-US"/>
        </w:rPr>
        <w:t>the</w:t>
      </w:r>
      <w:r w:rsidR="004F2FAF">
        <w:rPr>
          <w:szCs w:val="18"/>
          <w:lang w:val="en-US"/>
        </w:rPr>
        <w:t xml:space="preserve"> </w:t>
      </w:r>
      <w:r w:rsidRPr="00D119E7">
        <w:t>Office</w:t>
      </w:r>
      <w:r w:rsidR="004F2FAF">
        <w:t xml:space="preserve"> </w:t>
      </w:r>
      <w:r w:rsidRPr="00D119E7">
        <w:t>for</w:t>
      </w:r>
      <w:r w:rsidR="004F2FAF">
        <w:t xml:space="preserve"> </w:t>
      </w:r>
      <w:r w:rsidRPr="00D119E7">
        <w:t>the</w:t>
      </w:r>
      <w:r w:rsidR="004F2FAF">
        <w:t xml:space="preserve"> </w:t>
      </w:r>
      <w:r w:rsidRPr="00D119E7">
        <w:t>Coordination</w:t>
      </w:r>
      <w:r w:rsidR="004F2FAF">
        <w:t xml:space="preserve"> </w:t>
      </w:r>
      <w:r w:rsidRPr="00D119E7">
        <w:t>of</w:t>
      </w:r>
      <w:r w:rsidR="004F2FAF">
        <w:t xml:space="preserve"> </w:t>
      </w:r>
      <w:r w:rsidRPr="00D119E7">
        <w:t>Humanitarian</w:t>
      </w:r>
      <w:r w:rsidR="004F2FAF">
        <w:t xml:space="preserve"> </w:t>
      </w:r>
      <w:r w:rsidRPr="00D119E7">
        <w:t>Affairs</w:t>
      </w:r>
      <w:r w:rsidRPr="002A3EE1">
        <w:rPr>
          <w:lang w:val="en-US"/>
        </w:rPr>
        <w:t>.</w:t>
      </w:r>
    </w:p>
  </w:footnote>
  <w:footnote w:id="29">
    <w:p w14:paraId="43FFAC00" w14:textId="14481154" w:rsidR="003E3217" w:rsidRPr="002A3EE1" w:rsidRDefault="003E3217" w:rsidP="00C13EBD">
      <w:pPr>
        <w:pStyle w:val="FootnoteText"/>
        <w:rPr>
          <w:lang w:val="en-US"/>
        </w:rPr>
      </w:pPr>
      <w:r w:rsidRPr="002A3EE1">
        <w:rPr>
          <w:szCs w:val="18"/>
          <w:lang w:val="en-US"/>
        </w:rPr>
        <w:tab/>
      </w:r>
      <w:r w:rsidRPr="00F81291">
        <w:rPr>
          <w:rStyle w:val="FootnoteReference"/>
        </w:rPr>
        <w:footnoteRef/>
      </w:r>
      <w:r w:rsidRPr="00F81291">
        <w:rPr>
          <w:rStyle w:val="FootnoteReference"/>
        </w:rPr>
        <w:tab/>
      </w:r>
      <w:r w:rsidRPr="002A3EE1">
        <w:rPr>
          <w:lang w:val="en-US"/>
        </w:rPr>
        <w:t>E.g.</w:t>
      </w:r>
      <w:r>
        <w:rPr>
          <w:lang w:val="en-US"/>
        </w:rPr>
        <w:t>,</w:t>
      </w:r>
      <w:r w:rsidR="004F2FAF">
        <w:rPr>
          <w:lang w:val="en-US"/>
        </w:rPr>
        <w:t xml:space="preserve"> </w:t>
      </w:r>
      <w:r w:rsidRPr="002A3EE1">
        <w:rPr>
          <w:lang w:val="en-US"/>
        </w:rPr>
        <w:t>International</w:t>
      </w:r>
      <w:r w:rsidR="004F2FAF">
        <w:rPr>
          <w:lang w:val="en-US"/>
        </w:rPr>
        <w:t xml:space="preserve"> </w:t>
      </w:r>
      <w:r w:rsidRPr="002A3EE1">
        <w:rPr>
          <w:lang w:val="en-US"/>
        </w:rPr>
        <w:t>Covenant</w:t>
      </w:r>
      <w:r w:rsidR="004F2FAF">
        <w:rPr>
          <w:lang w:val="en-US"/>
        </w:rPr>
        <w:t xml:space="preserve"> </w:t>
      </w:r>
      <w:r w:rsidRPr="002A3EE1">
        <w:rPr>
          <w:lang w:val="en-US"/>
        </w:rPr>
        <w:t>on</w:t>
      </w:r>
      <w:r w:rsidR="004F2FAF">
        <w:rPr>
          <w:lang w:val="en-US"/>
        </w:rPr>
        <w:t xml:space="preserve"> </w:t>
      </w:r>
      <w:r w:rsidRPr="002A3EE1">
        <w:rPr>
          <w:lang w:val="en-US"/>
        </w:rPr>
        <w:t>Economic,</w:t>
      </w:r>
      <w:r w:rsidR="004F2FAF">
        <w:rPr>
          <w:lang w:val="en-US"/>
        </w:rPr>
        <w:t xml:space="preserve"> </w:t>
      </w:r>
      <w:r w:rsidRPr="002A3EE1">
        <w:rPr>
          <w:lang w:val="en-US"/>
        </w:rPr>
        <w:t>Social</w:t>
      </w:r>
      <w:r w:rsidR="004F2FAF">
        <w:rPr>
          <w:lang w:val="en-US"/>
        </w:rPr>
        <w:t xml:space="preserve"> </w:t>
      </w:r>
      <w:r w:rsidRPr="002A3EE1">
        <w:rPr>
          <w:lang w:val="en-US"/>
        </w:rPr>
        <w:t>and</w:t>
      </w:r>
      <w:r w:rsidR="004F2FAF">
        <w:rPr>
          <w:lang w:val="en-US"/>
        </w:rPr>
        <w:t xml:space="preserve"> </w:t>
      </w:r>
      <w:r w:rsidRPr="002A3EE1">
        <w:rPr>
          <w:lang w:val="en-US"/>
        </w:rPr>
        <w:t>Cultural</w:t>
      </w:r>
      <w:r w:rsidR="004F2FAF">
        <w:rPr>
          <w:lang w:val="en-US"/>
        </w:rPr>
        <w:t xml:space="preserve"> </w:t>
      </w:r>
      <w:r w:rsidRPr="002A3EE1">
        <w:rPr>
          <w:lang w:val="en-US"/>
        </w:rPr>
        <w:t>Rights</w:t>
      </w:r>
      <w:r>
        <w:rPr>
          <w:lang w:val="en-US"/>
        </w:rPr>
        <w:t>,</w:t>
      </w:r>
      <w:r w:rsidR="004F2FAF">
        <w:rPr>
          <w:lang w:val="en-US"/>
        </w:rPr>
        <w:t xml:space="preserve"> </w:t>
      </w:r>
      <w:r>
        <w:rPr>
          <w:lang w:val="en-US"/>
        </w:rPr>
        <w:t>art.</w:t>
      </w:r>
      <w:r w:rsidR="004F2FAF">
        <w:rPr>
          <w:lang w:val="en-US"/>
        </w:rPr>
        <w:t xml:space="preserve"> </w:t>
      </w:r>
      <w:r>
        <w:rPr>
          <w:lang w:val="en-US"/>
        </w:rPr>
        <w:t>11</w:t>
      </w:r>
      <w:r w:rsidRPr="002A3EE1">
        <w:rPr>
          <w:lang w:val="en-US"/>
        </w:rPr>
        <w:t>.</w:t>
      </w:r>
      <w:r w:rsidR="004F2FAF">
        <w:rPr>
          <w:lang w:val="en-US"/>
        </w:rPr>
        <w:t xml:space="preserve"> </w:t>
      </w:r>
      <w:r w:rsidRPr="00725D3C">
        <w:t>They</w:t>
      </w:r>
      <w:r w:rsidR="004F2FAF">
        <w:t xml:space="preserve"> </w:t>
      </w:r>
      <w:r w:rsidRPr="00725D3C">
        <w:t>may</w:t>
      </w:r>
      <w:r w:rsidR="004F2FAF">
        <w:t xml:space="preserve"> </w:t>
      </w:r>
      <w:r w:rsidRPr="00725D3C">
        <w:t>also</w:t>
      </w:r>
      <w:r w:rsidR="004F2FAF">
        <w:t xml:space="preserve"> </w:t>
      </w:r>
      <w:r w:rsidRPr="00725D3C">
        <w:t>amount</w:t>
      </w:r>
      <w:r w:rsidR="004F2FAF">
        <w:t xml:space="preserve"> </w:t>
      </w:r>
      <w:r w:rsidRPr="00725D3C">
        <w:t>to</w:t>
      </w:r>
      <w:r w:rsidR="004F2FAF">
        <w:t xml:space="preserve"> </w:t>
      </w:r>
      <w:r w:rsidRPr="00725D3C">
        <w:t>ill-treatment</w:t>
      </w:r>
      <w:r w:rsidR="004F2FAF">
        <w:t xml:space="preserve"> </w:t>
      </w:r>
      <w:r>
        <w:t>(</w:t>
      </w:r>
      <w:hyperlink r:id="rId25" w:history="1">
        <w:r w:rsidRPr="0006136B">
          <w:rPr>
            <w:rStyle w:val="Hyperlink"/>
          </w:rPr>
          <w:t>CAT/C/ISR/CO/5</w:t>
        </w:r>
      </w:hyperlink>
      <w:r w:rsidRPr="00725D3C">
        <w:t>,</w:t>
      </w:r>
      <w:r w:rsidR="004F2FAF">
        <w:t xml:space="preserve"> </w:t>
      </w:r>
      <w:r w:rsidRPr="00725D3C">
        <w:t>para.</w:t>
      </w:r>
      <w:r w:rsidR="004F2FAF">
        <w:t xml:space="preserve"> </w:t>
      </w:r>
      <w:r w:rsidRPr="002A3EE1">
        <w:rPr>
          <w:lang w:val="en-US"/>
        </w:rPr>
        <w:t>41</w:t>
      </w:r>
      <w:r>
        <w:rPr>
          <w:lang w:val="en-US"/>
        </w:rPr>
        <w:t>)</w:t>
      </w:r>
      <w:r w:rsidRPr="002A3EE1">
        <w:rPr>
          <w:lang w:val="en-US"/>
        </w:rPr>
        <w:t>.</w:t>
      </w:r>
    </w:p>
  </w:footnote>
  <w:footnote w:id="30">
    <w:p w14:paraId="42765132" w14:textId="16ED1222" w:rsidR="003E3217" w:rsidRPr="002A3EE1" w:rsidRDefault="003E3217" w:rsidP="00C13EBD">
      <w:pPr>
        <w:pStyle w:val="FootnoteText"/>
        <w:rPr>
          <w:lang w:val="en-US"/>
        </w:rPr>
      </w:pPr>
      <w:r w:rsidRPr="002A3EE1">
        <w:rPr>
          <w:szCs w:val="18"/>
          <w:lang w:val="en-US"/>
        </w:rPr>
        <w:tab/>
      </w:r>
      <w:r w:rsidRPr="00F81291">
        <w:rPr>
          <w:rStyle w:val="FootnoteReference"/>
        </w:rPr>
        <w:footnoteRef/>
      </w:r>
      <w:r w:rsidRPr="00F81291">
        <w:rPr>
          <w:rStyle w:val="FootnoteReference"/>
        </w:rPr>
        <w:tab/>
      </w:r>
      <w:r>
        <w:rPr>
          <w:lang w:val="en-US"/>
        </w:rPr>
        <w:t>Geneva</w:t>
      </w:r>
      <w:r w:rsidR="004F2FAF">
        <w:rPr>
          <w:lang w:val="en-US"/>
        </w:rPr>
        <w:t xml:space="preserve"> </w:t>
      </w:r>
      <w:r>
        <w:rPr>
          <w:lang w:val="en-US"/>
        </w:rPr>
        <w:t>Convention</w:t>
      </w:r>
      <w:r w:rsidR="004F2FAF">
        <w:rPr>
          <w:lang w:val="en-US"/>
        </w:rPr>
        <w:t xml:space="preserve"> </w:t>
      </w:r>
      <w:r>
        <w:rPr>
          <w:lang w:val="en-US"/>
        </w:rPr>
        <w:t>relative</w:t>
      </w:r>
      <w:r w:rsidR="004F2FAF">
        <w:rPr>
          <w:lang w:val="en-US"/>
        </w:rPr>
        <w:t xml:space="preserve"> </w:t>
      </w:r>
      <w:r>
        <w:rPr>
          <w:lang w:val="en-US"/>
        </w:rPr>
        <w:t>to</w:t>
      </w:r>
      <w:r w:rsidR="004F2FAF">
        <w:rPr>
          <w:lang w:val="en-US"/>
        </w:rPr>
        <w:t xml:space="preserve"> </w:t>
      </w:r>
      <w:r>
        <w:rPr>
          <w:lang w:val="en-US"/>
        </w:rPr>
        <w:t>the</w:t>
      </w:r>
      <w:r w:rsidR="004F2FAF">
        <w:rPr>
          <w:lang w:val="en-US"/>
        </w:rPr>
        <w:t xml:space="preserve"> </w:t>
      </w:r>
      <w:r>
        <w:rPr>
          <w:lang w:val="en-US"/>
        </w:rPr>
        <w:t>Protection</w:t>
      </w:r>
      <w:r w:rsidR="004F2FAF">
        <w:rPr>
          <w:lang w:val="en-US"/>
        </w:rPr>
        <w:t xml:space="preserve"> </w:t>
      </w:r>
      <w:r>
        <w:rPr>
          <w:lang w:val="en-US"/>
        </w:rPr>
        <w:t>of</w:t>
      </w:r>
      <w:r w:rsidR="004F2FAF">
        <w:rPr>
          <w:lang w:val="en-US"/>
        </w:rPr>
        <w:t xml:space="preserve"> </w:t>
      </w:r>
      <w:r>
        <w:rPr>
          <w:lang w:val="en-US"/>
        </w:rPr>
        <w:t>Civilian</w:t>
      </w:r>
      <w:r w:rsidR="004F2FAF">
        <w:rPr>
          <w:lang w:val="en-US"/>
        </w:rPr>
        <w:t xml:space="preserve"> </w:t>
      </w:r>
      <w:r>
        <w:rPr>
          <w:lang w:val="en-US"/>
        </w:rPr>
        <w:t>Persons</w:t>
      </w:r>
      <w:r w:rsidR="004F2FAF">
        <w:rPr>
          <w:lang w:val="en-US"/>
        </w:rPr>
        <w:t xml:space="preserve"> </w:t>
      </w:r>
      <w:r>
        <w:rPr>
          <w:lang w:val="en-US"/>
        </w:rPr>
        <w:t>in</w:t>
      </w:r>
      <w:r w:rsidR="004F2FAF">
        <w:rPr>
          <w:lang w:val="en-US"/>
        </w:rPr>
        <w:t xml:space="preserve"> </w:t>
      </w:r>
      <w:r>
        <w:rPr>
          <w:lang w:val="en-US"/>
        </w:rPr>
        <w:t>Time</w:t>
      </w:r>
      <w:r w:rsidR="004F2FAF">
        <w:rPr>
          <w:lang w:val="en-US"/>
        </w:rPr>
        <w:t xml:space="preserve"> </w:t>
      </w:r>
      <w:r>
        <w:rPr>
          <w:lang w:val="en-US"/>
        </w:rPr>
        <w:t>of</w:t>
      </w:r>
      <w:r w:rsidR="004F2FAF">
        <w:rPr>
          <w:lang w:val="en-US"/>
        </w:rPr>
        <w:t xml:space="preserve"> </w:t>
      </w:r>
      <w:r>
        <w:rPr>
          <w:lang w:val="en-US"/>
        </w:rPr>
        <w:t>War</w:t>
      </w:r>
      <w:r w:rsidRPr="002A3EE1">
        <w:rPr>
          <w:lang w:val="en-US"/>
        </w:rPr>
        <w:t>,</w:t>
      </w:r>
      <w:r w:rsidR="004F2FAF">
        <w:rPr>
          <w:lang w:val="en-US"/>
        </w:rPr>
        <w:t xml:space="preserve"> </w:t>
      </w:r>
      <w:r w:rsidRPr="002A3EE1">
        <w:rPr>
          <w:lang w:val="en-US"/>
        </w:rPr>
        <w:t>art.</w:t>
      </w:r>
      <w:r w:rsidR="004F2FAF">
        <w:rPr>
          <w:lang w:val="en-US"/>
        </w:rPr>
        <w:t xml:space="preserve"> </w:t>
      </w:r>
      <w:r w:rsidRPr="002A3EE1">
        <w:rPr>
          <w:lang w:val="en-US"/>
        </w:rPr>
        <w:t>53</w:t>
      </w:r>
      <w:r>
        <w:rPr>
          <w:lang w:val="en-US"/>
        </w:rPr>
        <w:t>;</w:t>
      </w:r>
      <w:r w:rsidR="004F2FAF">
        <w:rPr>
          <w:lang w:val="en-US"/>
        </w:rPr>
        <w:t xml:space="preserve"> </w:t>
      </w:r>
      <w:r>
        <w:rPr>
          <w:lang w:val="en-US"/>
        </w:rPr>
        <w:t>and</w:t>
      </w:r>
      <w:r w:rsidR="004F2FAF">
        <w:rPr>
          <w:lang w:val="en-US"/>
        </w:rPr>
        <w:t xml:space="preserve"> </w:t>
      </w:r>
      <w:hyperlink r:id="rId26" w:history="1">
        <w:r w:rsidRPr="001E1C0E">
          <w:rPr>
            <w:rStyle w:val="Hyperlink"/>
            <w:rFonts w:eastAsia="SimSun"/>
            <w:lang w:val="en-US"/>
          </w:rPr>
          <w:t>https://ihl-databases.icrc.org/en/customary-ihl/v1/rule50</w:t>
        </w:r>
      </w:hyperlink>
      <w:r w:rsidRPr="002A3EE1">
        <w:rPr>
          <w:rFonts w:eastAsia="SimSun"/>
          <w:lang w:val="en-US"/>
        </w:rPr>
        <w:t>.</w:t>
      </w:r>
      <w:r w:rsidR="004F2FAF">
        <w:rPr>
          <w:lang w:val="en-US"/>
        </w:rPr>
        <w:t xml:space="preserve"> </w:t>
      </w:r>
    </w:p>
  </w:footnote>
  <w:footnote w:id="31">
    <w:p w14:paraId="5015B2CB" w14:textId="599B1876" w:rsidR="003E3217" w:rsidRPr="002A3EE1" w:rsidRDefault="003E3217" w:rsidP="00C13EBD">
      <w:pPr>
        <w:pStyle w:val="FootnoteText"/>
        <w:rPr>
          <w:lang w:val="en-US"/>
        </w:rPr>
      </w:pPr>
      <w:r w:rsidRPr="002A3EE1">
        <w:rPr>
          <w:szCs w:val="18"/>
          <w:lang w:val="en-US"/>
        </w:rPr>
        <w:tab/>
      </w:r>
      <w:r w:rsidRPr="00F81291">
        <w:rPr>
          <w:rStyle w:val="FootnoteReference"/>
        </w:rPr>
        <w:footnoteRef/>
      </w:r>
      <w:r w:rsidRPr="0006136B">
        <w:rPr>
          <w:rStyle w:val="FootnoteReference"/>
          <w:lang w:val="es-ES"/>
        </w:rPr>
        <w:tab/>
      </w:r>
      <w:hyperlink r:id="rId27" w:history="1">
        <w:r w:rsidRPr="0006136B">
          <w:rPr>
            <w:rStyle w:val="Hyperlink"/>
            <w:lang w:val="es-ES"/>
          </w:rPr>
          <w:t>CEDAW/C/ISR/CO/6</w:t>
        </w:r>
      </w:hyperlink>
      <w:r w:rsidRPr="00B93564">
        <w:rPr>
          <w:lang w:val="es-ES"/>
        </w:rPr>
        <w:t>,</w:t>
      </w:r>
      <w:r w:rsidR="004F2FAF">
        <w:rPr>
          <w:lang w:val="es-ES"/>
        </w:rPr>
        <w:t xml:space="preserve"> </w:t>
      </w:r>
      <w:r w:rsidRPr="00B93564">
        <w:rPr>
          <w:lang w:val="es-ES"/>
        </w:rPr>
        <w:t>paras.</w:t>
      </w:r>
      <w:r w:rsidR="004F2FAF">
        <w:rPr>
          <w:lang w:val="es-ES"/>
        </w:rPr>
        <w:t xml:space="preserve"> </w:t>
      </w:r>
      <w:r w:rsidRPr="002A3EE1">
        <w:rPr>
          <w:lang w:val="en-US"/>
        </w:rPr>
        <w:t>32–33.</w:t>
      </w:r>
      <w:r w:rsidR="004F2FAF">
        <w:rPr>
          <w:lang w:val="en-US"/>
        </w:rPr>
        <w:t xml:space="preserve"> </w:t>
      </w:r>
      <w:r w:rsidRPr="002A3EE1">
        <w:rPr>
          <w:lang w:val="en-US"/>
        </w:rPr>
        <w:t>See</w:t>
      </w:r>
      <w:r w:rsidR="004F2FAF">
        <w:rPr>
          <w:lang w:val="en-US"/>
        </w:rPr>
        <w:t xml:space="preserve"> </w:t>
      </w:r>
      <w:r w:rsidRPr="002A3EE1">
        <w:rPr>
          <w:lang w:val="en-US"/>
        </w:rPr>
        <w:t>also</w:t>
      </w:r>
      <w:r w:rsidR="004F2FAF">
        <w:rPr>
          <w:lang w:val="en-US"/>
        </w:rPr>
        <w:t xml:space="preserve"> </w:t>
      </w:r>
      <w:hyperlink r:id="rId28" w:history="1">
        <w:r w:rsidRPr="0006136B">
          <w:rPr>
            <w:rStyle w:val="Hyperlink"/>
            <w:lang w:val="en-US"/>
          </w:rPr>
          <w:t>A/HRC/46/63</w:t>
        </w:r>
      </w:hyperlink>
      <w:r w:rsidRPr="002A3EE1">
        <w:rPr>
          <w:lang w:val="en-US"/>
        </w:rPr>
        <w:t>,</w:t>
      </w:r>
      <w:r w:rsidR="004F2FAF">
        <w:rPr>
          <w:lang w:val="en-US"/>
        </w:rPr>
        <w:t xml:space="preserve"> </w:t>
      </w:r>
      <w:r w:rsidRPr="002A3EE1">
        <w:rPr>
          <w:lang w:val="en-US"/>
        </w:rPr>
        <w:t>para.</w:t>
      </w:r>
      <w:r w:rsidR="004F2FAF">
        <w:rPr>
          <w:lang w:val="en-US"/>
        </w:rPr>
        <w:t xml:space="preserve"> </w:t>
      </w:r>
      <w:r w:rsidRPr="002A3EE1">
        <w:rPr>
          <w:lang w:val="en-US"/>
        </w:rPr>
        <w:t>10.</w:t>
      </w:r>
      <w:r w:rsidR="004F2FAF">
        <w:rPr>
          <w:lang w:val="en-US"/>
        </w:rPr>
        <w:t xml:space="preserve"> </w:t>
      </w:r>
    </w:p>
  </w:footnote>
  <w:footnote w:id="32">
    <w:p w14:paraId="6B790875" w14:textId="6BF0FBBD" w:rsidR="003E3217" w:rsidRPr="002A3EE1" w:rsidRDefault="003E3217" w:rsidP="00C13EBD">
      <w:pPr>
        <w:pStyle w:val="FootnoteText"/>
        <w:rPr>
          <w:lang w:val="en-US"/>
        </w:rPr>
      </w:pPr>
      <w:r w:rsidRPr="002A3EE1">
        <w:rPr>
          <w:szCs w:val="18"/>
          <w:lang w:val="en-US"/>
        </w:rPr>
        <w:tab/>
      </w:r>
      <w:r w:rsidRPr="00F81291">
        <w:rPr>
          <w:rStyle w:val="FootnoteReference"/>
        </w:rPr>
        <w:footnoteRef/>
      </w:r>
      <w:r w:rsidRPr="00F81291">
        <w:rPr>
          <w:rStyle w:val="FootnoteReference"/>
        </w:rPr>
        <w:tab/>
      </w:r>
      <w:r w:rsidRPr="002A3EE1">
        <w:rPr>
          <w:lang w:val="en-US"/>
        </w:rPr>
        <w:t>Information</w:t>
      </w:r>
      <w:r w:rsidR="004F2FAF">
        <w:rPr>
          <w:lang w:val="en-US"/>
        </w:rPr>
        <w:t xml:space="preserve"> </w:t>
      </w:r>
      <w:r>
        <w:rPr>
          <w:lang w:val="en-US"/>
        </w:rPr>
        <w:t>from</w:t>
      </w:r>
      <w:r w:rsidR="004F2FAF">
        <w:rPr>
          <w:lang w:val="en-US"/>
        </w:rPr>
        <w:t xml:space="preserve"> </w:t>
      </w:r>
      <w:r w:rsidRPr="002A3EE1">
        <w:rPr>
          <w:lang w:val="en-US"/>
        </w:rPr>
        <w:t>the</w:t>
      </w:r>
      <w:r w:rsidR="004F2FAF">
        <w:rPr>
          <w:lang w:val="en-US"/>
        </w:rPr>
        <w:t xml:space="preserve"> </w:t>
      </w:r>
      <w:r w:rsidRPr="002A3EE1">
        <w:rPr>
          <w:lang w:val="en-US"/>
        </w:rPr>
        <w:t>Jerusalem</w:t>
      </w:r>
      <w:r w:rsidR="004F2FAF">
        <w:rPr>
          <w:lang w:val="en-US"/>
        </w:rPr>
        <w:t xml:space="preserve"> </w:t>
      </w:r>
      <w:r w:rsidRPr="002A3EE1">
        <w:rPr>
          <w:lang w:val="en-US"/>
        </w:rPr>
        <w:t>Legal</w:t>
      </w:r>
      <w:r w:rsidR="004F2FAF">
        <w:rPr>
          <w:lang w:val="en-US"/>
        </w:rPr>
        <w:t xml:space="preserve"> </w:t>
      </w:r>
      <w:r w:rsidRPr="002A3EE1">
        <w:rPr>
          <w:lang w:val="en-US"/>
        </w:rPr>
        <w:t>Aid</w:t>
      </w:r>
      <w:r w:rsidR="004F2FAF">
        <w:rPr>
          <w:lang w:val="en-US"/>
        </w:rPr>
        <w:t xml:space="preserve"> </w:t>
      </w:r>
      <w:r w:rsidRPr="002A3EE1">
        <w:rPr>
          <w:lang w:val="en-US"/>
        </w:rPr>
        <w:t>and</w:t>
      </w:r>
      <w:r w:rsidR="004F2FAF">
        <w:rPr>
          <w:lang w:val="en-US"/>
        </w:rPr>
        <w:t xml:space="preserve"> </w:t>
      </w:r>
      <w:r w:rsidRPr="002A3EE1">
        <w:rPr>
          <w:lang w:val="en-US"/>
        </w:rPr>
        <w:t>Human</w:t>
      </w:r>
      <w:r w:rsidR="004F2FAF">
        <w:rPr>
          <w:lang w:val="en-US"/>
        </w:rPr>
        <w:t xml:space="preserve"> </w:t>
      </w:r>
      <w:r w:rsidRPr="002A3EE1">
        <w:rPr>
          <w:lang w:val="en-US"/>
        </w:rPr>
        <w:t>Rights</w:t>
      </w:r>
      <w:r w:rsidR="004F2FAF">
        <w:rPr>
          <w:lang w:val="en-US"/>
        </w:rPr>
        <w:t xml:space="preserve"> </w:t>
      </w:r>
      <w:r>
        <w:rPr>
          <w:lang w:val="en-US"/>
        </w:rPr>
        <w:t>Center.</w:t>
      </w:r>
      <w:r w:rsidR="004F2FAF">
        <w:rPr>
          <w:lang w:val="en-US"/>
        </w:rPr>
        <w:t xml:space="preserve"> </w:t>
      </w:r>
    </w:p>
  </w:footnote>
  <w:footnote w:id="33">
    <w:p w14:paraId="1D46743B" w14:textId="69AECC69" w:rsidR="003E3217" w:rsidRPr="002A3EE1" w:rsidRDefault="003E3217" w:rsidP="00C13EBD">
      <w:pPr>
        <w:pStyle w:val="FootnoteText"/>
        <w:rPr>
          <w:lang w:val="en-US"/>
        </w:rPr>
      </w:pPr>
      <w:r w:rsidRPr="002A3EE1">
        <w:rPr>
          <w:lang w:val="en-US"/>
        </w:rPr>
        <w:tab/>
      </w:r>
      <w:r w:rsidRPr="00F81291">
        <w:rPr>
          <w:rStyle w:val="FootnoteReference"/>
        </w:rPr>
        <w:footnoteRef/>
      </w:r>
      <w:r w:rsidRPr="00F81291">
        <w:rPr>
          <w:rStyle w:val="FootnoteReference"/>
        </w:rPr>
        <w:tab/>
      </w:r>
      <w:hyperlink r:id="rId29" w:history="1">
        <w:r w:rsidRPr="001E1C0E">
          <w:rPr>
            <w:rStyle w:val="Hyperlink"/>
            <w:rFonts w:eastAsia="SimSun"/>
            <w:lang w:val="en-US"/>
          </w:rPr>
          <w:t>https://www.timesofisrael.com/hamas-netanyahu-lying-to-israelis-about-talks-to-free-captives/</w:t>
        </w:r>
      </w:hyperlink>
      <w:r w:rsidRPr="002A3EE1">
        <w:rPr>
          <w:rFonts w:eastAsia="SimSun"/>
          <w:lang w:val="en-US"/>
        </w:rPr>
        <w:t>.</w:t>
      </w:r>
      <w:r w:rsidR="004F2FAF">
        <w:rPr>
          <w:lang w:val="en-US"/>
        </w:rPr>
        <w:t xml:space="preserve"> </w:t>
      </w:r>
    </w:p>
  </w:footnote>
  <w:footnote w:id="34">
    <w:p w14:paraId="32E5BB80" w14:textId="455D6A28" w:rsidR="003E3217" w:rsidRPr="004F2FAF" w:rsidRDefault="003E3217" w:rsidP="00C13EBD">
      <w:pPr>
        <w:pStyle w:val="FootnoteText"/>
      </w:pPr>
      <w:r w:rsidRPr="002A3EE1">
        <w:rPr>
          <w:szCs w:val="18"/>
          <w:lang w:val="en-US"/>
        </w:rPr>
        <w:tab/>
      </w:r>
      <w:r w:rsidRPr="00F81291">
        <w:rPr>
          <w:rStyle w:val="FootnoteReference"/>
        </w:rPr>
        <w:footnoteRef/>
      </w:r>
      <w:r w:rsidRPr="0006136B">
        <w:rPr>
          <w:rStyle w:val="FootnoteReference"/>
          <w:lang w:val="es-ES"/>
        </w:rPr>
        <w:tab/>
      </w:r>
      <w:hyperlink r:id="rId30" w:history="1">
        <w:r w:rsidRPr="0006136B">
          <w:rPr>
            <w:rStyle w:val="Hyperlink"/>
            <w:lang w:val="pt-BR"/>
          </w:rPr>
          <w:t>CCPR/C/ISR/CO/5</w:t>
        </w:r>
      </w:hyperlink>
      <w:r w:rsidRPr="006C6235">
        <w:rPr>
          <w:lang w:val="pt-BR"/>
        </w:rPr>
        <w:t>,</w:t>
      </w:r>
      <w:r w:rsidR="004F2FAF">
        <w:rPr>
          <w:lang w:val="pt-BR"/>
        </w:rPr>
        <w:t xml:space="preserve"> </w:t>
      </w:r>
      <w:r w:rsidRPr="006C6235">
        <w:rPr>
          <w:lang w:val="pt-BR"/>
        </w:rPr>
        <w:t>para.</w:t>
      </w:r>
      <w:r w:rsidR="004F2FAF">
        <w:rPr>
          <w:lang w:val="pt-BR"/>
        </w:rPr>
        <w:t xml:space="preserve"> </w:t>
      </w:r>
      <w:r w:rsidRPr="004F2FAF">
        <w:t>32.</w:t>
      </w:r>
    </w:p>
  </w:footnote>
  <w:footnote w:id="35">
    <w:p w14:paraId="3256DC97" w14:textId="607962FE" w:rsidR="003E3217" w:rsidRPr="004F2FAF" w:rsidRDefault="003E3217" w:rsidP="00C13EBD">
      <w:pPr>
        <w:pStyle w:val="FootnoteText"/>
      </w:pPr>
      <w:r w:rsidRPr="004F2FAF">
        <w:rPr>
          <w:szCs w:val="18"/>
        </w:rPr>
        <w:tab/>
      </w:r>
      <w:r w:rsidRPr="00F81291">
        <w:rPr>
          <w:rStyle w:val="FootnoteReference"/>
        </w:rPr>
        <w:footnoteRef/>
      </w:r>
      <w:r w:rsidRPr="004F2FAF">
        <w:rPr>
          <w:rStyle w:val="FootnoteReference"/>
        </w:rPr>
        <w:tab/>
      </w:r>
      <w:r w:rsidRPr="004F2FAF">
        <w:t>Fourth</w:t>
      </w:r>
      <w:r w:rsidR="004F2FAF">
        <w:rPr>
          <w:lang w:val="en-US"/>
        </w:rPr>
        <w:t xml:space="preserve"> </w:t>
      </w:r>
      <w:r w:rsidRPr="002A3EE1">
        <w:rPr>
          <w:lang w:val="en-US"/>
        </w:rPr>
        <w:t>Geneva</w:t>
      </w:r>
      <w:r w:rsidR="004F2FAF">
        <w:rPr>
          <w:lang w:val="en-US"/>
        </w:rPr>
        <w:t xml:space="preserve"> </w:t>
      </w:r>
      <w:r w:rsidRPr="002A3EE1">
        <w:rPr>
          <w:lang w:val="en-US"/>
        </w:rPr>
        <w:t>Convention,</w:t>
      </w:r>
      <w:r w:rsidR="004F2FAF">
        <w:rPr>
          <w:lang w:val="en-US"/>
        </w:rPr>
        <w:t xml:space="preserve"> </w:t>
      </w:r>
      <w:r w:rsidRPr="002A3EE1">
        <w:rPr>
          <w:lang w:val="en-US"/>
        </w:rPr>
        <w:t>art.</w:t>
      </w:r>
      <w:r w:rsidR="004F2FAF">
        <w:rPr>
          <w:lang w:val="en-US"/>
        </w:rPr>
        <w:t xml:space="preserve"> </w:t>
      </w:r>
      <w:r w:rsidRPr="002A3EE1">
        <w:rPr>
          <w:lang w:val="en-US"/>
        </w:rPr>
        <w:t>27,</w:t>
      </w:r>
      <w:r w:rsidR="004F2FAF">
        <w:rPr>
          <w:lang w:val="en-US"/>
        </w:rPr>
        <w:t xml:space="preserve"> </w:t>
      </w:r>
      <w:r w:rsidRPr="006C6235">
        <w:rPr>
          <w:lang w:val="en-US"/>
        </w:rPr>
        <w:t>and</w:t>
      </w:r>
      <w:r w:rsidR="004F2FAF">
        <w:rPr>
          <w:lang w:val="en-US"/>
        </w:rPr>
        <w:t xml:space="preserve"> </w:t>
      </w:r>
      <w:hyperlink r:id="rId31" w:history="1">
        <w:r w:rsidRPr="001E1C0E">
          <w:rPr>
            <w:rStyle w:val="Hyperlink"/>
            <w:rFonts w:eastAsia="SimSun"/>
            <w:lang w:val="en-US"/>
          </w:rPr>
          <w:t>https://ihl-databases.icrc.org/en/customary-ihl/v1/rule114</w:t>
        </w:r>
      </w:hyperlink>
      <w:r w:rsidRPr="002A3EE1">
        <w:rPr>
          <w:rFonts w:eastAsia="SimSun"/>
          <w:lang w:val="en-US"/>
        </w:rPr>
        <w:t>.</w:t>
      </w:r>
      <w:r w:rsidR="004F2FAF">
        <w:rPr>
          <w:lang w:val="en-US"/>
        </w:rPr>
        <w:t xml:space="preserve"> </w:t>
      </w:r>
    </w:p>
  </w:footnote>
  <w:footnote w:id="36">
    <w:p w14:paraId="49596472" w14:textId="32B3768F" w:rsidR="003E3217" w:rsidRPr="002A3EE1" w:rsidRDefault="003E3217" w:rsidP="00C13EBD">
      <w:pPr>
        <w:pStyle w:val="FootnoteText"/>
        <w:rPr>
          <w:lang w:val="en-US"/>
        </w:rPr>
      </w:pPr>
      <w:r w:rsidRPr="004F2FAF">
        <w:rPr>
          <w:szCs w:val="18"/>
        </w:rPr>
        <w:tab/>
      </w:r>
      <w:r w:rsidRPr="00F81291">
        <w:rPr>
          <w:rStyle w:val="FootnoteReference"/>
        </w:rPr>
        <w:footnoteRef/>
      </w:r>
      <w:r w:rsidRPr="00F81291">
        <w:rPr>
          <w:rStyle w:val="FootnoteReference"/>
        </w:rPr>
        <w:tab/>
      </w:r>
      <w:r w:rsidRPr="002A3EE1">
        <w:rPr>
          <w:szCs w:val="18"/>
          <w:lang w:val="en-US"/>
        </w:rPr>
        <w:t>International</w:t>
      </w:r>
      <w:r w:rsidR="004F2FAF">
        <w:rPr>
          <w:szCs w:val="18"/>
          <w:lang w:val="en-US"/>
        </w:rPr>
        <w:t xml:space="preserve"> </w:t>
      </w:r>
      <w:r w:rsidRPr="002A3EE1">
        <w:rPr>
          <w:szCs w:val="18"/>
          <w:lang w:val="en-US"/>
        </w:rPr>
        <w:t>Covenant</w:t>
      </w:r>
      <w:r w:rsidR="004F2FAF">
        <w:rPr>
          <w:szCs w:val="18"/>
          <w:lang w:val="en-US"/>
        </w:rPr>
        <w:t xml:space="preserve"> </w:t>
      </w:r>
      <w:r w:rsidRPr="002A3EE1">
        <w:rPr>
          <w:szCs w:val="18"/>
          <w:lang w:val="en-US"/>
        </w:rPr>
        <w:t>on</w:t>
      </w:r>
      <w:r w:rsidR="004F2FAF">
        <w:rPr>
          <w:szCs w:val="18"/>
          <w:lang w:val="en-US"/>
        </w:rPr>
        <w:t xml:space="preserve"> </w:t>
      </w:r>
      <w:r w:rsidRPr="002A3EE1">
        <w:rPr>
          <w:szCs w:val="18"/>
          <w:lang w:val="en-US"/>
        </w:rPr>
        <w:t>Civil</w:t>
      </w:r>
      <w:r w:rsidR="004F2FAF">
        <w:rPr>
          <w:szCs w:val="18"/>
          <w:lang w:val="en-US"/>
        </w:rPr>
        <w:t xml:space="preserve"> </w:t>
      </w:r>
      <w:r w:rsidRPr="002A3EE1">
        <w:rPr>
          <w:szCs w:val="18"/>
          <w:lang w:val="en-US"/>
        </w:rPr>
        <w:t>and</w:t>
      </w:r>
      <w:r w:rsidR="004F2FAF">
        <w:rPr>
          <w:szCs w:val="18"/>
          <w:lang w:val="en-US"/>
        </w:rPr>
        <w:t xml:space="preserve"> </w:t>
      </w:r>
      <w:r w:rsidRPr="002A3EE1">
        <w:rPr>
          <w:szCs w:val="18"/>
          <w:lang w:val="en-US"/>
        </w:rPr>
        <w:t>Political</w:t>
      </w:r>
      <w:r w:rsidR="004F2FAF">
        <w:rPr>
          <w:szCs w:val="18"/>
          <w:lang w:val="en-US"/>
        </w:rPr>
        <w:t xml:space="preserve"> </w:t>
      </w:r>
      <w:r w:rsidRPr="002A3EE1">
        <w:rPr>
          <w:szCs w:val="18"/>
          <w:lang w:val="en-US"/>
        </w:rPr>
        <w:t>Rights</w:t>
      </w:r>
      <w:r>
        <w:rPr>
          <w:szCs w:val="18"/>
          <w:lang w:val="en-US"/>
        </w:rPr>
        <w:t>,</w:t>
      </w:r>
      <w:r w:rsidR="004F2FAF">
        <w:rPr>
          <w:lang w:val="en-US"/>
        </w:rPr>
        <w:t xml:space="preserve"> </w:t>
      </w:r>
      <w:r>
        <w:rPr>
          <w:lang w:val="en-US"/>
        </w:rPr>
        <w:t>a</w:t>
      </w:r>
      <w:r w:rsidRPr="002A3EE1">
        <w:rPr>
          <w:lang w:val="en-US"/>
        </w:rPr>
        <w:t>rt</w:t>
      </w:r>
      <w:r>
        <w:rPr>
          <w:lang w:val="en-US"/>
        </w:rPr>
        <w:t>.</w:t>
      </w:r>
      <w:r w:rsidR="004F2FAF">
        <w:rPr>
          <w:lang w:val="en-US"/>
        </w:rPr>
        <w:t xml:space="preserve"> </w:t>
      </w:r>
      <w:r w:rsidRPr="002A3EE1">
        <w:rPr>
          <w:lang w:val="en-US"/>
        </w:rPr>
        <w:t>6</w:t>
      </w:r>
      <w:r w:rsidR="004F2FAF">
        <w:rPr>
          <w:lang w:val="en-US"/>
        </w:rPr>
        <w:t xml:space="preserve"> </w:t>
      </w:r>
      <w:r w:rsidRPr="002A3EE1">
        <w:rPr>
          <w:lang w:val="en-US"/>
        </w:rPr>
        <w:t>(1).</w:t>
      </w:r>
    </w:p>
  </w:footnote>
  <w:footnote w:id="37">
    <w:p w14:paraId="056F5038" w14:textId="27164A53" w:rsidR="003E3217" w:rsidRPr="002A3EE1" w:rsidRDefault="003E3217" w:rsidP="00C13EBD">
      <w:pPr>
        <w:pStyle w:val="FootnoteText"/>
        <w:rPr>
          <w:lang w:val="en-US"/>
        </w:rPr>
      </w:pPr>
      <w:r w:rsidRPr="002A3EE1">
        <w:rPr>
          <w:lang w:val="en-US"/>
        </w:rPr>
        <w:tab/>
      </w:r>
      <w:r w:rsidRPr="00F81291">
        <w:rPr>
          <w:rStyle w:val="FootnoteReference"/>
        </w:rPr>
        <w:footnoteRef/>
      </w:r>
      <w:r w:rsidRPr="00F81291">
        <w:rPr>
          <w:rStyle w:val="FootnoteReference"/>
        </w:rPr>
        <w:tab/>
      </w:r>
      <w:hyperlink r:id="rId32" w:history="1">
        <w:r w:rsidRPr="00541C99">
          <w:rPr>
            <w:rStyle w:val="Hyperlink"/>
            <w:lang w:val="en-US"/>
          </w:rPr>
          <w:t>https://www.timesofisrael.com/alleged-assassination-in-nablus-may-signal-major-israeli-policy-change-in-west-bank/</w:t>
        </w:r>
      </w:hyperlink>
      <w:r w:rsidRPr="002A3EE1">
        <w:rPr>
          <w:lang w:val="en-US"/>
        </w:rPr>
        <w:t>.</w:t>
      </w:r>
      <w:r w:rsidR="004F2FAF">
        <w:rPr>
          <w:lang w:val="en-US"/>
        </w:rPr>
        <w:t xml:space="preserve"> </w:t>
      </w:r>
    </w:p>
  </w:footnote>
  <w:footnote w:id="38">
    <w:p w14:paraId="1A652FEA" w14:textId="02A62837" w:rsidR="003E3217" w:rsidRPr="002A3EE1" w:rsidRDefault="003E3217" w:rsidP="00C13EBD">
      <w:pPr>
        <w:pStyle w:val="FootnoteText"/>
        <w:rPr>
          <w:lang w:val="en-US"/>
        </w:rPr>
      </w:pPr>
      <w:r w:rsidRPr="002A3EE1">
        <w:rPr>
          <w:szCs w:val="18"/>
          <w:lang w:val="en-US"/>
        </w:rPr>
        <w:tab/>
      </w:r>
      <w:r w:rsidRPr="00F81291">
        <w:rPr>
          <w:rStyle w:val="FootnoteReference"/>
        </w:rPr>
        <w:footnoteRef/>
      </w:r>
      <w:r w:rsidRPr="00F81291">
        <w:rPr>
          <w:rStyle w:val="FootnoteReference"/>
        </w:rPr>
        <w:tab/>
      </w:r>
      <w:hyperlink r:id="rId33" w:history="1">
        <w:r w:rsidRPr="00541C99">
          <w:rPr>
            <w:rStyle w:val="Hyperlink"/>
            <w:lang w:val="en-US"/>
          </w:rPr>
          <w:t>https://www.ohchr.org/en/press-briefing-notes/2022/10/unlawful-targeted-killings-west-bank</w:t>
        </w:r>
      </w:hyperlink>
      <w:r w:rsidRPr="002A3EE1">
        <w:rPr>
          <w:lang w:val="en-US"/>
        </w:rPr>
        <w:t>.</w:t>
      </w:r>
      <w:r w:rsidR="004F2FAF">
        <w:rPr>
          <w:lang w:val="en-US"/>
        </w:rPr>
        <w:t xml:space="preserve"> </w:t>
      </w:r>
    </w:p>
  </w:footnote>
  <w:footnote w:id="39">
    <w:p w14:paraId="36EBE6FF" w14:textId="58F91B34" w:rsidR="003E3217" w:rsidRPr="002A3EE1" w:rsidRDefault="003E3217" w:rsidP="00C13EBD">
      <w:pPr>
        <w:pStyle w:val="FootnoteText"/>
        <w:rPr>
          <w:lang w:val="en-US"/>
        </w:rPr>
      </w:pPr>
      <w:r w:rsidRPr="002A3EE1">
        <w:rPr>
          <w:lang w:val="en-US"/>
        </w:rPr>
        <w:tab/>
      </w:r>
      <w:r w:rsidRPr="00F81291">
        <w:rPr>
          <w:rStyle w:val="FootnoteReference"/>
        </w:rPr>
        <w:footnoteRef/>
      </w:r>
      <w:r w:rsidRPr="00F81291">
        <w:rPr>
          <w:rStyle w:val="FootnoteReference"/>
        </w:rPr>
        <w:tab/>
      </w:r>
      <w:r>
        <w:rPr>
          <w:szCs w:val="18"/>
          <w:lang w:val="en-US"/>
        </w:rPr>
        <w:t>Information</w:t>
      </w:r>
      <w:r w:rsidR="004F2FAF">
        <w:rPr>
          <w:szCs w:val="18"/>
          <w:lang w:val="en-US"/>
        </w:rPr>
        <w:t xml:space="preserve"> </w:t>
      </w:r>
      <w:r>
        <w:rPr>
          <w:szCs w:val="18"/>
          <w:lang w:val="en-US"/>
        </w:rPr>
        <w:t>provided</w:t>
      </w:r>
      <w:r w:rsidR="004F2FAF">
        <w:rPr>
          <w:szCs w:val="18"/>
          <w:lang w:val="en-US"/>
        </w:rPr>
        <w:t xml:space="preserve"> </w:t>
      </w:r>
      <w:r>
        <w:rPr>
          <w:szCs w:val="18"/>
          <w:lang w:val="en-US"/>
        </w:rPr>
        <w:t>by</w:t>
      </w:r>
      <w:r w:rsidR="004F2FAF">
        <w:rPr>
          <w:szCs w:val="18"/>
          <w:lang w:val="en-US"/>
        </w:rPr>
        <w:t xml:space="preserve"> </w:t>
      </w:r>
      <w:r>
        <w:rPr>
          <w:szCs w:val="18"/>
          <w:lang w:val="en-US"/>
        </w:rPr>
        <w:t>the</w:t>
      </w:r>
      <w:r w:rsidR="004F2FAF">
        <w:rPr>
          <w:szCs w:val="18"/>
          <w:lang w:val="en-US"/>
        </w:rPr>
        <w:t xml:space="preserve"> </w:t>
      </w:r>
      <w:r w:rsidRPr="00D119E7">
        <w:t>Office</w:t>
      </w:r>
      <w:r w:rsidR="004F2FAF">
        <w:t xml:space="preserve"> </w:t>
      </w:r>
      <w:r w:rsidRPr="00D119E7">
        <w:t>for</w:t>
      </w:r>
      <w:r w:rsidR="004F2FAF">
        <w:t xml:space="preserve"> </w:t>
      </w:r>
      <w:r w:rsidRPr="00D119E7">
        <w:t>the</w:t>
      </w:r>
      <w:r w:rsidR="004F2FAF">
        <w:t xml:space="preserve"> </w:t>
      </w:r>
      <w:r w:rsidRPr="00D119E7">
        <w:t>Coordination</w:t>
      </w:r>
      <w:r w:rsidR="004F2FAF">
        <w:t xml:space="preserve"> </w:t>
      </w:r>
      <w:r w:rsidRPr="00D119E7">
        <w:t>of</w:t>
      </w:r>
      <w:r w:rsidR="004F2FAF">
        <w:t xml:space="preserve"> </w:t>
      </w:r>
      <w:r w:rsidRPr="00D119E7">
        <w:t>Humanitarian</w:t>
      </w:r>
      <w:r w:rsidR="004F2FAF">
        <w:t xml:space="preserve"> </w:t>
      </w:r>
      <w:r w:rsidRPr="00D119E7">
        <w:t>Affairs</w:t>
      </w:r>
      <w:r w:rsidRPr="002A3EE1">
        <w:rPr>
          <w:lang w:val="en-US"/>
        </w:rPr>
        <w:t>.</w:t>
      </w:r>
    </w:p>
  </w:footnote>
  <w:footnote w:id="40">
    <w:p w14:paraId="130986F4" w14:textId="14750013" w:rsidR="003E3217" w:rsidRPr="002A3EE1" w:rsidRDefault="003E3217" w:rsidP="00C13EBD">
      <w:pPr>
        <w:pStyle w:val="FootnoteText"/>
        <w:rPr>
          <w:lang w:val="en-US"/>
        </w:rPr>
      </w:pPr>
      <w:r w:rsidRPr="002A3EE1">
        <w:rPr>
          <w:szCs w:val="18"/>
          <w:lang w:val="en-US"/>
        </w:rPr>
        <w:tab/>
      </w:r>
      <w:r w:rsidRPr="00F81291">
        <w:rPr>
          <w:rStyle w:val="FootnoteReference"/>
        </w:rPr>
        <w:footnoteRef/>
      </w:r>
      <w:r w:rsidRPr="00F81291">
        <w:rPr>
          <w:rStyle w:val="FootnoteReference"/>
        </w:rPr>
        <w:tab/>
      </w:r>
      <w:hyperlink r:id="rId34" w:history="1">
        <w:r w:rsidRPr="00541C99">
          <w:rPr>
            <w:rStyle w:val="Hyperlink"/>
            <w:lang w:val="en-US"/>
          </w:rPr>
          <w:t>https://www.ohchr.org/en/press-briefing-notes/2022/06/killing-journalist-occupied-palestinian-territory</w:t>
        </w:r>
      </w:hyperlink>
      <w:r w:rsidRPr="002A3EE1">
        <w:rPr>
          <w:lang w:val="en-US"/>
        </w:rPr>
        <w:t>.</w:t>
      </w:r>
      <w:r w:rsidR="004F2FAF">
        <w:rPr>
          <w:lang w:val="en-US"/>
        </w:rPr>
        <w:t xml:space="preserve"> </w:t>
      </w:r>
    </w:p>
  </w:footnote>
  <w:footnote w:id="41">
    <w:p w14:paraId="6F8AE899" w14:textId="2D32B6B7" w:rsidR="003E3217" w:rsidRPr="002A3EE1" w:rsidRDefault="003E3217" w:rsidP="00C13EBD">
      <w:pPr>
        <w:pStyle w:val="FootnoteText"/>
        <w:rPr>
          <w:lang w:val="en-US"/>
        </w:rPr>
      </w:pPr>
      <w:r w:rsidRPr="002A3EE1">
        <w:rPr>
          <w:szCs w:val="18"/>
          <w:lang w:val="en-US"/>
        </w:rPr>
        <w:tab/>
      </w:r>
      <w:r w:rsidRPr="00F81291">
        <w:rPr>
          <w:rStyle w:val="FootnoteReference"/>
        </w:rPr>
        <w:footnoteRef/>
      </w:r>
      <w:r w:rsidRPr="00F81291">
        <w:rPr>
          <w:rStyle w:val="FootnoteReference"/>
        </w:rPr>
        <w:tab/>
      </w:r>
      <w:hyperlink r:id="rId35" w:history="1">
        <w:r w:rsidRPr="00541C99">
          <w:rPr>
            <w:rStyle w:val="Hyperlink"/>
            <w:lang w:val="en-US"/>
          </w:rPr>
          <w:t>https://www.timesofisrael.com/palestinian-shot-dead-trying-to-illegally-cross-west-bank-security-barrier/</w:t>
        </w:r>
      </w:hyperlink>
      <w:r w:rsidRPr="002A3EE1">
        <w:rPr>
          <w:lang w:val="en-US"/>
        </w:rPr>
        <w:t>.</w:t>
      </w:r>
      <w:r w:rsidR="004F2FAF">
        <w:rPr>
          <w:lang w:val="en-US"/>
        </w:rPr>
        <w:t xml:space="preserve"> </w:t>
      </w:r>
    </w:p>
  </w:footnote>
  <w:footnote w:id="42">
    <w:p w14:paraId="3F0A2AFF" w14:textId="604BA6BF" w:rsidR="003E3217" w:rsidRPr="002A3EE1" w:rsidRDefault="003E3217" w:rsidP="00C13EBD">
      <w:pPr>
        <w:pStyle w:val="FootnoteText"/>
        <w:rPr>
          <w:lang w:val="en-US"/>
        </w:rPr>
      </w:pPr>
      <w:r w:rsidRPr="002A3EE1">
        <w:rPr>
          <w:szCs w:val="18"/>
          <w:lang w:val="en-US"/>
        </w:rPr>
        <w:tab/>
      </w:r>
      <w:r w:rsidRPr="00F81291">
        <w:rPr>
          <w:rStyle w:val="FootnoteReference"/>
        </w:rPr>
        <w:footnoteRef/>
      </w:r>
      <w:r w:rsidRPr="00F81291">
        <w:rPr>
          <w:rStyle w:val="FootnoteReference"/>
        </w:rPr>
        <w:tab/>
      </w:r>
      <w:hyperlink r:id="rId36" w:history="1">
        <w:r w:rsidRPr="00541C99">
          <w:rPr>
            <w:rStyle w:val="Hyperlink"/>
            <w:lang w:val="en-US"/>
          </w:rPr>
          <w:t>https://www.timesofisrael.com/palestinians-say-man-shot-dead-by-israeli-troops-near-qalqilya-security-barrier/</w:t>
        </w:r>
      </w:hyperlink>
      <w:r w:rsidRPr="002A3EE1">
        <w:rPr>
          <w:lang w:val="en-US"/>
        </w:rPr>
        <w:t>.</w:t>
      </w:r>
      <w:r w:rsidR="004F2FAF">
        <w:rPr>
          <w:lang w:val="en-US"/>
        </w:rPr>
        <w:t xml:space="preserve"> </w:t>
      </w:r>
    </w:p>
  </w:footnote>
  <w:footnote w:id="43">
    <w:p w14:paraId="04204465" w14:textId="227E9CC3" w:rsidR="003E3217" w:rsidRPr="002A3EE1" w:rsidRDefault="003E3217" w:rsidP="00C13EBD">
      <w:pPr>
        <w:pStyle w:val="FootnoteText"/>
        <w:rPr>
          <w:lang w:val="en-US"/>
        </w:rPr>
      </w:pPr>
      <w:r w:rsidRPr="002A3EE1">
        <w:rPr>
          <w:lang w:val="en-US"/>
        </w:rPr>
        <w:tab/>
      </w:r>
      <w:r w:rsidRPr="00F81291">
        <w:rPr>
          <w:rStyle w:val="FootnoteReference"/>
        </w:rPr>
        <w:footnoteRef/>
      </w:r>
      <w:r w:rsidRPr="00F81291">
        <w:rPr>
          <w:rStyle w:val="FootnoteReference"/>
        </w:rPr>
        <w:tab/>
      </w:r>
      <w:r>
        <w:rPr>
          <w:szCs w:val="18"/>
          <w:lang w:val="en-US"/>
        </w:rPr>
        <w:t>Information</w:t>
      </w:r>
      <w:r w:rsidR="004F2FAF">
        <w:rPr>
          <w:szCs w:val="18"/>
          <w:lang w:val="en-US"/>
        </w:rPr>
        <w:t xml:space="preserve"> </w:t>
      </w:r>
      <w:r>
        <w:rPr>
          <w:szCs w:val="18"/>
          <w:lang w:val="en-US"/>
        </w:rPr>
        <w:t>provided</w:t>
      </w:r>
      <w:r w:rsidR="004F2FAF">
        <w:rPr>
          <w:szCs w:val="18"/>
          <w:lang w:val="en-US"/>
        </w:rPr>
        <w:t xml:space="preserve"> </w:t>
      </w:r>
      <w:r>
        <w:rPr>
          <w:szCs w:val="18"/>
          <w:lang w:val="en-US"/>
        </w:rPr>
        <w:t>by</w:t>
      </w:r>
      <w:r w:rsidR="004F2FAF">
        <w:rPr>
          <w:szCs w:val="18"/>
          <w:lang w:val="en-US"/>
        </w:rPr>
        <w:t xml:space="preserve"> </w:t>
      </w:r>
      <w:r>
        <w:rPr>
          <w:szCs w:val="18"/>
          <w:lang w:val="en-US"/>
        </w:rPr>
        <w:t>the</w:t>
      </w:r>
      <w:r w:rsidR="004F2FAF">
        <w:rPr>
          <w:szCs w:val="18"/>
          <w:lang w:val="en-US"/>
        </w:rPr>
        <w:t xml:space="preserve"> </w:t>
      </w:r>
      <w:r w:rsidRPr="00D119E7">
        <w:t>Office</w:t>
      </w:r>
      <w:r w:rsidR="004F2FAF">
        <w:t xml:space="preserve"> </w:t>
      </w:r>
      <w:r w:rsidRPr="00D119E7">
        <w:t>for</w:t>
      </w:r>
      <w:r w:rsidR="004F2FAF">
        <w:t xml:space="preserve"> </w:t>
      </w:r>
      <w:r w:rsidRPr="00D119E7">
        <w:t>the</w:t>
      </w:r>
      <w:r w:rsidR="004F2FAF">
        <w:t xml:space="preserve"> </w:t>
      </w:r>
      <w:r w:rsidRPr="00D119E7">
        <w:t>Coordination</w:t>
      </w:r>
      <w:r w:rsidR="004F2FAF">
        <w:t xml:space="preserve"> </w:t>
      </w:r>
      <w:r w:rsidRPr="00D119E7">
        <w:t>of</w:t>
      </w:r>
      <w:r w:rsidR="004F2FAF">
        <w:t xml:space="preserve"> </w:t>
      </w:r>
      <w:r w:rsidRPr="00D119E7">
        <w:t>Humanitarian</w:t>
      </w:r>
      <w:r w:rsidR="004F2FAF">
        <w:t xml:space="preserve"> </w:t>
      </w:r>
      <w:r w:rsidRPr="00D119E7">
        <w:t>Affairs</w:t>
      </w:r>
      <w:r w:rsidRPr="002A3EE1">
        <w:rPr>
          <w:lang w:val="en-US"/>
        </w:rPr>
        <w:t>.</w:t>
      </w:r>
    </w:p>
  </w:footnote>
  <w:footnote w:id="44">
    <w:p w14:paraId="64EC7C4E" w14:textId="38A100B3" w:rsidR="003E3217" w:rsidRPr="002A3EE1" w:rsidRDefault="003E3217" w:rsidP="00C13EBD">
      <w:pPr>
        <w:pStyle w:val="FootnoteText"/>
        <w:rPr>
          <w:lang w:val="en-US"/>
        </w:rPr>
      </w:pPr>
      <w:r w:rsidRPr="002A3EE1">
        <w:rPr>
          <w:szCs w:val="18"/>
          <w:lang w:val="en-US"/>
        </w:rPr>
        <w:tab/>
      </w:r>
      <w:r w:rsidRPr="00F81291">
        <w:rPr>
          <w:rStyle w:val="FootnoteReference"/>
        </w:rPr>
        <w:footnoteRef/>
      </w:r>
      <w:r w:rsidRPr="00F81291">
        <w:rPr>
          <w:rStyle w:val="FootnoteReference"/>
        </w:rPr>
        <w:tab/>
      </w:r>
      <w:r w:rsidRPr="002A3EE1">
        <w:rPr>
          <w:szCs w:val="18"/>
          <w:lang w:val="en-US"/>
        </w:rPr>
        <w:t>Human</w:t>
      </w:r>
      <w:r w:rsidR="004F2FAF">
        <w:rPr>
          <w:szCs w:val="18"/>
          <w:lang w:val="en-US"/>
        </w:rPr>
        <w:t xml:space="preserve"> </w:t>
      </w:r>
      <w:r w:rsidRPr="002A3EE1">
        <w:rPr>
          <w:szCs w:val="18"/>
          <w:lang w:val="en-US"/>
        </w:rPr>
        <w:t>Rights</w:t>
      </w:r>
      <w:r w:rsidR="004F2FAF">
        <w:rPr>
          <w:szCs w:val="18"/>
          <w:lang w:val="en-US"/>
        </w:rPr>
        <w:t xml:space="preserve"> </w:t>
      </w:r>
      <w:r w:rsidRPr="002A3EE1">
        <w:rPr>
          <w:szCs w:val="18"/>
          <w:lang w:val="en-US"/>
        </w:rPr>
        <w:t>Committee,</w:t>
      </w:r>
      <w:r w:rsidR="004F2FAF">
        <w:rPr>
          <w:szCs w:val="18"/>
          <w:lang w:val="en-US"/>
        </w:rPr>
        <w:t xml:space="preserve"> </w:t>
      </w:r>
      <w:r w:rsidRPr="002A3EE1">
        <w:rPr>
          <w:szCs w:val="18"/>
          <w:lang w:val="en-US"/>
        </w:rPr>
        <w:t>general</w:t>
      </w:r>
      <w:r w:rsidR="004F2FAF">
        <w:rPr>
          <w:szCs w:val="18"/>
          <w:lang w:val="en-US"/>
        </w:rPr>
        <w:t xml:space="preserve"> </w:t>
      </w:r>
      <w:r w:rsidRPr="002A3EE1">
        <w:rPr>
          <w:szCs w:val="18"/>
          <w:lang w:val="en-US"/>
        </w:rPr>
        <w:t>comment</w:t>
      </w:r>
      <w:r w:rsidR="004F2FAF">
        <w:rPr>
          <w:szCs w:val="18"/>
          <w:lang w:val="en-US"/>
        </w:rPr>
        <w:t xml:space="preserve"> </w:t>
      </w:r>
      <w:r w:rsidRPr="002A3EE1">
        <w:rPr>
          <w:szCs w:val="18"/>
          <w:lang w:val="en-US"/>
        </w:rPr>
        <w:t>No.</w:t>
      </w:r>
      <w:r w:rsidR="004F2FAF">
        <w:rPr>
          <w:szCs w:val="18"/>
          <w:lang w:val="en-US"/>
        </w:rPr>
        <w:t xml:space="preserve"> </w:t>
      </w:r>
      <w:r w:rsidRPr="002A3EE1">
        <w:t>36</w:t>
      </w:r>
      <w:r w:rsidR="004F2FAF">
        <w:t xml:space="preserve"> </w:t>
      </w:r>
      <w:r w:rsidRPr="002A3EE1">
        <w:t>(2018),</w:t>
      </w:r>
      <w:r w:rsidR="004F2FAF">
        <w:t xml:space="preserve"> </w:t>
      </w:r>
      <w:r w:rsidRPr="002A3EE1">
        <w:t>para.</w:t>
      </w:r>
      <w:r w:rsidR="004F2FAF">
        <w:t xml:space="preserve"> </w:t>
      </w:r>
      <w:r w:rsidRPr="002A3EE1">
        <w:rPr>
          <w:lang w:val="en-US"/>
        </w:rPr>
        <w:t>12</w:t>
      </w:r>
      <w:r w:rsidRPr="00976D61">
        <w:rPr>
          <w:lang w:val="en-US"/>
        </w:rPr>
        <w:t>;</w:t>
      </w:r>
      <w:r w:rsidR="004F2FAF">
        <w:rPr>
          <w:lang w:val="en-US"/>
        </w:rPr>
        <w:t xml:space="preserve"> </w:t>
      </w:r>
      <w:r w:rsidRPr="00976D61">
        <w:rPr>
          <w:lang w:val="en-US"/>
        </w:rPr>
        <w:t>and</w:t>
      </w:r>
      <w:r w:rsidR="004F2FAF">
        <w:rPr>
          <w:lang w:val="en-US"/>
        </w:rPr>
        <w:t xml:space="preserve"> </w:t>
      </w:r>
      <w:hyperlink r:id="rId37" w:history="1">
        <w:r w:rsidRPr="009A2E16">
          <w:rPr>
            <w:rStyle w:val="Hyperlink"/>
            <w:lang w:val="en-US"/>
          </w:rPr>
          <w:t>https://www.ohchr.org/en/instruments-mechanisms/instruments/basic-principles-use-force-and-firearms-law-enforcement</w:t>
        </w:r>
      </w:hyperlink>
      <w:r w:rsidRPr="002A3EE1">
        <w:rPr>
          <w:lang w:val="en-US"/>
        </w:rPr>
        <w:t>.</w:t>
      </w:r>
      <w:r w:rsidR="004F2FAF">
        <w:rPr>
          <w:lang w:val="en-US"/>
        </w:rPr>
        <w:t xml:space="preserve"> </w:t>
      </w:r>
    </w:p>
  </w:footnote>
  <w:footnote w:id="45">
    <w:p w14:paraId="5F699D37" w14:textId="480E5D9C" w:rsidR="003E3217" w:rsidRPr="002A3EE1" w:rsidRDefault="003E3217" w:rsidP="00C13EBD">
      <w:pPr>
        <w:pStyle w:val="FootnoteText"/>
        <w:rPr>
          <w:lang w:val="en-US"/>
        </w:rPr>
      </w:pPr>
      <w:r w:rsidRPr="002A3EE1">
        <w:rPr>
          <w:szCs w:val="18"/>
          <w:lang w:val="en-US"/>
        </w:rPr>
        <w:tab/>
      </w:r>
      <w:r w:rsidRPr="00F81291">
        <w:rPr>
          <w:rStyle w:val="FootnoteReference"/>
        </w:rPr>
        <w:footnoteRef/>
      </w:r>
      <w:r w:rsidRPr="00F81291">
        <w:rPr>
          <w:rStyle w:val="FootnoteReference"/>
        </w:rPr>
        <w:tab/>
      </w:r>
      <w:hyperlink r:id="rId38" w:history="1">
        <w:r w:rsidRPr="009A2E16">
          <w:rPr>
            <w:rStyle w:val="Hyperlink"/>
            <w:lang w:val="en-US"/>
          </w:rPr>
          <w:t>https://www.ohchr.org/en/instruments-mechanisms/instruments/basic-principles-use-force-and-firearms-law-enforcement</w:t>
        </w:r>
      </w:hyperlink>
      <w:r w:rsidRPr="002A3EE1">
        <w:rPr>
          <w:lang w:val="en-US"/>
        </w:rPr>
        <w:t>.</w:t>
      </w:r>
      <w:r w:rsidR="004F2FAF">
        <w:rPr>
          <w:lang w:val="en-US"/>
        </w:rPr>
        <w:t xml:space="preserve"> </w:t>
      </w:r>
    </w:p>
  </w:footnote>
  <w:footnote w:id="46">
    <w:p w14:paraId="71C141DC" w14:textId="45B1EBAA" w:rsidR="003E3217" w:rsidRPr="00725D3C" w:rsidRDefault="003E3217" w:rsidP="00C13EBD">
      <w:pPr>
        <w:pStyle w:val="FootnoteText"/>
      </w:pPr>
      <w:r w:rsidRPr="002A3EE1">
        <w:rPr>
          <w:szCs w:val="18"/>
          <w:lang w:val="en-US"/>
        </w:rPr>
        <w:tab/>
      </w:r>
      <w:r w:rsidRPr="00F81291">
        <w:rPr>
          <w:rStyle w:val="FootnoteReference"/>
        </w:rPr>
        <w:footnoteRef/>
      </w:r>
      <w:r w:rsidRPr="00F81291">
        <w:rPr>
          <w:rStyle w:val="FootnoteReference"/>
        </w:rPr>
        <w:tab/>
      </w:r>
      <w:r w:rsidRPr="002A3EE1">
        <w:rPr>
          <w:lang w:val="en-US"/>
        </w:rPr>
        <w:t>See</w:t>
      </w:r>
      <w:r w:rsidR="004F2FAF">
        <w:t xml:space="preserve"> </w:t>
      </w:r>
      <w:r>
        <w:t>also</w:t>
      </w:r>
      <w:r w:rsidR="004F2FAF">
        <w:t xml:space="preserve"> </w:t>
      </w:r>
      <w:r>
        <w:t>the</w:t>
      </w:r>
      <w:r w:rsidR="004F2FAF">
        <w:t xml:space="preserve"> </w:t>
      </w:r>
      <w:r>
        <w:t>Rome</w:t>
      </w:r>
      <w:r w:rsidR="004F2FAF">
        <w:t xml:space="preserve"> </w:t>
      </w:r>
      <w:r>
        <w:t>Statute</w:t>
      </w:r>
      <w:r w:rsidRPr="00725D3C">
        <w:t>,</w:t>
      </w:r>
      <w:r w:rsidR="004F2FAF">
        <w:t xml:space="preserve"> </w:t>
      </w:r>
      <w:r w:rsidRPr="00725D3C">
        <w:t>art.</w:t>
      </w:r>
      <w:r w:rsidR="004F2FAF">
        <w:t xml:space="preserve"> </w:t>
      </w:r>
      <w:r w:rsidRPr="00725D3C">
        <w:t>8</w:t>
      </w:r>
      <w:r w:rsidR="004F2FAF">
        <w:t xml:space="preserve"> </w:t>
      </w:r>
      <w:r w:rsidRPr="00725D3C">
        <w:t>(2)</w:t>
      </w:r>
      <w:r w:rsidR="004F2FAF">
        <w:t xml:space="preserve"> </w:t>
      </w:r>
      <w:r w:rsidRPr="00725D3C">
        <w:t>(a)</w:t>
      </w:r>
      <w:r w:rsidR="004F2FAF">
        <w:t xml:space="preserve"> </w:t>
      </w:r>
      <w:r w:rsidRPr="00725D3C">
        <w:t>(i).</w:t>
      </w:r>
      <w:r w:rsidR="004F2FAF">
        <w:t xml:space="preserve"> </w:t>
      </w:r>
    </w:p>
  </w:footnote>
  <w:footnote w:id="47">
    <w:p w14:paraId="1E0890EE" w14:textId="00C84074" w:rsidR="003E3217" w:rsidRPr="002A3EE1" w:rsidRDefault="003E3217" w:rsidP="00C13EBD">
      <w:pPr>
        <w:pStyle w:val="FootnoteText"/>
      </w:pPr>
      <w:r w:rsidRPr="00725D3C">
        <w:rPr>
          <w:szCs w:val="18"/>
        </w:rPr>
        <w:tab/>
      </w:r>
      <w:r w:rsidRPr="00F81291">
        <w:rPr>
          <w:rStyle w:val="FootnoteReference"/>
        </w:rPr>
        <w:footnoteRef/>
      </w:r>
      <w:r w:rsidRPr="00F81291">
        <w:rPr>
          <w:rStyle w:val="FootnoteReference"/>
        </w:rPr>
        <w:tab/>
      </w:r>
      <w:hyperlink r:id="rId39" w:history="1">
        <w:r w:rsidRPr="009A2E16">
          <w:rPr>
            <w:rStyle w:val="Hyperlink"/>
            <w:noProof/>
            <w:shd w:val="clear" w:color="auto" w:fill="FFFFFF"/>
          </w:rPr>
          <w:t>A/HRC/49/25</w:t>
        </w:r>
      </w:hyperlink>
      <w:r w:rsidRPr="002A3EE1">
        <w:rPr>
          <w:noProof/>
          <w:color w:val="333333"/>
          <w:shd w:val="clear" w:color="auto" w:fill="FFFFFF"/>
        </w:rPr>
        <w:t>,</w:t>
      </w:r>
      <w:r w:rsidR="004F2FAF">
        <w:rPr>
          <w:noProof/>
          <w:color w:val="333333"/>
          <w:shd w:val="clear" w:color="auto" w:fill="FFFFFF"/>
        </w:rPr>
        <w:t xml:space="preserve"> </w:t>
      </w:r>
      <w:r w:rsidRPr="002A3EE1">
        <w:rPr>
          <w:noProof/>
          <w:color w:val="333333"/>
          <w:shd w:val="clear" w:color="auto" w:fill="FFFFFF"/>
        </w:rPr>
        <w:t>footnote</w:t>
      </w:r>
      <w:r w:rsidR="004F2FAF">
        <w:rPr>
          <w:noProof/>
          <w:color w:val="333333"/>
          <w:shd w:val="clear" w:color="auto" w:fill="FFFFFF"/>
        </w:rPr>
        <w:t xml:space="preserve"> </w:t>
      </w:r>
      <w:r w:rsidRPr="002A3EE1">
        <w:rPr>
          <w:noProof/>
          <w:color w:val="333333"/>
          <w:shd w:val="clear" w:color="auto" w:fill="FFFFFF"/>
        </w:rPr>
        <w:t>68.</w:t>
      </w:r>
      <w:r w:rsidR="004F2FAF">
        <w:rPr>
          <w:noProof/>
          <w:color w:val="333333"/>
          <w:shd w:val="clear" w:color="auto" w:fill="FFFFFF"/>
        </w:rPr>
        <w:t xml:space="preserve"> </w:t>
      </w:r>
    </w:p>
  </w:footnote>
  <w:footnote w:id="48">
    <w:p w14:paraId="49ACC59D" w14:textId="7B918A96" w:rsidR="003E3217" w:rsidRPr="002A3EE1" w:rsidRDefault="003E3217" w:rsidP="00C13EBD">
      <w:pPr>
        <w:pStyle w:val="FootnoteText"/>
      </w:pPr>
      <w:r w:rsidRPr="002A3EE1">
        <w:rPr>
          <w:szCs w:val="18"/>
        </w:rPr>
        <w:tab/>
      </w:r>
      <w:r w:rsidRPr="00F81291">
        <w:rPr>
          <w:rStyle w:val="FootnoteReference"/>
        </w:rPr>
        <w:footnoteRef/>
      </w:r>
      <w:r w:rsidRPr="00F81291">
        <w:rPr>
          <w:rStyle w:val="FootnoteReference"/>
        </w:rPr>
        <w:tab/>
      </w:r>
      <w:r w:rsidRPr="002A3EE1">
        <w:t>Ibid.</w:t>
      </w:r>
      <w:r w:rsidR="004F2FAF">
        <w:t xml:space="preserve"> </w:t>
      </w:r>
    </w:p>
  </w:footnote>
  <w:footnote w:id="49">
    <w:p w14:paraId="0425F8FF" w14:textId="58C1D602" w:rsidR="003E3217" w:rsidRPr="00725D3C" w:rsidRDefault="003E3217" w:rsidP="00C13EBD">
      <w:pPr>
        <w:pStyle w:val="FootnoteText"/>
        <w:rPr>
          <w:rFonts w:cstheme="minorHAnsi"/>
        </w:rPr>
      </w:pPr>
      <w:r w:rsidRPr="002A3EE1">
        <w:rPr>
          <w:szCs w:val="18"/>
        </w:rPr>
        <w:tab/>
      </w:r>
      <w:r w:rsidRPr="00F81291">
        <w:rPr>
          <w:rStyle w:val="FootnoteReference"/>
        </w:rPr>
        <w:footnoteRef/>
      </w:r>
      <w:r w:rsidRPr="00F81291">
        <w:rPr>
          <w:rStyle w:val="FootnoteReference"/>
        </w:rPr>
        <w:tab/>
      </w:r>
      <w:r w:rsidRPr="00725D3C">
        <w:rPr>
          <w:rFonts w:cstheme="minorHAnsi"/>
        </w:rPr>
        <w:t>The</w:t>
      </w:r>
      <w:r w:rsidR="004F2FAF">
        <w:rPr>
          <w:rFonts w:cstheme="minorHAnsi"/>
        </w:rPr>
        <w:t xml:space="preserve"> </w:t>
      </w:r>
      <w:r w:rsidRPr="00725D3C">
        <w:rPr>
          <w:rFonts w:cstheme="minorHAnsi"/>
        </w:rPr>
        <w:t>President</w:t>
      </w:r>
      <w:r w:rsidR="004F2FAF">
        <w:rPr>
          <w:rFonts w:cstheme="minorHAnsi"/>
        </w:rPr>
        <w:t xml:space="preserve"> </w:t>
      </w:r>
      <w:r w:rsidRPr="00725D3C">
        <w:rPr>
          <w:rFonts w:cstheme="minorHAnsi"/>
        </w:rPr>
        <w:t>introduced</w:t>
      </w:r>
      <w:r w:rsidR="004F2FAF">
        <w:rPr>
          <w:rFonts w:cstheme="minorHAnsi"/>
        </w:rPr>
        <w:t xml:space="preserve"> </w:t>
      </w:r>
      <w:r w:rsidRPr="00725D3C">
        <w:rPr>
          <w:rFonts w:cstheme="minorHAnsi"/>
        </w:rPr>
        <w:t>by</w:t>
      </w:r>
      <w:r w:rsidR="004F2FAF">
        <w:rPr>
          <w:rFonts w:cstheme="minorHAnsi"/>
        </w:rPr>
        <w:t xml:space="preserve"> </w:t>
      </w:r>
      <w:r w:rsidRPr="00725D3C">
        <w:rPr>
          <w:rFonts w:cstheme="minorHAnsi"/>
        </w:rPr>
        <w:t>decree</w:t>
      </w:r>
      <w:r>
        <w:rPr>
          <w:rFonts w:cstheme="minorHAnsi"/>
        </w:rPr>
        <w:t>-</w:t>
      </w:r>
      <w:r w:rsidRPr="00725D3C">
        <w:rPr>
          <w:rFonts w:cstheme="minorHAnsi"/>
        </w:rPr>
        <w:t>law</w:t>
      </w:r>
      <w:r w:rsidR="004F2FAF">
        <w:rPr>
          <w:rFonts w:cstheme="minorHAnsi"/>
        </w:rPr>
        <w:t xml:space="preserve"> </w:t>
      </w:r>
      <w:r w:rsidRPr="00725D3C">
        <w:rPr>
          <w:rFonts w:cstheme="minorHAnsi"/>
        </w:rPr>
        <w:t>a</w:t>
      </w:r>
      <w:r w:rsidR="004F2FAF">
        <w:rPr>
          <w:rFonts w:cstheme="minorHAnsi"/>
        </w:rPr>
        <w:t xml:space="preserve"> </w:t>
      </w:r>
      <w:r w:rsidRPr="00725D3C">
        <w:rPr>
          <w:rFonts w:cstheme="minorHAnsi"/>
        </w:rPr>
        <w:t>requirement</w:t>
      </w:r>
      <w:r w:rsidR="004F2FAF">
        <w:rPr>
          <w:rFonts w:cstheme="minorHAnsi"/>
        </w:rPr>
        <w:t xml:space="preserve"> </w:t>
      </w:r>
      <w:r w:rsidRPr="00725D3C">
        <w:rPr>
          <w:rFonts w:cstheme="minorHAnsi"/>
        </w:rPr>
        <w:t>for</w:t>
      </w:r>
      <w:r w:rsidR="004F2FAF">
        <w:rPr>
          <w:rFonts w:cstheme="minorHAnsi"/>
        </w:rPr>
        <w:t xml:space="preserve"> </w:t>
      </w:r>
      <w:r w:rsidRPr="00725D3C">
        <w:rPr>
          <w:rFonts w:cstheme="minorHAnsi"/>
        </w:rPr>
        <w:t>NGOs</w:t>
      </w:r>
      <w:r w:rsidR="004F2FAF">
        <w:rPr>
          <w:rFonts w:cstheme="minorHAnsi"/>
        </w:rPr>
        <w:t xml:space="preserve"> </w:t>
      </w:r>
      <w:r w:rsidRPr="00725D3C">
        <w:rPr>
          <w:rFonts w:cstheme="minorHAnsi"/>
        </w:rPr>
        <w:t>to</w:t>
      </w:r>
      <w:r w:rsidR="004F2FAF">
        <w:rPr>
          <w:rFonts w:cstheme="minorHAnsi"/>
        </w:rPr>
        <w:t xml:space="preserve"> </w:t>
      </w:r>
      <w:r w:rsidRPr="00725D3C">
        <w:rPr>
          <w:rFonts w:cstheme="minorHAnsi"/>
        </w:rPr>
        <w:t>submit</w:t>
      </w:r>
      <w:r w:rsidR="004F2FAF">
        <w:rPr>
          <w:rFonts w:cstheme="minorHAnsi"/>
        </w:rPr>
        <w:t xml:space="preserve"> </w:t>
      </w:r>
      <w:r w:rsidRPr="00725D3C">
        <w:rPr>
          <w:rFonts w:cstheme="minorHAnsi"/>
        </w:rPr>
        <w:t>their</w:t>
      </w:r>
      <w:r w:rsidR="004F2FAF">
        <w:rPr>
          <w:rFonts w:cstheme="minorHAnsi"/>
        </w:rPr>
        <w:t xml:space="preserve"> </w:t>
      </w:r>
      <w:r w:rsidRPr="00725D3C">
        <w:rPr>
          <w:rFonts w:cstheme="minorHAnsi"/>
        </w:rPr>
        <w:t>workplans</w:t>
      </w:r>
      <w:r w:rsidR="004F2FAF">
        <w:rPr>
          <w:rFonts w:cstheme="minorHAnsi"/>
        </w:rPr>
        <w:t xml:space="preserve"> </w:t>
      </w:r>
      <w:r w:rsidRPr="00725D3C">
        <w:rPr>
          <w:rFonts w:cstheme="minorHAnsi"/>
        </w:rPr>
        <w:t>and</w:t>
      </w:r>
      <w:r w:rsidR="004F2FAF">
        <w:rPr>
          <w:rFonts w:cstheme="minorHAnsi"/>
        </w:rPr>
        <w:t xml:space="preserve"> </w:t>
      </w:r>
      <w:r w:rsidRPr="00725D3C">
        <w:rPr>
          <w:rFonts w:cstheme="minorHAnsi"/>
        </w:rPr>
        <w:t>budgets</w:t>
      </w:r>
      <w:r w:rsidR="004F2FAF">
        <w:rPr>
          <w:rFonts w:cstheme="minorHAnsi"/>
        </w:rPr>
        <w:t xml:space="preserve"> </w:t>
      </w:r>
      <w:r w:rsidRPr="00725D3C">
        <w:rPr>
          <w:rFonts w:cstheme="minorHAnsi"/>
        </w:rPr>
        <w:t>consistent</w:t>
      </w:r>
      <w:r w:rsidR="004F2FAF">
        <w:rPr>
          <w:rFonts w:cstheme="minorHAnsi"/>
        </w:rPr>
        <w:t xml:space="preserve"> </w:t>
      </w:r>
      <w:r w:rsidRPr="00725D3C">
        <w:rPr>
          <w:rFonts w:cstheme="minorHAnsi"/>
        </w:rPr>
        <w:t>with</w:t>
      </w:r>
      <w:r w:rsidR="004F2FAF">
        <w:rPr>
          <w:rFonts w:cstheme="minorHAnsi"/>
        </w:rPr>
        <w:t xml:space="preserve"> </w:t>
      </w:r>
      <w:r w:rsidRPr="00725D3C">
        <w:rPr>
          <w:rFonts w:cstheme="minorHAnsi"/>
        </w:rPr>
        <w:t>the</w:t>
      </w:r>
      <w:r w:rsidR="004F2FAF">
        <w:rPr>
          <w:rFonts w:cstheme="minorHAnsi"/>
        </w:rPr>
        <w:t xml:space="preserve"> </w:t>
      </w:r>
      <w:r w:rsidRPr="00725D3C">
        <w:rPr>
          <w:rFonts w:cstheme="minorHAnsi"/>
        </w:rPr>
        <w:t>plan</w:t>
      </w:r>
      <w:r w:rsidR="004F2FAF">
        <w:rPr>
          <w:rFonts w:cstheme="minorHAnsi"/>
        </w:rPr>
        <w:t xml:space="preserve"> </w:t>
      </w:r>
      <w:r w:rsidRPr="00725D3C">
        <w:rPr>
          <w:rFonts w:cstheme="minorHAnsi"/>
        </w:rPr>
        <w:t>of</w:t>
      </w:r>
      <w:r w:rsidR="004F2FAF">
        <w:rPr>
          <w:rFonts w:cstheme="minorHAnsi"/>
        </w:rPr>
        <w:t xml:space="preserve"> </w:t>
      </w:r>
      <w:r w:rsidRPr="00725D3C">
        <w:rPr>
          <w:rFonts w:cstheme="minorHAnsi"/>
        </w:rPr>
        <w:t>line</w:t>
      </w:r>
      <w:r w:rsidR="004F2FAF">
        <w:rPr>
          <w:rFonts w:cstheme="minorHAnsi"/>
        </w:rPr>
        <w:t xml:space="preserve"> </w:t>
      </w:r>
      <w:r w:rsidRPr="00725D3C">
        <w:rPr>
          <w:rFonts w:cstheme="minorHAnsi"/>
        </w:rPr>
        <w:t>ministries,</w:t>
      </w:r>
      <w:r w:rsidR="004F2FAF">
        <w:rPr>
          <w:rFonts w:cstheme="minorHAnsi"/>
        </w:rPr>
        <w:t xml:space="preserve"> </w:t>
      </w:r>
      <w:r w:rsidRPr="00725D3C">
        <w:rPr>
          <w:rFonts w:cstheme="minorHAnsi"/>
        </w:rPr>
        <w:t>among</w:t>
      </w:r>
      <w:r w:rsidR="004F2FAF">
        <w:rPr>
          <w:rFonts w:cstheme="minorHAnsi"/>
        </w:rPr>
        <w:t xml:space="preserve"> </w:t>
      </w:r>
      <w:r w:rsidRPr="00725D3C">
        <w:rPr>
          <w:rFonts w:cstheme="minorHAnsi"/>
        </w:rPr>
        <w:t>other</w:t>
      </w:r>
      <w:r w:rsidR="004F2FAF">
        <w:rPr>
          <w:rFonts w:cstheme="minorHAnsi"/>
        </w:rPr>
        <w:t xml:space="preserve"> </w:t>
      </w:r>
      <w:r w:rsidRPr="00725D3C">
        <w:rPr>
          <w:rFonts w:cstheme="minorHAnsi"/>
        </w:rPr>
        <w:t>unacceptable</w:t>
      </w:r>
      <w:r w:rsidR="004F2FAF">
        <w:rPr>
          <w:rFonts w:cstheme="minorHAnsi"/>
        </w:rPr>
        <w:t xml:space="preserve"> </w:t>
      </w:r>
      <w:r w:rsidRPr="00725D3C">
        <w:rPr>
          <w:rFonts w:cstheme="minorHAnsi"/>
        </w:rPr>
        <w:t>restrictions.</w:t>
      </w:r>
    </w:p>
  </w:footnote>
  <w:footnote w:id="50">
    <w:p w14:paraId="3FCE03C3" w14:textId="7AF57389" w:rsidR="003E3217" w:rsidRPr="00725D3C" w:rsidRDefault="003E3217" w:rsidP="00C13EBD">
      <w:pPr>
        <w:pStyle w:val="FootnoteText"/>
        <w:rPr>
          <w:rFonts w:cstheme="minorHAnsi"/>
        </w:rPr>
      </w:pPr>
      <w:r w:rsidRPr="00725D3C">
        <w:rPr>
          <w:szCs w:val="18"/>
        </w:rPr>
        <w:tab/>
      </w:r>
      <w:r w:rsidRPr="00F81291">
        <w:rPr>
          <w:rStyle w:val="FootnoteReference"/>
        </w:rPr>
        <w:footnoteRef/>
      </w:r>
      <w:r w:rsidRPr="00F81291">
        <w:rPr>
          <w:rStyle w:val="FootnoteReference"/>
        </w:rPr>
        <w:tab/>
      </w:r>
      <w:r>
        <w:rPr>
          <w:szCs w:val="18"/>
        </w:rPr>
        <w:t>Regulation</w:t>
      </w:r>
      <w:r w:rsidR="004F2FAF">
        <w:rPr>
          <w:szCs w:val="18"/>
        </w:rPr>
        <w:t xml:space="preserve"> </w:t>
      </w:r>
      <w:r>
        <w:rPr>
          <w:szCs w:val="18"/>
        </w:rPr>
        <w:t>on</w:t>
      </w:r>
      <w:r w:rsidR="004F2FAF">
        <w:rPr>
          <w:szCs w:val="18"/>
        </w:rPr>
        <w:t xml:space="preserve"> </w:t>
      </w:r>
      <w:r>
        <w:rPr>
          <w:rFonts w:cstheme="minorHAnsi"/>
        </w:rPr>
        <w:t>n</w:t>
      </w:r>
      <w:r w:rsidRPr="00725D3C">
        <w:rPr>
          <w:rFonts w:cstheme="minorHAnsi"/>
        </w:rPr>
        <w:t>on-</w:t>
      </w:r>
      <w:r>
        <w:rPr>
          <w:rFonts w:cstheme="minorHAnsi"/>
        </w:rPr>
        <w:t>p</w:t>
      </w:r>
      <w:r w:rsidRPr="00725D3C">
        <w:rPr>
          <w:rFonts w:cstheme="minorHAnsi"/>
        </w:rPr>
        <w:t>rofit</w:t>
      </w:r>
      <w:r w:rsidR="004F2FAF">
        <w:rPr>
          <w:rFonts w:cstheme="minorHAnsi"/>
        </w:rPr>
        <w:t xml:space="preserve"> </w:t>
      </w:r>
      <w:r>
        <w:rPr>
          <w:rFonts w:cstheme="minorHAnsi"/>
        </w:rPr>
        <w:t>c</w:t>
      </w:r>
      <w:r w:rsidRPr="00725D3C">
        <w:rPr>
          <w:rFonts w:cstheme="minorHAnsi"/>
        </w:rPr>
        <w:t>ompanies</w:t>
      </w:r>
      <w:r>
        <w:rPr>
          <w:rFonts w:cstheme="minorHAnsi"/>
        </w:rPr>
        <w:t>,</w:t>
      </w:r>
      <w:r w:rsidR="004F2FAF">
        <w:rPr>
          <w:rFonts w:cstheme="minorHAnsi"/>
        </w:rPr>
        <w:t xml:space="preserve"> </w:t>
      </w:r>
      <w:r w:rsidRPr="00725D3C">
        <w:rPr>
          <w:rFonts w:cstheme="minorHAnsi"/>
        </w:rPr>
        <w:t>No.</w:t>
      </w:r>
      <w:r w:rsidR="004F2FAF">
        <w:rPr>
          <w:rFonts w:cstheme="minorHAnsi"/>
        </w:rPr>
        <w:t xml:space="preserve"> </w:t>
      </w:r>
      <w:r w:rsidRPr="00725D3C">
        <w:rPr>
          <w:rFonts w:cstheme="minorHAnsi"/>
        </w:rPr>
        <w:t>20</w:t>
      </w:r>
      <w:r w:rsidR="004F2FAF">
        <w:rPr>
          <w:rFonts w:cstheme="minorHAnsi"/>
        </w:rPr>
        <w:t xml:space="preserve"> </w:t>
      </w:r>
      <w:r w:rsidRPr="00725D3C">
        <w:rPr>
          <w:rFonts w:cstheme="minorHAnsi"/>
        </w:rPr>
        <w:t>of</w:t>
      </w:r>
      <w:r w:rsidR="004F2FAF">
        <w:rPr>
          <w:rFonts w:cstheme="minorHAnsi"/>
        </w:rPr>
        <w:t xml:space="preserve"> </w:t>
      </w:r>
      <w:r w:rsidRPr="00725D3C">
        <w:rPr>
          <w:rFonts w:cstheme="minorHAnsi"/>
        </w:rPr>
        <w:t>2022.</w:t>
      </w:r>
    </w:p>
  </w:footnote>
  <w:footnote w:id="51">
    <w:p w14:paraId="5D73215C" w14:textId="66F04A70" w:rsidR="003E3217" w:rsidRPr="002A3EE1" w:rsidRDefault="003E3217" w:rsidP="00C13EBD">
      <w:pPr>
        <w:pStyle w:val="FootnoteText"/>
        <w:rPr>
          <w:lang w:val="en-US"/>
        </w:rPr>
      </w:pPr>
      <w:r w:rsidRPr="002A3EE1">
        <w:rPr>
          <w:szCs w:val="18"/>
          <w:lang w:val="en-US"/>
        </w:rPr>
        <w:tab/>
      </w:r>
      <w:r w:rsidRPr="00F81291">
        <w:rPr>
          <w:rStyle w:val="FootnoteReference"/>
        </w:rPr>
        <w:footnoteRef/>
      </w:r>
      <w:r w:rsidRPr="00F81291">
        <w:rPr>
          <w:rStyle w:val="FootnoteReference"/>
        </w:rPr>
        <w:tab/>
      </w:r>
      <w:r w:rsidRPr="002A3EE1">
        <w:rPr>
          <w:lang w:val="en-US"/>
        </w:rPr>
        <w:t>United</w:t>
      </w:r>
      <w:r w:rsidR="004F2FAF">
        <w:rPr>
          <w:lang w:val="en-US"/>
        </w:rPr>
        <w:t xml:space="preserve"> </w:t>
      </w:r>
      <w:r w:rsidRPr="002A3EE1">
        <w:rPr>
          <w:lang w:val="en-US"/>
        </w:rPr>
        <w:t>Nations</w:t>
      </w:r>
      <w:r w:rsidR="004F2FAF">
        <w:rPr>
          <w:lang w:val="en-US"/>
        </w:rPr>
        <w:t xml:space="preserve"> </w:t>
      </w:r>
      <w:r w:rsidRPr="002A3EE1">
        <w:rPr>
          <w:lang w:val="en-US"/>
        </w:rPr>
        <w:t>Standard</w:t>
      </w:r>
      <w:r w:rsidR="004F2FAF">
        <w:rPr>
          <w:lang w:val="en-US"/>
        </w:rPr>
        <w:t xml:space="preserve"> </w:t>
      </w:r>
      <w:r w:rsidRPr="002A3EE1">
        <w:rPr>
          <w:lang w:val="en-US"/>
        </w:rPr>
        <w:t>Minimum</w:t>
      </w:r>
      <w:r w:rsidR="004F2FAF">
        <w:rPr>
          <w:lang w:val="en-US"/>
        </w:rPr>
        <w:t xml:space="preserve"> </w:t>
      </w:r>
      <w:r w:rsidRPr="002A3EE1">
        <w:rPr>
          <w:lang w:val="en-US"/>
        </w:rPr>
        <w:t>Rules</w:t>
      </w:r>
      <w:r w:rsidR="004F2FAF">
        <w:rPr>
          <w:lang w:val="en-US"/>
        </w:rPr>
        <w:t xml:space="preserve"> </w:t>
      </w:r>
      <w:r w:rsidRPr="002A3EE1">
        <w:rPr>
          <w:lang w:val="en-US"/>
        </w:rPr>
        <w:t>for</w:t>
      </w:r>
      <w:r w:rsidR="004F2FAF">
        <w:rPr>
          <w:lang w:val="en-US"/>
        </w:rPr>
        <w:t xml:space="preserve"> </w:t>
      </w:r>
      <w:r w:rsidRPr="002A3EE1">
        <w:rPr>
          <w:lang w:val="en-US"/>
        </w:rPr>
        <w:t>the</w:t>
      </w:r>
      <w:r w:rsidR="004F2FAF">
        <w:rPr>
          <w:lang w:val="en-US"/>
        </w:rPr>
        <w:t xml:space="preserve"> </w:t>
      </w:r>
      <w:r w:rsidRPr="002A3EE1">
        <w:rPr>
          <w:lang w:val="en-US"/>
        </w:rPr>
        <w:t>Treatment</w:t>
      </w:r>
      <w:r w:rsidR="004F2FAF">
        <w:rPr>
          <w:lang w:val="en-US"/>
        </w:rPr>
        <w:t xml:space="preserve"> </w:t>
      </w:r>
      <w:r w:rsidRPr="002A3EE1">
        <w:rPr>
          <w:lang w:val="en-US"/>
        </w:rPr>
        <w:t>of</w:t>
      </w:r>
      <w:r w:rsidR="004F2FAF">
        <w:rPr>
          <w:lang w:val="en-US"/>
        </w:rPr>
        <w:t xml:space="preserve"> </w:t>
      </w:r>
      <w:r w:rsidRPr="002A3EE1">
        <w:rPr>
          <w:lang w:val="en-US"/>
        </w:rPr>
        <w:t>Prisoners</w:t>
      </w:r>
      <w:r w:rsidR="004F2FAF">
        <w:rPr>
          <w:lang w:val="en-US"/>
        </w:rPr>
        <w:t xml:space="preserve"> </w:t>
      </w:r>
      <w:r w:rsidRPr="002A3EE1">
        <w:rPr>
          <w:lang w:val="en-US"/>
        </w:rPr>
        <w:t>(the</w:t>
      </w:r>
      <w:r w:rsidR="004F2FAF">
        <w:rPr>
          <w:lang w:val="en-US"/>
        </w:rPr>
        <w:t xml:space="preserve"> </w:t>
      </w:r>
      <w:r w:rsidRPr="002A3EE1">
        <w:rPr>
          <w:lang w:val="en-US"/>
        </w:rPr>
        <w:t>Nelson</w:t>
      </w:r>
      <w:r w:rsidR="004F2FAF">
        <w:rPr>
          <w:lang w:val="en-US"/>
        </w:rPr>
        <w:t xml:space="preserve"> </w:t>
      </w:r>
      <w:r w:rsidRPr="002A3EE1">
        <w:rPr>
          <w:lang w:val="en-US"/>
        </w:rPr>
        <w:t>Mandela</w:t>
      </w:r>
      <w:r w:rsidR="004F2FAF">
        <w:rPr>
          <w:lang w:val="en-US"/>
        </w:rPr>
        <w:t xml:space="preserve"> </w:t>
      </w:r>
      <w:r>
        <w:rPr>
          <w:lang w:val="en-US"/>
        </w:rPr>
        <w:t>Rules)</w:t>
      </w:r>
      <w:r w:rsidRPr="002A3EE1">
        <w:rPr>
          <w:lang w:val="en-US"/>
        </w:rPr>
        <w:t>,</w:t>
      </w:r>
      <w:r w:rsidR="004F2FAF">
        <w:rPr>
          <w:lang w:val="en-US"/>
        </w:rPr>
        <w:t xml:space="preserve"> </w:t>
      </w:r>
      <w:r w:rsidRPr="002A3EE1">
        <w:rPr>
          <w:lang w:val="en-US"/>
        </w:rPr>
        <w:t>rule</w:t>
      </w:r>
      <w:r w:rsidR="004F2FAF">
        <w:rPr>
          <w:lang w:val="en-US"/>
        </w:rPr>
        <w:t xml:space="preserve"> </w:t>
      </w:r>
      <w:r w:rsidRPr="002A3EE1">
        <w:rPr>
          <w:lang w:val="en-US"/>
        </w:rPr>
        <w:t>11</w:t>
      </w:r>
      <w:r w:rsidR="004F2FAF">
        <w:rPr>
          <w:lang w:val="en-US"/>
        </w:rPr>
        <w:t xml:space="preserve"> </w:t>
      </w:r>
      <w:r w:rsidRPr="002A3EE1">
        <w:rPr>
          <w:lang w:val="en-US"/>
        </w:rPr>
        <w:t>(a).</w:t>
      </w:r>
    </w:p>
  </w:footnote>
  <w:footnote w:id="52">
    <w:p w14:paraId="24D3B83D" w14:textId="5BFB22F0" w:rsidR="003E3217" w:rsidRPr="00490296" w:rsidRDefault="003E3217" w:rsidP="00C13EBD">
      <w:pPr>
        <w:pStyle w:val="FootnoteText"/>
      </w:pPr>
      <w:r w:rsidRPr="002A3EE1">
        <w:rPr>
          <w:szCs w:val="18"/>
          <w:lang w:val="en-US"/>
        </w:rPr>
        <w:tab/>
      </w:r>
      <w:r w:rsidRPr="00F81291">
        <w:rPr>
          <w:rStyle w:val="FootnoteReference"/>
        </w:rPr>
        <w:footnoteRef/>
      </w:r>
      <w:r w:rsidRPr="00F81291">
        <w:rPr>
          <w:rStyle w:val="FootnoteReference"/>
        </w:rPr>
        <w:tab/>
      </w:r>
      <w:hyperlink r:id="rId40" w:history="1">
        <w:r w:rsidRPr="00490296">
          <w:rPr>
            <w:rStyle w:val="Hyperlink"/>
          </w:rPr>
          <w:t>A/HRC/46/63.</w:t>
        </w:r>
      </w:hyperlink>
    </w:p>
  </w:footnote>
  <w:footnote w:id="53">
    <w:p w14:paraId="694FD2A0" w14:textId="067CE5D1" w:rsidR="003E3217" w:rsidRPr="004F2FAF" w:rsidRDefault="003E3217" w:rsidP="00C13EBD">
      <w:pPr>
        <w:pStyle w:val="FootnoteText"/>
        <w:rPr>
          <w:lang w:val="es-ES"/>
        </w:rPr>
      </w:pPr>
      <w:r w:rsidRPr="00490296">
        <w:tab/>
      </w:r>
      <w:r w:rsidRPr="00F81291">
        <w:rPr>
          <w:rStyle w:val="FootnoteReference"/>
        </w:rPr>
        <w:footnoteRef/>
      </w:r>
      <w:r w:rsidRPr="004F2FAF">
        <w:rPr>
          <w:rStyle w:val="FootnoteReference"/>
          <w:lang w:val="es-ES"/>
        </w:rPr>
        <w:tab/>
      </w:r>
      <w:r w:rsidRPr="004F2FAF">
        <w:rPr>
          <w:lang w:val="es-ES"/>
        </w:rPr>
        <w:t>Ibid.,</w:t>
      </w:r>
      <w:r w:rsidR="004F2FAF">
        <w:rPr>
          <w:lang w:val="es-ES"/>
        </w:rPr>
        <w:t xml:space="preserve"> </w:t>
      </w:r>
      <w:r w:rsidRPr="009D69E7">
        <w:rPr>
          <w:lang w:val="es-ES"/>
        </w:rPr>
        <w:t>para.</w:t>
      </w:r>
      <w:r w:rsidR="004F2FAF">
        <w:rPr>
          <w:lang w:val="es-ES"/>
        </w:rPr>
        <w:t xml:space="preserve"> </w:t>
      </w:r>
      <w:r w:rsidRPr="004F2FAF">
        <w:rPr>
          <w:lang w:val="es-ES"/>
        </w:rPr>
        <w:t>27.</w:t>
      </w:r>
    </w:p>
  </w:footnote>
  <w:footnote w:id="54">
    <w:p w14:paraId="3650357E" w14:textId="1193174F" w:rsidR="003E3217" w:rsidRPr="009A2E16" w:rsidRDefault="003E3217" w:rsidP="00C13EBD">
      <w:pPr>
        <w:pStyle w:val="FootnoteText"/>
      </w:pPr>
      <w:r w:rsidRPr="004F2FAF">
        <w:rPr>
          <w:lang w:val="es-ES"/>
        </w:rPr>
        <w:tab/>
      </w:r>
      <w:r w:rsidRPr="00F81291">
        <w:rPr>
          <w:rStyle w:val="FootnoteReference"/>
        </w:rPr>
        <w:footnoteRef/>
      </w:r>
      <w:r w:rsidRPr="009A2E16">
        <w:rPr>
          <w:rStyle w:val="FootnoteReference"/>
        </w:rPr>
        <w:tab/>
      </w:r>
      <w:hyperlink r:id="rId41" w:history="1">
        <w:r w:rsidRPr="009A2E16">
          <w:rPr>
            <w:rStyle w:val="Hyperlink"/>
          </w:rPr>
          <w:t>https://www.pcbs.gov.ps/Downloads/book2611.pdf</w:t>
        </w:r>
      </w:hyperlink>
      <w:r w:rsidRPr="009A2E16">
        <w:t>,</w:t>
      </w:r>
      <w:r w:rsidR="004F2FAF" w:rsidRPr="009A2E16">
        <w:t xml:space="preserve"> </w:t>
      </w:r>
      <w:r w:rsidRPr="009A2E16">
        <w:t>p.</w:t>
      </w:r>
      <w:r w:rsidR="004F2FAF" w:rsidRPr="009A2E16">
        <w:t xml:space="preserve"> </w:t>
      </w:r>
      <w:r w:rsidRPr="009A2E16">
        <w:t>26</w:t>
      </w:r>
      <w:r w:rsidR="004F2FAF" w:rsidRPr="009A2E16">
        <w:t xml:space="preserve"> </w:t>
      </w:r>
      <w:r w:rsidRPr="009A2E16">
        <w:t>(in</w:t>
      </w:r>
      <w:r w:rsidR="004F2FAF" w:rsidRPr="009A2E16">
        <w:t xml:space="preserve"> </w:t>
      </w:r>
      <w:r w:rsidRPr="009A2E16">
        <w:t>Arabic).</w:t>
      </w:r>
    </w:p>
  </w:footnote>
  <w:footnote w:id="55">
    <w:p w14:paraId="3E20F5CB" w14:textId="3110D0A3" w:rsidR="003E3217" w:rsidRPr="00637D99" w:rsidRDefault="003E3217" w:rsidP="00C13EBD">
      <w:pPr>
        <w:pStyle w:val="FootnoteText"/>
        <w:rPr>
          <w:lang w:val="es-ES"/>
        </w:rPr>
      </w:pPr>
      <w:r w:rsidRPr="009A2E16">
        <w:tab/>
      </w:r>
      <w:r w:rsidRPr="00F81291">
        <w:rPr>
          <w:rStyle w:val="FootnoteReference"/>
        </w:rPr>
        <w:footnoteRef/>
      </w:r>
      <w:r w:rsidRPr="00490296">
        <w:rPr>
          <w:rStyle w:val="FootnoteReference"/>
          <w:lang w:val="es-ES"/>
        </w:rPr>
        <w:tab/>
      </w:r>
      <w:hyperlink r:id="rId42" w:history="1">
        <w:r w:rsidRPr="0006136B">
          <w:rPr>
            <w:rStyle w:val="Hyperlink"/>
            <w:lang w:val="es-ES"/>
          </w:rPr>
          <w:t>A/HRC/46/63</w:t>
        </w:r>
      </w:hyperlink>
      <w:r w:rsidRPr="00637D99">
        <w:rPr>
          <w:lang w:val="es-ES"/>
        </w:rPr>
        <w:t>,</w:t>
      </w:r>
      <w:r w:rsidR="004F2FAF">
        <w:rPr>
          <w:lang w:val="es-ES"/>
        </w:rPr>
        <w:t xml:space="preserve"> </w:t>
      </w:r>
      <w:r w:rsidRPr="00637D99">
        <w:rPr>
          <w:lang w:val="es-ES"/>
        </w:rPr>
        <w:t>para.</w:t>
      </w:r>
      <w:r w:rsidR="004F2FAF">
        <w:rPr>
          <w:lang w:val="es-ES"/>
        </w:rPr>
        <w:t xml:space="preserve"> </w:t>
      </w:r>
      <w:r w:rsidRPr="00637D99">
        <w:rPr>
          <w:lang w:val="es-ES"/>
        </w:rPr>
        <w:t>27.</w:t>
      </w:r>
    </w:p>
  </w:footnote>
  <w:footnote w:id="56">
    <w:p w14:paraId="1182507B" w14:textId="0FF039B1" w:rsidR="003E3217" w:rsidRPr="00637D99" w:rsidRDefault="003E3217" w:rsidP="00C13EBD">
      <w:pPr>
        <w:pStyle w:val="FootnoteText"/>
        <w:rPr>
          <w:lang w:val="es-ES"/>
        </w:rPr>
      </w:pPr>
      <w:r w:rsidRPr="00637D99">
        <w:rPr>
          <w:lang w:val="es-ES"/>
        </w:rPr>
        <w:tab/>
      </w:r>
      <w:bookmarkStart w:id="3" w:name="_Hlk120830277"/>
      <w:r w:rsidRPr="00F81291">
        <w:rPr>
          <w:rStyle w:val="FootnoteReference"/>
        </w:rPr>
        <w:footnoteRef/>
      </w:r>
      <w:r w:rsidRPr="00490296">
        <w:rPr>
          <w:rStyle w:val="FootnoteReference"/>
          <w:lang w:val="es-ES"/>
        </w:rPr>
        <w:tab/>
      </w:r>
      <w:bookmarkEnd w:id="3"/>
      <w:r>
        <w:rPr>
          <w:lang w:val="es-ES"/>
        </w:rPr>
        <w:t>Ibid.</w:t>
      </w:r>
      <w:r w:rsidRPr="00637D99">
        <w:rPr>
          <w:lang w:val="es-ES"/>
        </w:rPr>
        <w:t>,</w:t>
      </w:r>
      <w:r w:rsidR="004F2FAF">
        <w:rPr>
          <w:lang w:val="es-ES"/>
        </w:rPr>
        <w:t xml:space="preserve"> </w:t>
      </w:r>
      <w:r w:rsidRPr="00637D99">
        <w:rPr>
          <w:lang w:val="es-ES"/>
        </w:rPr>
        <w:t>para.</w:t>
      </w:r>
      <w:r w:rsidR="004F2FAF">
        <w:rPr>
          <w:lang w:val="es-ES"/>
        </w:rPr>
        <w:t xml:space="preserve"> </w:t>
      </w:r>
      <w:r w:rsidRPr="00637D99">
        <w:rPr>
          <w:lang w:val="es-ES"/>
        </w:rPr>
        <w:t>40.</w:t>
      </w:r>
      <w:r w:rsidR="004F2FAF">
        <w:rPr>
          <w:lang w:val="es-ES"/>
        </w:rPr>
        <w:t xml:space="preserve"> </w:t>
      </w:r>
    </w:p>
  </w:footnote>
  <w:footnote w:id="57">
    <w:p w14:paraId="4F562918" w14:textId="62585889" w:rsidR="003E3217" w:rsidRPr="00637D99" w:rsidRDefault="003E3217" w:rsidP="00C13EBD">
      <w:pPr>
        <w:pStyle w:val="FootnoteText"/>
        <w:rPr>
          <w:lang w:val="es-ES"/>
        </w:rPr>
      </w:pPr>
      <w:r w:rsidRPr="00725D3C">
        <w:rPr>
          <w:szCs w:val="18"/>
          <w:lang w:val="es-ES"/>
        </w:rPr>
        <w:tab/>
      </w:r>
      <w:r w:rsidRPr="00F81291">
        <w:rPr>
          <w:rStyle w:val="FootnoteReference"/>
        </w:rPr>
        <w:footnoteRef/>
      </w:r>
      <w:hyperlink r:id="rId43" w:history="1">
        <w:r w:rsidRPr="009A2E16">
          <w:rPr>
            <w:rStyle w:val="Hyperlink"/>
            <w:vertAlign w:val="superscript"/>
            <w:lang w:val="es-ES"/>
          </w:rPr>
          <w:tab/>
        </w:r>
        <w:r w:rsidRPr="009A2E16">
          <w:rPr>
            <w:rStyle w:val="Hyperlink"/>
            <w:lang w:val="es-ES"/>
          </w:rPr>
          <w:t>https://www.timesofisrael.com/ghastly-murder-lays-bare-the-myriad-perils-for-lgbt-palestinians-fleeing-to-israel/</w:t>
        </w:r>
      </w:hyperlink>
      <w:r>
        <w:rPr>
          <w:lang w:val="es-ES"/>
        </w:rPr>
        <w:t>.</w:t>
      </w:r>
      <w:r w:rsidR="004F2FAF">
        <w:rPr>
          <w:lang w:val="es-ES"/>
        </w:rPr>
        <w:t xml:space="preserve"> </w:t>
      </w:r>
    </w:p>
  </w:footnote>
  <w:footnote w:id="58">
    <w:p w14:paraId="37735037" w14:textId="4F6FEB6C" w:rsidR="003E3217" w:rsidRPr="00637D99" w:rsidRDefault="003E3217" w:rsidP="00C13EBD">
      <w:pPr>
        <w:pStyle w:val="FootnoteText"/>
        <w:rPr>
          <w:lang w:val="es-ES"/>
        </w:rPr>
      </w:pPr>
      <w:r w:rsidRPr="00725D3C">
        <w:rPr>
          <w:szCs w:val="18"/>
          <w:lang w:val="es-ES"/>
        </w:rPr>
        <w:tab/>
      </w:r>
      <w:r w:rsidRPr="00F81291">
        <w:rPr>
          <w:rStyle w:val="FootnoteReference"/>
        </w:rPr>
        <w:footnoteRef/>
      </w:r>
      <w:r w:rsidRPr="0006136B">
        <w:rPr>
          <w:rStyle w:val="FootnoteReference"/>
          <w:lang w:val="es-ES"/>
        </w:rPr>
        <w:tab/>
      </w:r>
      <w:hyperlink r:id="rId44" w:history="1">
        <w:r w:rsidRPr="009A2E16">
          <w:rPr>
            <w:rStyle w:val="Hyperlink"/>
            <w:lang w:val="es-ES"/>
          </w:rPr>
          <w:t>https://hamoked.org/prisoners-charts.php</w:t>
        </w:r>
      </w:hyperlink>
      <w:r>
        <w:rPr>
          <w:lang w:val="es-ES"/>
        </w:rPr>
        <w:t>.</w:t>
      </w:r>
      <w:r w:rsidR="004F2FAF">
        <w:rPr>
          <w:lang w:val="es-ES"/>
        </w:rPr>
        <w:t xml:space="preserve"> </w:t>
      </w:r>
    </w:p>
  </w:footnote>
  <w:footnote w:id="59">
    <w:p w14:paraId="5DD9274B" w14:textId="09ACA046" w:rsidR="003E3217" w:rsidRPr="004F2FAF" w:rsidRDefault="003E3217" w:rsidP="00C13EBD">
      <w:pPr>
        <w:pStyle w:val="FootnoteText"/>
      </w:pPr>
      <w:r w:rsidRPr="00725D3C">
        <w:rPr>
          <w:szCs w:val="18"/>
          <w:lang w:val="es-ES"/>
        </w:rPr>
        <w:tab/>
      </w:r>
      <w:r w:rsidRPr="00F81291">
        <w:rPr>
          <w:rStyle w:val="FootnoteReference"/>
        </w:rPr>
        <w:footnoteRef/>
      </w:r>
      <w:r w:rsidRPr="004F2FAF">
        <w:rPr>
          <w:rStyle w:val="FootnoteReference"/>
        </w:rPr>
        <w:tab/>
      </w:r>
      <w:hyperlink r:id="rId45" w:history="1">
        <w:r w:rsidRPr="009A2E16">
          <w:rPr>
            <w:rStyle w:val="Hyperlink"/>
          </w:rPr>
          <w:t>https://www.ppsmo.ps/home/news/4842?culture=ar-SA</w:t>
        </w:r>
      </w:hyperlink>
      <w:r w:rsidRPr="004F2FAF">
        <w:t>,</w:t>
      </w:r>
      <w:r w:rsidR="004F2FAF">
        <w:rPr>
          <w:lang w:val="en-US"/>
        </w:rPr>
        <w:t xml:space="preserve"> </w:t>
      </w:r>
      <w:r w:rsidRPr="002A3EE1">
        <w:rPr>
          <w:lang w:val="en-US"/>
        </w:rPr>
        <w:t>in</w:t>
      </w:r>
      <w:r w:rsidR="004F2FAF">
        <w:rPr>
          <w:lang w:val="en-US"/>
        </w:rPr>
        <w:t xml:space="preserve"> </w:t>
      </w:r>
      <w:r w:rsidRPr="002A3EE1">
        <w:rPr>
          <w:lang w:val="en-US"/>
        </w:rPr>
        <w:t>Arabic.</w:t>
      </w:r>
      <w:r w:rsidR="004F2FAF">
        <w:rPr>
          <w:lang w:val="en-US"/>
        </w:rPr>
        <w:t xml:space="preserve"> </w:t>
      </w:r>
    </w:p>
  </w:footnote>
  <w:footnote w:id="60">
    <w:p w14:paraId="6EC555DD" w14:textId="0928D8B0" w:rsidR="003E3217" w:rsidRPr="004F2FAF" w:rsidRDefault="003E3217" w:rsidP="00C13EBD">
      <w:pPr>
        <w:pStyle w:val="FootnoteText"/>
      </w:pPr>
      <w:r w:rsidRPr="004F2FAF">
        <w:rPr>
          <w:szCs w:val="18"/>
        </w:rPr>
        <w:tab/>
      </w:r>
      <w:r w:rsidRPr="00F81291">
        <w:rPr>
          <w:rStyle w:val="FootnoteReference"/>
        </w:rPr>
        <w:footnoteRef/>
      </w:r>
      <w:r w:rsidRPr="004F2FAF">
        <w:rPr>
          <w:rStyle w:val="FootnoteReference"/>
        </w:rPr>
        <w:tab/>
      </w:r>
      <w:r w:rsidRPr="004F2FAF">
        <w:t>Fourth</w:t>
      </w:r>
      <w:r w:rsidR="004F2FAF">
        <w:rPr>
          <w:lang w:val="en-US"/>
        </w:rPr>
        <w:t xml:space="preserve"> </w:t>
      </w:r>
      <w:r>
        <w:rPr>
          <w:lang w:val="en-US"/>
        </w:rPr>
        <w:t>Geneva</w:t>
      </w:r>
      <w:r w:rsidR="004F2FAF">
        <w:rPr>
          <w:lang w:val="en-US"/>
        </w:rPr>
        <w:t xml:space="preserve"> </w:t>
      </w:r>
      <w:r>
        <w:rPr>
          <w:lang w:val="en-US"/>
        </w:rPr>
        <w:t>Convention</w:t>
      </w:r>
      <w:r w:rsidRPr="00D818D9">
        <w:rPr>
          <w:lang w:val="en-US"/>
        </w:rPr>
        <w:t>,</w:t>
      </w:r>
      <w:r w:rsidR="004F2FAF">
        <w:rPr>
          <w:lang w:val="en-US"/>
        </w:rPr>
        <w:t xml:space="preserve"> </w:t>
      </w:r>
      <w:r>
        <w:rPr>
          <w:lang w:val="en-US"/>
        </w:rPr>
        <w:t>a</w:t>
      </w:r>
      <w:r w:rsidRPr="00D818D9">
        <w:rPr>
          <w:lang w:val="en-US"/>
        </w:rPr>
        <w:t>rt</w:t>
      </w:r>
      <w:r>
        <w:rPr>
          <w:lang w:val="en-US"/>
        </w:rPr>
        <w:t>.</w:t>
      </w:r>
      <w:r w:rsidR="004F2FAF">
        <w:rPr>
          <w:lang w:val="en-US"/>
        </w:rPr>
        <w:t xml:space="preserve"> </w:t>
      </w:r>
      <w:r w:rsidRPr="00D818D9">
        <w:rPr>
          <w:lang w:val="en-US"/>
        </w:rPr>
        <w:t>45</w:t>
      </w:r>
      <w:r>
        <w:t>.</w:t>
      </w:r>
      <w:r w:rsidR="004F2FAF">
        <w:t xml:space="preserve"> </w:t>
      </w:r>
      <w:r w:rsidRPr="00725D3C">
        <w:t>Mr.</w:t>
      </w:r>
      <w:r w:rsidR="004F2FAF">
        <w:t xml:space="preserve"> </w:t>
      </w:r>
      <w:r w:rsidRPr="00065023">
        <w:rPr>
          <w:lang w:val="en-US"/>
        </w:rPr>
        <w:t>Hammouri</w:t>
      </w:r>
      <w:r w:rsidR="004F2FAF">
        <w:rPr>
          <w:lang w:val="en-US"/>
        </w:rPr>
        <w:t xml:space="preserve"> </w:t>
      </w:r>
      <w:r w:rsidRPr="00725D3C">
        <w:t>was</w:t>
      </w:r>
      <w:r w:rsidR="004F2FAF">
        <w:t xml:space="preserve"> </w:t>
      </w:r>
      <w:r w:rsidRPr="00725D3C">
        <w:t>deported</w:t>
      </w:r>
      <w:r w:rsidR="004F2FAF">
        <w:t xml:space="preserve"> </w:t>
      </w:r>
      <w:r w:rsidRPr="00725D3C">
        <w:t>on</w:t>
      </w:r>
      <w:r w:rsidR="004F2FAF">
        <w:t xml:space="preserve"> </w:t>
      </w:r>
      <w:r w:rsidRPr="00725D3C">
        <w:t>18</w:t>
      </w:r>
      <w:r w:rsidR="004F2FAF">
        <w:t xml:space="preserve"> </w:t>
      </w:r>
      <w:r w:rsidRPr="00725D3C">
        <w:t>December</w:t>
      </w:r>
      <w:r w:rsidR="004F2FAF">
        <w:t xml:space="preserve"> </w:t>
      </w:r>
      <w:r>
        <w:t>(</w:t>
      </w:r>
      <w:hyperlink r:id="rId46" w:history="1">
        <w:r w:rsidRPr="002E096F">
          <w:rPr>
            <w:rStyle w:val="Hyperlink"/>
            <w:rFonts w:eastAsia="SimSun"/>
          </w:rPr>
          <w:t>https://www.ohchr.org/en/press-releases/2022/12/comment-un-human-rights-spokesperson-jeremy-laurence-deportation-salah</w:t>
        </w:r>
      </w:hyperlink>
      <w:r>
        <w:rPr>
          <w:rFonts w:eastAsia="SimSun"/>
        </w:rPr>
        <w:t>).</w:t>
      </w:r>
      <w:r w:rsidR="004F2FAF">
        <w:t xml:space="preserve"> </w:t>
      </w:r>
    </w:p>
  </w:footnote>
  <w:footnote w:id="61">
    <w:p w14:paraId="237BF586" w14:textId="62F27574" w:rsidR="003E3217" w:rsidRPr="00725D3C" w:rsidRDefault="003E3217" w:rsidP="00C13EBD">
      <w:pPr>
        <w:pStyle w:val="FootnoteText"/>
      </w:pPr>
      <w:r w:rsidRPr="004F2FAF">
        <w:tab/>
      </w:r>
      <w:r w:rsidRPr="00F81291">
        <w:rPr>
          <w:rStyle w:val="FootnoteReference"/>
        </w:rPr>
        <w:footnoteRef/>
      </w:r>
      <w:hyperlink r:id="rId47" w:history="1">
        <w:r w:rsidRPr="002E096F">
          <w:rPr>
            <w:rStyle w:val="Hyperlink"/>
            <w:vertAlign w:val="superscript"/>
          </w:rPr>
          <w:tab/>
        </w:r>
        <w:r w:rsidRPr="002E096F">
          <w:rPr>
            <w:rStyle w:val="Hyperlink"/>
          </w:rPr>
          <w:t>https://www.facebook.com/UNHumanRightsOPT/posts/pfbid0SNLV13X1WHQrrfHKRTiASy6hyqiuWknnxwF2kf5p9YXtsdmUBaas6YmWM3bqj9xYl</w:t>
        </w:r>
      </w:hyperlink>
      <w:r>
        <w:t>.</w:t>
      </w:r>
    </w:p>
  </w:footnote>
  <w:footnote w:id="62">
    <w:p w14:paraId="6586E16E" w14:textId="4F99B423" w:rsidR="003E3217" w:rsidRPr="001B1C04" w:rsidRDefault="003E3217" w:rsidP="00C13EBD">
      <w:pPr>
        <w:pStyle w:val="FootnoteText"/>
        <w:rPr>
          <w:lang w:val="es-ES"/>
        </w:rPr>
      </w:pPr>
      <w:r w:rsidRPr="00725D3C">
        <w:rPr>
          <w:szCs w:val="18"/>
        </w:rPr>
        <w:tab/>
      </w:r>
      <w:r w:rsidRPr="00F81291">
        <w:rPr>
          <w:rStyle w:val="FootnoteReference"/>
        </w:rPr>
        <w:footnoteRef/>
      </w:r>
      <w:r w:rsidRPr="004F2FAF">
        <w:rPr>
          <w:rStyle w:val="FootnoteReference"/>
          <w:lang w:val="es-ES"/>
        </w:rPr>
        <w:tab/>
      </w:r>
      <w:hyperlink r:id="rId48" w:history="1">
        <w:r w:rsidRPr="0006136B">
          <w:rPr>
            <w:rStyle w:val="Hyperlink"/>
            <w:lang w:val="es-ES"/>
          </w:rPr>
          <w:t>A/HRC/40/39</w:t>
        </w:r>
      </w:hyperlink>
      <w:r w:rsidRPr="001B1C04">
        <w:rPr>
          <w:lang w:val="es-ES"/>
        </w:rPr>
        <w:t>,</w:t>
      </w:r>
      <w:r w:rsidR="004F2FAF">
        <w:rPr>
          <w:lang w:val="es-ES"/>
        </w:rPr>
        <w:t xml:space="preserve"> </w:t>
      </w:r>
      <w:r w:rsidRPr="001B1C04">
        <w:rPr>
          <w:lang w:val="es-ES"/>
        </w:rPr>
        <w:t>para</w:t>
      </w:r>
      <w:r>
        <w:rPr>
          <w:lang w:val="es-ES"/>
        </w:rPr>
        <w:t>.</w:t>
      </w:r>
      <w:r w:rsidR="004F2FAF">
        <w:rPr>
          <w:lang w:val="es-ES"/>
        </w:rPr>
        <w:t xml:space="preserve"> </w:t>
      </w:r>
      <w:r w:rsidRPr="001B1C04">
        <w:rPr>
          <w:lang w:val="es-ES"/>
        </w:rPr>
        <w:t>31.</w:t>
      </w:r>
    </w:p>
  </w:footnote>
  <w:footnote w:id="63">
    <w:p w14:paraId="02832B4E" w14:textId="0F86FE76" w:rsidR="003E3217" w:rsidRPr="001B1C04" w:rsidRDefault="003E3217" w:rsidP="00C13EBD">
      <w:pPr>
        <w:pStyle w:val="FootnoteText"/>
        <w:rPr>
          <w:lang w:val="es-ES"/>
        </w:rPr>
      </w:pPr>
      <w:r w:rsidRPr="002A3EE1">
        <w:rPr>
          <w:szCs w:val="18"/>
          <w:lang w:val="es-ES"/>
        </w:rPr>
        <w:tab/>
      </w:r>
      <w:r w:rsidRPr="00F81291">
        <w:rPr>
          <w:rStyle w:val="FootnoteReference"/>
        </w:rPr>
        <w:footnoteRef/>
      </w:r>
      <w:r w:rsidRPr="0006136B">
        <w:rPr>
          <w:rStyle w:val="FootnoteReference"/>
          <w:lang w:val="es-ES"/>
        </w:rPr>
        <w:tab/>
      </w:r>
      <w:hyperlink r:id="rId49" w:history="1">
        <w:r w:rsidRPr="002E096F">
          <w:rPr>
            <w:rStyle w:val="Hyperlink"/>
            <w:lang w:val="es-ES"/>
          </w:rPr>
          <w:t>https://www.ohchr.org/en/press-releases/2022/07/un-experts-urge-israel-free-ahmad-manasra</w:t>
        </w:r>
      </w:hyperlink>
      <w:r>
        <w:rPr>
          <w:lang w:val="es-ES"/>
        </w:rPr>
        <w:t>.</w:t>
      </w:r>
      <w:r w:rsidR="004F2FAF">
        <w:rPr>
          <w:lang w:val="es-ES"/>
        </w:rPr>
        <w:t xml:space="preserve"> </w:t>
      </w:r>
    </w:p>
  </w:footnote>
  <w:footnote w:id="64">
    <w:p w14:paraId="7D2109DA" w14:textId="488DA572" w:rsidR="003E3217" w:rsidRPr="009268EA" w:rsidRDefault="003E3217" w:rsidP="00C13EBD">
      <w:pPr>
        <w:pStyle w:val="FootnoteText"/>
        <w:rPr>
          <w:lang w:val="es-ES"/>
        </w:rPr>
      </w:pPr>
      <w:r>
        <w:rPr>
          <w:lang w:val="es-ES"/>
        </w:rPr>
        <w:tab/>
      </w:r>
      <w:r w:rsidRPr="00F81291">
        <w:rPr>
          <w:rStyle w:val="FootnoteReference"/>
        </w:rPr>
        <w:footnoteRef/>
      </w:r>
      <w:r w:rsidRPr="0006136B">
        <w:rPr>
          <w:rStyle w:val="FootnoteReference"/>
          <w:lang w:val="es-ES"/>
        </w:rPr>
        <w:tab/>
      </w:r>
      <w:hyperlink r:id="rId50" w:history="1">
        <w:r w:rsidRPr="002E096F">
          <w:rPr>
            <w:rStyle w:val="Hyperlink"/>
            <w:rFonts w:eastAsia="SimSun"/>
            <w:lang w:val="es-ES"/>
          </w:rPr>
          <w:t>https://www.ohchr.org/en/statements/2022/09/comment-un-human-rights-office-spokesperson-ravina-shamdasani-execution-five</w:t>
        </w:r>
      </w:hyperlink>
      <w:r>
        <w:rPr>
          <w:rFonts w:eastAsia="SimSun"/>
          <w:lang w:val="es-ES"/>
        </w:rPr>
        <w:t>.</w:t>
      </w:r>
      <w:r w:rsidR="004F2FAF">
        <w:rPr>
          <w:lang w:val="es-ES"/>
        </w:rPr>
        <w:t xml:space="preserve"> </w:t>
      </w:r>
    </w:p>
  </w:footnote>
  <w:footnote w:id="65">
    <w:p w14:paraId="7783EB14" w14:textId="79CE134B" w:rsidR="003E3217" w:rsidRPr="004F2FAF" w:rsidRDefault="003E3217" w:rsidP="00C13EBD">
      <w:pPr>
        <w:pStyle w:val="FootnoteText"/>
      </w:pPr>
      <w:r w:rsidRPr="002A3EE1">
        <w:rPr>
          <w:szCs w:val="18"/>
          <w:lang w:val="es-ES"/>
        </w:rPr>
        <w:tab/>
      </w:r>
      <w:r w:rsidRPr="00F81291">
        <w:rPr>
          <w:rStyle w:val="FootnoteReference"/>
        </w:rPr>
        <w:footnoteRef/>
      </w:r>
      <w:r w:rsidRPr="004F2FAF">
        <w:rPr>
          <w:rStyle w:val="FootnoteReference"/>
        </w:rPr>
        <w:tab/>
      </w:r>
      <w:r w:rsidRPr="004F2FAF">
        <w:rPr>
          <w:szCs w:val="18"/>
        </w:rPr>
        <w:t>Information</w:t>
      </w:r>
      <w:r w:rsidR="004F2FAF">
        <w:rPr>
          <w:szCs w:val="18"/>
          <w:lang w:val="en-US"/>
        </w:rPr>
        <w:t xml:space="preserve"> </w:t>
      </w:r>
      <w:r>
        <w:rPr>
          <w:szCs w:val="18"/>
          <w:lang w:val="en-US"/>
        </w:rPr>
        <w:t>from</w:t>
      </w:r>
      <w:r w:rsidR="004F2FAF">
        <w:rPr>
          <w:szCs w:val="18"/>
          <w:lang w:val="en-US"/>
        </w:rPr>
        <w:t xml:space="preserve"> </w:t>
      </w:r>
      <w:r w:rsidRPr="00A30E59">
        <w:rPr>
          <w:szCs w:val="18"/>
          <w:lang w:val="en-US"/>
        </w:rPr>
        <w:t>Human</w:t>
      </w:r>
      <w:r w:rsidR="004F2FAF">
        <w:rPr>
          <w:szCs w:val="18"/>
          <w:lang w:val="en-US"/>
        </w:rPr>
        <w:t xml:space="preserve"> </w:t>
      </w:r>
      <w:r w:rsidRPr="00A30E59">
        <w:rPr>
          <w:szCs w:val="18"/>
          <w:lang w:val="en-US"/>
        </w:rPr>
        <w:t>Rights</w:t>
      </w:r>
      <w:r w:rsidR="004F2FAF">
        <w:rPr>
          <w:szCs w:val="18"/>
          <w:lang w:val="en-US"/>
        </w:rPr>
        <w:t xml:space="preserve"> </w:t>
      </w:r>
      <w:r w:rsidRPr="00A30E59">
        <w:rPr>
          <w:szCs w:val="18"/>
          <w:lang w:val="en-US"/>
        </w:rPr>
        <w:t>and</w:t>
      </w:r>
      <w:r w:rsidR="004F2FAF">
        <w:rPr>
          <w:szCs w:val="18"/>
          <w:lang w:val="en-US"/>
        </w:rPr>
        <w:t xml:space="preserve"> </w:t>
      </w:r>
      <w:r w:rsidRPr="00A30E59">
        <w:rPr>
          <w:szCs w:val="18"/>
          <w:lang w:val="en-US"/>
        </w:rPr>
        <w:t>Democracy</w:t>
      </w:r>
      <w:r w:rsidR="004F2FAF">
        <w:rPr>
          <w:szCs w:val="18"/>
          <w:lang w:val="en-US"/>
        </w:rPr>
        <w:t xml:space="preserve"> </w:t>
      </w:r>
      <w:r w:rsidRPr="00A30E59">
        <w:rPr>
          <w:szCs w:val="18"/>
          <w:lang w:val="en-US"/>
        </w:rPr>
        <w:t>Media</w:t>
      </w:r>
      <w:r w:rsidR="004F2FAF">
        <w:rPr>
          <w:szCs w:val="18"/>
          <w:lang w:val="en-US"/>
        </w:rPr>
        <w:t xml:space="preserve"> </w:t>
      </w:r>
      <w:r w:rsidRPr="00A30E59">
        <w:rPr>
          <w:szCs w:val="18"/>
          <w:lang w:val="en-US"/>
        </w:rPr>
        <w:t>Center</w:t>
      </w:r>
      <w:r w:rsidR="004F2FAF">
        <w:rPr>
          <w:szCs w:val="18"/>
          <w:lang w:val="en-US"/>
        </w:rPr>
        <w:t xml:space="preserve"> </w:t>
      </w:r>
      <w:r>
        <w:rPr>
          <w:szCs w:val="18"/>
          <w:lang w:val="en-US"/>
        </w:rPr>
        <w:t>SHAMS</w:t>
      </w:r>
      <w:r w:rsidR="004F2FAF">
        <w:rPr>
          <w:szCs w:val="18"/>
          <w:lang w:val="en-US"/>
        </w:rPr>
        <w:t xml:space="preserve"> </w:t>
      </w:r>
      <w:r w:rsidRPr="004F2FAF">
        <w:t>.</w:t>
      </w:r>
    </w:p>
  </w:footnote>
  <w:footnote w:id="66">
    <w:p w14:paraId="1ADE4AFD" w14:textId="61F2E778" w:rsidR="003E3217" w:rsidRPr="004F2FAF" w:rsidRDefault="003E3217" w:rsidP="00C13EBD">
      <w:pPr>
        <w:pStyle w:val="FootnoteText"/>
        <w:rPr>
          <w:rFonts w:asciiTheme="majorBidi" w:hAnsiTheme="majorBidi"/>
        </w:rPr>
      </w:pPr>
      <w:r w:rsidRPr="004F2FAF">
        <w:rPr>
          <w:rFonts w:asciiTheme="majorBidi" w:hAnsiTheme="majorBidi" w:cstheme="majorBidi"/>
        </w:rPr>
        <w:tab/>
      </w:r>
      <w:r w:rsidRPr="00F81291">
        <w:rPr>
          <w:rStyle w:val="FootnoteReference"/>
        </w:rPr>
        <w:footnoteRef/>
      </w:r>
      <w:r w:rsidRPr="004F2FAF">
        <w:rPr>
          <w:rStyle w:val="FootnoteReference"/>
        </w:rPr>
        <w:tab/>
      </w:r>
      <w:hyperlink r:id="rId51" w:history="1">
        <w:r w:rsidRPr="00F3583C">
          <w:rPr>
            <w:rStyle w:val="Hyperlink"/>
            <w:rFonts w:eastAsia="SimSun"/>
          </w:rPr>
          <w:t>https://s</w:t>
        </w:r>
        <w:r w:rsidRPr="00847E48">
          <w:rPr>
            <w:rStyle w:val="Hyperlink"/>
            <w:rFonts w:eastAsia="SimSun"/>
          </w:rPr>
          <w:t>3</w:t>
        </w:r>
        <w:r w:rsidRPr="002E096F">
          <w:rPr>
            <w:rStyle w:val="Hyperlink"/>
            <w:rFonts w:eastAsia="SimSun"/>
          </w:rPr>
          <w:t>.eu-west-1.amazonaws.com/files.yesh-din.org/Investigating+Themselves/YeshDin+-+Shomer+5.22+-+Eng_01.pdf</w:t>
        </w:r>
      </w:hyperlink>
      <w:r w:rsidRPr="004F2FAF">
        <w:t>,</w:t>
      </w:r>
      <w:r w:rsidR="004F2FAF">
        <w:rPr>
          <w:lang w:val="en-US"/>
        </w:rPr>
        <w:t xml:space="preserve"> </w:t>
      </w:r>
      <w:r w:rsidRPr="002A3EE1">
        <w:rPr>
          <w:lang w:val="en-US"/>
        </w:rPr>
        <w:t>pp</w:t>
      </w:r>
      <w:r w:rsidRPr="002A3EE1">
        <w:rPr>
          <w:rFonts w:asciiTheme="majorBidi" w:hAnsiTheme="majorBidi" w:cstheme="majorBidi"/>
          <w:lang w:val="en-US"/>
        </w:rPr>
        <w:t>.</w:t>
      </w:r>
      <w:r w:rsidR="004F2FAF">
        <w:rPr>
          <w:rFonts w:asciiTheme="majorBidi" w:hAnsiTheme="majorBidi" w:cstheme="majorBidi"/>
          <w:lang w:val="en-US"/>
        </w:rPr>
        <w:t xml:space="preserve"> </w:t>
      </w:r>
      <w:r w:rsidRPr="004F2FAF">
        <w:rPr>
          <w:rFonts w:asciiTheme="majorBidi" w:hAnsiTheme="majorBidi"/>
        </w:rPr>
        <w:t>10–11.</w:t>
      </w:r>
    </w:p>
  </w:footnote>
  <w:footnote w:id="67">
    <w:p w14:paraId="5CEF94F7" w14:textId="088A84EC" w:rsidR="003E3217" w:rsidRPr="00BE4C34" w:rsidRDefault="003E3217" w:rsidP="00C13EBD">
      <w:pPr>
        <w:pStyle w:val="FootnoteText"/>
        <w:rPr>
          <w:rFonts w:asciiTheme="majorBidi" w:hAnsiTheme="majorBidi"/>
          <w:lang w:val="es-ES"/>
        </w:rPr>
      </w:pPr>
      <w:r w:rsidRPr="004F2FAF">
        <w:rPr>
          <w:szCs w:val="18"/>
        </w:rPr>
        <w:tab/>
      </w:r>
      <w:r w:rsidRPr="00F81291">
        <w:rPr>
          <w:rStyle w:val="FootnoteReference"/>
        </w:rPr>
        <w:footnoteRef/>
      </w:r>
      <w:r w:rsidRPr="004F2FAF">
        <w:rPr>
          <w:rStyle w:val="FootnoteReference"/>
        </w:rPr>
        <w:tab/>
      </w:r>
      <w:hyperlink r:id="rId52" w:history="1">
        <w:r w:rsidRPr="002E096F">
          <w:rPr>
            <w:rStyle w:val="Hyperlink"/>
            <w:rFonts w:asciiTheme="majorBidi" w:hAnsiTheme="majorBidi"/>
            <w:shd w:val="clear" w:color="auto" w:fill="FFFFFF"/>
          </w:rPr>
          <w:t>A/HRC/28/80/Add.1</w:t>
        </w:r>
      </w:hyperlink>
      <w:r w:rsidRPr="004F2FAF">
        <w:rPr>
          <w:rFonts w:asciiTheme="majorBidi" w:hAnsiTheme="majorBidi"/>
          <w:color w:val="000000"/>
          <w:shd w:val="clear" w:color="auto" w:fill="FFFFFF"/>
        </w:rPr>
        <w:t>,</w:t>
      </w:r>
      <w:r w:rsidR="004F2FAF">
        <w:rPr>
          <w:rFonts w:asciiTheme="majorBidi" w:hAnsiTheme="majorBidi"/>
          <w:color w:val="000000"/>
          <w:shd w:val="clear" w:color="auto" w:fill="FFFFFF"/>
          <w:lang w:val="en-US"/>
        </w:rPr>
        <w:t xml:space="preserve"> </w:t>
      </w:r>
      <w:r w:rsidRPr="002A3EE1">
        <w:rPr>
          <w:rFonts w:asciiTheme="majorBidi" w:hAnsiTheme="majorBidi"/>
          <w:color w:val="000000"/>
          <w:shd w:val="clear" w:color="auto" w:fill="FFFFFF"/>
          <w:lang w:val="en-US"/>
        </w:rPr>
        <w:t>para.</w:t>
      </w:r>
      <w:r w:rsidR="004F2FAF">
        <w:rPr>
          <w:rFonts w:asciiTheme="majorBidi" w:hAnsiTheme="majorBidi"/>
          <w:color w:val="000000"/>
          <w:shd w:val="clear" w:color="auto" w:fill="FFFFFF"/>
          <w:lang w:val="en-US"/>
        </w:rPr>
        <w:t xml:space="preserve"> </w:t>
      </w:r>
      <w:r w:rsidRPr="002A3EE1">
        <w:rPr>
          <w:rFonts w:asciiTheme="majorBidi" w:hAnsiTheme="majorBidi"/>
          <w:color w:val="000000"/>
          <w:shd w:val="clear" w:color="auto" w:fill="FFFFFF"/>
          <w:lang w:val="en-US"/>
        </w:rPr>
        <w:t>36;</w:t>
      </w:r>
      <w:r w:rsidR="004F2FAF">
        <w:rPr>
          <w:rFonts w:asciiTheme="majorBidi" w:hAnsiTheme="majorBidi"/>
          <w:color w:val="000000"/>
          <w:shd w:val="clear" w:color="auto" w:fill="FFFFFF"/>
          <w:lang w:val="en-US"/>
        </w:rPr>
        <w:t xml:space="preserve"> </w:t>
      </w:r>
      <w:r w:rsidRPr="002A3EE1">
        <w:rPr>
          <w:rFonts w:asciiTheme="majorBidi" w:hAnsiTheme="majorBidi"/>
          <w:color w:val="000000"/>
          <w:shd w:val="clear" w:color="auto" w:fill="FFFFFF"/>
          <w:lang w:val="en-US"/>
        </w:rPr>
        <w:t>and</w:t>
      </w:r>
      <w:r w:rsidR="004F2FAF">
        <w:rPr>
          <w:rFonts w:asciiTheme="majorBidi" w:hAnsiTheme="majorBidi"/>
          <w:color w:val="000000"/>
          <w:shd w:val="clear" w:color="auto" w:fill="FFFFFF"/>
          <w:lang w:val="en-US"/>
        </w:rPr>
        <w:t xml:space="preserve"> </w:t>
      </w:r>
      <w:hyperlink r:id="rId53" w:history="1">
        <w:r w:rsidRPr="002E096F">
          <w:rPr>
            <w:rStyle w:val="Hyperlink"/>
            <w:szCs w:val="18"/>
            <w:lang w:val="en-US"/>
          </w:rPr>
          <w:tab/>
        </w:r>
        <w:r w:rsidRPr="002E096F">
          <w:rPr>
            <w:rStyle w:val="Hyperlink"/>
            <w:lang w:val="en-US"/>
          </w:rPr>
          <w:t>https://www.ohchr.org/sites/default/files/Documents/HRBodies/HRCouncil/CoIGaza/A_HRC_CRP_4.docx</w:t>
        </w:r>
      </w:hyperlink>
      <w:r w:rsidRPr="002A3EE1">
        <w:rPr>
          <w:rFonts w:asciiTheme="majorBidi" w:hAnsiTheme="majorBidi"/>
          <w:color w:val="000000"/>
          <w:shd w:val="clear" w:color="auto" w:fill="FFFFFF"/>
          <w:lang w:val="en-US"/>
        </w:rPr>
        <w:t>,</w:t>
      </w:r>
      <w:r w:rsidR="004F2FAF">
        <w:rPr>
          <w:rFonts w:asciiTheme="majorBidi" w:hAnsiTheme="majorBidi"/>
          <w:color w:val="000000"/>
          <w:shd w:val="clear" w:color="auto" w:fill="FFFFFF"/>
          <w:lang w:val="en-US"/>
        </w:rPr>
        <w:t xml:space="preserve"> </w:t>
      </w:r>
      <w:r w:rsidRPr="002A3EE1">
        <w:rPr>
          <w:rFonts w:asciiTheme="majorBidi" w:hAnsiTheme="majorBidi"/>
          <w:color w:val="000000"/>
          <w:shd w:val="clear" w:color="auto" w:fill="FFFFFF"/>
          <w:lang w:val="en-US"/>
        </w:rPr>
        <w:t>para.</w:t>
      </w:r>
      <w:r w:rsidR="004F2FAF">
        <w:rPr>
          <w:rFonts w:asciiTheme="majorBidi" w:hAnsiTheme="majorBidi"/>
          <w:color w:val="000000"/>
          <w:shd w:val="clear" w:color="auto" w:fill="FFFFFF"/>
          <w:lang w:val="en-US"/>
        </w:rPr>
        <w:t xml:space="preserve"> </w:t>
      </w:r>
      <w:r w:rsidRPr="00BE4C34">
        <w:rPr>
          <w:rFonts w:asciiTheme="majorBidi" w:hAnsiTheme="majorBidi"/>
          <w:color w:val="000000"/>
          <w:shd w:val="clear" w:color="auto" w:fill="FFFFFF"/>
          <w:lang w:val="es-ES"/>
        </w:rPr>
        <w:t>663.</w:t>
      </w:r>
      <w:r w:rsidR="004F2FAF">
        <w:rPr>
          <w:rFonts w:asciiTheme="majorBidi" w:hAnsiTheme="majorBidi"/>
          <w:color w:val="000000"/>
          <w:shd w:val="clear" w:color="auto" w:fill="FFFFFF"/>
          <w:lang w:val="es-ES"/>
        </w:rPr>
        <w:t xml:space="preserve"> </w:t>
      </w:r>
    </w:p>
  </w:footnote>
  <w:footnote w:id="68">
    <w:p w14:paraId="6E32A563" w14:textId="360F12BA" w:rsidR="003E3217" w:rsidRPr="00DF470D" w:rsidRDefault="003E3217" w:rsidP="00C13EBD">
      <w:pPr>
        <w:pStyle w:val="FootnoteText"/>
        <w:rPr>
          <w:rFonts w:asciiTheme="majorBidi" w:hAnsiTheme="majorBidi"/>
          <w:lang w:val="es-ES"/>
        </w:rPr>
      </w:pPr>
      <w:r w:rsidRPr="002A3EE1">
        <w:rPr>
          <w:szCs w:val="18"/>
          <w:lang w:val="es-ES"/>
        </w:rPr>
        <w:tab/>
      </w:r>
      <w:r w:rsidRPr="00F81291">
        <w:rPr>
          <w:rStyle w:val="FootnoteReference"/>
        </w:rPr>
        <w:footnoteRef/>
      </w:r>
      <w:r w:rsidRPr="00490296">
        <w:rPr>
          <w:rStyle w:val="FootnoteReference"/>
          <w:lang w:val="es-ES"/>
        </w:rPr>
        <w:tab/>
      </w:r>
      <w:hyperlink r:id="rId54" w:history="1">
        <w:r w:rsidRPr="0006136B">
          <w:rPr>
            <w:rStyle w:val="Hyperlink"/>
            <w:rFonts w:asciiTheme="majorBidi" w:hAnsiTheme="majorBidi"/>
            <w:lang w:val="es-ES"/>
          </w:rPr>
          <w:t>A/HRC/40/43</w:t>
        </w:r>
      </w:hyperlink>
      <w:r w:rsidRPr="00BE4C34">
        <w:rPr>
          <w:rFonts w:asciiTheme="majorBidi" w:hAnsiTheme="majorBidi"/>
          <w:lang w:val="es-ES"/>
        </w:rPr>
        <w:t>,</w:t>
      </w:r>
      <w:r w:rsidR="004F2FAF">
        <w:rPr>
          <w:rFonts w:asciiTheme="majorBidi" w:hAnsiTheme="majorBidi"/>
          <w:lang w:val="es-ES"/>
        </w:rPr>
        <w:t xml:space="preserve"> </w:t>
      </w:r>
      <w:r w:rsidRPr="00BE4C34">
        <w:rPr>
          <w:rFonts w:asciiTheme="majorBidi" w:hAnsiTheme="majorBidi"/>
          <w:lang w:val="es-ES"/>
        </w:rPr>
        <w:t>para.</w:t>
      </w:r>
      <w:r w:rsidR="004F2FAF">
        <w:rPr>
          <w:rFonts w:asciiTheme="majorBidi" w:hAnsiTheme="majorBidi"/>
          <w:lang w:val="es-ES"/>
        </w:rPr>
        <w:t xml:space="preserve"> </w:t>
      </w:r>
      <w:r w:rsidRPr="00DF470D">
        <w:rPr>
          <w:rFonts w:asciiTheme="majorBidi" w:hAnsiTheme="majorBidi"/>
          <w:lang w:val="es-ES"/>
        </w:rPr>
        <w:t>9;</w:t>
      </w:r>
      <w:r w:rsidR="004F2FAF">
        <w:rPr>
          <w:rFonts w:asciiTheme="majorBidi" w:hAnsiTheme="majorBidi"/>
          <w:lang w:val="es-ES"/>
        </w:rPr>
        <w:t xml:space="preserve"> </w:t>
      </w:r>
      <w:r w:rsidRPr="00DF470D">
        <w:rPr>
          <w:rFonts w:asciiTheme="majorBidi" w:hAnsiTheme="majorBidi"/>
          <w:lang w:val="es-ES"/>
        </w:rPr>
        <w:t>and</w:t>
      </w:r>
      <w:r w:rsidR="004F2FAF">
        <w:rPr>
          <w:rFonts w:asciiTheme="majorBidi" w:hAnsiTheme="majorBidi"/>
          <w:lang w:val="es-ES"/>
        </w:rPr>
        <w:t xml:space="preserve"> </w:t>
      </w:r>
      <w:hyperlink r:id="rId55" w:history="1">
        <w:r w:rsidRPr="0006136B">
          <w:rPr>
            <w:rStyle w:val="Hyperlink"/>
            <w:rFonts w:asciiTheme="majorBidi" w:hAnsiTheme="majorBidi"/>
            <w:lang w:val="es-ES"/>
          </w:rPr>
          <w:t>A/HRC/37/41</w:t>
        </w:r>
      </w:hyperlink>
      <w:r w:rsidRPr="00DF470D">
        <w:rPr>
          <w:rFonts w:asciiTheme="majorBidi" w:hAnsiTheme="majorBidi"/>
          <w:lang w:val="es-ES"/>
        </w:rPr>
        <w:t>,</w:t>
      </w:r>
      <w:r w:rsidR="004F2FAF">
        <w:rPr>
          <w:rFonts w:asciiTheme="majorBidi" w:hAnsiTheme="majorBidi"/>
          <w:lang w:val="es-ES"/>
        </w:rPr>
        <w:t xml:space="preserve"> </w:t>
      </w:r>
      <w:r w:rsidRPr="00DF470D">
        <w:rPr>
          <w:rFonts w:asciiTheme="majorBidi" w:hAnsiTheme="majorBidi"/>
          <w:lang w:val="es-ES"/>
        </w:rPr>
        <w:t>para.</w:t>
      </w:r>
      <w:r w:rsidR="004F2FAF">
        <w:rPr>
          <w:rFonts w:asciiTheme="majorBidi" w:hAnsiTheme="majorBidi"/>
          <w:lang w:val="es-ES"/>
        </w:rPr>
        <w:t xml:space="preserve"> </w:t>
      </w:r>
      <w:r w:rsidRPr="00DF470D">
        <w:rPr>
          <w:rFonts w:asciiTheme="majorBidi" w:hAnsiTheme="majorBidi"/>
          <w:lang w:val="es-ES"/>
        </w:rPr>
        <w:t>11.</w:t>
      </w:r>
    </w:p>
  </w:footnote>
  <w:footnote w:id="69">
    <w:p w14:paraId="27FFC91E" w14:textId="0CCFB147" w:rsidR="003E3217" w:rsidRPr="00065023" w:rsidRDefault="003E3217" w:rsidP="00C13EBD">
      <w:pPr>
        <w:pStyle w:val="FootnoteText"/>
        <w:rPr>
          <w:rFonts w:asciiTheme="majorBidi" w:hAnsiTheme="majorBidi"/>
          <w:lang w:val="pt-BR"/>
        </w:rPr>
      </w:pPr>
      <w:r w:rsidRPr="002A3EE1">
        <w:rPr>
          <w:szCs w:val="18"/>
          <w:lang w:val="es-ES"/>
        </w:rPr>
        <w:tab/>
      </w:r>
      <w:r w:rsidRPr="00F81291">
        <w:rPr>
          <w:rStyle w:val="FootnoteReference"/>
        </w:rPr>
        <w:footnoteRef/>
      </w:r>
      <w:r w:rsidRPr="0006136B">
        <w:rPr>
          <w:rStyle w:val="FootnoteReference"/>
          <w:lang w:val="es-ES"/>
        </w:rPr>
        <w:tab/>
      </w:r>
      <w:r w:rsidRPr="00065023">
        <w:rPr>
          <w:rFonts w:asciiTheme="majorBidi" w:hAnsiTheme="majorBidi"/>
          <w:lang w:val="pt-BR"/>
        </w:rPr>
        <w:tab/>
      </w:r>
      <w:hyperlink r:id="rId56" w:history="1">
        <w:r w:rsidRPr="0006136B">
          <w:rPr>
            <w:rStyle w:val="Hyperlink"/>
            <w:lang w:val="es-ES"/>
          </w:rPr>
          <w:t>A/71/364</w:t>
        </w:r>
      </w:hyperlink>
      <w:r w:rsidRPr="00065023">
        <w:rPr>
          <w:rFonts w:asciiTheme="majorBidi" w:hAnsiTheme="majorBidi"/>
          <w:lang w:val="pt-BR"/>
        </w:rPr>
        <w:t>,</w:t>
      </w:r>
      <w:r w:rsidR="004F2FAF">
        <w:rPr>
          <w:rFonts w:asciiTheme="majorBidi" w:hAnsiTheme="majorBidi"/>
          <w:lang w:val="pt-BR"/>
        </w:rPr>
        <w:t xml:space="preserve"> </w:t>
      </w:r>
      <w:r w:rsidRPr="00065023">
        <w:rPr>
          <w:rFonts w:asciiTheme="majorBidi" w:hAnsiTheme="majorBidi"/>
          <w:lang w:val="pt-BR"/>
        </w:rPr>
        <w:t>para.</w:t>
      </w:r>
      <w:r w:rsidR="004F2FAF">
        <w:rPr>
          <w:rFonts w:asciiTheme="majorBidi" w:hAnsiTheme="majorBidi"/>
          <w:lang w:val="pt-BR"/>
        </w:rPr>
        <w:t xml:space="preserve"> </w:t>
      </w:r>
      <w:r w:rsidRPr="00065023">
        <w:rPr>
          <w:rFonts w:asciiTheme="majorBidi" w:hAnsiTheme="majorBidi"/>
          <w:lang w:val="pt-BR"/>
        </w:rPr>
        <w:t>40;</w:t>
      </w:r>
      <w:r w:rsidR="004F2FAF">
        <w:rPr>
          <w:rFonts w:asciiTheme="majorBidi" w:hAnsiTheme="majorBidi"/>
          <w:lang w:val="pt-BR"/>
        </w:rPr>
        <w:t xml:space="preserve"> </w:t>
      </w:r>
      <w:hyperlink r:id="rId57" w:history="1">
        <w:r w:rsidRPr="0006136B">
          <w:rPr>
            <w:rStyle w:val="Hyperlink"/>
            <w:lang w:val="es-ES"/>
          </w:rPr>
          <w:t>A/HRC/43/21</w:t>
        </w:r>
      </w:hyperlink>
      <w:r w:rsidRPr="00065023">
        <w:rPr>
          <w:rFonts w:asciiTheme="majorBidi" w:hAnsiTheme="majorBidi"/>
          <w:lang w:val="pt-BR"/>
        </w:rPr>
        <w:t>,</w:t>
      </w:r>
      <w:r w:rsidR="004F2FAF">
        <w:rPr>
          <w:rFonts w:asciiTheme="majorBidi" w:hAnsiTheme="majorBidi"/>
          <w:lang w:val="pt-BR"/>
        </w:rPr>
        <w:t xml:space="preserve"> </w:t>
      </w:r>
      <w:r w:rsidRPr="00065023">
        <w:rPr>
          <w:rFonts w:asciiTheme="majorBidi" w:hAnsiTheme="majorBidi"/>
          <w:lang w:val="pt-BR"/>
        </w:rPr>
        <w:t>para.</w:t>
      </w:r>
      <w:r w:rsidR="004F2FAF">
        <w:rPr>
          <w:rFonts w:asciiTheme="majorBidi" w:hAnsiTheme="majorBidi"/>
          <w:lang w:val="pt-BR"/>
        </w:rPr>
        <w:t xml:space="preserve"> </w:t>
      </w:r>
      <w:r w:rsidRPr="00065023">
        <w:rPr>
          <w:rFonts w:asciiTheme="majorBidi" w:hAnsiTheme="majorBidi"/>
          <w:lang w:val="pt-BR"/>
        </w:rPr>
        <w:t>17</w:t>
      </w:r>
      <w:r>
        <w:rPr>
          <w:rFonts w:asciiTheme="majorBidi" w:hAnsiTheme="majorBidi"/>
          <w:lang w:val="pt-BR"/>
        </w:rPr>
        <w:t>;</w:t>
      </w:r>
      <w:r w:rsidR="004F2FAF">
        <w:rPr>
          <w:rFonts w:asciiTheme="majorBidi" w:hAnsiTheme="majorBidi"/>
          <w:lang w:val="pt-BR"/>
        </w:rPr>
        <w:t xml:space="preserve"> </w:t>
      </w:r>
      <w:r w:rsidRPr="00065023">
        <w:rPr>
          <w:rFonts w:asciiTheme="majorBidi" w:hAnsiTheme="majorBidi"/>
          <w:lang w:val="pt-BR"/>
        </w:rPr>
        <w:t>and</w:t>
      </w:r>
      <w:r w:rsidR="004F2FAF">
        <w:rPr>
          <w:rFonts w:asciiTheme="majorBidi" w:hAnsiTheme="majorBidi"/>
          <w:lang w:val="pt-BR"/>
        </w:rPr>
        <w:t xml:space="preserve"> </w:t>
      </w:r>
      <w:hyperlink r:id="rId58" w:history="1">
        <w:r w:rsidRPr="0006136B">
          <w:rPr>
            <w:rStyle w:val="Hyperlink"/>
            <w:lang w:val="es-ES"/>
          </w:rPr>
          <w:t>A/HRC/46/22</w:t>
        </w:r>
      </w:hyperlink>
      <w:r w:rsidRPr="00065023">
        <w:rPr>
          <w:rFonts w:asciiTheme="majorBidi" w:hAnsiTheme="majorBidi"/>
          <w:lang w:val="pt-BR"/>
        </w:rPr>
        <w:t>,</w:t>
      </w:r>
      <w:r w:rsidR="004F2FAF">
        <w:rPr>
          <w:rFonts w:asciiTheme="majorBidi" w:hAnsiTheme="majorBidi"/>
          <w:lang w:val="pt-BR"/>
        </w:rPr>
        <w:t xml:space="preserve"> </w:t>
      </w:r>
      <w:r w:rsidRPr="00065023">
        <w:rPr>
          <w:rFonts w:asciiTheme="majorBidi" w:hAnsiTheme="majorBidi"/>
          <w:lang w:val="pt-BR"/>
        </w:rPr>
        <w:t>para.</w:t>
      </w:r>
      <w:r w:rsidR="004F2FAF">
        <w:rPr>
          <w:rFonts w:asciiTheme="majorBidi" w:hAnsiTheme="majorBidi"/>
          <w:lang w:val="pt-BR"/>
        </w:rPr>
        <w:t xml:space="preserve"> </w:t>
      </w:r>
      <w:r w:rsidRPr="00065023">
        <w:rPr>
          <w:rFonts w:asciiTheme="majorBidi" w:hAnsiTheme="majorBidi"/>
          <w:lang w:val="pt-BR"/>
        </w:rPr>
        <w:t>8.</w:t>
      </w:r>
    </w:p>
  </w:footnote>
  <w:footnote w:id="70">
    <w:p w14:paraId="1AD34B02" w14:textId="5DC46EA9" w:rsidR="003E3217" w:rsidRPr="00065023" w:rsidRDefault="003E3217" w:rsidP="00C13EBD">
      <w:pPr>
        <w:pStyle w:val="FootnoteText"/>
        <w:rPr>
          <w:lang w:val="pt-BR"/>
        </w:rPr>
      </w:pPr>
      <w:r>
        <w:rPr>
          <w:lang w:val="pt-BR"/>
        </w:rPr>
        <w:tab/>
      </w:r>
      <w:r w:rsidRPr="00F81291">
        <w:rPr>
          <w:rStyle w:val="FootnoteReference"/>
        </w:rPr>
        <w:footnoteRef/>
      </w:r>
      <w:r w:rsidRPr="0006136B">
        <w:rPr>
          <w:rStyle w:val="FootnoteReference"/>
          <w:lang w:val="es-ES"/>
        </w:rPr>
        <w:tab/>
      </w:r>
      <w:hyperlink r:id="rId59" w:history="1">
        <w:r w:rsidRPr="0006136B">
          <w:rPr>
            <w:rStyle w:val="Hyperlink"/>
            <w:lang w:val="pt-BR"/>
          </w:rPr>
          <w:t>CCPR/C/ISR/CO/5</w:t>
        </w:r>
      </w:hyperlink>
      <w:r>
        <w:rPr>
          <w:lang w:val="pt-BR"/>
        </w:rPr>
        <w:t>,</w:t>
      </w:r>
      <w:r w:rsidR="004F2FAF">
        <w:rPr>
          <w:lang w:val="pt-BR"/>
        </w:rPr>
        <w:t xml:space="preserve"> </w:t>
      </w:r>
      <w:r>
        <w:rPr>
          <w:lang w:val="pt-BR"/>
        </w:rPr>
        <w:t>para.</w:t>
      </w:r>
      <w:r w:rsidR="004F2FAF">
        <w:rPr>
          <w:lang w:val="pt-BR"/>
        </w:rPr>
        <w:t xml:space="preserve"> </w:t>
      </w:r>
      <w:r w:rsidRPr="00065023">
        <w:rPr>
          <w:lang w:val="pt-BR"/>
        </w:rPr>
        <w:t>26.</w:t>
      </w:r>
      <w:r w:rsidR="004F2FAF">
        <w:rPr>
          <w:lang w:val="pt-BR"/>
        </w:rPr>
        <w:t xml:space="preserve"> </w:t>
      </w:r>
    </w:p>
  </w:footnote>
  <w:footnote w:id="71">
    <w:p w14:paraId="36F14DAA" w14:textId="1DBFEAA2" w:rsidR="003E3217" w:rsidRPr="00065023" w:rsidRDefault="003E3217" w:rsidP="00C13EBD">
      <w:pPr>
        <w:pStyle w:val="FootnoteText"/>
        <w:rPr>
          <w:lang w:val="pt-BR"/>
        </w:rPr>
      </w:pPr>
      <w:r>
        <w:rPr>
          <w:lang w:val="pt-BR"/>
        </w:rPr>
        <w:tab/>
      </w:r>
      <w:r w:rsidRPr="00F81291">
        <w:rPr>
          <w:rStyle w:val="FootnoteReference"/>
        </w:rPr>
        <w:footnoteRef/>
      </w:r>
      <w:r w:rsidRPr="00490296">
        <w:rPr>
          <w:rStyle w:val="FootnoteReference"/>
          <w:lang w:val="es-ES"/>
        </w:rPr>
        <w:tab/>
      </w:r>
      <w:r>
        <w:rPr>
          <w:lang w:val="pt-BR"/>
        </w:rPr>
        <w:t>Ibid.,</w:t>
      </w:r>
      <w:r w:rsidR="004F2FAF">
        <w:rPr>
          <w:lang w:val="pt-BR"/>
        </w:rPr>
        <w:t xml:space="preserve"> </w:t>
      </w:r>
      <w:r>
        <w:rPr>
          <w:lang w:val="pt-BR"/>
        </w:rPr>
        <w:t>para.</w:t>
      </w:r>
      <w:r w:rsidR="004F2FAF">
        <w:rPr>
          <w:lang w:val="pt-BR"/>
        </w:rPr>
        <w:t xml:space="preserve"> </w:t>
      </w:r>
      <w:r w:rsidRPr="00065023">
        <w:rPr>
          <w:lang w:val="pt-BR"/>
        </w:rPr>
        <w:t>22.</w:t>
      </w:r>
    </w:p>
  </w:footnote>
  <w:footnote w:id="72">
    <w:p w14:paraId="623D469A" w14:textId="7EABF481" w:rsidR="003E3217" w:rsidRPr="004F2FAF" w:rsidRDefault="003E3217" w:rsidP="00C13EBD">
      <w:pPr>
        <w:pStyle w:val="FootnoteText"/>
        <w:rPr>
          <w:rFonts w:asciiTheme="majorBidi" w:hAnsiTheme="majorBidi" w:cstheme="majorBidi"/>
        </w:rPr>
      </w:pPr>
      <w:r>
        <w:rPr>
          <w:rFonts w:asciiTheme="majorBidi" w:hAnsiTheme="majorBidi"/>
          <w:lang w:val="pt-BR"/>
        </w:rPr>
        <w:tab/>
      </w:r>
      <w:r w:rsidRPr="00F81291">
        <w:rPr>
          <w:rStyle w:val="FootnoteReference"/>
        </w:rPr>
        <w:footnoteRef/>
      </w:r>
      <w:r w:rsidRPr="0006136B">
        <w:rPr>
          <w:rStyle w:val="FootnoteReference"/>
          <w:lang w:val="es-ES"/>
        </w:rPr>
        <w:tab/>
      </w:r>
      <w:hyperlink r:id="rId60" w:history="1">
        <w:r w:rsidRPr="0006136B">
          <w:rPr>
            <w:rStyle w:val="Hyperlink"/>
            <w:lang w:val="es-ES"/>
          </w:rPr>
          <w:t>A/71/364</w:t>
        </w:r>
      </w:hyperlink>
      <w:r w:rsidRPr="00065023">
        <w:rPr>
          <w:rFonts w:asciiTheme="majorBidi" w:hAnsiTheme="majorBidi"/>
          <w:lang w:val="pt-BR"/>
        </w:rPr>
        <w:t>,</w:t>
      </w:r>
      <w:r w:rsidR="004F2FAF">
        <w:rPr>
          <w:rFonts w:asciiTheme="majorBidi" w:hAnsiTheme="majorBidi"/>
          <w:lang w:val="pt-BR"/>
        </w:rPr>
        <w:t xml:space="preserve"> </w:t>
      </w:r>
      <w:r w:rsidRPr="00065023">
        <w:rPr>
          <w:rFonts w:asciiTheme="majorBidi" w:hAnsiTheme="majorBidi"/>
          <w:lang w:val="pt-BR"/>
        </w:rPr>
        <w:t>para.</w:t>
      </w:r>
      <w:r w:rsidR="004F2FAF">
        <w:rPr>
          <w:rFonts w:asciiTheme="majorBidi" w:hAnsiTheme="majorBidi"/>
          <w:lang w:val="pt-BR"/>
        </w:rPr>
        <w:t xml:space="preserve"> </w:t>
      </w:r>
      <w:r w:rsidRPr="00065023">
        <w:rPr>
          <w:rFonts w:asciiTheme="majorBidi" w:hAnsiTheme="majorBidi"/>
          <w:lang w:val="pt-BR"/>
        </w:rPr>
        <w:t>66;</w:t>
      </w:r>
      <w:r w:rsidR="004F2FAF">
        <w:rPr>
          <w:rFonts w:asciiTheme="majorBidi" w:hAnsiTheme="majorBidi"/>
          <w:lang w:val="pt-BR"/>
        </w:rPr>
        <w:t xml:space="preserve"> </w:t>
      </w:r>
      <w:hyperlink r:id="rId61" w:history="1">
        <w:r w:rsidRPr="0006136B">
          <w:rPr>
            <w:rStyle w:val="Hyperlink"/>
            <w:lang w:val="es-ES"/>
          </w:rPr>
          <w:t>A/76/333</w:t>
        </w:r>
      </w:hyperlink>
      <w:r w:rsidRPr="00065023">
        <w:rPr>
          <w:rFonts w:asciiTheme="majorBidi" w:hAnsiTheme="majorBidi"/>
          <w:lang w:val="pt-BR"/>
        </w:rPr>
        <w:t>,</w:t>
      </w:r>
      <w:r w:rsidR="004F2FAF">
        <w:rPr>
          <w:rFonts w:asciiTheme="majorBidi" w:hAnsiTheme="majorBidi"/>
          <w:lang w:val="pt-BR"/>
        </w:rPr>
        <w:t xml:space="preserve"> </w:t>
      </w:r>
      <w:r w:rsidRPr="00065023">
        <w:rPr>
          <w:rFonts w:asciiTheme="majorBidi" w:hAnsiTheme="majorBidi"/>
          <w:lang w:val="pt-BR"/>
        </w:rPr>
        <w:t>paras.</w:t>
      </w:r>
      <w:r w:rsidR="004F2FAF">
        <w:rPr>
          <w:rFonts w:asciiTheme="majorBidi" w:hAnsiTheme="majorBidi"/>
          <w:lang w:val="pt-BR"/>
        </w:rPr>
        <w:t xml:space="preserve"> </w:t>
      </w:r>
      <w:r w:rsidRPr="00065023">
        <w:rPr>
          <w:rFonts w:asciiTheme="majorBidi" w:hAnsiTheme="majorBidi"/>
          <w:lang w:val="pt-BR"/>
        </w:rPr>
        <w:t>5</w:t>
      </w:r>
      <w:r w:rsidR="004F2FAF">
        <w:rPr>
          <w:rFonts w:asciiTheme="majorBidi" w:hAnsiTheme="majorBidi"/>
          <w:lang w:val="pt-BR"/>
        </w:rPr>
        <w:t xml:space="preserve"> </w:t>
      </w:r>
      <w:r w:rsidRPr="00065023">
        <w:rPr>
          <w:rFonts w:asciiTheme="majorBidi" w:hAnsiTheme="majorBidi"/>
          <w:lang w:val="pt-BR"/>
        </w:rPr>
        <w:t>and</w:t>
      </w:r>
      <w:r w:rsidR="004F2FAF">
        <w:rPr>
          <w:rFonts w:asciiTheme="majorBidi" w:hAnsiTheme="majorBidi"/>
          <w:lang w:val="pt-BR"/>
        </w:rPr>
        <w:t xml:space="preserve"> </w:t>
      </w:r>
      <w:r w:rsidRPr="00065023">
        <w:rPr>
          <w:rFonts w:asciiTheme="majorBidi" w:hAnsiTheme="majorBidi"/>
          <w:lang w:val="pt-BR"/>
        </w:rPr>
        <w:t>16;</w:t>
      </w:r>
      <w:r w:rsidR="004F2FAF">
        <w:rPr>
          <w:rFonts w:asciiTheme="majorBidi" w:hAnsiTheme="majorBidi"/>
          <w:lang w:val="pt-BR"/>
        </w:rPr>
        <w:t xml:space="preserve"> </w:t>
      </w:r>
      <w:hyperlink r:id="rId62" w:history="1">
        <w:r w:rsidRPr="0006136B">
          <w:rPr>
            <w:rStyle w:val="Hyperlink"/>
            <w:lang w:val="es-ES"/>
          </w:rPr>
          <w:t>A/HRC/43/21</w:t>
        </w:r>
      </w:hyperlink>
      <w:r w:rsidRPr="00065023">
        <w:rPr>
          <w:rFonts w:asciiTheme="majorBidi" w:hAnsiTheme="majorBidi"/>
          <w:lang w:val="pt-BR"/>
        </w:rPr>
        <w:t>,</w:t>
      </w:r>
      <w:r w:rsidR="004F2FAF">
        <w:rPr>
          <w:rFonts w:asciiTheme="majorBidi" w:hAnsiTheme="majorBidi"/>
          <w:lang w:val="pt-BR"/>
        </w:rPr>
        <w:t xml:space="preserve"> </w:t>
      </w:r>
      <w:r w:rsidRPr="00065023">
        <w:rPr>
          <w:rFonts w:asciiTheme="majorBidi" w:hAnsiTheme="majorBidi"/>
          <w:lang w:val="pt-BR"/>
        </w:rPr>
        <w:t>para.</w:t>
      </w:r>
      <w:r w:rsidR="004F2FAF">
        <w:rPr>
          <w:rFonts w:asciiTheme="majorBidi" w:hAnsiTheme="majorBidi"/>
          <w:lang w:val="pt-BR"/>
        </w:rPr>
        <w:t xml:space="preserve"> </w:t>
      </w:r>
      <w:r w:rsidRPr="004F2FAF">
        <w:rPr>
          <w:rFonts w:asciiTheme="majorBidi" w:hAnsiTheme="majorBidi" w:cstheme="majorBidi"/>
          <w:lang w:val="es-ES"/>
        </w:rPr>
        <w:t>20;</w:t>
      </w:r>
      <w:r w:rsidR="004F2FAF" w:rsidRPr="004F2FAF">
        <w:rPr>
          <w:rFonts w:asciiTheme="majorBidi" w:hAnsiTheme="majorBidi" w:cstheme="majorBidi"/>
          <w:lang w:val="es-ES"/>
        </w:rPr>
        <w:t xml:space="preserve"> </w:t>
      </w:r>
      <w:r w:rsidRPr="004F2FAF">
        <w:rPr>
          <w:rFonts w:asciiTheme="majorBidi" w:hAnsiTheme="majorBidi" w:cstheme="majorBidi"/>
          <w:lang w:val="es-ES"/>
        </w:rPr>
        <w:t>and</w:t>
      </w:r>
      <w:r w:rsidR="004F2FAF" w:rsidRPr="004F2FAF">
        <w:rPr>
          <w:rFonts w:asciiTheme="majorBidi" w:hAnsiTheme="majorBidi" w:cstheme="majorBidi"/>
          <w:lang w:val="es-ES"/>
        </w:rPr>
        <w:t xml:space="preserve"> </w:t>
      </w:r>
      <w:hyperlink r:id="rId63" w:history="1">
        <w:r w:rsidRPr="004F2FAF">
          <w:rPr>
            <w:rStyle w:val="Hyperlink"/>
            <w:lang w:val="es-ES"/>
          </w:rPr>
          <w:t>A/HRC/46/22</w:t>
        </w:r>
      </w:hyperlink>
      <w:r w:rsidRPr="004F2FAF">
        <w:rPr>
          <w:rFonts w:asciiTheme="majorBidi" w:hAnsiTheme="majorBidi" w:cstheme="majorBidi"/>
          <w:lang w:val="es-ES"/>
        </w:rPr>
        <w:t>,</w:t>
      </w:r>
      <w:r w:rsidR="004F2FAF" w:rsidRPr="004F2FAF">
        <w:rPr>
          <w:rFonts w:asciiTheme="majorBidi" w:hAnsiTheme="majorBidi" w:cstheme="majorBidi"/>
          <w:lang w:val="es-ES"/>
        </w:rPr>
        <w:t xml:space="preserve"> </w:t>
      </w:r>
      <w:r w:rsidRPr="004F2FAF">
        <w:rPr>
          <w:rFonts w:asciiTheme="majorBidi" w:hAnsiTheme="majorBidi" w:cstheme="majorBidi"/>
          <w:lang w:val="es-ES"/>
        </w:rPr>
        <w:t>para.</w:t>
      </w:r>
      <w:r w:rsidR="004F2FAF" w:rsidRPr="004F2FAF">
        <w:rPr>
          <w:rFonts w:asciiTheme="majorBidi" w:hAnsiTheme="majorBidi" w:cstheme="majorBidi"/>
          <w:lang w:val="es-ES"/>
        </w:rPr>
        <w:t xml:space="preserve"> </w:t>
      </w:r>
      <w:r w:rsidRPr="004F2FAF">
        <w:rPr>
          <w:rFonts w:asciiTheme="majorBidi" w:hAnsiTheme="majorBidi" w:cstheme="majorBidi"/>
        </w:rPr>
        <w:t>11.</w:t>
      </w:r>
    </w:p>
  </w:footnote>
  <w:footnote w:id="73">
    <w:p w14:paraId="63CA6599" w14:textId="212DF320" w:rsidR="003E3217" w:rsidRPr="004F2FAF" w:rsidRDefault="003E3217" w:rsidP="00C13EBD">
      <w:pPr>
        <w:pStyle w:val="FootnoteText"/>
        <w:rPr>
          <w:rFonts w:asciiTheme="majorBidi" w:hAnsiTheme="majorBidi" w:cstheme="majorBidi"/>
        </w:rPr>
      </w:pPr>
      <w:r w:rsidRPr="004F2FAF">
        <w:rPr>
          <w:rFonts w:asciiTheme="majorBidi" w:hAnsiTheme="majorBidi" w:cstheme="majorBidi"/>
        </w:rPr>
        <w:tab/>
      </w:r>
      <w:r w:rsidRPr="00F81291">
        <w:rPr>
          <w:rStyle w:val="FootnoteReference"/>
        </w:rPr>
        <w:footnoteRef/>
      </w:r>
      <w:r w:rsidRPr="004F2FAF">
        <w:rPr>
          <w:rStyle w:val="FootnoteReference"/>
        </w:rPr>
        <w:tab/>
      </w:r>
      <w:r w:rsidRPr="004F2FAF">
        <w:rPr>
          <w:rFonts w:asciiTheme="majorBidi" w:hAnsiTheme="majorBidi" w:cstheme="majorBidi"/>
        </w:rPr>
        <w:t>This</w:t>
      </w:r>
      <w:r w:rsidR="004F2FAF">
        <w:rPr>
          <w:rFonts w:asciiTheme="majorBidi" w:hAnsiTheme="majorBidi" w:cstheme="majorBidi"/>
        </w:rPr>
        <w:t xml:space="preserve"> </w:t>
      </w:r>
      <w:r w:rsidRPr="00725D3C">
        <w:rPr>
          <w:rFonts w:asciiTheme="majorBidi" w:hAnsiTheme="majorBidi" w:cstheme="majorBidi"/>
        </w:rPr>
        <w:t>does</w:t>
      </w:r>
      <w:r w:rsidR="004F2FAF">
        <w:rPr>
          <w:rFonts w:asciiTheme="majorBidi" w:hAnsiTheme="majorBidi" w:cstheme="majorBidi"/>
        </w:rPr>
        <w:t xml:space="preserve"> </w:t>
      </w:r>
      <w:r w:rsidRPr="00725D3C">
        <w:rPr>
          <w:rFonts w:asciiTheme="majorBidi" w:hAnsiTheme="majorBidi" w:cstheme="majorBidi"/>
        </w:rPr>
        <w:t>not</w:t>
      </w:r>
      <w:r w:rsidR="004F2FAF">
        <w:rPr>
          <w:rFonts w:asciiTheme="majorBidi" w:hAnsiTheme="majorBidi" w:cstheme="majorBidi"/>
        </w:rPr>
        <w:t xml:space="preserve"> </w:t>
      </w:r>
      <w:r w:rsidRPr="00725D3C">
        <w:rPr>
          <w:rFonts w:asciiTheme="majorBidi" w:hAnsiTheme="majorBidi" w:cstheme="majorBidi"/>
        </w:rPr>
        <w:t>include</w:t>
      </w:r>
      <w:r w:rsidR="004F2FAF">
        <w:rPr>
          <w:rFonts w:asciiTheme="majorBidi" w:hAnsiTheme="majorBidi" w:cstheme="majorBidi"/>
        </w:rPr>
        <w:t xml:space="preserve"> </w:t>
      </w:r>
      <w:r w:rsidRPr="00725D3C">
        <w:rPr>
          <w:rFonts w:asciiTheme="majorBidi" w:hAnsiTheme="majorBidi" w:cstheme="majorBidi"/>
        </w:rPr>
        <w:t>Palestinians</w:t>
      </w:r>
      <w:r w:rsidR="004F2FAF">
        <w:rPr>
          <w:rFonts w:asciiTheme="majorBidi" w:hAnsiTheme="majorBidi" w:cstheme="majorBidi"/>
        </w:rPr>
        <w:t xml:space="preserve"> </w:t>
      </w:r>
      <w:r w:rsidRPr="00725D3C">
        <w:rPr>
          <w:rFonts w:asciiTheme="majorBidi" w:hAnsiTheme="majorBidi" w:cstheme="majorBidi"/>
        </w:rPr>
        <w:t>killed</w:t>
      </w:r>
      <w:r w:rsidR="004F2FAF">
        <w:rPr>
          <w:rFonts w:asciiTheme="majorBidi" w:hAnsiTheme="majorBidi" w:cstheme="majorBidi"/>
        </w:rPr>
        <w:t xml:space="preserve"> </w:t>
      </w:r>
      <w:r w:rsidRPr="00725D3C">
        <w:rPr>
          <w:rFonts w:asciiTheme="majorBidi" w:hAnsiTheme="majorBidi" w:cstheme="majorBidi"/>
        </w:rPr>
        <w:t>in</w:t>
      </w:r>
      <w:r w:rsidR="004F2FAF">
        <w:rPr>
          <w:rFonts w:asciiTheme="majorBidi" w:hAnsiTheme="majorBidi" w:cstheme="majorBidi"/>
        </w:rPr>
        <w:t xml:space="preserve"> </w:t>
      </w:r>
      <w:r w:rsidRPr="00725D3C">
        <w:rPr>
          <w:rFonts w:asciiTheme="majorBidi" w:hAnsiTheme="majorBidi" w:cstheme="majorBidi"/>
        </w:rPr>
        <w:t>the</w:t>
      </w:r>
      <w:r w:rsidR="004F2FAF">
        <w:rPr>
          <w:rFonts w:asciiTheme="majorBidi" w:hAnsiTheme="majorBidi" w:cstheme="majorBidi"/>
        </w:rPr>
        <w:t xml:space="preserve"> </w:t>
      </w:r>
      <w:r w:rsidRPr="00725D3C">
        <w:rPr>
          <w:rFonts w:asciiTheme="majorBidi" w:hAnsiTheme="majorBidi" w:cstheme="majorBidi"/>
        </w:rPr>
        <w:t>context</w:t>
      </w:r>
      <w:r w:rsidR="004F2FAF">
        <w:rPr>
          <w:rFonts w:asciiTheme="majorBidi" w:hAnsiTheme="majorBidi" w:cstheme="majorBidi"/>
        </w:rPr>
        <w:t xml:space="preserve"> </w:t>
      </w:r>
      <w:r w:rsidRPr="00725D3C">
        <w:rPr>
          <w:rFonts w:asciiTheme="majorBidi" w:hAnsiTheme="majorBidi" w:cstheme="majorBidi"/>
        </w:rPr>
        <w:t>of</w:t>
      </w:r>
      <w:r w:rsidR="004F2FAF">
        <w:rPr>
          <w:rFonts w:asciiTheme="majorBidi" w:hAnsiTheme="majorBidi" w:cstheme="majorBidi"/>
        </w:rPr>
        <w:t xml:space="preserve"> </w:t>
      </w:r>
      <w:r w:rsidRPr="00725D3C">
        <w:rPr>
          <w:rFonts w:asciiTheme="majorBidi" w:hAnsiTheme="majorBidi" w:cstheme="majorBidi"/>
        </w:rPr>
        <w:t>hostilities</w:t>
      </w:r>
      <w:r w:rsidR="004F2FAF">
        <w:rPr>
          <w:rFonts w:asciiTheme="majorBidi" w:hAnsiTheme="majorBidi" w:cstheme="majorBidi"/>
        </w:rPr>
        <w:t xml:space="preserve"> </w:t>
      </w:r>
      <w:r w:rsidRPr="00725D3C">
        <w:rPr>
          <w:rFonts w:asciiTheme="majorBidi" w:hAnsiTheme="majorBidi" w:cstheme="majorBidi"/>
        </w:rPr>
        <w:t>or</w:t>
      </w:r>
      <w:r w:rsidR="004F2FAF">
        <w:rPr>
          <w:rFonts w:asciiTheme="majorBidi" w:hAnsiTheme="majorBidi" w:cstheme="majorBidi"/>
        </w:rPr>
        <w:t xml:space="preserve"> </w:t>
      </w:r>
      <w:r w:rsidRPr="00725D3C">
        <w:rPr>
          <w:rFonts w:asciiTheme="majorBidi" w:hAnsiTheme="majorBidi" w:cstheme="majorBidi"/>
        </w:rPr>
        <w:t>those</w:t>
      </w:r>
      <w:r w:rsidR="004F2FAF">
        <w:rPr>
          <w:rFonts w:asciiTheme="majorBidi" w:hAnsiTheme="majorBidi" w:cstheme="majorBidi"/>
        </w:rPr>
        <w:t xml:space="preserve"> </w:t>
      </w:r>
      <w:r w:rsidRPr="00725D3C">
        <w:rPr>
          <w:rFonts w:asciiTheme="majorBidi" w:hAnsiTheme="majorBidi" w:cstheme="majorBidi"/>
        </w:rPr>
        <w:t>killed</w:t>
      </w:r>
      <w:r w:rsidR="004F2FAF">
        <w:rPr>
          <w:rFonts w:asciiTheme="majorBidi" w:hAnsiTheme="majorBidi" w:cstheme="majorBidi"/>
        </w:rPr>
        <w:t xml:space="preserve"> </w:t>
      </w:r>
      <w:r w:rsidRPr="00725D3C">
        <w:rPr>
          <w:rFonts w:asciiTheme="majorBidi" w:hAnsiTheme="majorBidi" w:cstheme="majorBidi"/>
        </w:rPr>
        <w:t>in</w:t>
      </w:r>
      <w:r w:rsidR="004F2FAF">
        <w:rPr>
          <w:rFonts w:asciiTheme="majorBidi" w:hAnsiTheme="majorBidi" w:cstheme="majorBidi"/>
        </w:rPr>
        <w:t xml:space="preserve"> </w:t>
      </w:r>
      <w:r w:rsidRPr="00725D3C">
        <w:rPr>
          <w:rFonts w:asciiTheme="majorBidi" w:hAnsiTheme="majorBidi" w:cstheme="majorBidi"/>
        </w:rPr>
        <w:t>unclear</w:t>
      </w:r>
      <w:r w:rsidR="004F2FAF">
        <w:rPr>
          <w:rFonts w:asciiTheme="majorBidi" w:hAnsiTheme="majorBidi" w:cstheme="majorBidi"/>
        </w:rPr>
        <w:t xml:space="preserve"> </w:t>
      </w:r>
      <w:r w:rsidRPr="00725D3C">
        <w:rPr>
          <w:rFonts w:asciiTheme="majorBidi" w:hAnsiTheme="majorBidi" w:cstheme="majorBidi"/>
        </w:rPr>
        <w:t>circumstances.</w:t>
      </w:r>
      <w:r w:rsidR="004F2FAF">
        <w:rPr>
          <w:rFonts w:asciiTheme="majorBidi" w:hAnsiTheme="majorBidi" w:cstheme="majorBidi"/>
        </w:rPr>
        <w:t xml:space="preserve"> </w:t>
      </w:r>
      <w:r w:rsidRPr="00725D3C">
        <w:rPr>
          <w:rFonts w:asciiTheme="majorBidi" w:hAnsiTheme="majorBidi" w:cstheme="majorBidi"/>
        </w:rPr>
        <w:t>T</w:t>
      </w:r>
      <w:r>
        <w:rPr>
          <w:rFonts w:asciiTheme="majorBidi" w:hAnsiTheme="majorBidi" w:cstheme="majorBidi"/>
        </w:rPr>
        <w:t>he</w:t>
      </w:r>
      <w:r w:rsidR="004F2FAF">
        <w:rPr>
          <w:rFonts w:asciiTheme="majorBidi" w:hAnsiTheme="majorBidi" w:cstheme="majorBidi"/>
        </w:rPr>
        <w:t xml:space="preserve"> </w:t>
      </w:r>
      <w:r w:rsidRPr="00725D3C">
        <w:rPr>
          <w:rFonts w:asciiTheme="majorBidi" w:hAnsiTheme="majorBidi" w:cstheme="majorBidi"/>
        </w:rPr>
        <w:t>total</w:t>
      </w:r>
      <w:r w:rsidR="004F2FAF">
        <w:rPr>
          <w:rFonts w:asciiTheme="majorBidi" w:hAnsiTheme="majorBidi" w:cstheme="majorBidi"/>
        </w:rPr>
        <w:t xml:space="preserve"> </w:t>
      </w:r>
      <w:r w:rsidRPr="00725D3C">
        <w:rPr>
          <w:rFonts w:asciiTheme="majorBidi" w:hAnsiTheme="majorBidi" w:cstheme="majorBidi"/>
        </w:rPr>
        <w:t>number</w:t>
      </w:r>
      <w:r w:rsidR="004F2FAF">
        <w:rPr>
          <w:rFonts w:asciiTheme="majorBidi" w:hAnsiTheme="majorBidi" w:cstheme="majorBidi"/>
        </w:rPr>
        <w:t xml:space="preserve"> </w:t>
      </w:r>
      <w:r w:rsidRPr="00725D3C">
        <w:rPr>
          <w:rFonts w:asciiTheme="majorBidi" w:hAnsiTheme="majorBidi" w:cstheme="majorBidi"/>
        </w:rPr>
        <w:t>of</w:t>
      </w:r>
      <w:r w:rsidR="004F2FAF">
        <w:rPr>
          <w:rFonts w:asciiTheme="majorBidi" w:hAnsiTheme="majorBidi" w:cstheme="majorBidi"/>
        </w:rPr>
        <w:t xml:space="preserve"> </w:t>
      </w:r>
      <w:r w:rsidRPr="00725D3C">
        <w:rPr>
          <w:rFonts w:asciiTheme="majorBidi" w:hAnsiTheme="majorBidi" w:cstheme="majorBidi"/>
        </w:rPr>
        <w:t>Palestinians</w:t>
      </w:r>
      <w:r w:rsidR="004F2FAF">
        <w:rPr>
          <w:rFonts w:asciiTheme="majorBidi" w:hAnsiTheme="majorBidi" w:cstheme="majorBidi"/>
        </w:rPr>
        <w:t xml:space="preserve"> </w:t>
      </w:r>
      <w:r w:rsidRPr="00725D3C">
        <w:rPr>
          <w:rFonts w:asciiTheme="majorBidi" w:hAnsiTheme="majorBidi" w:cstheme="majorBidi"/>
        </w:rPr>
        <w:t>killed</w:t>
      </w:r>
      <w:r w:rsidR="004F2FAF">
        <w:rPr>
          <w:rFonts w:asciiTheme="majorBidi" w:hAnsiTheme="majorBidi" w:cstheme="majorBidi"/>
        </w:rPr>
        <w:t xml:space="preserve"> </w:t>
      </w:r>
      <w:r w:rsidRPr="00725D3C">
        <w:rPr>
          <w:rFonts w:asciiTheme="majorBidi" w:hAnsiTheme="majorBidi" w:cstheme="majorBidi"/>
        </w:rPr>
        <w:t>by</w:t>
      </w:r>
      <w:r w:rsidR="004F2FAF">
        <w:rPr>
          <w:rFonts w:asciiTheme="majorBidi" w:hAnsiTheme="majorBidi" w:cstheme="majorBidi"/>
        </w:rPr>
        <w:t xml:space="preserve"> </w:t>
      </w:r>
      <w:r>
        <w:rPr>
          <w:rFonts w:asciiTheme="majorBidi" w:hAnsiTheme="majorBidi" w:cstheme="majorBidi"/>
        </w:rPr>
        <w:t>Israeli</w:t>
      </w:r>
      <w:r w:rsidR="004F2FAF">
        <w:rPr>
          <w:rFonts w:asciiTheme="majorBidi" w:hAnsiTheme="majorBidi" w:cstheme="majorBidi"/>
        </w:rPr>
        <w:t xml:space="preserve"> </w:t>
      </w:r>
      <w:r>
        <w:rPr>
          <w:rFonts w:asciiTheme="majorBidi" w:hAnsiTheme="majorBidi" w:cstheme="majorBidi"/>
        </w:rPr>
        <w:t>security</w:t>
      </w:r>
      <w:r w:rsidR="004F2FAF">
        <w:rPr>
          <w:rFonts w:asciiTheme="majorBidi" w:hAnsiTheme="majorBidi" w:cstheme="majorBidi"/>
        </w:rPr>
        <w:t xml:space="preserve"> </w:t>
      </w:r>
      <w:r>
        <w:rPr>
          <w:rFonts w:asciiTheme="majorBidi" w:hAnsiTheme="majorBidi" w:cstheme="majorBidi"/>
        </w:rPr>
        <w:t>forces</w:t>
      </w:r>
      <w:r w:rsidR="004F2FAF">
        <w:rPr>
          <w:rFonts w:asciiTheme="majorBidi" w:hAnsiTheme="majorBidi" w:cstheme="majorBidi"/>
        </w:rPr>
        <w:t xml:space="preserve"> </w:t>
      </w:r>
      <w:r w:rsidRPr="00725D3C">
        <w:rPr>
          <w:rFonts w:asciiTheme="majorBidi" w:hAnsiTheme="majorBidi" w:cstheme="majorBidi"/>
        </w:rPr>
        <w:t>in</w:t>
      </w:r>
      <w:r w:rsidR="004F2FAF">
        <w:rPr>
          <w:rFonts w:asciiTheme="majorBidi" w:hAnsiTheme="majorBidi" w:cstheme="majorBidi"/>
        </w:rPr>
        <w:t xml:space="preserve"> </w:t>
      </w:r>
      <w:r w:rsidRPr="00725D3C">
        <w:rPr>
          <w:rFonts w:asciiTheme="majorBidi" w:hAnsiTheme="majorBidi" w:cstheme="majorBidi"/>
        </w:rPr>
        <w:t>this</w:t>
      </w:r>
      <w:r w:rsidR="004F2FAF">
        <w:rPr>
          <w:rFonts w:asciiTheme="majorBidi" w:hAnsiTheme="majorBidi" w:cstheme="majorBidi"/>
        </w:rPr>
        <w:t xml:space="preserve"> </w:t>
      </w:r>
      <w:r w:rsidRPr="00725D3C">
        <w:rPr>
          <w:rFonts w:asciiTheme="majorBidi" w:hAnsiTheme="majorBidi" w:cstheme="majorBidi"/>
        </w:rPr>
        <w:t>period</w:t>
      </w:r>
      <w:r w:rsidR="004F2FAF">
        <w:rPr>
          <w:rFonts w:asciiTheme="majorBidi" w:hAnsiTheme="majorBidi" w:cstheme="majorBidi"/>
        </w:rPr>
        <w:t xml:space="preserve"> </w:t>
      </w:r>
      <w:r w:rsidRPr="00725D3C">
        <w:rPr>
          <w:rFonts w:asciiTheme="majorBidi" w:hAnsiTheme="majorBidi" w:cstheme="majorBidi"/>
        </w:rPr>
        <w:t>is</w:t>
      </w:r>
      <w:r w:rsidR="004F2FAF">
        <w:rPr>
          <w:rFonts w:asciiTheme="majorBidi" w:hAnsiTheme="majorBidi" w:cstheme="majorBidi"/>
        </w:rPr>
        <w:t xml:space="preserve"> </w:t>
      </w:r>
      <w:r w:rsidRPr="004F2FAF">
        <w:rPr>
          <w:rFonts w:asciiTheme="majorBidi" w:hAnsiTheme="majorBidi" w:cstheme="majorBidi"/>
        </w:rPr>
        <w:t>1,016.</w:t>
      </w:r>
    </w:p>
  </w:footnote>
  <w:footnote w:id="74">
    <w:p w14:paraId="66A88EBF" w14:textId="3C235666" w:rsidR="003E3217" w:rsidRPr="002A3EE1" w:rsidRDefault="003E3217" w:rsidP="00C13EBD">
      <w:pPr>
        <w:pStyle w:val="FootnoteText"/>
        <w:rPr>
          <w:lang w:val="es-ES"/>
        </w:rPr>
      </w:pPr>
      <w:r w:rsidRPr="004F2FAF">
        <w:tab/>
      </w:r>
      <w:r w:rsidRPr="00F81291">
        <w:rPr>
          <w:rStyle w:val="FootnoteReference"/>
        </w:rPr>
        <w:footnoteRef/>
      </w:r>
      <w:r w:rsidRPr="00490296">
        <w:rPr>
          <w:rStyle w:val="FootnoteReference"/>
          <w:lang w:val="es-ES"/>
        </w:rPr>
        <w:tab/>
      </w:r>
      <w:hyperlink r:id="rId64" w:history="1">
        <w:r w:rsidRPr="0006136B">
          <w:rPr>
            <w:rStyle w:val="Hyperlink"/>
            <w:lang w:val="es-ES"/>
          </w:rPr>
          <w:t>A/HRC/49/25</w:t>
        </w:r>
      </w:hyperlink>
      <w:r w:rsidRPr="002A3EE1">
        <w:rPr>
          <w:lang w:val="es-ES"/>
        </w:rPr>
        <w:t>,</w:t>
      </w:r>
      <w:r w:rsidR="004F2FAF">
        <w:rPr>
          <w:lang w:val="es-ES"/>
        </w:rPr>
        <w:t xml:space="preserve"> </w:t>
      </w:r>
      <w:r w:rsidRPr="002A3EE1">
        <w:rPr>
          <w:lang w:val="es-ES"/>
        </w:rPr>
        <w:t>para.</w:t>
      </w:r>
      <w:r w:rsidR="004F2FAF">
        <w:rPr>
          <w:lang w:val="es-ES"/>
        </w:rPr>
        <w:t xml:space="preserve"> </w:t>
      </w:r>
      <w:r w:rsidRPr="002A3EE1">
        <w:rPr>
          <w:lang w:val="es-ES"/>
        </w:rPr>
        <w:t>17.</w:t>
      </w:r>
      <w:r w:rsidR="004F2FAF">
        <w:rPr>
          <w:lang w:val="es-ES"/>
        </w:rPr>
        <w:t xml:space="preserve"> </w:t>
      </w:r>
    </w:p>
  </w:footnote>
  <w:footnote w:id="75">
    <w:p w14:paraId="6B79325D" w14:textId="73FE9D30" w:rsidR="003E3217" w:rsidRPr="002A3EE1" w:rsidRDefault="003E3217" w:rsidP="00C13EBD">
      <w:pPr>
        <w:pStyle w:val="FootnoteText"/>
        <w:rPr>
          <w:lang w:val="es-ES"/>
        </w:rPr>
      </w:pPr>
      <w:r w:rsidRPr="002A3EE1">
        <w:rPr>
          <w:lang w:val="es-ES"/>
        </w:rPr>
        <w:tab/>
      </w:r>
      <w:r w:rsidRPr="00F81291">
        <w:rPr>
          <w:rStyle w:val="FootnoteReference"/>
        </w:rPr>
        <w:footnoteRef/>
      </w:r>
      <w:r w:rsidRPr="0006136B">
        <w:rPr>
          <w:rStyle w:val="FootnoteReference"/>
          <w:lang w:val="es-ES"/>
        </w:rPr>
        <w:tab/>
      </w:r>
      <w:hyperlink r:id="rId65" w:history="1">
        <w:r w:rsidR="00A050BA" w:rsidRPr="00A3510E">
          <w:rPr>
            <w:rStyle w:val="Hyperlink"/>
            <w:rFonts w:eastAsia="SimSun"/>
            <w:lang w:val="es-ES"/>
          </w:rPr>
          <w:t>https://www.gov.il/BlobFolder/generalpage/downloads_eng1/en/ENG_turkel_eng_b1-474.pdf</w:t>
        </w:r>
      </w:hyperlink>
      <w:r w:rsidRPr="00A050BA">
        <w:rPr>
          <w:lang w:val="es-ES"/>
        </w:rPr>
        <w:t>,</w:t>
      </w:r>
      <w:r w:rsidR="004F2FAF" w:rsidRPr="00A050BA">
        <w:rPr>
          <w:lang w:val="es-ES"/>
        </w:rPr>
        <w:t xml:space="preserve"> </w:t>
      </w:r>
      <w:r w:rsidRPr="00A050BA">
        <w:rPr>
          <w:lang w:val="es-ES"/>
        </w:rPr>
        <w:t>p.</w:t>
      </w:r>
      <w:r w:rsidR="004F2FAF" w:rsidRPr="00A050BA">
        <w:rPr>
          <w:lang w:val="es-ES"/>
        </w:rPr>
        <w:t xml:space="preserve"> </w:t>
      </w:r>
      <w:r w:rsidRPr="00A050BA">
        <w:rPr>
          <w:lang w:val="es-ES"/>
        </w:rPr>
        <w:t>322</w:t>
      </w:r>
      <w:r w:rsidRPr="002A3EE1">
        <w:rPr>
          <w:lang w:val="es-ES"/>
        </w:rPr>
        <w:t>.</w:t>
      </w:r>
    </w:p>
  </w:footnote>
  <w:footnote w:id="76">
    <w:p w14:paraId="238E1917" w14:textId="6FE2E772" w:rsidR="003E3217" w:rsidRPr="004F2FAF" w:rsidRDefault="003E3217" w:rsidP="00C13EBD">
      <w:pPr>
        <w:pStyle w:val="FootnoteText"/>
      </w:pPr>
      <w:r w:rsidRPr="002A3EE1">
        <w:rPr>
          <w:lang w:val="es-ES"/>
        </w:rPr>
        <w:tab/>
      </w:r>
      <w:r w:rsidRPr="00F81291">
        <w:rPr>
          <w:rStyle w:val="FootnoteReference"/>
        </w:rPr>
        <w:footnoteRef/>
      </w:r>
      <w:r w:rsidRPr="004F2FAF">
        <w:rPr>
          <w:rStyle w:val="FootnoteReference"/>
        </w:rPr>
        <w:tab/>
      </w:r>
      <w:hyperlink r:id="rId66" w:history="1">
        <w:r w:rsidRPr="007E4062">
          <w:rPr>
            <w:rStyle w:val="Hyperlink"/>
          </w:rPr>
          <w:t>https://embassies.gov.il/MFA/AboutIsrael/state/Law/Pages/New_investigation</w:t>
        </w:r>
        <w:r w:rsidR="004F2FAF" w:rsidRPr="007E4062">
          <w:rPr>
            <w:rStyle w:val="Hyperlink"/>
          </w:rPr>
          <w:t xml:space="preserve"> </w:t>
        </w:r>
        <w:r w:rsidRPr="007E4062">
          <w:rPr>
            <w:rStyle w:val="Hyperlink"/>
          </w:rPr>
          <w:t>_policy_Palestinian_casualties_IDF_fire_Judea_Samaria_6-Apr-2011.aspx</w:t>
        </w:r>
      </w:hyperlink>
      <w:r w:rsidR="004F2FAF">
        <w:t xml:space="preserve"> </w:t>
      </w:r>
      <w:r w:rsidRPr="002A3EE1">
        <w:rPr>
          <w:rFonts w:asciiTheme="majorBidi" w:hAnsiTheme="majorBidi" w:cstheme="majorBidi"/>
          <w:lang w:val="en-US"/>
        </w:rPr>
        <w:t>(in</w:t>
      </w:r>
      <w:r w:rsidR="004F2FAF">
        <w:rPr>
          <w:rFonts w:asciiTheme="majorBidi" w:hAnsiTheme="majorBidi" w:cstheme="majorBidi"/>
          <w:lang w:val="en-US"/>
        </w:rPr>
        <w:t xml:space="preserve"> </w:t>
      </w:r>
      <w:r w:rsidRPr="004F2FAF">
        <w:rPr>
          <w:rFonts w:asciiTheme="majorBidi" w:hAnsiTheme="majorBidi" w:cstheme="majorBidi"/>
        </w:rPr>
        <w:t>Hebrew).</w:t>
      </w:r>
    </w:p>
  </w:footnote>
  <w:footnote w:id="77">
    <w:p w14:paraId="1D655236" w14:textId="0A339809" w:rsidR="003E3217" w:rsidRPr="004F2FAF" w:rsidRDefault="003E3217" w:rsidP="00C13EBD">
      <w:pPr>
        <w:pStyle w:val="FootnoteText"/>
        <w:rPr>
          <w:rFonts w:asciiTheme="majorBidi" w:hAnsiTheme="majorBidi" w:cstheme="majorBidi"/>
        </w:rPr>
      </w:pPr>
      <w:r w:rsidRPr="004F2FAF">
        <w:rPr>
          <w:szCs w:val="18"/>
        </w:rPr>
        <w:tab/>
      </w:r>
      <w:r w:rsidRPr="00F81291">
        <w:rPr>
          <w:rStyle w:val="FootnoteReference"/>
        </w:rPr>
        <w:footnoteRef/>
      </w:r>
      <w:r w:rsidRPr="004F2FAF">
        <w:rPr>
          <w:rStyle w:val="FootnoteReference"/>
        </w:rPr>
        <w:tab/>
      </w:r>
      <w:hyperlink r:id="rId67" w:history="1">
        <w:r w:rsidRPr="007E4062">
          <w:rPr>
            <w:rStyle w:val="Hyperlink"/>
            <w:rFonts w:eastAsia="SimSun"/>
          </w:rPr>
          <w:t>https://www.gov.il/BlobFolder/generalpage/downloads_eng1/en/ENG_turkel_eng_b1-474.pdf</w:t>
        </w:r>
      </w:hyperlink>
      <w:r w:rsidRPr="004F2FAF">
        <w:t>,</w:t>
      </w:r>
      <w:r w:rsidR="004F2FAF">
        <w:t xml:space="preserve"> </w:t>
      </w:r>
      <w:r w:rsidRPr="00725D3C">
        <w:rPr>
          <w:rFonts w:asciiTheme="majorBidi" w:hAnsiTheme="majorBidi" w:cstheme="majorBidi"/>
        </w:rPr>
        <w:t>p.</w:t>
      </w:r>
      <w:r w:rsidR="004F2FAF">
        <w:rPr>
          <w:rFonts w:asciiTheme="majorBidi" w:hAnsiTheme="majorBidi" w:cstheme="majorBidi"/>
        </w:rPr>
        <w:t xml:space="preserve"> </w:t>
      </w:r>
      <w:r w:rsidRPr="004F2FAF">
        <w:rPr>
          <w:rFonts w:asciiTheme="majorBidi" w:hAnsiTheme="majorBidi" w:cstheme="majorBidi"/>
        </w:rPr>
        <w:t>377.</w:t>
      </w:r>
    </w:p>
  </w:footnote>
  <w:footnote w:id="78">
    <w:p w14:paraId="530FA6B3" w14:textId="415A06E2" w:rsidR="003E3217" w:rsidRPr="004F2FAF" w:rsidRDefault="003E3217" w:rsidP="00C13EBD">
      <w:pPr>
        <w:pStyle w:val="FootnoteText"/>
      </w:pPr>
      <w:r w:rsidRPr="004F2FAF">
        <w:tab/>
      </w:r>
      <w:r w:rsidRPr="00F81291">
        <w:rPr>
          <w:rStyle w:val="FootnoteReference"/>
        </w:rPr>
        <w:footnoteRef/>
      </w:r>
      <w:r w:rsidRPr="004F2FAF">
        <w:rPr>
          <w:rStyle w:val="FootnoteReference"/>
        </w:rPr>
        <w:tab/>
      </w:r>
      <w:hyperlink r:id="rId68" w:history="1">
        <w:r w:rsidRPr="00B2553D">
          <w:rPr>
            <w:rStyle w:val="Hyperlink"/>
            <w:rFonts w:eastAsia="SimSun"/>
          </w:rPr>
          <w:t>https://www.idf.il/76056</w:t>
        </w:r>
      </w:hyperlink>
      <w:r w:rsidR="004F2FAF">
        <w:t xml:space="preserve"> </w:t>
      </w:r>
      <w:r>
        <w:t>(in</w:t>
      </w:r>
      <w:r w:rsidR="004F2FAF">
        <w:t xml:space="preserve"> </w:t>
      </w:r>
      <w:r w:rsidRPr="004F2FAF">
        <w:t>Hebrew).</w:t>
      </w:r>
    </w:p>
  </w:footnote>
  <w:footnote w:id="79">
    <w:p w14:paraId="1A7B0D00" w14:textId="16392B60" w:rsidR="003E3217" w:rsidRPr="004F2FAF" w:rsidRDefault="003E3217" w:rsidP="00C13EBD">
      <w:pPr>
        <w:pStyle w:val="FootnoteText"/>
      </w:pPr>
      <w:r w:rsidRPr="004F2FAF">
        <w:rPr>
          <w:szCs w:val="18"/>
        </w:rPr>
        <w:tab/>
      </w:r>
      <w:r w:rsidRPr="00F81291">
        <w:rPr>
          <w:rStyle w:val="FootnoteReference"/>
        </w:rPr>
        <w:footnoteRef/>
      </w:r>
      <w:r w:rsidRPr="004F2FAF">
        <w:rPr>
          <w:rStyle w:val="FootnoteReference"/>
        </w:rPr>
        <w:tab/>
      </w:r>
      <w:hyperlink r:id="rId69" w:history="1">
        <w:r w:rsidRPr="00B2553D">
          <w:rPr>
            <w:rStyle w:val="Hyperlink"/>
            <w:rFonts w:eastAsia="SimSun"/>
          </w:rPr>
          <w:t>https://usms.cellcom.co.il/files/QEIKC4/jdwke0b345.pdf</w:t>
        </w:r>
      </w:hyperlink>
      <w:r w:rsidR="004F2FAF">
        <w:t xml:space="preserve"> </w:t>
      </w:r>
      <w:r>
        <w:t>(in</w:t>
      </w:r>
      <w:r w:rsidR="004F2FAF">
        <w:t xml:space="preserve"> </w:t>
      </w:r>
      <w:r w:rsidRPr="004F2FAF">
        <w:t>Hebrew).</w:t>
      </w:r>
    </w:p>
  </w:footnote>
  <w:footnote w:id="80">
    <w:p w14:paraId="7DAE8905" w14:textId="0ACE03CD" w:rsidR="003E3217" w:rsidRPr="004F2FAF" w:rsidRDefault="003E3217" w:rsidP="00C13EBD">
      <w:pPr>
        <w:pStyle w:val="FootnoteText"/>
      </w:pPr>
      <w:r w:rsidRPr="004F2FAF">
        <w:rPr>
          <w:szCs w:val="18"/>
        </w:rPr>
        <w:tab/>
      </w:r>
      <w:r w:rsidRPr="00F81291">
        <w:rPr>
          <w:rStyle w:val="FootnoteReference"/>
        </w:rPr>
        <w:footnoteRef/>
      </w:r>
      <w:r w:rsidRPr="004F2FAF">
        <w:rPr>
          <w:rStyle w:val="FootnoteReference"/>
        </w:rPr>
        <w:tab/>
      </w:r>
      <w:hyperlink r:id="rId70" w:history="1">
        <w:r w:rsidRPr="00B2553D">
          <w:rPr>
            <w:rStyle w:val="Hyperlink"/>
            <w:rFonts w:eastAsia="SimSun"/>
          </w:rPr>
          <w:t>https://www.gov.il/BlobFolder/generalpage/downloads_eng1/en/ENG_turkel_eng_b1-474.pdf</w:t>
        </w:r>
      </w:hyperlink>
      <w:r w:rsidRPr="004F2FAF">
        <w:t>,</w:t>
      </w:r>
      <w:r w:rsidR="004F2FAF">
        <w:t xml:space="preserve"> </w:t>
      </w:r>
      <w:r w:rsidRPr="00725D3C">
        <w:t>p</w:t>
      </w:r>
      <w:r>
        <w:t>p</w:t>
      </w:r>
      <w:r w:rsidRPr="00725D3C">
        <w:t>.</w:t>
      </w:r>
      <w:r w:rsidR="004F2FAF">
        <w:t xml:space="preserve"> </w:t>
      </w:r>
      <w:r w:rsidRPr="00725D3C">
        <w:t>380</w:t>
      </w:r>
      <w:r w:rsidR="004F2FAF">
        <w:t xml:space="preserve"> </w:t>
      </w:r>
      <w:r>
        <w:t>and</w:t>
      </w:r>
      <w:r w:rsidR="004F2FAF">
        <w:t xml:space="preserve"> </w:t>
      </w:r>
      <w:r w:rsidRPr="004F2FAF">
        <w:t>384.</w:t>
      </w:r>
    </w:p>
  </w:footnote>
  <w:footnote w:id="81">
    <w:p w14:paraId="2BCB84B8" w14:textId="534E6929" w:rsidR="003E3217" w:rsidRPr="004F2FAF" w:rsidRDefault="003E3217" w:rsidP="00C13EBD">
      <w:pPr>
        <w:pStyle w:val="FootnoteText"/>
        <w:rPr>
          <w:rFonts w:asciiTheme="majorBidi" w:hAnsiTheme="majorBidi" w:cstheme="majorBidi"/>
        </w:rPr>
      </w:pPr>
      <w:r w:rsidRPr="004F2FAF">
        <w:rPr>
          <w:szCs w:val="18"/>
        </w:rPr>
        <w:tab/>
      </w:r>
      <w:r w:rsidRPr="00F81291">
        <w:rPr>
          <w:rStyle w:val="FootnoteReference"/>
        </w:rPr>
        <w:footnoteRef/>
      </w:r>
      <w:r w:rsidRPr="004F2FAF">
        <w:rPr>
          <w:rStyle w:val="FootnoteReference"/>
        </w:rPr>
        <w:tab/>
      </w:r>
      <w:hyperlink r:id="rId71" w:history="1">
        <w:r w:rsidRPr="004F2FAF">
          <w:rPr>
            <w:rStyle w:val="Hyperlink"/>
          </w:rPr>
          <w:t>A/HRC/46/22</w:t>
        </w:r>
      </w:hyperlink>
      <w:r w:rsidRPr="004F2FAF">
        <w:rPr>
          <w:rFonts w:asciiTheme="majorBidi" w:hAnsiTheme="majorBidi" w:cstheme="majorBidi"/>
        </w:rPr>
        <w:t>,</w:t>
      </w:r>
      <w:r w:rsidR="004F2FAF">
        <w:rPr>
          <w:rFonts w:asciiTheme="majorBidi" w:hAnsiTheme="majorBidi" w:cstheme="majorBidi"/>
          <w:lang w:val="en-US"/>
        </w:rPr>
        <w:t xml:space="preserve"> </w:t>
      </w:r>
      <w:r w:rsidRPr="002A3EE1">
        <w:rPr>
          <w:rFonts w:asciiTheme="majorBidi" w:hAnsiTheme="majorBidi" w:cstheme="majorBidi"/>
          <w:lang w:val="en-US"/>
        </w:rPr>
        <w:t>para.</w:t>
      </w:r>
      <w:r w:rsidR="004F2FAF">
        <w:rPr>
          <w:rFonts w:asciiTheme="majorBidi" w:hAnsiTheme="majorBidi" w:cstheme="majorBidi"/>
          <w:lang w:val="en-US"/>
        </w:rPr>
        <w:t xml:space="preserve"> </w:t>
      </w:r>
      <w:r w:rsidRPr="004F2FAF">
        <w:rPr>
          <w:rFonts w:asciiTheme="majorBidi" w:hAnsiTheme="majorBidi" w:cstheme="majorBidi"/>
        </w:rPr>
        <w:t>18.</w:t>
      </w:r>
    </w:p>
  </w:footnote>
  <w:footnote w:id="82">
    <w:p w14:paraId="39AF6315" w14:textId="24E51D43" w:rsidR="003E3217" w:rsidRPr="004F2FAF" w:rsidRDefault="003E3217" w:rsidP="00C13EBD">
      <w:pPr>
        <w:pStyle w:val="FootnoteText"/>
        <w:rPr>
          <w:rFonts w:asciiTheme="majorBidi" w:hAnsiTheme="majorBidi" w:cstheme="majorBidi"/>
        </w:rPr>
      </w:pPr>
      <w:r w:rsidRPr="004F2FAF">
        <w:rPr>
          <w:szCs w:val="18"/>
        </w:rPr>
        <w:tab/>
      </w:r>
      <w:r w:rsidRPr="00F81291">
        <w:rPr>
          <w:rStyle w:val="FootnoteReference"/>
        </w:rPr>
        <w:footnoteRef/>
      </w:r>
      <w:r w:rsidRPr="004F2FAF">
        <w:rPr>
          <w:rStyle w:val="FootnoteReference"/>
        </w:rPr>
        <w:tab/>
      </w:r>
      <w:hyperlink r:id="rId72" w:history="1">
        <w:r w:rsidRPr="00B2553D">
          <w:rPr>
            <w:rStyle w:val="Hyperlink"/>
            <w:rFonts w:eastAsia="SimSun"/>
          </w:rPr>
          <w:t>https://www.israelhayom.co.il/news/defense/article/13026997</w:t>
        </w:r>
      </w:hyperlink>
      <w:r w:rsidR="004F2FAF">
        <w:rPr>
          <w:rFonts w:eastAsia="SimSun"/>
          <w:lang w:val="en-US"/>
        </w:rPr>
        <w:t xml:space="preserve"> </w:t>
      </w:r>
      <w:r>
        <w:t>(in</w:t>
      </w:r>
      <w:r w:rsidR="004F2FAF">
        <w:t xml:space="preserve"> </w:t>
      </w:r>
      <w:r w:rsidRPr="004F2FAF">
        <w:t>Hebrew).</w:t>
      </w:r>
    </w:p>
  </w:footnote>
  <w:footnote w:id="83">
    <w:p w14:paraId="1878E71C" w14:textId="1EEE7A68" w:rsidR="003E3217" w:rsidRPr="002A3EE1" w:rsidRDefault="003E3217" w:rsidP="00C13EBD">
      <w:pPr>
        <w:pStyle w:val="FootnoteText"/>
        <w:rPr>
          <w:rFonts w:asciiTheme="majorBidi" w:hAnsiTheme="majorBidi" w:cstheme="majorBidi"/>
          <w:lang w:val="en-US"/>
        </w:rPr>
      </w:pPr>
      <w:bookmarkStart w:id="4" w:name="_Hlk121729067"/>
      <w:r w:rsidRPr="002A3EE1">
        <w:rPr>
          <w:szCs w:val="18"/>
          <w:lang w:val="en-US"/>
        </w:rPr>
        <w:tab/>
      </w:r>
      <w:r w:rsidRPr="00F81291">
        <w:rPr>
          <w:rStyle w:val="FootnoteReference"/>
        </w:rPr>
        <w:footnoteRef/>
      </w:r>
      <w:r w:rsidRPr="00F81291">
        <w:rPr>
          <w:rStyle w:val="FootnoteReference"/>
        </w:rPr>
        <w:tab/>
      </w:r>
      <w:hyperlink r:id="rId73" w:history="1">
        <w:r w:rsidRPr="00B2553D">
          <w:rPr>
            <w:rStyle w:val="Hyperlink"/>
            <w:rFonts w:eastAsia="SimSun"/>
            <w:lang w:val="en-US"/>
          </w:rPr>
          <w:t>https://www.haaretz.com/israel-news/2021-12-09/ty-article/israel-closes-probe-of-officers-who-shot-palestinian-assailant-in-jerusalem-attack/0000017f-e59d-df5f-a17f-ffdf946b0000</w:t>
        </w:r>
      </w:hyperlink>
      <w:r w:rsidRPr="002A3EE1">
        <w:rPr>
          <w:rFonts w:eastAsia="SimSun"/>
          <w:lang w:val="en-US"/>
        </w:rPr>
        <w:t>.</w:t>
      </w:r>
      <w:r w:rsidR="004F2FAF">
        <w:rPr>
          <w:rFonts w:asciiTheme="majorBidi" w:hAnsiTheme="majorBidi" w:cstheme="majorBidi"/>
          <w:lang w:val="en-US"/>
        </w:rPr>
        <w:t xml:space="preserve"> </w:t>
      </w:r>
      <w:bookmarkEnd w:id="4"/>
    </w:p>
  </w:footnote>
  <w:footnote w:id="84">
    <w:p w14:paraId="7146E5C6" w14:textId="2783CEA6" w:rsidR="003E3217" w:rsidRPr="004F2FAF" w:rsidRDefault="003E3217" w:rsidP="00C13EBD">
      <w:pPr>
        <w:pStyle w:val="FootnoteText"/>
        <w:rPr>
          <w:rFonts w:asciiTheme="majorBidi" w:hAnsiTheme="majorBidi"/>
          <w:lang w:val="es-ES"/>
        </w:rPr>
      </w:pPr>
      <w:r w:rsidRPr="002A3EE1">
        <w:rPr>
          <w:rFonts w:asciiTheme="majorBidi" w:hAnsiTheme="majorBidi"/>
          <w:lang w:val="en-US"/>
        </w:rPr>
        <w:tab/>
      </w:r>
      <w:r w:rsidRPr="00F81291">
        <w:rPr>
          <w:rStyle w:val="FootnoteReference"/>
        </w:rPr>
        <w:footnoteRef/>
      </w:r>
      <w:r w:rsidRPr="004F2FAF">
        <w:rPr>
          <w:rStyle w:val="FootnoteReference"/>
          <w:lang w:val="es-ES"/>
        </w:rPr>
        <w:tab/>
      </w:r>
      <w:hyperlink r:id="rId74" w:history="1">
        <w:r w:rsidRPr="004F2FAF">
          <w:rPr>
            <w:rStyle w:val="Hyperlink"/>
            <w:lang w:val="es-ES"/>
          </w:rPr>
          <w:t>A/HRC/46/22</w:t>
        </w:r>
      </w:hyperlink>
      <w:r w:rsidRPr="004F2FAF">
        <w:rPr>
          <w:rFonts w:asciiTheme="majorBidi" w:hAnsiTheme="majorBidi"/>
          <w:lang w:val="es-ES"/>
        </w:rPr>
        <w:t>,</w:t>
      </w:r>
      <w:r w:rsidR="004F2FAF">
        <w:rPr>
          <w:rFonts w:asciiTheme="majorBidi" w:hAnsiTheme="majorBidi"/>
          <w:lang w:val="es-ES"/>
        </w:rPr>
        <w:t xml:space="preserve"> </w:t>
      </w:r>
      <w:r w:rsidRPr="005D6CEA">
        <w:rPr>
          <w:rFonts w:asciiTheme="majorBidi" w:hAnsiTheme="majorBidi"/>
          <w:lang w:val="es-ES"/>
        </w:rPr>
        <w:t>para.</w:t>
      </w:r>
      <w:r w:rsidR="004F2FAF">
        <w:rPr>
          <w:rFonts w:asciiTheme="majorBidi" w:hAnsiTheme="majorBidi"/>
          <w:lang w:val="es-ES"/>
        </w:rPr>
        <w:t xml:space="preserve"> </w:t>
      </w:r>
      <w:r w:rsidRPr="004F2FAF">
        <w:rPr>
          <w:rFonts w:asciiTheme="majorBidi" w:hAnsiTheme="majorBidi"/>
          <w:lang w:val="es-ES"/>
        </w:rPr>
        <w:t>12.</w:t>
      </w:r>
    </w:p>
  </w:footnote>
  <w:footnote w:id="85">
    <w:p w14:paraId="47E9DD82" w14:textId="41022C49" w:rsidR="003E3217" w:rsidRPr="002A3EE1" w:rsidRDefault="003E3217" w:rsidP="00C13EBD">
      <w:pPr>
        <w:pStyle w:val="FootnoteText"/>
        <w:rPr>
          <w:rFonts w:asciiTheme="majorBidi" w:hAnsiTheme="majorBidi"/>
          <w:lang w:val="en-US"/>
        </w:rPr>
      </w:pPr>
      <w:r w:rsidRPr="004F2FAF">
        <w:rPr>
          <w:rFonts w:asciiTheme="majorBidi" w:hAnsiTheme="majorBidi"/>
          <w:lang w:val="es-ES"/>
        </w:rPr>
        <w:tab/>
      </w:r>
      <w:r w:rsidRPr="00F81291">
        <w:rPr>
          <w:rStyle w:val="FootnoteReference"/>
        </w:rPr>
        <w:footnoteRef/>
      </w:r>
      <w:r w:rsidRPr="004F2FAF">
        <w:rPr>
          <w:rStyle w:val="FootnoteReference"/>
          <w:lang w:val="es-ES"/>
        </w:rPr>
        <w:tab/>
      </w:r>
      <w:hyperlink r:id="rId75" w:history="1">
        <w:r w:rsidRPr="004F2FAF">
          <w:rPr>
            <w:rStyle w:val="Hyperlink"/>
            <w:lang w:val="es-ES"/>
          </w:rPr>
          <w:t>A/HRC/43/21</w:t>
        </w:r>
      </w:hyperlink>
      <w:r w:rsidRPr="004F2FAF">
        <w:rPr>
          <w:rFonts w:asciiTheme="majorBidi" w:hAnsiTheme="majorBidi"/>
          <w:lang w:val="es-ES"/>
        </w:rPr>
        <w:t>,</w:t>
      </w:r>
      <w:r w:rsidR="004F2FAF">
        <w:rPr>
          <w:rFonts w:asciiTheme="majorBidi" w:hAnsiTheme="majorBidi"/>
          <w:lang w:val="es-ES"/>
        </w:rPr>
        <w:t xml:space="preserve"> </w:t>
      </w:r>
      <w:r w:rsidRPr="005D6CEA">
        <w:rPr>
          <w:rFonts w:asciiTheme="majorBidi" w:hAnsiTheme="majorBidi"/>
          <w:lang w:val="es-ES"/>
        </w:rPr>
        <w:t>para.</w:t>
      </w:r>
      <w:r w:rsidR="004F2FAF">
        <w:rPr>
          <w:rFonts w:asciiTheme="majorBidi" w:hAnsiTheme="majorBidi"/>
          <w:lang w:val="es-ES"/>
        </w:rPr>
        <w:t xml:space="preserve"> </w:t>
      </w:r>
      <w:r w:rsidRPr="002A3EE1">
        <w:rPr>
          <w:rFonts w:asciiTheme="majorBidi" w:hAnsiTheme="majorBidi"/>
          <w:lang w:val="en-US"/>
        </w:rPr>
        <w:t>24;</w:t>
      </w:r>
      <w:r w:rsidR="004F2FAF">
        <w:rPr>
          <w:rFonts w:asciiTheme="majorBidi" w:hAnsiTheme="majorBidi"/>
          <w:lang w:val="en-US"/>
        </w:rPr>
        <w:t xml:space="preserve"> </w:t>
      </w:r>
      <w:r>
        <w:rPr>
          <w:rFonts w:asciiTheme="majorBidi" w:hAnsiTheme="majorBidi"/>
          <w:lang w:val="en-US"/>
        </w:rPr>
        <w:t>a</w:t>
      </w:r>
      <w:r w:rsidRPr="002A3EE1">
        <w:rPr>
          <w:rFonts w:asciiTheme="majorBidi" w:hAnsiTheme="majorBidi"/>
          <w:lang w:val="en-US"/>
        </w:rPr>
        <w:t>nd</w:t>
      </w:r>
      <w:r w:rsidR="004F2FAF">
        <w:rPr>
          <w:rFonts w:asciiTheme="majorBidi" w:hAnsiTheme="majorBidi"/>
          <w:lang w:val="en-US"/>
        </w:rPr>
        <w:t xml:space="preserve"> </w:t>
      </w:r>
      <w:hyperlink r:id="rId76" w:history="1">
        <w:r w:rsidRPr="00B2553D">
          <w:rPr>
            <w:rStyle w:val="Hyperlink"/>
            <w:lang w:val="en-US"/>
          </w:rPr>
          <w:t>https://www.btselem.org/sites/default/files/publications/202112_unwilling_and_unable_eng.pdf</w:t>
        </w:r>
      </w:hyperlink>
      <w:r w:rsidRPr="002A3EE1">
        <w:rPr>
          <w:lang w:val="en-US"/>
        </w:rPr>
        <w:t>.</w:t>
      </w:r>
    </w:p>
  </w:footnote>
  <w:footnote w:id="86">
    <w:p w14:paraId="71E39260" w14:textId="77EB81DA" w:rsidR="003E3217" w:rsidRPr="004F2FAF" w:rsidRDefault="003E3217" w:rsidP="00C13EBD">
      <w:pPr>
        <w:pStyle w:val="FootnoteText"/>
        <w:rPr>
          <w:rFonts w:asciiTheme="majorBidi" w:hAnsiTheme="majorBidi"/>
          <w:lang w:val="es-ES"/>
        </w:rPr>
      </w:pPr>
      <w:r w:rsidRPr="002A3EE1">
        <w:rPr>
          <w:szCs w:val="18"/>
          <w:lang w:val="en-US"/>
        </w:rPr>
        <w:tab/>
      </w:r>
      <w:r w:rsidRPr="00F81291">
        <w:rPr>
          <w:rStyle w:val="FootnoteReference"/>
        </w:rPr>
        <w:footnoteRef/>
      </w:r>
      <w:r w:rsidRPr="00F81291">
        <w:rPr>
          <w:rStyle w:val="FootnoteReference"/>
        </w:rPr>
        <w:tab/>
      </w:r>
      <w:r w:rsidRPr="002A3EE1">
        <w:rPr>
          <w:rFonts w:asciiTheme="majorBidi" w:hAnsiTheme="majorBidi"/>
          <w:lang w:val="en-US"/>
        </w:rPr>
        <w:t>Human</w:t>
      </w:r>
      <w:r w:rsidR="004F2FAF">
        <w:rPr>
          <w:rFonts w:asciiTheme="majorBidi" w:hAnsiTheme="majorBidi"/>
          <w:lang w:val="en-US"/>
        </w:rPr>
        <w:t xml:space="preserve"> </w:t>
      </w:r>
      <w:r w:rsidRPr="002A3EE1">
        <w:rPr>
          <w:rFonts w:asciiTheme="majorBidi" w:hAnsiTheme="majorBidi"/>
          <w:lang w:val="en-US"/>
        </w:rPr>
        <w:t>Rights</w:t>
      </w:r>
      <w:r w:rsidR="004F2FAF">
        <w:rPr>
          <w:rFonts w:asciiTheme="majorBidi" w:hAnsiTheme="majorBidi"/>
          <w:lang w:val="en-US"/>
        </w:rPr>
        <w:t xml:space="preserve"> </w:t>
      </w:r>
      <w:r w:rsidRPr="002A3EE1">
        <w:rPr>
          <w:rFonts w:asciiTheme="majorBidi" w:hAnsiTheme="majorBidi"/>
          <w:lang w:val="en-US"/>
        </w:rPr>
        <w:t>Committee,</w:t>
      </w:r>
      <w:r w:rsidR="004F2FAF">
        <w:rPr>
          <w:rFonts w:asciiTheme="majorBidi" w:hAnsiTheme="majorBidi"/>
          <w:lang w:val="en-US"/>
        </w:rPr>
        <w:t xml:space="preserve"> </w:t>
      </w:r>
      <w:r w:rsidRPr="002A3EE1">
        <w:rPr>
          <w:rFonts w:asciiTheme="majorBidi" w:hAnsiTheme="majorBidi"/>
          <w:lang w:val="en-US"/>
        </w:rPr>
        <w:t>general</w:t>
      </w:r>
      <w:r w:rsidR="004F2FAF">
        <w:rPr>
          <w:rFonts w:asciiTheme="majorBidi" w:hAnsiTheme="majorBidi"/>
          <w:lang w:val="en-US"/>
        </w:rPr>
        <w:t xml:space="preserve"> </w:t>
      </w:r>
      <w:r w:rsidRPr="002A3EE1">
        <w:rPr>
          <w:rFonts w:asciiTheme="majorBidi" w:hAnsiTheme="majorBidi"/>
          <w:lang w:val="en-US"/>
        </w:rPr>
        <w:t>comment</w:t>
      </w:r>
      <w:r w:rsidR="004F2FAF">
        <w:rPr>
          <w:rFonts w:asciiTheme="majorBidi" w:hAnsiTheme="majorBidi"/>
          <w:lang w:val="en-US"/>
        </w:rPr>
        <w:t xml:space="preserve"> </w:t>
      </w:r>
      <w:r w:rsidRPr="002A3EE1">
        <w:rPr>
          <w:rFonts w:asciiTheme="majorBidi" w:hAnsiTheme="majorBidi"/>
          <w:lang w:val="en-US"/>
        </w:rPr>
        <w:t>No.</w:t>
      </w:r>
      <w:r w:rsidR="004F2FAF">
        <w:rPr>
          <w:rFonts w:asciiTheme="majorBidi" w:hAnsiTheme="majorBidi"/>
          <w:lang w:val="en-US"/>
        </w:rPr>
        <w:t xml:space="preserve"> </w:t>
      </w:r>
      <w:r w:rsidRPr="002A3EE1">
        <w:rPr>
          <w:rFonts w:asciiTheme="majorBidi" w:hAnsiTheme="majorBidi"/>
          <w:lang w:val="en-US"/>
        </w:rPr>
        <w:t>36</w:t>
      </w:r>
      <w:r w:rsidR="004F2FAF">
        <w:rPr>
          <w:rFonts w:asciiTheme="majorBidi" w:hAnsiTheme="majorBidi"/>
          <w:lang w:val="en-US"/>
        </w:rPr>
        <w:t xml:space="preserve"> </w:t>
      </w:r>
      <w:r>
        <w:rPr>
          <w:rFonts w:asciiTheme="majorBidi" w:hAnsiTheme="majorBidi"/>
          <w:lang w:val="en-US"/>
        </w:rPr>
        <w:t>(2018)</w:t>
      </w:r>
      <w:r w:rsidRPr="002A3EE1">
        <w:rPr>
          <w:rFonts w:asciiTheme="majorBidi" w:hAnsiTheme="majorBidi"/>
          <w:lang w:val="en-US"/>
        </w:rPr>
        <w:t>,</w:t>
      </w:r>
      <w:r w:rsidR="004F2FAF">
        <w:rPr>
          <w:rFonts w:asciiTheme="majorBidi" w:hAnsiTheme="majorBidi"/>
          <w:lang w:val="en-US"/>
        </w:rPr>
        <w:t xml:space="preserve"> </w:t>
      </w:r>
      <w:r w:rsidRPr="002A3EE1">
        <w:rPr>
          <w:rFonts w:asciiTheme="majorBidi" w:hAnsiTheme="majorBidi"/>
          <w:lang w:val="en-US"/>
        </w:rPr>
        <w:t>para.</w:t>
      </w:r>
      <w:r w:rsidR="004F2FAF">
        <w:rPr>
          <w:rFonts w:asciiTheme="majorBidi" w:hAnsiTheme="majorBidi"/>
          <w:lang w:val="en-US"/>
        </w:rPr>
        <w:t xml:space="preserve"> </w:t>
      </w:r>
      <w:r w:rsidRPr="004F2FAF">
        <w:rPr>
          <w:rFonts w:asciiTheme="majorBidi" w:hAnsiTheme="majorBidi"/>
          <w:lang w:val="es-ES"/>
        </w:rPr>
        <w:t>27</w:t>
      </w:r>
      <w:r w:rsidRPr="004F2FAF">
        <w:rPr>
          <w:rFonts w:asciiTheme="majorBidi" w:hAnsiTheme="majorBidi"/>
          <w:color w:val="000000"/>
          <w:lang w:val="es-ES"/>
        </w:rPr>
        <w:t>.</w:t>
      </w:r>
    </w:p>
  </w:footnote>
  <w:footnote w:id="87">
    <w:p w14:paraId="42735806" w14:textId="2295772F" w:rsidR="003E3217" w:rsidRPr="004F2FAF" w:rsidRDefault="003E3217" w:rsidP="00C13EBD">
      <w:pPr>
        <w:pStyle w:val="FootnoteText"/>
        <w:rPr>
          <w:lang w:val="es-ES"/>
        </w:rPr>
      </w:pPr>
      <w:r w:rsidRPr="004F2FAF">
        <w:rPr>
          <w:lang w:val="es-ES"/>
        </w:rPr>
        <w:tab/>
      </w:r>
      <w:r w:rsidRPr="00F81291">
        <w:rPr>
          <w:rStyle w:val="FootnoteReference"/>
        </w:rPr>
        <w:footnoteRef/>
      </w:r>
      <w:r w:rsidRPr="004F2FAF">
        <w:rPr>
          <w:rStyle w:val="FootnoteReference"/>
          <w:lang w:val="es-ES"/>
        </w:rPr>
        <w:tab/>
      </w:r>
      <w:hyperlink r:id="rId77" w:history="1">
        <w:r w:rsidRPr="004F2FAF">
          <w:rPr>
            <w:rStyle w:val="Hyperlink"/>
            <w:lang w:val="es-ES"/>
          </w:rPr>
          <w:t>CCPR/C/ISR/CO/5</w:t>
        </w:r>
      </w:hyperlink>
      <w:r w:rsidRPr="004F2FAF">
        <w:rPr>
          <w:lang w:val="es-ES"/>
        </w:rPr>
        <w:t>,</w:t>
      </w:r>
      <w:r w:rsidR="004F2FAF">
        <w:rPr>
          <w:lang w:val="es-ES"/>
        </w:rPr>
        <w:t xml:space="preserve"> </w:t>
      </w:r>
      <w:r w:rsidRPr="00C92140">
        <w:rPr>
          <w:lang w:val="es-ES"/>
        </w:rPr>
        <w:t>para</w:t>
      </w:r>
      <w:r>
        <w:rPr>
          <w:lang w:val="es-ES"/>
        </w:rPr>
        <w:t>.</w:t>
      </w:r>
      <w:r w:rsidR="004F2FAF">
        <w:rPr>
          <w:lang w:val="es-ES"/>
        </w:rPr>
        <w:t xml:space="preserve"> </w:t>
      </w:r>
      <w:r w:rsidRPr="004F2FAF">
        <w:rPr>
          <w:lang w:val="es-ES"/>
        </w:rPr>
        <w:t>26.</w:t>
      </w:r>
    </w:p>
  </w:footnote>
  <w:footnote w:id="88">
    <w:p w14:paraId="5E04AE6D" w14:textId="3EB1A3C7" w:rsidR="003E3217" w:rsidRPr="00185566" w:rsidRDefault="003E3217" w:rsidP="00C13EBD">
      <w:pPr>
        <w:pStyle w:val="FootnoteText"/>
        <w:rPr>
          <w:rFonts w:asciiTheme="majorBidi" w:hAnsiTheme="majorBidi"/>
          <w:lang w:val="es-ES"/>
        </w:rPr>
      </w:pPr>
      <w:r w:rsidRPr="004F2FAF">
        <w:rPr>
          <w:rFonts w:asciiTheme="majorBidi" w:hAnsiTheme="majorBidi"/>
          <w:lang w:val="es-ES"/>
        </w:rPr>
        <w:tab/>
      </w:r>
      <w:r w:rsidRPr="00F81291">
        <w:rPr>
          <w:rStyle w:val="FootnoteReference"/>
        </w:rPr>
        <w:footnoteRef/>
      </w:r>
      <w:r w:rsidRPr="004F2FAF">
        <w:rPr>
          <w:rStyle w:val="FootnoteReference"/>
          <w:lang w:val="es-ES"/>
        </w:rPr>
        <w:tab/>
      </w:r>
      <w:hyperlink r:id="rId78" w:history="1">
        <w:r w:rsidRPr="0006136B">
          <w:rPr>
            <w:rStyle w:val="Hyperlink"/>
            <w:lang w:val="es-ES"/>
          </w:rPr>
          <w:t>A/HRC/43/70</w:t>
        </w:r>
      </w:hyperlink>
      <w:r>
        <w:rPr>
          <w:rFonts w:asciiTheme="majorBidi" w:hAnsiTheme="majorBidi"/>
          <w:lang w:val="es-ES"/>
        </w:rPr>
        <w:t>,</w:t>
      </w:r>
      <w:r w:rsidR="004F2FAF">
        <w:rPr>
          <w:rFonts w:asciiTheme="majorBidi" w:hAnsiTheme="majorBidi"/>
          <w:lang w:val="es-ES"/>
        </w:rPr>
        <w:t xml:space="preserve"> </w:t>
      </w:r>
      <w:r>
        <w:rPr>
          <w:rFonts w:asciiTheme="majorBidi" w:hAnsiTheme="majorBidi"/>
          <w:lang w:val="es-ES"/>
        </w:rPr>
        <w:t>para.</w:t>
      </w:r>
      <w:r w:rsidR="004F2FAF">
        <w:rPr>
          <w:rFonts w:asciiTheme="majorBidi" w:hAnsiTheme="majorBidi"/>
          <w:lang w:val="es-ES"/>
        </w:rPr>
        <w:t xml:space="preserve"> </w:t>
      </w:r>
      <w:r w:rsidRPr="00185566">
        <w:rPr>
          <w:rFonts w:asciiTheme="majorBidi" w:hAnsiTheme="majorBidi"/>
          <w:lang w:val="es-ES"/>
        </w:rPr>
        <w:t>34.</w:t>
      </w:r>
    </w:p>
  </w:footnote>
  <w:footnote w:id="89">
    <w:p w14:paraId="74A47A0A" w14:textId="27F4DCA5" w:rsidR="003E3217" w:rsidRPr="00382C33" w:rsidRDefault="003E3217" w:rsidP="00C13EBD">
      <w:pPr>
        <w:pStyle w:val="FootnoteText"/>
        <w:rPr>
          <w:lang w:val="es-ES"/>
        </w:rPr>
      </w:pPr>
      <w:r w:rsidRPr="00725D3C">
        <w:rPr>
          <w:szCs w:val="18"/>
          <w:lang w:val="es-ES"/>
        </w:rPr>
        <w:tab/>
      </w:r>
      <w:r w:rsidRPr="00F81291">
        <w:rPr>
          <w:rStyle w:val="FootnoteReference"/>
        </w:rPr>
        <w:footnoteRef/>
      </w:r>
      <w:r w:rsidRPr="0006136B">
        <w:rPr>
          <w:rStyle w:val="FootnoteReference"/>
          <w:lang w:val="es-ES"/>
        </w:rPr>
        <w:tab/>
      </w:r>
      <w:hyperlink r:id="rId79" w:history="1">
        <w:r w:rsidRPr="00B2553D">
          <w:rPr>
            <w:rStyle w:val="Hyperlink"/>
            <w:lang w:val="es-ES"/>
          </w:rPr>
          <w:t>https://www.haaretz.com/israel-news/2022-05-16/ty-article/.premium/shin-bet-deprived-palestinian-of-sleep-during-interrogations-of-up-to-48-hours/00000180-e9ee-dc12-a5b1-fdff738b0000</w:t>
        </w:r>
      </w:hyperlink>
      <w:r>
        <w:rPr>
          <w:lang w:val="es-ES"/>
        </w:rPr>
        <w:t>.</w:t>
      </w:r>
      <w:r w:rsidR="004F2FAF">
        <w:rPr>
          <w:lang w:val="es-ES"/>
        </w:rPr>
        <w:t xml:space="preserve"> </w:t>
      </w:r>
    </w:p>
  </w:footnote>
  <w:footnote w:id="90">
    <w:p w14:paraId="64EAC7CB" w14:textId="3FE96655" w:rsidR="003E3217" w:rsidRPr="004F2FAF" w:rsidRDefault="003E3217" w:rsidP="00C13EBD">
      <w:pPr>
        <w:pStyle w:val="FootnoteText"/>
        <w:rPr>
          <w:rFonts w:asciiTheme="majorBidi" w:hAnsiTheme="majorBidi" w:cstheme="majorBidi"/>
        </w:rPr>
      </w:pPr>
      <w:r w:rsidRPr="00725D3C">
        <w:rPr>
          <w:szCs w:val="18"/>
          <w:lang w:val="es-ES"/>
        </w:rPr>
        <w:tab/>
      </w:r>
      <w:r w:rsidRPr="00F81291">
        <w:rPr>
          <w:rStyle w:val="FootnoteReference"/>
        </w:rPr>
        <w:footnoteRef/>
      </w:r>
      <w:r w:rsidRPr="004F2FAF">
        <w:rPr>
          <w:rStyle w:val="FootnoteReference"/>
        </w:rPr>
        <w:tab/>
      </w:r>
      <w:r w:rsidRPr="004F2FAF">
        <w:t>Information</w:t>
      </w:r>
      <w:r w:rsidR="004F2FAF">
        <w:rPr>
          <w:lang w:val="en-US"/>
        </w:rPr>
        <w:t xml:space="preserve"> </w:t>
      </w:r>
      <w:r>
        <w:rPr>
          <w:lang w:val="en-US"/>
        </w:rPr>
        <w:t>from</w:t>
      </w:r>
      <w:r w:rsidR="004F2FAF">
        <w:rPr>
          <w:lang w:val="en-US"/>
        </w:rPr>
        <w:t xml:space="preserve"> </w:t>
      </w:r>
      <w:r w:rsidRPr="00CC3A44">
        <w:rPr>
          <w:lang w:val="en-US"/>
        </w:rPr>
        <w:t>the</w:t>
      </w:r>
      <w:r w:rsidR="004F2FAF">
        <w:rPr>
          <w:lang w:val="en-US"/>
        </w:rPr>
        <w:t xml:space="preserve"> </w:t>
      </w:r>
      <w:r>
        <w:rPr>
          <w:lang w:val="en-US"/>
        </w:rPr>
        <w:t>Public</w:t>
      </w:r>
      <w:r w:rsidR="004F2FAF">
        <w:rPr>
          <w:lang w:val="en-US"/>
        </w:rPr>
        <w:t xml:space="preserve"> </w:t>
      </w:r>
      <w:r>
        <w:rPr>
          <w:lang w:val="en-US"/>
        </w:rPr>
        <w:t>Committee</w:t>
      </w:r>
      <w:r w:rsidR="004F2FAF">
        <w:rPr>
          <w:lang w:val="en-US"/>
        </w:rPr>
        <w:t xml:space="preserve"> </w:t>
      </w:r>
      <w:r>
        <w:rPr>
          <w:lang w:val="en-US"/>
        </w:rPr>
        <w:t>against</w:t>
      </w:r>
      <w:r w:rsidR="004F2FAF">
        <w:rPr>
          <w:lang w:val="en-US"/>
        </w:rPr>
        <w:t xml:space="preserve"> </w:t>
      </w:r>
      <w:r>
        <w:rPr>
          <w:lang w:val="en-US"/>
        </w:rPr>
        <w:t>Torture</w:t>
      </w:r>
      <w:r w:rsidR="004F2FAF">
        <w:rPr>
          <w:lang w:val="en-US"/>
        </w:rPr>
        <w:t xml:space="preserve"> </w:t>
      </w:r>
      <w:r>
        <w:rPr>
          <w:lang w:val="en-US"/>
        </w:rPr>
        <w:t>in</w:t>
      </w:r>
      <w:r w:rsidR="004F2FAF">
        <w:rPr>
          <w:lang w:val="en-US"/>
        </w:rPr>
        <w:t xml:space="preserve"> </w:t>
      </w:r>
      <w:r>
        <w:rPr>
          <w:lang w:val="en-US"/>
        </w:rPr>
        <w:t>Israel.</w:t>
      </w:r>
      <w:r w:rsidR="004F2FAF">
        <w:rPr>
          <w:lang w:val="en-US"/>
        </w:rPr>
        <w:t xml:space="preserve"> </w:t>
      </w:r>
      <w:r>
        <w:rPr>
          <w:lang w:val="en-US"/>
        </w:rPr>
        <w:t>See</w:t>
      </w:r>
      <w:r w:rsidR="004F2FAF">
        <w:rPr>
          <w:lang w:val="en-US"/>
        </w:rPr>
        <w:t xml:space="preserve"> </w:t>
      </w:r>
      <w:r>
        <w:rPr>
          <w:lang w:val="en-US"/>
        </w:rPr>
        <w:t>also</w:t>
      </w:r>
      <w:r w:rsidR="004F2FAF">
        <w:rPr>
          <w:lang w:val="en-US"/>
        </w:rPr>
        <w:t xml:space="preserve"> </w:t>
      </w:r>
      <w:r w:rsidRPr="00FF1CFC">
        <w:rPr>
          <w:rFonts w:asciiTheme="majorBidi" w:hAnsiTheme="majorBidi" w:cstheme="majorBidi"/>
        </w:rPr>
        <w:t>https://www.haaretz.com/israel-news/2022-11-07/ty-article/.premium/prosecutor-order-to-search-palestinian-womans-private-parts-was-legit/00000184-53bb-d842-a987-dffb5c780000?lts=1676014981883</w:t>
      </w:r>
      <w:r w:rsidRPr="004F2FAF">
        <w:rPr>
          <w:rFonts w:asciiTheme="majorBidi" w:hAnsiTheme="majorBidi" w:cstheme="majorBidi"/>
        </w:rPr>
        <w:t>.</w:t>
      </w:r>
    </w:p>
  </w:footnote>
  <w:footnote w:id="91">
    <w:p w14:paraId="1DFFA1D2" w14:textId="07A7FF4E" w:rsidR="003E3217" w:rsidRPr="004F2FAF" w:rsidRDefault="003E3217" w:rsidP="00C13EBD">
      <w:pPr>
        <w:pStyle w:val="FootnoteText"/>
        <w:rPr>
          <w:rFonts w:asciiTheme="majorBidi" w:hAnsiTheme="majorBidi" w:cstheme="majorBidi"/>
        </w:rPr>
      </w:pPr>
      <w:r w:rsidRPr="004F2FAF">
        <w:tab/>
      </w:r>
      <w:r w:rsidRPr="00F81291">
        <w:rPr>
          <w:rStyle w:val="FootnoteReference"/>
        </w:rPr>
        <w:footnoteRef/>
      </w:r>
      <w:r w:rsidRPr="004F2FAF">
        <w:rPr>
          <w:rStyle w:val="FootnoteReference"/>
        </w:rPr>
        <w:tab/>
      </w:r>
      <w:hyperlink r:id="rId80" w:history="1">
        <w:r w:rsidRPr="00FF1CFC">
          <w:rPr>
            <w:rStyle w:val="Hyperlink"/>
            <w:rFonts w:eastAsia="SimSun"/>
          </w:rPr>
          <w:t>https://supremedecisions.court.gov.il/Home/Download?path=HebrewVerdicts/20/880/073/j29&amp;fileName=20073880.J29&amp;type=2</w:t>
        </w:r>
      </w:hyperlink>
      <w:r w:rsidR="004F2FAF">
        <w:rPr>
          <w:rFonts w:asciiTheme="majorBidi" w:hAnsiTheme="majorBidi" w:cstheme="majorBidi"/>
          <w:lang w:val="en-US"/>
        </w:rPr>
        <w:t xml:space="preserve"> </w:t>
      </w:r>
      <w:r w:rsidRPr="002A3EE1">
        <w:rPr>
          <w:rFonts w:asciiTheme="majorBidi" w:hAnsiTheme="majorBidi" w:cstheme="majorBidi"/>
          <w:lang w:val="en-US"/>
        </w:rPr>
        <w:t>(in</w:t>
      </w:r>
      <w:r w:rsidR="004F2FAF">
        <w:rPr>
          <w:rFonts w:asciiTheme="majorBidi" w:hAnsiTheme="majorBidi" w:cstheme="majorBidi"/>
          <w:lang w:val="en-US"/>
        </w:rPr>
        <w:t xml:space="preserve"> </w:t>
      </w:r>
      <w:r w:rsidRPr="004F2FAF">
        <w:rPr>
          <w:rFonts w:asciiTheme="majorBidi" w:hAnsiTheme="majorBidi" w:cstheme="majorBidi"/>
        </w:rPr>
        <w:t>Hebrew).</w:t>
      </w:r>
    </w:p>
  </w:footnote>
  <w:footnote w:id="92">
    <w:p w14:paraId="72EFBE6B" w14:textId="790B9E16" w:rsidR="003E3217" w:rsidRPr="00065023" w:rsidRDefault="003E3217" w:rsidP="00C13EBD">
      <w:pPr>
        <w:pStyle w:val="FootnoteText"/>
        <w:rPr>
          <w:rFonts w:asciiTheme="majorBidi" w:hAnsiTheme="majorBidi"/>
          <w:lang w:val="pt-BR"/>
        </w:rPr>
      </w:pPr>
      <w:r w:rsidRPr="004F2FAF">
        <w:rPr>
          <w:szCs w:val="18"/>
        </w:rPr>
        <w:tab/>
      </w:r>
      <w:r w:rsidRPr="00F81291">
        <w:rPr>
          <w:rStyle w:val="FootnoteReference"/>
        </w:rPr>
        <w:footnoteRef/>
      </w:r>
      <w:r w:rsidRPr="00490296">
        <w:rPr>
          <w:rStyle w:val="FootnoteReference"/>
          <w:lang w:val="es-ES"/>
        </w:rPr>
        <w:tab/>
      </w:r>
      <w:hyperlink r:id="rId81" w:history="1">
        <w:r w:rsidRPr="0006136B">
          <w:rPr>
            <w:rStyle w:val="Hyperlink"/>
            <w:rFonts w:asciiTheme="majorBidi" w:hAnsiTheme="majorBidi"/>
            <w:lang w:val="pt-BR"/>
          </w:rPr>
          <w:t>A/HRC/49/25</w:t>
        </w:r>
      </w:hyperlink>
      <w:r w:rsidRPr="00065023">
        <w:rPr>
          <w:rFonts w:asciiTheme="majorBidi" w:hAnsiTheme="majorBidi"/>
          <w:lang w:val="pt-BR"/>
        </w:rPr>
        <w:t>,</w:t>
      </w:r>
      <w:r w:rsidR="004F2FAF">
        <w:rPr>
          <w:rFonts w:asciiTheme="majorBidi" w:hAnsiTheme="majorBidi"/>
          <w:lang w:val="pt-BR"/>
        </w:rPr>
        <w:t xml:space="preserve"> </w:t>
      </w:r>
      <w:r w:rsidRPr="00065023">
        <w:rPr>
          <w:rFonts w:asciiTheme="majorBidi" w:hAnsiTheme="majorBidi"/>
          <w:lang w:val="pt-BR"/>
        </w:rPr>
        <w:t>para</w:t>
      </w:r>
      <w:r>
        <w:rPr>
          <w:rFonts w:asciiTheme="majorBidi" w:hAnsiTheme="majorBidi"/>
          <w:lang w:val="pt-BR"/>
        </w:rPr>
        <w:t>.</w:t>
      </w:r>
      <w:r w:rsidR="004F2FAF">
        <w:rPr>
          <w:rFonts w:asciiTheme="majorBidi" w:hAnsiTheme="majorBidi"/>
          <w:lang w:val="pt-BR"/>
        </w:rPr>
        <w:t xml:space="preserve"> </w:t>
      </w:r>
      <w:r w:rsidRPr="00065023">
        <w:rPr>
          <w:rFonts w:asciiTheme="majorBidi" w:hAnsiTheme="majorBidi"/>
          <w:lang w:val="pt-BR"/>
        </w:rPr>
        <w:t>30.</w:t>
      </w:r>
    </w:p>
  </w:footnote>
  <w:footnote w:id="93">
    <w:p w14:paraId="7268F37F" w14:textId="736940B0" w:rsidR="003E3217" w:rsidRPr="00065023" w:rsidRDefault="003E3217" w:rsidP="00C13EBD">
      <w:pPr>
        <w:pStyle w:val="FootnoteText"/>
        <w:rPr>
          <w:lang w:val="pt-BR"/>
        </w:rPr>
      </w:pPr>
      <w:r>
        <w:rPr>
          <w:lang w:val="pt-BR"/>
        </w:rPr>
        <w:tab/>
      </w:r>
      <w:r w:rsidRPr="00F81291">
        <w:rPr>
          <w:rStyle w:val="FootnoteReference"/>
        </w:rPr>
        <w:footnoteRef/>
      </w:r>
      <w:r w:rsidRPr="0006136B">
        <w:rPr>
          <w:rStyle w:val="FootnoteReference"/>
          <w:lang w:val="es-ES"/>
        </w:rPr>
        <w:tab/>
      </w:r>
      <w:hyperlink r:id="rId82" w:history="1">
        <w:r w:rsidRPr="0006136B">
          <w:rPr>
            <w:rStyle w:val="Hyperlink"/>
            <w:lang w:val="pt-BR"/>
          </w:rPr>
          <w:t>CCPR/C/ISR/CO/5</w:t>
        </w:r>
      </w:hyperlink>
      <w:r>
        <w:rPr>
          <w:lang w:val="pt-BR"/>
        </w:rPr>
        <w:t>,</w:t>
      </w:r>
      <w:r w:rsidR="004F2FAF">
        <w:rPr>
          <w:lang w:val="pt-BR"/>
        </w:rPr>
        <w:t xml:space="preserve"> </w:t>
      </w:r>
      <w:r>
        <w:rPr>
          <w:lang w:val="pt-BR"/>
        </w:rPr>
        <w:t>para.</w:t>
      </w:r>
      <w:r w:rsidR="004F2FAF">
        <w:rPr>
          <w:lang w:val="pt-BR"/>
        </w:rPr>
        <w:t xml:space="preserve"> </w:t>
      </w:r>
      <w:r w:rsidRPr="00065023">
        <w:rPr>
          <w:lang w:val="pt-BR"/>
        </w:rPr>
        <w:t>30.</w:t>
      </w:r>
    </w:p>
  </w:footnote>
  <w:footnote w:id="94">
    <w:p w14:paraId="3F524D3E" w14:textId="00630384" w:rsidR="003E3217" w:rsidRPr="00A47559" w:rsidRDefault="003E3217" w:rsidP="00C13EBD">
      <w:pPr>
        <w:pStyle w:val="FootnoteText"/>
        <w:rPr>
          <w:lang w:val="pt-BR"/>
        </w:rPr>
      </w:pPr>
      <w:r>
        <w:rPr>
          <w:lang w:val="pt-BR"/>
        </w:rPr>
        <w:tab/>
      </w:r>
      <w:r w:rsidRPr="00F81291">
        <w:rPr>
          <w:rStyle w:val="FootnoteReference"/>
        </w:rPr>
        <w:footnoteRef/>
      </w:r>
      <w:r w:rsidRPr="00490296">
        <w:rPr>
          <w:rStyle w:val="FootnoteReference"/>
          <w:lang w:val="es-ES"/>
        </w:rPr>
        <w:tab/>
      </w:r>
      <w:hyperlink r:id="rId83" w:history="1">
        <w:r w:rsidRPr="0006136B">
          <w:rPr>
            <w:rStyle w:val="Hyperlink"/>
            <w:lang w:val="pt-BR"/>
          </w:rPr>
          <w:t>CAT/C/PSE/CO/1</w:t>
        </w:r>
      </w:hyperlink>
      <w:r>
        <w:rPr>
          <w:lang w:val="pt-BR"/>
        </w:rPr>
        <w:t>,</w:t>
      </w:r>
      <w:r w:rsidR="004F2FAF">
        <w:rPr>
          <w:lang w:val="pt-BR"/>
        </w:rPr>
        <w:t xml:space="preserve"> </w:t>
      </w:r>
      <w:r>
        <w:rPr>
          <w:lang w:val="pt-BR"/>
        </w:rPr>
        <w:t>para.</w:t>
      </w:r>
      <w:r w:rsidR="004F2FAF">
        <w:rPr>
          <w:lang w:val="pt-BR"/>
        </w:rPr>
        <w:t xml:space="preserve"> </w:t>
      </w:r>
      <w:r w:rsidRPr="00A47559">
        <w:rPr>
          <w:lang w:val="pt-BR"/>
        </w:rPr>
        <w:t>26.</w:t>
      </w:r>
    </w:p>
  </w:footnote>
  <w:footnote w:id="95">
    <w:p w14:paraId="536A11F9" w14:textId="7336B401" w:rsidR="003E3217" w:rsidRPr="00A47559" w:rsidRDefault="003E3217" w:rsidP="00C13EBD">
      <w:pPr>
        <w:pStyle w:val="FootnoteText"/>
        <w:rPr>
          <w:lang w:val="pt-BR"/>
        </w:rPr>
      </w:pPr>
      <w:r w:rsidRPr="002A3EE1">
        <w:rPr>
          <w:szCs w:val="18"/>
          <w:lang w:val="es-ES"/>
        </w:rPr>
        <w:tab/>
      </w:r>
      <w:r w:rsidRPr="00F81291">
        <w:rPr>
          <w:rStyle w:val="FootnoteReference"/>
        </w:rPr>
        <w:footnoteRef/>
      </w:r>
      <w:r w:rsidRPr="00490296">
        <w:rPr>
          <w:rStyle w:val="FootnoteReference"/>
          <w:lang w:val="es-ES"/>
        </w:rPr>
        <w:tab/>
      </w:r>
      <w:r>
        <w:rPr>
          <w:lang w:val="pt-BR"/>
        </w:rPr>
        <w:t>Ibid.,</w:t>
      </w:r>
      <w:r w:rsidR="004F2FAF">
        <w:rPr>
          <w:lang w:val="pt-BR"/>
        </w:rPr>
        <w:t xml:space="preserve"> </w:t>
      </w:r>
      <w:r>
        <w:rPr>
          <w:lang w:val="pt-BR"/>
        </w:rPr>
        <w:t>para.</w:t>
      </w:r>
      <w:r w:rsidR="004F2FAF">
        <w:rPr>
          <w:lang w:val="pt-BR"/>
        </w:rPr>
        <w:t xml:space="preserve"> </w:t>
      </w:r>
      <w:r w:rsidRPr="00A47559">
        <w:rPr>
          <w:lang w:val="pt-BR"/>
        </w:rPr>
        <w:t>28</w:t>
      </w:r>
    </w:p>
  </w:footnote>
  <w:footnote w:id="96">
    <w:p w14:paraId="27405E1E" w14:textId="02B7E228" w:rsidR="003E3217" w:rsidRPr="00382C33" w:rsidRDefault="003E3217" w:rsidP="00C13EBD">
      <w:pPr>
        <w:pStyle w:val="FootnoteText"/>
        <w:rPr>
          <w:lang w:val="pt-BR"/>
        </w:rPr>
      </w:pPr>
      <w:r w:rsidRPr="002A3EE1">
        <w:rPr>
          <w:szCs w:val="18"/>
          <w:lang w:val="pt-BR"/>
        </w:rPr>
        <w:tab/>
      </w:r>
      <w:r w:rsidRPr="00F81291">
        <w:rPr>
          <w:rStyle w:val="FootnoteReference"/>
        </w:rPr>
        <w:footnoteRef/>
      </w:r>
      <w:r w:rsidRPr="0006136B">
        <w:rPr>
          <w:rStyle w:val="FootnoteReference"/>
          <w:lang w:val="pt-BR"/>
        </w:rPr>
        <w:tab/>
      </w:r>
      <w:hyperlink r:id="rId84" w:history="1">
        <w:r w:rsidRPr="00FF1CFC">
          <w:rPr>
            <w:rStyle w:val="Hyperlink"/>
            <w:lang w:val="pt-BR"/>
          </w:rPr>
          <w:t>https://www.jpost.com/middle-east/article-719237</w:t>
        </w:r>
      </w:hyperlink>
      <w:r>
        <w:rPr>
          <w:lang w:val="pt-BR"/>
        </w:rPr>
        <w:t>.</w:t>
      </w:r>
    </w:p>
  </w:footnote>
  <w:footnote w:id="97">
    <w:p w14:paraId="6B676483" w14:textId="636BB826" w:rsidR="003E3217" w:rsidRPr="00363175" w:rsidRDefault="003E3217" w:rsidP="00C13EBD">
      <w:pPr>
        <w:pStyle w:val="FootnoteText"/>
        <w:rPr>
          <w:lang w:val="pt-BR"/>
        </w:rPr>
      </w:pPr>
      <w:r w:rsidRPr="002A3EE1">
        <w:rPr>
          <w:szCs w:val="18"/>
          <w:lang w:val="pt-BR"/>
        </w:rPr>
        <w:tab/>
      </w:r>
      <w:r w:rsidRPr="00F81291">
        <w:rPr>
          <w:rStyle w:val="FootnoteReference"/>
        </w:rPr>
        <w:footnoteRef/>
      </w:r>
      <w:r w:rsidRPr="0006136B">
        <w:rPr>
          <w:rStyle w:val="FootnoteReference"/>
          <w:lang w:val="pt-BR"/>
        </w:rPr>
        <w:tab/>
      </w:r>
      <w:hyperlink r:id="rId85" w:history="1">
        <w:r w:rsidRPr="00FF1CFC">
          <w:rPr>
            <w:rStyle w:val="Hyperlink"/>
            <w:lang w:val="pt-BR"/>
          </w:rPr>
          <w:t>https://www.arabnews.com/node/2179436/middle-east</w:t>
        </w:r>
      </w:hyperlink>
      <w:r>
        <w:rPr>
          <w:lang w:val="pt-BR"/>
        </w:rPr>
        <w:t>.</w:t>
      </w:r>
    </w:p>
  </w:footnote>
  <w:footnote w:id="98">
    <w:p w14:paraId="7887D798" w14:textId="11011EE1" w:rsidR="003E3217" w:rsidRPr="00490296" w:rsidRDefault="003E3217" w:rsidP="00C13EBD">
      <w:pPr>
        <w:pStyle w:val="FootnoteText"/>
        <w:rPr>
          <w:rFonts w:asciiTheme="majorBidi" w:hAnsiTheme="majorBidi" w:cstheme="majorBidi"/>
          <w:lang w:val="es-ES"/>
        </w:rPr>
      </w:pPr>
      <w:r w:rsidRPr="002A3EE1">
        <w:rPr>
          <w:rFonts w:asciiTheme="majorBidi" w:hAnsiTheme="majorBidi" w:cstheme="majorBidi"/>
          <w:lang w:val="pt-BR"/>
        </w:rPr>
        <w:tab/>
      </w:r>
      <w:r w:rsidRPr="00F81291">
        <w:rPr>
          <w:rStyle w:val="FootnoteReference"/>
        </w:rPr>
        <w:footnoteRef/>
      </w:r>
      <w:r w:rsidRPr="00490296">
        <w:rPr>
          <w:rStyle w:val="FootnoteReference"/>
          <w:lang w:val="es-ES"/>
        </w:rPr>
        <w:tab/>
      </w:r>
      <w:hyperlink r:id="rId86" w:history="1">
        <w:r w:rsidRPr="00490296">
          <w:rPr>
            <w:rStyle w:val="Hyperlink"/>
            <w:lang w:val="es-ES"/>
          </w:rPr>
          <w:t>A/HRC/28/45</w:t>
        </w:r>
      </w:hyperlink>
      <w:r w:rsidRPr="00490296">
        <w:rPr>
          <w:rFonts w:asciiTheme="majorBidi" w:hAnsiTheme="majorBidi" w:cstheme="majorBidi"/>
          <w:lang w:val="es-ES"/>
        </w:rPr>
        <w:t>,</w:t>
      </w:r>
      <w:r w:rsidR="004F2FAF">
        <w:rPr>
          <w:rFonts w:asciiTheme="majorBidi" w:hAnsiTheme="majorBidi" w:cstheme="majorBidi"/>
        </w:rPr>
        <w:t xml:space="preserve"> </w:t>
      </w:r>
      <w:r>
        <w:rPr>
          <w:rFonts w:asciiTheme="majorBidi" w:hAnsiTheme="majorBidi" w:cstheme="majorBidi"/>
        </w:rPr>
        <w:t>para.</w:t>
      </w:r>
      <w:r w:rsidR="004F2FAF">
        <w:rPr>
          <w:rFonts w:asciiTheme="majorBidi" w:hAnsiTheme="majorBidi" w:cstheme="majorBidi"/>
        </w:rPr>
        <w:t xml:space="preserve"> </w:t>
      </w:r>
      <w:r w:rsidRPr="00725D3C">
        <w:rPr>
          <w:rFonts w:asciiTheme="majorBidi" w:hAnsiTheme="majorBidi" w:cstheme="majorBidi"/>
        </w:rPr>
        <w:t>16</w:t>
      </w:r>
      <w:r>
        <w:rPr>
          <w:rFonts w:asciiTheme="majorBidi" w:hAnsiTheme="majorBidi" w:cstheme="majorBidi"/>
        </w:rPr>
        <w:t>;</w:t>
      </w:r>
      <w:r w:rsidR="004F2FAF">
        <w:rPr>
          <w:rFonts w:asciiTheme="majorBidi" w:hAnsiTheme="majorBidi" w:cstheme="majorBidi"/>
        </w:rPr>
        <w:t xml:space="preserve"> </w:t>
      </w:r>
      <w:r w:rsidRPr="00725D3C">
        <w:rPr>
          <w:rFonts w:asciiTheme="majorBidi" w:hAnsiTheme="majorBidi" w:cstheme="majorBidi"/>
        </w:rPr>
        <w:t>and</w:t>
      </w:r>
      <w:r w:rsidR="004F2FAF">
        <w:rPr>
          <w:rFonts w:asciiTheme="majorBidi" w:hAnsiTheme="majorBidi" w:cstheme="majorBidi"/>
        </w:rPr>
        <w:t xml:space="preserve"> </w:t>
      </w:r>
      <w:hyperlink r:id="rId87" w:history="1">
        <w:r w:rsidRPr="0006136B">
          <w:rPr>
            <w:rStyle w:val="Hyperlink"/>
            <w:lang w:val="fr-CH"/>
          </w:rPr>
          <w:t>A/HRC/49/25</w:t>
        </w:r>
      </w:hyperlink>
      <w:r w:rsidRPr="00725D3C">
        <w:rPr>
          <w:rFonts w:asciiTheme="majorBidi" w:hAnsiTheme="majorBidi" w:cstheme="majorBidi"/>
        </w:rPr>
        <w:t>,</w:t>
      </w:r>
      <w:r w:rsidR="004F2FAF">
        <w:rPr>
          <w:rFonts w:asciiTheme="majorBidi" w:hAnsiTheme="majorBidi" w:cstheme="majorBidi"/>
        </w:rPr>
        <w:t xml:space="preserve"> </w:t>
      </w:r>
      <w:r w:rsidRPr="00725D3C">
        <w:rPr>
          <w:rFonts w:asciiTheme="majorBidi" w:hAnsiTheme="majorBidi" w:cstheme="majorBidi"/>
        </w:rPr>
        <w:t>para</w:t>
      </w:r>
      <w:r>
        <w:rPr>
          <w:rFonts w:asciiTheme="majorBidi" w:hAnsiTheme="majorBidi" w:cstheme="majorBidi"/>
        </w:rPr>
        <w:t>.</w:t>
      </w:r>
      <w:r w:rsidR="004F2FAF">
        <w:rPr>
          <w:rFonts w:asciiTheme="majorBidi" w:hAnsiTheme="majorBidi" w:cstheme="majorBidi"/>
        </w:rPr>
        <w:t xml:space="preserve"> </w:t>
      </w:r>
      <w:r w:rsidRPr="00490296">
        <w:rPr>
          <w:rFonts w:asciiTheme="majorBidi" w:hAnsiTheme="majorBidi" w:cstheme="majorBidi"/>
          <w:lang w:val="es-ES"/>
        </w:rPr>
        <w:t>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5A76" w14:textId="77777777" w:rsidR="003E3217" w:rsidRDefault="003E3217" w:rsidP="003E3217">
    <w:pPr>
      <w:pStyle w:val="Header"/>
    </w:pPr>
    <w:r>
      <w:t>A/HRC/52/75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80FC8" w14:textId="77777777" w:rsidR="003E3217" w:rsidRDefault="003E3217" w:rsidP="003E3217">
    <w:pPr>
      <w:pStyle w:val="Header"/>
      <w:jc w:val="right"/>
    </w:pPr>
    <w:r>
      <w:t>A/HRC/52/75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BA7485"/>
    <w:multiLevelType w:val="hybridMultilevel"/>
    <w:tmpl w:val="DE5E524C"/>
    <w:lvl w:ilvl="0" w:tplc="D5F4A3F8">
      <w:start w:val="1"/>
      <w:numFmt w:val="lowerLetter"/>
      <w:lvlText w:val="(%1)"/>
      <w:lvlJc w:val="left"/>
      <w:pPr>
        <w:ind w:left="1854" w:hanging="360"/>
      </w:pPr>
      <w:rPr>
        <w:rFonts w:hint="default"/>
        <w:b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2A91BAA"/>
    <w:multiLevelType w:val="hybridMultilevel"/>
    <w:tmpl w:val="CB921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A1539"/>
    <w:multiLevelType w:val="hybridMultilevel"/>
    <w:tmpl w:val="C4FEDA92"/>
    <w:lvl w:ilvl="0" w:tplc="B5F2B68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10"/>
  </w:num>
  <w:num w:numId="5">
    <w:abstractNumId w:val="11"/>
  </w:num>
  <w:num w:numId="6">
    <w:abstractNumId w:val="14"/>
  </w:num>
  <w:num w:numId="7">
    <w:abstractNumId w:val="4"/>
  </w:num>
  <w:num w:numId="8">
    <w:abstractNumId w:val="1"/>
  </w:num>
  <w:num w:numId="9">
    <w:abstractNumId w:val="12"/>
  </w:num>
  <w:num w:numId="10">
    <w:abstractNumId w:val="1"/>
  </w:num>
  <w:num w:numId="11">
    <w:abstractNumId w:val="12"/>
  </w:num>
  <w:num w:numId="12">
    <w:abstractNumId w:val="2"/>
  </w:num>
  <w:num w:numId="13">
    <w:abstractNumId w:val="9"/>
  </w:num>
  <w:num w:numId="14">
    <w:abstractNumId w:val="3"/>
  </w:num>
  <w:num w:numId="15">
    <w:abstractNumId w:val="13"/>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423DDB"/>
    <w:rsid w:val="00000E11"/>
    <w:rsid w:val="00031CC7"/>
    <w:rsid w:val="000329DD"/>
    <w:rsid w:val="00046E92"/>
    <w:rsid w:val="0006136B"/>
    <w:rsid w:val="00063C90"/>
    <w:rsid w:val="00072607"/>
    <w:rsid w:val="00091E07"/>
    <w:rsid w:val="000A7D00"/>
    <w:rsid w:val="00101B98"/>
    <w:rsid w:val="001E1C0E"/>
    <w:rsid w:val="00227F79"/>
    <w:rsid w:val="00247E2C"/>
    <w:rsid w:val="00251841"/>
    <w:rsid w:val="002972D4"/>
    <w:rsid w:val="002A32CB"/>
    <w:rsid w:val="002B319E"/>
    <w:rsid w:val="002D6C53"/>
    <w:rsid w:val="002E096F"/>
    <w:rsid w:val="002F3C30"/>
    <w:rsid w:val="002F5595"/>
    <w:rsid w:val="00334F6A"/>
    <w:rsid w:val="00342AC8"/>
    <w:rsid w:val="003B4550"/>
    <w:rsid w:val="003E3217"/>
    <w:rsid w:val="0040017C"/>
    <w:rsid w:val="00423DDB"/>
    <w:rsid w:val="00461253"/>
    <w:rsid w:val="00484C38"/>
    <w:rsid w:val="00486E21"/>
    <w:rsid w:val="00490296"/>
    <w:rsid w:val="004A2814"/>
    <w:rsid w:val="004C0622"/>
    <w:rsid w:val="004D10F9"/>
    <w:rsid w:val="004F2FAF"/>
    <w:rsid w:val="005042C2"/>
    <w:rsid w:val="005349E0"/>
    <w:rsid w:val="00541C99"/>
    <w:rsid w:val="005C4F37"/>
    <w:rsid w:val="005E716E"/>
    <w:rsid w:val="006157BD"/>
    <w:rsid w:val="006208BC"/>
    <w:rsid w:val="00645E77"/>
    <w:rsid w:val="00661076"/>
    <w:rsid w:val="00671529"/>
    <w:rsid w:val="0070489D"/>
    <w:rsid w:val="0072285C"/>
    <w:rsid w:val="007268F9"/>
    <w:rsid w:val="00751A15"/>
    <w:rsid w:val="00751DCC"/>
    <w:rsid w:val="007A305B"/>
    <w:rsid w:val="007C52B0"/>
    <w:rsid w:val="007E4062"/>
    <w:rsid w:val="007F2D9C"/>
    <w:rsid w:val="0082609B"/>
    <w:rsid w:val="00847E48"/>
    <w:rsid w:val="00861B4E"/>
    <w:rsid w:val="00882DAA"/>
    <w:rsid w:val="008842E7"/>
    <w:rsid w:val="009224DE"/>
    <w:rsid w:val="009411B4"/>
    <w:rsid w:val="00962A56"/>
    <w:rsid w:val="009A2E16"/>
    <w:rsid w:val="009D0139"/>
    <w:rsid w:val="009D717D"/>
    <w:rsid w:val="009F5CDC"/>
    <w:rsid w:val="00A050BA"/>
    <w:rsid w:val="00A330E8"/>
    <w:rsid w:val="00A42DC8"/>
    <w:rsid w:val="00A6018E"/>
    <w:rsid w:val="00A71A4C"/>
    <w:rsid w:val="00A775CF"/>
    <w:rsid w:val="00B06045"/>
    <w:rsid w:val="00B2553D"/>
    <w:rsid w:val="00B52EF4"/>
    <w:rsid w:val="00B815B1"/>
    <w:rsid w:val="00BC580B"/>
    <w:rsid w:val="00BD4F01"/>
    <w:rsid w:val="00C03015"/>
    <w:rsid w:val="00C0358D"/>
    <w:rsid w:val="00C13EBD"/>
    <w:rsid w:val="00C23D9C"/>
    <w:rsid w:val="00C35A27"/>
    <w:rsid w:val="00C47B2E"/>
    <w:rsid w:val="00C80DEC"/>
    <w:rsid w:val="00CA1B04"/>
    <w:rsid w:val="00CF52E1"/>
    <w:rsid w:val="00D9616F"/>
    <w:rsid w:val="00DA5E3B"/>
    <w:rsid w:val="00E02C2B"/>
    <w:rsid w:val="00E427A5"/>
    <w:rsid w:val="00E52109"/>
    <w:rsid w:val="00E75317"/>
    <w:rsid w:val="00EC2011"/>
    <w:rsid w:val="00ED6C48"/>
    <w:rsid w:val="00EF2611"/>
    <w:rsid w:val="00EF440C"/>
    <w:rsid w:val="00F3583C"/>
    <w:rsid w:val="00F36190"/>
    <w:rsid w:val="00F65F5D"/>
    <w:rsid w:val="00F81291"/>
    <w:rsid w:val="00F86A3A"/>
    <w:rsid w:val="00FC5976"/>
    <w:rsid w:val="00FD5AA7"/>
    <w:rsid w:val="00FE2048"/>
    <w:rsid w:val="00FE776F"/>
    <w:rsid w:val="00FF1CF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AFB9"/>
  <w15:docId w15:val="{C89F739A-A41F-4F62-8CE1-8DBAF9C6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3E3217"/>
    <w:pPr>
      <w:spacing w:after="0" w:line="240" w:lineRule="auto"/>
    </w:pPr>
    <w:rPr>
      <w:rFonts w:eastAsiaTheme="minorHAnsi"/>
      <w:lang w:val="en-US" w:eastAsia="en-US"/>
    </w:rPr>
  </w:style>
  <w:style w:type="character" w:customStyle="1" w:styleId="UnresolvedMention">
    <w:name w:val="Unresolved Mention"/>
    <w:basedOn w:val="DefaultParagraphFont"/>
    <w:uiPriority w:val="99"/>
    <w:semiHidden/>
    <w:unhideWhenUsed/>
    <w:rsid w:val="0006136B"/>
    <w:rPr>
      <w:color w:val="605E5C"/>
      <w:shd w:val="clear" w:color="auto" w:fill="E1DFDD"/>
    </w:rPr>
  </w:style>
  <w:style w:type="character" w:styleId="CommentReference">
    <w:name w:val="annotation reference"/>
    <w:basedOn w:val="DefaultParagraphFont"/>
    <w:uiPriority w:val="99"/>
    <w:semiHidden/>
    <w:unhideWhenUsed/>
    <w:rsid w:val="007A305B"/>
    <w:rPr>
      <w:sz w:val="16"/>
      <w:szCs w:val="16"/>
    </w:rPr>
  </w:style>
  <w:style w:type="paragraph" w:styleId="CommentText">
    <w:name w:val="annotation text"/>
    <w:basedOn w:val="Normal"/>
    <w:link w:val="CommentTextChar"/>
    <w:uiPriority w:val="99"/>
    <w:semiHidden/>
    <w:unhideWhenUsed/>
    <w:rsid w:val="007A305B"/>
    <w:pPr>
      <w:spacing w:line="240" w:lineRule="auto"/>
    </w:pPr>
  </w:style>
  <w:style w:type="character" w:customStyle="1" w:styleId="CommentTextChar">
    <w:name w:val="Comment Text Char"/>
    <w:basedOn w:val="DefaultParagraphFont"/>
    <w:link w:val="CommentText"/>
    <w:uiPriority w:val="99"/>
    <w:semiHidden/>
    <w:rsid w:val="007A305B"/>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A305B"/>
    <w:rPr>
      <w:b/>
      <w:bCs/>
    </w:rPr>
  </w:style>
  <w:style w:type="character" w:customStyle="1" w:styleId="CommentSubjectChar">
    <w:name w:val="Comment Subject Char"/>
    <w:basedOn w:val="CommentTextChar"/>
    <w:link w:val="CommentSubject"/>
    <w:uiPriority w:val="99"/>
    <w:semiHidden/>
    <w:rsid w:val="007A305B"/>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ihl-databases.icrc.org/en/customary-ihl/v1/rule11" TargetMode="External"/><Relationship Id="rId18" Type="http://schemas.openxmlformats.org/officeDocument/2006/relationships/hyperlink" Target="http://undocs.org/en/A/HRC/46/63" TargetMode="External"/><Relationship Id="rId26" Type="http://schemas.openxmlformats.org/officeDocument/2006/relationships/hyperlink" Target="https://ihl-databases.icrc.org/en/customary-ihl/v1/rule50" TargetMode="External"/><Relationship Id="rId39" Type="http://schemas.openxmlformats.org/officeDocument/2006/relationships/hyperlink" Target="https://undocs.org/en/A/HRC/49/25" TargetMode="External"/><Relationship Id="rId21" Type="http://schemas.openxmlformats.org/officeDocument/2006/relationships/hyperlink" Target="http://undocs.org/en/A/73/420." TargetMode="External"/><Relationship Id="rId34" Type="http://schemas.openxmlformats.org/officeDocument/2006/relationships/hyperlink" Target="https://www.ohchr.org/en/press-briefing-notes/2022/06/killing-journalist-occupied-palestinian-territory" TargetMode="External"/><Relationship Id="rId42" Type="http://schemas.openxmlformats.org/officeDocument/2006/relationships/hyperlink" Target="http://undocs.org/en/A/HRC/46/63" TargetMode="External"/><Relationship Id="rId47" Type="http://schemas.openxmlformats.org/officeDocument/2006/relationships/hyperlink" Target="file:///\\conf-share1\LS\ENG\COMMON\FINAL\%09https:\www.facebook.com\UNHumanRightsOPT\posts\pfbid0SNLV13X1WHQrrfHKRTiASy6hyqiuWknnxwF2kf5p9YXtsdmUBaas6YmWM3bqj9xYl" TargetMode="External"/><Relationship Id="rId50" Type="http://schemas.openxmlformats.org/officeDocument/2006/relationships/hyperlink" Target="https://www.ohchr.org/en/statements/2022/09/comment-un-human-rights-office-spokesperson-ravina-shamdasani-execution-five" TargetMode="External"/><Relationship Id="rId55" Type="http://schemas.openxmlformats.org/officeDocument/2006/relationships/hyperlink" Target="http://undocs.org/en/A/HRC/37/41" TargetMode="External"/><Relationship Id="rId63" Type="http://schemas.openxmlformats.org/officeDocument/2006/relationships/hyperlink" Target="http://undocs.org/en/A/HRC/46/22" TargetMode="External"/><Relationship Id="rId68" Type="http://schemas.openxmlformats.org/officeDocument/2006/relationships/hyperlink" Target="https://www.idf.il/76056%20" TargetMode="External"/><Relationship Id="rId76" Type="http://schemas.openxmlformats.org/officeDocument/2006/relationships/hyperlink" Target="https://www.btselem.org/sites/default/files/publications/202112_unwilling_and_unable_eng.pdf" TargetMode="External"/><Relationship Id="rId84" Type="http://schemas.openxmlformats.org/officeDocument/2006/relationships/hyperlink" Target="https://www.jpost.com/middle-east/article-719237" TargetMode="External"/><Relationship Id="rId7" Type="http://schemas.openxmlformats.org/officeDocument/2006/relationships/hyperlink" Target="https://www.ynetnews.com/article/h1mtes5p5" TargetMode="External"/><Relationship Id="rId71" Type="http://schemas.openxmlformats.org/officeDocument/2006/relationships/hyperlink" Target="http://undocs.org/en/A/HRC/46/22" TargetMode="External"/><Relationship Id="rId2" Type="http://schemas.openxmlformats.org/officeDocument/2006/relationships/hyperlink" Target="http://undocs.org/en/A/77/493" TargetMode="External"/><Relationship Id="rId16" Type="http://schemas.openxmlformats.org/officeDocument/2006/relationships/hyperlink" Target="https://ihl-databases.icrc.org/en/ihl-treaties/gciv-1949" TargetMode="External"/><Relationship Id="rId29" Type="http://schemas.openxmlformats.org/officeDocument/2006/relationships/hyperlink" Target="https://www.timesofisrael.com/hamas-netanyahu-lying-to-israelis-about-talks-to-free-captives/" TargetMode="External"/><Relationship Id="rId11" Type="http://schemas.openxmlformats.org/officeDocument/2006/relationships/hyperlink" Target="https://www.ynetnews.com/article/syjgor3a5" TargetMode="External"/><Relationship Id="rId24" Type="http://schemas.openxmlformats.org/officeDocument/2006/relationships/hyperlink" Target="https://www.haaretz.com/israel-news/2022-10-27/ty-article-magazine/.premium/nablus-residents-putting-the-city-under-economic-siege-will-not-bring-peace/00000184-1531-d4e5-a3e6-f77dc8210000" TargetMode="External"/><Relationship Id="rId32" Type="http://schemas.openxmlformats.org/officeDocument/2006/relationships/hyperlink" Target="https://www.timesofisrael.com/alleged-assassination-in-nablus-may-signal-major-israeli-policy-change-in-west-bank/" TargetMode="External"/><Relationship Id="rId37" Type="http://schemas.openxmlformats.org/officeDocument/2006/relationships/hyperlink" Target="https://www.ohchr.org/en/instruments-mechanisms/instruments/basic-principles-use-force-and-firearms-law-enforcement" TargetMode="External"/><Relationship Id="rId40" Type="http://schemas.openxmlformats.org/officeDocument/2006/relationships/hyperlink" Target="http://undocs.org/en/A/HRC/46/63." TargetMode="External"/><Relationship Id="rId45" Type="http://schemas.openxmlformats.org/officeDocument/2006/relationships/hyperlink" Target="https://www.ppsmo.ps/home/news/4842?culture=ar-SA" TargetMode="External"/><Relationship Id="rId53" Type="http://schemas.openxmlformats.org/officeDocument/2006/relationships/hyperlink" Target="file:///\\conf-share1\LS\ENG\COMMON\FINAL\%09https:\www.ohchr.org\sites\default\files\Documents\HRBodies\HRCouncil\CoIGaza\A_HRC_CRP_4.docx" TargetMode="External"/><Relationship Id="rId58" Type="http://schemas.openxmlformats.org/officeDocument/2006/relationships/hyperlink" Target="http://undocs.org/en/A/HRC/46/22" TargetMode="External"/><Relationship Id="rId66" Type="http://schemas.openxmlformats.org/officeDocument/2006/relationships/hyperlink" Target="https://embassies.gov.il/MFA/AboutIsrael/state/Law/Pages/New_investigation%20_policy_Palestinian_casualties_IDF_fire_Judea_Samaria_6-Apr-2011.aspx" TargetMode="External"/><Relationship Id="rId74" Type="http://schemas.openxmlformats.org/officeDocument/2006/relationships/hyperlink" Target="http://undocs.org/en/A/HRC/46/22" TargetMode="External"/><Relationship Id="rId79" Type="http://schemas.openxmlformats.org/officeDocument/2006/relationships/hyperlink" Target="https://www.haaretz.com/israel-news/2022-05-16/ty-article/.premium/shin-bet-deprived-palestinian-of-sleep-during-interrogations-of-up-to-48-hours/00000180-e9ee-dc12-a5b1-fdff738b0000" TargetMode="External"/><Relationship Id="rId87" Type="http://schemas.openxmlformats.org/officeDocument/2006/relationships/hyperlink" Target="http://undocs.org/en/A/HRC/49/25" TargetMode="External"/><Relationship Id="rId5" Type="http://schemas.openxmlformats.org/officeDocument/2006/relationships/hyperlink" Target="http://undocs.org/en/A/HRC/46/22" TargetMode="External"/><Relationship Id="rId61" Type="http://schemas.openxmlformats.org/officeDocument/2006/relationships/hyperlink" Target="http://undocs.org/en/A/76/333" TargetMode="External"/><Relationship Id="rId82" Type="http://schemas.openxmlformats.org/officeDocument/2006/relationships/hyperlink" Target="http://undocs.org/en/CCPR/C/ISR/CO/5" TargetMode="External"/><Relationship Id="rId19" Type="http://schemas.openxmlformats.org/officeDocument/2006/relationships/hyperlink" Target="http://undocs.org/en/A/HRC/37/38" TargetMode="External"/><Relationship Id="rId4" Type="http://schemas.openxmlformats.org/officeDocument/2006/relationships/hyperlink" Target="http://undocs.org/en/A/76/333" TargetMode="External"/><Relationship Id="rId9" Type="http://schemas.openxmlformats.org/officeDocument/2006/relationships/hyperlink" Target="https://www.amnesty.org/en/documents/mde15/6079/2022/en/" TargetMode="External"/><Relationship Id="rId14" Type="http://schemas.openxmlformats.org/officeDocument/2006/relationships/hyperlink" Target="http://undocs.org/en/A/75/336" TargetMode="External"/><Relationship Id="rId22" Type="http://schemas.openxmlformats.org/officeDocument/2006/relationships/hyperlink" Target="https://www.nytimes.com/2022/10/26/world/middleeast/israel-palestinians-insurgency-blockade-nablus-jenin.html" TargetMode="External"/><Relationship Id="rId27" Type="http://schemas.openxmlformats.org/officeDocument/2006/relationships/hyperlink" Target="http://undocs.org/en/CEDAW/C/ISR/CO/6" TargetMode="External"/><Relationship Id="rId30" Type="http://schemas.openxmlformats.org/officeDocument/2006/relationships/hyperlink" Target="http://undocs.org/en/CCPR/C/ISR/CO/5" TargetMode="External"/><Relationship Id="rId35" Type="http://schemas.openxmlformats.org/officeDocument/2006/relationships/hyperlink" Target="https://www.timesofisrael.com/palestinian-shot-dead-trying-to-illegally-cross-west-bank-security-barrier/" TargetMode="External"/><Relationship Id="rId43" Type="http://schemas.openxmlformats.org/officeDocument/2006/relationships/hyperlink" Target="file:///\\conf-share1\LS\ENG\COMMON\FINAL\%09https:\www.timesofisrael.com\ghastly-murder-lays-bare-the-myriad-perils-for-lgbt-palestinians-fleeing-to-israel\" TargetMode="External"/><Relationship Id="rId48" Type="http://schemas.openxmlformats.org/officeDocument/2006/relationships/hyperlink" Target="http://undocs.org/en/A/HRC/40/39" TargetMode="External"/><Relationship Id="rId56" Type="http://schemas.openxmlformats.org/officeDocument/2006/relationships/hyperlink" Target="http://undocs.org/en/A/71/364" TargetMode="External"/><Relationship Id="rId64" Type="http://schemas.openxmlformats.org/officeDocument/2006/relationships/hyperlink" Target="http://undocs.org/en/A/HRC/49/25" TargetMode="External"/><Relationship Id="rId69" Type="http://schemas.openxmlformats.org/officeDocument/2006/relationships/hyperlink" Target="https://usms.cellcom.co.il/files/QEIKC4/jdwke0b345.pdf" TargetMode="External"/><Relationship Id="rId77" Type="http://schemas.openxmlformats.org/officeDocument/2006/relationships/hyperlink" Target="http://undocs.org/en/CCPR/C/ISR/CO/5" TargetMode="External"/><Relationship Id="rId8" Type="http://schemas.openxmlformats.org/officeDocument/2006/relationships/hyperlink" Target="https://www.haaretz.com/israel-news/2022-08-16/ty-article/.highlight/after-initial-denial-israeli-officials-admit-5-palestinian-minors-killed-in-gaza-strike/00000182-a2b6-d825-a5a7-aaf6d3320000" TargetMode="External"/><Relationship Id="rId51" Type="http://schemas.openxmlformats.org/officeDocument/2006/relationships/hyperlink" Target="https://s3.eu-west-1.amazonaws.com/files.yesh-din.org/Investigating+Themselves/YeshDin+-+Shomer+5.22+-+Eng_01.pdf" TargetMode="External"/><Relationship Id="rId72" Type="http://schemas.openxmlformats.org/officeDocument/2006/relationships/hyperlink" Target="https://www.israelhayom.co.il/news/defense/article/13026997%20" TargetMode="External"/><Relationship Id="rId80" Type="http://schemas.openxmlformats.org/officeDocument/2006/relationships/hyperlink" Target="https://supremedecisions.court.gov.il/Home/Download?path=HebrewVerdicts/20/880/073/j29&amp;fileName=20073880.J29&amp;type=2" TargetMode="External"/><Relationship Id="rId85" Type="http://schemas.openxmlformats.org/officeDocument/2006/relationships/hyperlink" Target="https://www.arabnews.com/node/2179436/middle-east" TargetMode="External"/><Relationship Id="rId3" Type="http://schemas.openxmlformats.org/officeDocument/2006/relationships/hyperlink" Target="http://undocs.org/en/A/76/333" TargetMode="External"/><Relationship Id="rId12" Type="http://schemas.openxmlformats.org/officeDocument/2006/relationships/hyperlink" Target="file:///\\conf-share1\LS\ENG\COMMON\FINAL\%09https:\www.ohchr.org\sites\default\files\Documents\HRBodies\HRCouncil\CoIGaza\A_HRC_CRP_4.docx" TargetMode="External"/><Relationship Id="rId17" Type="http://schemas.openxmlformats.org/officeDocument/2006/relationships/hyperlink" Target="https://ihl-databases.icrc.org/en/customary-ihl/v1/rule103" TargetMode="External"/><Relationship Id="rId25" Type="http://schemas.openxmlformats.org/officeDocument/2006/relationships/hyperlink" Target="http://undocs.org/en/CAT/C/ISR/CO/5" TargetMode="External"/><Relationship Id="rId33" Type="http://schemas.openxmlformats.org/officeDocument/2006/relationships/hyperlink" Target="https://www.ohchr.org/en/press-briefing-notes/2022/10/unlawful-targeted-killings-west-bank" TargetMode="External"/><Relationship Id="rId38" Type="http://schemas.openxmlformats.org/officeDocument/2006/relationships/hyperlink" Target="https://www.ohchr.org/en/instruments-mechanisms/instruments/basic-principles-use-force-and-firearms-law-enforcement" TargetMode="External"/><Relationship Id="rId46" Type="http://schemas.openxmlformats.org/officeDocument/2006/relationships/hyperlink" Target="https://www.ohchr.org/en/press-releases/2022/12/comment-un-human-rights-spokesperson-jeremy-laurence-deportation-salah" TargetMode="External"/><Relationship Id="rId59" Type="http://schemas.openxmlformats.org/officeDocument/2006/relationships/hyperlink" Target="http://undocs.org/en/CCPR/C/ISR/CO/5" TargetMode="External"/><Relationship Id="rId67" Type="http://schemas.openxmlformats.org/officeDocument/2006/relationships/hyperlink" Target="https://www.gov.il/BlobFolder/generalpage/downloads_eng1/en/ENG_turkel_eng_b1-474.pdf" TargetMode="External"/><Relationship Id="rId20" Type="http://schemas.openxmlformats.org/officeDocument/2006/relationships/hyperlink" Target="http://undocs.org/en/A/HRC/34/36" TargetMode="External"/><Relationship Id="rId41" Type="http://schemas.openxmlformats.org/officeDocument/2006/relationships/hyperlink" Target="https://www.pcbs.gov.ps/Downloads/book2611.pdf" TargetMode="External"/><Relationship Id="rId54" Type="http://schemas.openxmlformats.org/officeDocument/2006/relationships/hyperlink" Target="http://undocs.org/en/A/HRC/40/43" TargetMode="External"/><Relationship Id="rId62" Type="http://schemas.openxmlformats.org/officeDocument/2006/relationships/hyperlink" Target="http://undocs.org/en/A/HRC/43/21" TargetMode="External"/><Relationship Id="rId70" Type="http://schemas.openxmlformats.org/officeDocument/2006/relationships/hyperlink" Target="https://www.gov.il/BlobFolder/generalpage/downloads_eng1/en/ENG_turkel_eng_b1-474.pdf" TargetMode="External"/><Relationship Id="rId75" Type="http://schemas.openxmlformats.org/officeDocument/2006/relationships/hyperlink" Target="http://undocs.org/en/A/HRC/43/21" TargetMode="External"/><Relationship Id="rId83" Type="http://schemas.openxmlformats.org/officeDocument/2006/relationships/hyperlink" Target="http://undocs.org/en/CAT/C/PSE/CO/1" TargetMode="External"/><Relationship Id="rId1" Type="http://schemas.openxmlformats.org/officeDocument/2006/relationships/hyperlink" Target="https://www.ohchr.org/en/press-releases/2022/08/bachelet-deplores-israels-failure-grant-visas-un-human-rights-staff-occupied" TargetMode="External"/><Relationship Id="rId6" Type="http://schemas.openxmlformats.org/officeDocument/2006/relationships/hyperlink" Target="http://undocs.org/en/A/HRC/43/21" TargetMode="External"/><Relationship Id="rId15" Type="http://schemas.openxmlformats.org/officeDocument/2006/relationships/hyperlink" Target="https://ihl-databases.icrc.org/en/ihl-treaties/hague-conv-iv-1907" TargetMode="External"/><Relationship Id="rId23" Type="http://schemas.openxmlformats.org/officeDocument/2006/relationships/hyperlink" Target="file:///\\conf-share1\LS\ENG\COMMON\FINAL\%09https:\static1.squarespace.com\static\54231cc6e4b0d46e9dc0c8c1\t\635ed5454fd8302e389fa2be\1667159365226\20221025+Nablus+interagency+visit+report+Final+.pdf" TargetMode="External"/><Relationship Id="rId28" Type="http://schemas.openxmlformats.org/officeDocument/2006/relationships/hyperlink" Target="http://undocs.org/en/A/HRC/46/63" TargetMode="External"/><Relationship Id="rId36" Type="http://schemas.openxmlformats.org/officeDocument/2006/relationships/hyperlink" Target="https://www.timesofisrael.com/palestinians-say-man-shot-dead-by-israeli-troops-near-qalqilya-security-barrier/" TargetMode="External"/><Relationship Id="rId49" Type="http://schemas.openxmlformats.org/officeDocument/2006/relationships/hyperlink" Target="https://www.ohchr.org/en/press-releases/2022/07/un-experts-urge-israel-free-ahmad-manasra" TargetMode="External"/><Relationship Id="rId57" Type="http://schemas.openxmlformats.org/officeDocument/2006/relationships/hyperlink" Target="http://undocs.org/en/A/HRC/43/21" TargetMode="External"/><Relationship Id="rId10" Type="http://schemas.openxmlformats.org/officeDocument/2006/relationships/hyperlink" Target="https://ihl-databases.icrc.org/en/customary-ihl/v1/rule156" TargetMode="External"/><Relationship Id="rId31" Type="http://schemas.openxmlformats.org/officeDocument/2006/relationships/hyperlink" Target="https://ihl-databases.icrc.org/en/customary-ihl/v1/rule114" TargetMode="External"/><Relationship Id="rId44" Type="http://schemas.openxmlformats.org/officeDocument/2006/relationships/hyperlink" Target="https://hamoked.org/prisoners-charts.php" TargetMode="External"/><Relationship Id="rId52" Type="http://schemas.openxmlformats.org/officeDocument/2006/relationships/hyperlink" Target="https://undocs.org/en/A/HRC/28/80/Add.1" TargetMode="External"/><Relationship Id="rId60" Type="http://schemas.openxmlformats.org/officeDocument/2006/relationships/hyperlink" Target="http://undocs.org/en/A/71/364" TargetMode="External"/><Relationship Id="rId65" Type="http://schemas.openxmlformats.org/officeDocument/2006/relationships/hyperlink" Target="https://www.gov.il/BlobFolder/generalpage/downloads_eng1/en/ENG_turkel_eng_b1-474.pdf" TargetMode="External"/><Relationship Id="rId73" Type="http://schemas.openxmlformats.org/officeDocument/2006/relationships/hyperlink" Target="https://www.haaretz.com/israel-news/2021-12-09/ty-article/israel-closes-probe-of-officers-who-shot-palestinian-assailant-in-jerusalem-attack/0000017f-e59d-df5f-a17f-ffdf946b0000" TargetMode="External"/><Relationship Id="rId78" Type="http://schemas.openxmlformats.org/officeDocument/2006/relationships/hyperlink" Target="http://undocs.org/en/A/HRC/43/70" TargetMode="External"/><Relationship Id="rId81" Type="http://schemas.openxmlformats.org/officeDocument/2006/relationships/hyperlink" Target="http://undocs.org/en/A/HRC/49/25" TargetMode="External"/><Relationship Id="rId86" Type="http://schemas.openxmlformats.org/officeDocument/2006/relationships/hyperlink" Target="http://undocs.org/en/A/HRC/28/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F5CE-67DE-4D10-8F21-D9304DA5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17</Pages>
  <Words>8410</Words>
  <Characters>47943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A/HRC/52/75</vt:lpstr>
    </vt:vector>
  </TitlesOfParts>
  <Company>DCM</Company>
  <LinksUpToDate>false</LinksUpToDate>
  <CharactersWithSpaces>56241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A/HRC/52/75</dc:title>
  <dc:subject>2301986</dc:subject>
  <dc:creator>Brigoli</dc:creator>
  <cp:keywords/>
  <dc:description/>
  <cp:lastModifiedBy>Veronique Lanz</cp:lastModifiedBy>
  <cp:revision>2</cp:revision>
  <dcterms:created xsi:type="dcterms:W3CDTF">2023-02-20T07:04:00Z</dcterms:created>
  <dcterms:modified xsi:type="dcterms:W3CDTF">2023-02-20T07:04:00Z</dcterms:modified>
</cp:coreProperties>
</file>