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5EFA7398" w14:textId="77777777" w:rsidTr="00402DEC">
        <w:trPr>
          <w:trHeight w:hRule="exact" w:val="851"/>
        </w:trPr>
        <w:tc>
          <w:tcPr>
            <w:tcW w:w="1276" w:type="dxa"/>
            <w:tcBorders>
              <w:bottom w:val="single" w:sz="4" w:space="0" w:color="auto"/>
            </w:tcBorders>
          </w:tcPr>
          <w:p w14:paraId="3C4808B5" w14:textId="77777777" w:rsidR="00057BC0" w:rsidRPr="00DB58B5" w:rsidRDefault="00057BC0" w:rsidP="00186254"/>
        </w:tc>
        <w:tc>
          <w:tcPr>
            <w:tcW w:w="2268" w:type="dxa"/>
            <w:tcBorders>
              <w:bottom w:val="single" w:sz="4" w:space="0" w:color="auto"/>
            </w:tcBorders>
            <w:vAlign w:val="bottom"/>
          </w:tcPr>
          <w:p w14:paraId="3282E9C3" w14:textId="325E4F0B"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634EBECC" w14:textId="77777777" w:rsidR="00057BC0" w:rsidRPr="00DB58B5" w:rsidRDefault="00402DEC" w:rsidP="00402DEC">
            <w:pPr>
              <w:jc w:val="right"/>
            </w:pPr>
            <w:r w:rsidRPr="00402DEC">
              <w:rPr>
                <w:sz w:val="40"/>
              </w:rPr>
              <w:t>A</w:t>
            </w:r>
            <w:r>
              <w:t>/HRC/52/12/Add.1</w:t>
            </w:r>
          </w:p>
        </w:tc>
      </w:tr>
      <w:tr w:rsidR="00057BC0" w:rsidRPr="00DB58B5" w14:paraId="33C4D7E8" w14:textId="77777777" w:rsidTr="00186254">
        <w:trPr>
          <w:trHeight w:hRule="exact" w:val="2835"/>
        </w:trPr>
        <w:tc>
          <w:tcPr>
            <w:tcW w:w="1276" w:type="dxa"/>
            <w:tcBorders>
              <w:top w:val="single" w:sz="4" w:space="0" w:color="auto"/>
              <w:bottom w:val="single" w:sz="12" w:space="0" w:color="auto"/>
            </w:tcBorders>
          </w:tcPr>
          <w:p w14:paraId="4931861B" w14:textId="1FC3922B"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0BF28544" w14:textId="640C55A7" w:rsidR="00057BC0" w:rsidRPr="00740562" w:rsidRDefault="0077740E" w:rsidP="00186254">
            <w:pPr>
              <w:spacing w:before="120" w:line="420" w:lineRule="exact"/>
              <w:rPr>
                <w:b/>
                <w:sz w:val="40"/>
                <w:szCs w:val="40"/>
              </w:rPr>
            </w:pPr>
            <w:r>
              <w:rPr>
                <w:b/>
                <w:sz w:val="40"/>
                <w:szCs w:val="40"/>
              </w:rPr>
              <w:t>Advance Version</w:t>
            </w:r>
            <w:bookmarkStart w:id="0" w:name="_GoBack"/>
            <w:bookmarkEnd w:id="0"/>
          </w:p>
        </w:tc>
        <w:tc>
          <w:tcPr>
            <w:tcW w:w="2835" w:type="dxa"/>
            <w:tcBorders>
              <w:top w:val="single" w:sz="4" w:space="0" w:color="auto"/>
              <w:bottom w:val="single" w:sz="12" w:space="0" w:color="auto"/>
            </w:tcBorders>
          </w:tcPr>
          <w:p w14:paraId="71EF31CE" w14:textId="77777777" w:rsidR="00057BC0" w:rsidRDefault="00402DEC" w:rsidP="00402DEC">
            <w:pPr>
              <w:spacing w:before="240" w:line="240" w:lineRule="exact"/>
            </w:pPr>
            <w:r>
              <w:t>Distr. générale</w:t>
            </w:r>
          </w:p>
          <w:p w14:paraId="00569D35" w14:textId="0ED2E67C" w:rsidR="00402DEC" w:rsidRDefault="00196D87" w:rsidP="00402DEC">
            <w:pPr>
              <w:spacing w:line="240" w:lineRule="exact"/>
            </w:pPr>
            <w:r>
              <w:t>2 mars</w:t>
            </w:r>
            <w:r w:rsidR="00402DEC">
              <w:t xml:space="preserve"> 2023</w:t>
            </w:r>
          </w:p>
          <w:p w14:paraId="15D9A6FD" w14:textId="77777777" w:rsidR="00402DEC" w:rsidRDefault="00402DEC" w:rsidP="00402DEC">
            <w:pPr>
              <w:spacing w:line="240" w:lineRule="exact"/>
            </w:pPr>
          </w:p>
          <w:p w14:paraId="59E7FC3F" w14:textId="77777777" w:rsidR="00402DEC" w:rsidRPr="00DB58B5" w:rsidRDefault="00402DEC" w:rsidP="00402DEC">
            <w:pPr>
              <w:spacing w:line="240" w:lineRule="exact"/>
            </w:pPr>
            <w:r>
              <w:t>Original : français</w:t>
            </w:r>
          </w:p>
        </w:tc>
      </w:tr>
    </w:tbl>
    <w:p w14:paraId="2934C8E6" w14:textId="77777777" w:rsidR="00402DEC" w:rsidRPr="00F714B1" w:rsidRDefault="00402DEC" w:rsidP="00402DEC">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14:paraId="690BDD25" w14:textId="4C56BB4A" w:rsidR="00402DEC" w:rsidRDefault="00402DEC" w:rsidP="00402DEC">
      <w:pPr>
        <w:kinsoku w:val="0"/>
        <w:overflowPunct w:val="0"/>
        <w:autoSpaceDE w:val="0"/>
        <w:autoSpaceDN w:val="0"/>
        <w:adjustRightInd w:val="0"/>
        <w:snapToGrid w:val="0"/>
        <w:rPr>
          <w:b/>
          <w:lang w:val="fr-FR"/>
        </w:rPr>
      </w:pPr>
      <w:r>
        <w:rPr>
          <w:b/>
          <w:szCs w:val="24"/>
          <w:lang w:val="fr-FR"/>
        </w:rPr>
        <w:t>Cinquante-deuxième</w:t>
      </w:r>
      <w:r w:rsidRPr="00F714B1">
        <w:rPr>
          <w:b/>
          <w:szCs w:val="24"/>
          <w:lang w:val="fr-FR"/>
        </w:rPr>
        <w:t xml:space="preserve"> </w:t>
      </w:r>
      <w:r w:rsidRPr="00F714B1">
        <w:rPr>
          <w:b/>
          <w:lang w:val="fr-FR"/>
        </w:rPr>
        <w:t>session</w:t>
      </w:r>
    </w:p>
    <w:p w14:paraId="072FBA1F" w14:textId="6F64C468" w:rsidR="00402DEC" w:rsidRPr="005F1C7A" w:rsidRDefault="00402DEC" w:rsidP="00402DEC">
      <w:pPr>
        <w:kinsoku w:val="0"/>
        <w:overflowPunct w:val="0"/>
        <w:autoSpaceDE w:val="0"/>
        <w:autoSpaceDN w:val="0"/>
        <w:adjustRightInd w:val="0"/>
        <w:snapToGrid w:val="0"/>
        <w:rPr>
          <w:lang w:val="fr-FR"/>
        </w:rPr>
      </w:pPr>
      <w:r>
        <w:rPr>
          <w:lang w:val="fr-FR"/>
        </w:rPr>
        <w:t>27 février–31 mars 2023</w:t>
      </w:r>
    </w:p>
    <w:p w14:paraId="4D03FD65" w14:textId="77777777" w:rsidR="00402DEC" w:rsidRPr="00F714B1" w:rsidRDefault="00402DEC" w:rsidP="00402DEC">
      <w:pPr>
        <w:kinsoku w:val="0"/>
        <w:overflowPunct w:val="0"/>
        <w:autoSpaceDE w:val="0"/>
        <w:autoSpaceDN w:val="0"/>
        <w:adjustRightInd w:val="0"/>
        <w:snapToGrid w:val="0"/>
        <w:rPr>
          <w:lang w:val="fr-FR"/>
        </w:rPr>
      </w:pPr>
      <w:r w:rsidRPr="00F714B1">
        <w:rPr>
          <w:lang w:val="fr-FR"/>
        </w:rPr>
        <w:t>Point 6 de l’ordre du jour</w:t>
      </w:r>
    </w:p>
    <w:p w14:paraId="2D1CE622" w14:textId="77777777" w:rsidR="00402DEC" w:rsidRPr="00F714B1" w:rsidRDefault="00402DEC" w:rsidP="00402DEC">
      <w:pPr>
        <w:kinsoku w:val="0"/>
        <w:overflowPunct w:val="0"/>
        <w:autoSpaceDE w:val="0"/>
        <w:autoSpaceDN w:val="0"/>
        <w:adjustRightInd w:val="0"/>
        <w:snapToGrid w:val="0"/>
        <w:rPr>
          <w:lang w:val="fr-FR"/>
        </w:rPr>
      </w:pPr>
      <w:r w:rsidRPr="00F714B1">
        <w:rPr>
          <w:b/>
          <w:lang w:val="fr-FR"/>
        </w:rPr>
        <w:t>Examen périodique universel</w:t>
      </w:r>
    </w:p>
    <w:p w14:paraId="48B5630B" w14:textId="77777777" w:rsidR="00402DEC" w:rsidRPr="00F714B1" w:rsidRDefault="00402DEC" w:rsidP="00402DEC">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F714B1">
        <w:rPr>
          <w:vertAlign w:val="superscript"/>
          <w:lang w:val="fr-FR"/>
        </w:rPr>
        <w:footnoteReference w:customMarkFollows="1" w:id="2"/>
        <w:t>*</w:t>
      </w:r>
    </w:p>
    <w:p w14:paraId="71A57BC7" w14:textId="572A342B" w:rsidR="00402DEC" w:rsidRPr="00F714B1" w:rsidRDefault="00402DEC" w:rsidP="00402DEC">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Algérie</w:t>
      </w:r>
    </w:p>
    <w:p w14:paraId="748A78E0" w14:textId="77777777" w:rsidR="00402DEC" w:rsidRPr="00F714B1" w:rsidRDefault="00402DEC" w:rsidP="00402DEC">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14:paraId="7F4C25AD" w14:textId="77777777" w:rsidR="00402DEC" w:rsidRPr="00F714B1" w:rsidRDefault="00402DEC" w:rsidP="00402DEC">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14:paraId="7362AACA" w14:textId="0D27ABB4" w:rsidR="00402DEC" w:rsidRPr="00402DEC" w:rsidRDefault="00402DEC" w:rsidP="006134EC">
      <w:pPr>
        <w:pStyle w:val="SingleTxtG"/>
        <w:rPr>
          <w:lang w:val="fr-FR"/>
        </w:rPr>
      </w:pPr>
      <w:r w:rsidRPr="00F714B1">
        <w:br w:type="page"/>
      </w:r>
      <w:r w:rsidR="006134EC">
        <w:lastRenderedPageBreak/>
        <w:t>1.</w:t>
      </w:r>
      <w:r w:rsidR="006134EC">
        <w:tab/>
      </w:r>
      <w:r w:rsidRPr="00402DEC">
        <w:rPr>
          <w:lang w:val="fr-FR"/>
        </w:rPr>
        <w:t>L’Algérie remercie les États membres et observateurs du Conseil des droits de l’homme de l’intérêt porté à son rapport national présenté dans le cadre du 4</w:t>
      </w:r>
      <w:r w:rsidRPr="00402DEC">
        <w:rPr>
          <w:vertAlign w:val="superscript"/>
          <w:lang w:val="fr-FR"/>
        </w:rPr>
        <w:t>ème</w:t>
      </w:r>
      <w:r w:rsidRPr="00402DEC">
        <w:rPr>
          <w:lang w:val="fr-FR"/>
        </w:rPr>
        <w:t xml:space="preserve"> Examen Périodique Universel.</w:t>
      </w:r>
    </w:p>
    <w:p w14:paraId="2BDF1992" w14:textId="26137B40" w:rsidR="00402DEC" w:rsidRPr="00402DEC" w:rsidRDefault="006134EC" w:rsidP="006134EC">
      <w:pPr>
        <w:pStyle w:val="SingleTxtG"/>
        <w:rPr>
          <w:lang w:val="fr-FR"/>
        </w:rPr>
      </w:pPr>
      <w:r>
        <w:rPr>
          <w:lang w:val="fr-FR"/>
        </w:rPr>
        <w:t>2.</w:t>
      </w:r>
      <w:r>
        <w:rPr>
          <w:lang w:val="fr-FR"/>
        </w:rPr>
        <w:tab/>
      </w:r>
      <w:r w:rsidR="00402DEC" w:rsidRPr="00402DEC">
        <w:rPr>
          <w:lang w:val="fr-FR"/>
        </w:rPr>
        <w:t>L’Algérie se félicite du débat interactif, qui lui a permis de faire connaître les progrès accomplis en matière de promotion et de respect des droits de l’homme, depuis la présentation de son 3</w:t>
      </w:r>
      <w:r w:rsidR="00402DEC" w:rsidRPr="00402DEC">
        <w:rPr>
          <w:vertAlign w:val="superscript"/>
          <w:lang w:val="fr-FR"/>
        </w:rPr>
        <w:t>ème</w:t>
      </w:r>
      <w:r w:rsidR="00402DEC" w:rsidRPr="00402DEC">
        <w:rPr>
          <w:lang w:val="fr-FR"/>
        </w:rPr>
        <w:t xml:space="preserve"> rapport national en 2017, et de répondre aux questions posées avant et pendant ce débat.</w:t>
      </w:r>
    </w:p>
    <w:p w14:paraId="67E057C5" w14:textId="3945C2BB" w:rsidR="00402DEC" w:rsidRPr="00402DEC" w:rsidRDefault="006134EC" w:rsidP="006134EC">
      <w:pPr>
        <w:pStyle w:val="SingleTxtG"/>
        <w:rPr>
          <w:lang w:val="fr-FR"/>
        </w:rPr>
      </w:pPr>
      <w:r>
        <w:rPr>
          <w:lang w:val="fr-FR"/>
        </w:rPr>
        <w:t>3.</w:t>
      </w:r>
      <w:r>
        <w:rPr>
          <w:lang w:val="fr-FR"/>
        </w:rPr>
        <w:tab/>
      </w:r>
      <w:r w:rsidR="00402DEC" w:rsidRPr="00402DEC">
        <w:rPr>
          <w:lang w:val="fr-FR"/>
        </w:rPr>
        <w:t>La quasi-majorité des recommandations faites en 2017 ont été acceptées. À cet égard, le Gouvernement algérien a pu obtenir des résultats concrets, qui sont exposés dans son 4</w:t>
      </w:r>
      <w:r w:rsidR="00402DEC" w:rsidRPr="00402DEC">
        <w:rPr>
          <w:vertAlign w:val="superscript"/>
          <w:lang w:val="fr-FR"/>
        </w:rPr>
        <w:t>ème</w:t>
      </w:r>
      <w:r w:rsidR="00402DEC" w:rsidRPr="00402DEC">
        <w:rPr>
          <w:lang w:val="fr-FR"/>
        </w:rPr>
        <w:t xml:space="preserve"> rapport national. Toutefois, l’Algérie continue d’être confrontée à des défis au niveau régional et international, en particulier ceux posés par la pandémie de COVID-19.</w:t>
      </w:r>
    </w:p>
    <w:p w14:paraId="5DAC45EC" w14:textId="3BC29AF6" w:rsidR="00402DEC" w:rsidRPr="00402DEC" w:rsidRDefault="006134EC" w:rsidP="006134EC">
      <w:pPr>
        <w:pStyle w:val="SingleTxtG"/>
        <w:rPr>
          <w:lang w:val="fr-FR"/>
        </w:rPr>
      </w:pPr>
      <w:r>
        <w:rPr>
          <w:lang w:val="fr-FR"/>
        </w:rPr>
        <w:t>4.</w:t>
      </w:r>
      <w:r>
        <w:rPr>
          <w:lang w:val="fr-FR"/>
        </w:rPr>
        <w:tab/>
      </w:r>
      <w:r w:rsidR="00402DEC" w:rsidRPr="00402DEC">
        <w:rPr>
          <w:lang w:val="fr-FR"/>
        </w:rPr>
        <w:t>Les 29</w:t>
      </w:r>
      <w:r w:rsidR="00182318">
        <w:rPr>
          <w:lang w:val="fr-FR"/>
        </w:rPr>
        <w:t>0</w:t>
      </w:r>
      <w:r w:rsidR="00402DEC" w:rsidRPr="00402DEC">
        <w:rPr>
          <w:lang w:val="fr-FR"/>
        </w:rPr>
        <w:t xml:space="preserve"> recommandations adressées à l’Algérie ont été examinées par le Groupe intersectoriel chargé de l’élaboration et du suivi du rapport national. Il en est ressorti que plusieurs d’entre elles se recoupent ou ont déjà fait l’objet de réponses lors du débat.</w:t>
      </w:r>
    </w:p>
    <w:p w14:paraId="5E6DAE3F" w14:textId="3635EC09" w:rsidR="00402DEC" w:rsidRPr="00402DEC" w:rsidRDefault="006134EC" w:rsidP="006134EC">
      <w:pPr>
        <w:pStyle w:val="SingleTxtG"/>
        <w:rPr>
          <w:lang w:val="fr-FR"/>
        </w:rPr>
      </w:pPr>
      <w:r>
        <w:rPr>
          <w:lang w:val="fr-FR"/>
        </w:rPr>
        <w:t>5.</w:t>
      </w:r>
      <w:r>
        <w:rPr>
          <w:lang w:val="fr-FR"/>
        </w:rPr>
        <w:tab/>
      </w:r>
      <w:r w:rsidR="00402DEC" w:rsidRPr="00402DEC">
        <w:rPr>
          <w:lang w:val="fr-FR"/>
        </w:rPr>
        <w:t>Par conséquent, l’Algérie a décidé de réagir en donnant à l’ensemble de ces recommandations les suites suivantes </w:t>
      </w:r>
      <w:r w:rsidR="00402DEC" w:rsidRPr="00196D87">
        <w:rPr>
          <w:lang w:val="fr-FR"/>
        </w:rPr>
        <w:t>:</w:t>
      </w:r>
    </w:p>
    <w:p w14:paraId="0B0053BA" w14:textId="698E0313" w:rsidR="00402DEC" w:rsidRPr="00402DEC" w:rsidRDefault="006134EC" w:rsidP="006134EC">
      <w:pPr>
        <w:pStyle w:val="HChG"/>
        <w:rPr>
          <w:lang w:val="fr-FR"/>
        </w:rPr>
      </w:pPr>
      <w:r>
        <w:rPr>
          <w:lang w:val="fr-FR"/>
        </w:rPr>
        <w:tab/>
        <w:t>I.</w:t>
      </w:r>
      <w:r>
        <w:rPr>
          <w:lang w:val="fr-FR"/>
        </w:rPr>
        <w:tab/>
      </w:r>
      <w:r w:rsidR="00402DEC" w:rsidRPr="00402DEC">
        <w:rPr>
          <w:lang w:val="fr-FR"/>
        </w:rPr>
        <w:t>Recommandations acceptées</w:t>
      </w:r>
    </w:p>
    <w:p w14:paraId="4F568B4D" w14:textId="248D0D78" w:rsidR="00402DEC" w:rsidRPr="00402DEC" w:rsidRDefault="006134EC" w:rsidP="006134EC">
      <w:pPr>
        <w:pStyle w:val="SingleTxtG"/>
        <w:rPr>
          <w:lang w:val="fr-FR"/>
        </w:rPr>
      </w:pPr>
      <w:r>
        <w:rPr>
          <w:lang w:val="fr-FR"/>
        </w:rPr>
        <w:t>6.</w:t>
      </w:r>
      <w:r>
        <w:rPr>
          <w:lang w:val="fr-FR"/>
        </w:rPr>
        <w:tab/>
      </w:r>
      <w:r w:rsidR="00402DEC" w:rsidRPr="00402DEC">
        <w:rPr>
          <w:lang w:val="fr-FR"/>
        </w:rPr>
        <w:t xml:space="preserve">22, 26, 27, 29, 30, 32, 33, 34, 35, 36, 45, 46, 47, 48, 49, 50, 51, 52, 53, 54, 55, 56, 59, 79, 81, 82, 84, 85, 87, 88, 89, 90, 91, 96, 97, 98, 99, 100, 102, 104, 105, 108, 109, 112, 117, 121, 123, 130, 131, 133, 137, 138, </w:t>
      </w:r>
      <w:r w:rsidR="00402DEC" w:rsidRPr="00196D87">
        <w:rPr>
          <w:lang w:val="fr-FR"/>
        </w:rPr>
        <w:t>146</w:t>
      </w:r>
      <w:r w:rsidR="00402DEC" w:rsidRPr="00402DEC">
        <w:rPr>
          <w:lang w:val="fr-FR"/>
        </w:rPr>
        <w:t xml:space="preserve">, 147, 148, 149, 150, 151, 152, 153, 154, 155, 156, 157, 158, 159,160, 161, 163, 164, 165, 166, 167, 168, 169, 170, 171, 173, 174, 175, 176, 177, 178, 180, 182, </w:t>
      </w:r>
      <w:r w:rsidR="00402DEC" w:rsidRPr="00196D87">
        <w:rPr>
          <w:lang w:val="fr-FR"/>
        </w:rPr>
        <w:t>184,</w:t>
      </w:r>
      <w:r w:rsidR="00402DEC" w:rsidRPr="00402DEC">
        <w:rPr>
          <w:b/>
          <w:bCs/>
          <w:lang w:val="fr-FR"/>
        </w:rPr>
        <w:t xml:space="preserve"> </w:t>
      </w:r>
      <w:r w:rsidR="00402DEC" w:rsidRPr="00402DEC">
        <w:rPr>
          <w:lang w:val="fr-FR"/>
        </w:rPr>
        <w:t>186, 187, 188, 189, 190, 191, 192, 193, 195, 196, 198, 199, 200, 201, 202, 203, 204, 205, 206, 208, 209, 210, 211, 212, 213, 214, 215, 216, 223, 224, 227, 229, 23</w:t>
      </w:r>
      <w:r w:rsidR="00C0556A">
        <w:rPr>
          <w:lang w:val="fr-FR"/>
        </w:rPr>
        <w:t>0</w:t>
      </w:r>
      <w:r w:rsidR="00402DEC" w:rsidRPr="00402DEC">
        <w:rPr>
          <w:lang w:val="fr-FR"/>
        </w:rPr>
        <w:t>, 23</w:t>
      </w:r>
      <w:r w:rsidR="00C0556A">
        <w:rPr>
          <w:lang w:val="fr-FR"/>
        </w:rPr>
        <w:t>1</w:t>
      </w:r>
      <w:r w:rsidR="00402DEC" w:rsidRPr="00402DEC">
        <w:rPr>
          <w:lang w:val="fr-FR"/>
        </w:rPr>
        <w:t>, 23</w:t>
      </w:r>
      <w:r w:rsidR="00C0556A">
        <w:rPr>
          <w:lang w:val="fr-FR"/>
        </w:rPr>
        <w:t>5</w:t>
      </w:r>
      <w:r w:rsidR="00402DEC" w:rsidRPr="00402DEC">
        <w:rPr>
          <w:lang w:val="fr-FR"/>
        </w:rPr>
        <w:t>, 23</w:t>
      </w:r>
      <w:r w:rsidR="00C0556A">
        <w:rPr>
          <w:lang w:val="fr-FR"/>
        </w:rPr>
        <w:t>6</w:t>
      </w:r>
      <w:r w:rsidR="00402DEC" w:rsidRPr="00402DEC">
        <w:rPr>
          <w:lang w:val="fr-FR"/>
        </w:rPr>
        <w:t>, 23</w:t>
      </w:r>
      <w:r w:rsidR="00C0556A">
        <w:rPr>
          <w:lang w:val="fr-FR"/>
        </w:rPr>
        <w:t>8</w:t>
      </w:r>
      <w:r w:rsidR="00402DEC" w:rsidRPr="00402DEC">
        <w:rPr>
          <w:lang w:val="fr-FR"/>
        </w:rPr>
        <w:t>, 24</w:t>
      </w:r>
      <w:r w:rsidR="00C0556A">
        <w:rPr>
          <w:lang w:val="fr-FR"/>
        </w:rPr>
        <w:t>0</w:t>
      </w:r>
      <w:r w:rsidR="00402DEC" w:rsidRPr="00402DEC">
        <w:rPr>
          <w:lang w:val="fr-FR"/>
        </w:rPr>
        <w:t>, 24</w:t>
      </w:r>
      <w:r w:rsidR="00C0556A">
        <w:rPr>
          <w:lang w:val="fr-FR"/>
        </w:rPr>
        <w:t>1</w:t>
      </w:r>
      <w:r w:rsidR="00402DEC" w:rsidRPr="00402DEC">
        <w:rPr>
          <w:lang w:val="fr-FR"/>
        </w:rPr>
        <w:t>, 24</w:t>
      </w:r>
      <w:r w:rsidR="00C0556A">
        <w:rPr>
          <w:lang w:val="fr-FR"/>
        </w:rPr>
        <w:t>2</w:t>
      </w:r>
      <w:r w:rsidR="00402DEC" w:rsidRPr="00402DEC">
        <w:rPr>
          <w:lang w:val="fr-FR"/>
        </w:rPr>
        <w:t>, 24</w:t>
      </w:r>
      <w:r w:rsidR="00C0556A">
        <w:rPr>
          <w:lang w:val="fr-FR"/>
        </w:rPr>
        <w:t>3</w:t>
      </w:r>
      <w:r w:rsidR="00402DEC" w:rsidRPr="00402DEC">
        <w:rPr>
          <w:lang w:val="fr-FR"/>
        </w:rPr>
        <w:t>, 24</w:t>
      </w:r>
      <w:r w:rsidR="00C0556A">
        <w:rPr>
          <w:lang w:val="fr-FR"/>
        </w:rPr>
        <w:t>4</w:t>
      </w:r>
      <w:r w:rsidR="00402DEC" w:rsidRPr="00402DEC">
        <w:rPr>
          <w:lang w:val="fr-FR"/>
        </w:rPr>
        <w:t>, 24</w:t>
      </w:r>
      <w:r w:rsidR="00C0556A">
        <w:rPr>
          <w:lang w:val="fr-FR"/>
        </w:rPr>
        <w:t>8</w:t>
      </w:r>
      <w:r w:rsidR="00402DEC" w:rsidRPr="00402DEC">
        <w:rPr>
          <w:lang w:val="fr-FR"/>
        </w:rPr>
        <w:t>, 25</w:t>
      </w:r>
      <w:r w:rsidR="00C0556A">
        <w:rPr>
          <w:lang w:val="fr-FR"/>
        </w:rPr>
        <w:t>1</w:t>
      </w:r>
      <w:r w:rsidR="00402DEC" w:rsidRPr="00402DEC">
        <w:rPr>
          <w:lang w:val="fr-FR"/>
        </w:rPr>
        <w:t>, 25</w:t>
      </w:r>
      <w:r w:rsidR="00C0556A">
        <w:rPr>
          <w:lang w:val="fr-FR"/>
        </w:rPr>
        <w:t>2</w:t>
      </w:r>
      <w:r w:rsidR="00402DEC" w:rsidRPr="00402DEC">
        <w:rPr>
          <w:lang w:val="fr-FR"/>
        </w:rPr>
        <w:t>, 25</w:t>
      </w:r>
      <w:r w:rsidR="00C0556A" w:rsidRPr="00182318">
        <w:rPr>
          <w:lang w:val="fr-FR"/>
        </w:rPr>
        <w:t>3</w:t>
      </w:r>
      <w:r w:rsidR="00402DEC" w:rsidRPr="00402DEC">
        <w:rPr>
          <w:lang w:val="fr-FR"/>
        </w:rPr>
        <w:t>, 25</w:t>
      </w:r>
      <w:r w:rsidR="00C0556A">
        <w:rPr>
          <w:lang w:val="fr-FR"/>
        </w:rPr>
        <w:t>5</w:t>
      </w:r>
      <w:r w:rsidR="00402DEC" w:rsidRPr="00402DEC">
        <w:rPr>
          <w:lang w:val="fr-FR"/>
        </w:rPr>
        <w:t>, 25</w:t>
      </w:r>
      <w:r w:rsidR="00C0556A">
        <w:rPr>
          <w:lang w:val="fr-FR"/>
        </w:rPr>
        <w:t>6</w:t>
      </w:r>
      <w:r w:rsidR="00402DEC" w:rsidRPr="00402DEC">
        <w:rPr>
          <w:lang w:val="fr-FR"/>
        </w:rPr>
        <w:t>,25</w:t>
      </w:r>
      <w:r w:rsidR="00C0556A">
        <w:rPr>
          <w:lang w:val="fr-FR"/>
        </w:rPr>
        <w:t>7</w:t>
      </w:r>
      <w:r w:rsidR="00402DEC" w:rsidRPr="00402DEC">
        <w:rPr>
          <w:lang w:val="fr-FR"/>
        </w:rPr>
        <w:t>, 25</w:t>
      </w:r>
      <w:r w:rsidR="00C0556A">
        <w:rPr>
          <w:lang w:val="fr-FR"/>
        </w:rPr>
        <w:t>8</w:t>
      </w:r>
      <w:r w:rsidR="00402DEC" w:rsidRPr="00402DEC">
        <w:rPr>
          <w:lang w:val="fr-FR"/>
        </w:rPr>
        <w:t xml:space="preserve">, </w:t>
      </w:r>
      <w:r w:rsidR="00402DEC" w:rsidRPr="00196D87">
        <w:rPr>
          <w:lang w:val="fr-FR"/>
        </w:rPr>
        <w:t>26</w:t>
      </w:r>
      <w:r w:rsidR="00C0556A">
        <w:rPr>
          <w:lang w:val="fr-FR"/>
        </w:rPr>
        <w:t>0</w:t>
      </w:r>
      <w:r w:rsidR="00402DEC" w:rsidRPr="00402DEC">
        <w:rPr>
          <w:lang w:val="fr-FR"/>
        </w:rPr>
        <w:t>, 26</w:t>
      </w:r>
      <w:r w:rsidR="00C0556A">
        <w:rPr>
          <w:lang w:val="fr-FR"/>
        </w:rPr>
        <w:t>2</w:t>
      </w:r>
      <w:r w:rsidR="00402DEC" w:rsidRPr="00402DEC">
        <w:rPr>
          <w:lang w:val="fr-FR"/>
        </w:rPr>
        <w:t>, 26</w:t>
      </w:r>
      <w:r w:rsidR="00AF7632">
        <w:rPr>
          <w:lang w:val="fr-FR"/>
        </w:rPr>
        <w:t>3</w:t>
      </w:r>
      <w:r w:rsidR="00402DEC" w:rsidRPr="00402DEC">
        <w:rPr>
          <w:lang w:val="fr-FR"/>
        </w:rPr>
        <w:t>, 26</w:t>
      </w:r>
      <w:r w:rsidR="00AF7632">
        <w:rPr>
          <w:lang w:val="fr-FR"/>
        </w:rPr>
        <w:t>6</w:t>
      </w:r>
      <w:r w:rsidR="00402DEC" w:rsidRPr="00402DEC">
        <w:rPr>
          <w:lang w:val="fr-FR"/>
        </w:rPr>
        <w:t>, 26</w:t>
      </w:r>
      <w:r w:rsidR="00AF7632">
        <w:rPr>
          <w:lang w:val="fr-FR"/>
        </w:rPr>
        <w:t>7</w:t>
      </w:r>
      <w:r w:rsidR="00402DEC" w:rsidRPr="00402DEC">
        <w:rPr>
          <w:lang w:val="fr-FR"/>
        </w:rPr>
        <w:t>, 26</w:t>
      </w:r>
      <w:r w:rsidR="00AF7632">
        <w:rPr>
          <w:lang w:val="fr-FR"/>
        </w:rPr>
        <w:t>8</w:t>
      </w:r>
      <w:r w:rsidR="00402DEC" w:rsidRPr="00402DEC">
        <w:rPr>
          <w:lang w:val="fr-FR"/>
        </w:rPr>
        <w:t>, 2</w:t>
      </w:r>
      <w:r w:rsidR="00AF7632">
        <w:rPr>
          <w:lang w:val="fr-FR"/>
        </w:rPr>
        <w:t>69</w:t>
      </w:r>
      <w:r w:rsidR="00402DEC" w:rsidRPr="00402DEC">
        <w:rPr>
          <w:lang w:val="fr-FR"/>
        </w:rPr>
        <w:t>, 27</w:t>
      </w:r>
      <w:r w:rsidR="00AF7632">
        <w:rPr>
          <w:lang w:val="fr-FR"/>
        </w:rPr>
        <w:t>1</w:t>
      </w:r>
      <w:r w:rsidR="00402DEC" w:rsidRPr="00402DEC">
        <w:rPr>
          <w:lang w:val="fr-FR"/>
        </w:rPr>
        <w:t>, 27</w:t>
      </w:r>
      <w:r w:rsidR="00AF7632">
        <w:rPr>
          <w:lang w:val="fr-FR"/>
        </w:rPr>
        <w:t>4</w:t>
      </w:r>
      <w:r w:rsidR="00402DEC" w:rsidRPr="00402DEC">
        <w:rPr>
          <w:lang w:val="fr-FR"/>
        </w:rPr>
        <w:t>, 27</w:t>
      </w:r>
      <w:r w:rsidR="00AF7632">
        <w:rPr>
          <w:lang w:val="fr-FR"/>
        </w:rPr>
        <w:t>5</w:t>
      </w:r>
      <w:r w:rsidR="00402DEC" w:rsidRPr="00402DEC">
        <w:rPr>
          <w:lang w:val="fr-FR"/>
        </w:rPr>
        <w:t>, 27</w:t>
      </w:r>
      <w:r w:rsidR="00AF7632">
        <w:rPr>
          <w:lang w:val="fr-FR"/>
        </w:rPr>
        <w:t>6</w:t>
      </w:r>
      <w:r w:rsidR="00402DEC" w:rsidRPr="00402DEC">
        <w:rPr>
          <w:lang w:val="fr-FR"/>
        </w:rPr>
        <w:t>, 27</w:t>
      </w:r>
      <w:r w:rsidR="00AF7632">
        <w:rPr>
          <w:lang w:val="fr-FR"/>
        </w:rPr>
        <w:t>7</w:t>
      </w:r>
      <w:r w:rsidR="00402DEC" w:rsidRPr="00402DEC">
        <w:rPr>
          <w:lang w:val="fr-FR"/>
        </w:rPr>
        <w:t>, 27</w:t>
      </w:r>
      <w:r w:rsidR="00AF7632">
        <w:rPr>
          <w:lang w:val="fr-FR"/>
        </w:rPr>
        <w:t>8</w:t>
      </w:r>
      <w:r w:rsidR="00402DEC" w:rsidRPr="00402DEC">
        <w:rPr>
          <w:lang w:val="fr-FR"/>
        </w:rPr>
        <w:t>, 2</w:t>
      </w:r>
      <w:r w:rsidR="00AF7632">
        <w:rPr>
          <w:lang w:val="fr-FR"/>
        </w:rPr>
        <w:t>79</w:t>
      </w:r>
      <w:r w:rsidR="00402DEC" w:rsidRPr="00402DEC">
        <w:rPr>
          <w:lang w:val="fr-FR"/>
        </w:rPr>
        <w:t>, 28</w:t>
      </w:r>
      <w:r w:rsidR="00AF7632">
        <w:rPr>
          <w:lang w:val="fr-FR"/>
        </w:rPr>
        <w:t>0</w:t>
      </w:r>
      <w:r w:rsidR="00402DEC" w:rsidRPr="00402DEC">
        <w:rPr>
          <w:lang w:val="fr-FR"/>
        </w:rPr>
        <w:t>, 28</w:t>
      </w:r>
      <w:r w:rsidR="00AF7632">
        <w:rPr>
          <w:lang w:val="fr-FR"/>
        </w:rPr>
        <w:t>1</w:t>
      </w:r>
      <w:r w:rsidR="00402DEC" w:rsidRPr="00402DEC">
        <w:rPr>
          <w:lang w:val="fr-FR"/>
        </w:rPr>
        <w:t>, 28</w:t>
      </w:r>
      <w:r w:rsidR="00AF7632">
        <w:rPr>
          <w:lang w:val="fr-FR"/>
        </w:rPr>
        <w:t>2</w:t>
      </w:r>
      <w:r w:rsidR="00402DEC" w:rsidRPr="00402DEC">
        <w:rPr>
          <w:lang w:val="fr-FR"/>
        </w:rPr>
        <w:t>, 28</w:t>
      </w:r>
      <w:r w:rsidR="007A259D">
        <w:rPr>
          <w:lang w:val="fr-FR"/>
        </w:rPr>
        <w:t>3</w:t>
      </w:r>
      <w:r w:rsidR="00402DEC" w:rsidRPr="00402DEC">
        <w:rPr>
          <w:lang w:val="fr-FR"/>
        </w:rPr>
        <w:t>, 28</w:t>
      </w:r>
      <w:r w:rsidR="007A259D">
        <w:rPr>
          <w:lang w:val="fr-FR"/>
        </w:rPr>
        <w:t>4</w:t>
      </w:r>
      <w:r w:rsidR="00402DEC" w:rsidRPr="00402DEC">
        <w:rPr>
          <w:lang w:val="fr-FR"/>
        </w:rPr>
        <w:t>, 28</w:t>
      </w:r>
      <w:r w:rsidR="007A259D">
        <w:rPr>
          <w:lang w:val="fr-FR"/>
        </w:rPr>
        <w:t>5</w:t>
      </w:r>
      <w:r w:rsidR="00402DEC" w:rsidRPr="00402DEC">
        <w:rPr>
          <w:lang w:val="fr-FR"/>
        </w:rPr>
        <w:t>, 28</w:t>
      </w:r>
      <w:r w:rsidR="007A259D">
        <w:rPr>
          <w:lang w:val="fr-FR"/>
        </w:rPr>
        <w:t>6</w:t>
      </w:r>
      <w:r w:rsidR="00402DEC" w:rsidRPr="00402DEC">
        <w:rPr>
          <w:lang w:val="fr-FR"/>
        </w:rPr>
        <w:t>, 28</w:t>
      </w:r>
      <w:r w:rsidR="007A259D">
        <w:rPr>
          <w:lang w:val="fr-FR"/>
        </w:rPr>
        <w:t>7</w:t>
      </w:r>
      <w:r w:rsidR="00402DEC" w:rsidRPr="00402DEC">
        <w:rPr>
          <w:lang w:val="fr-FR"/>
        </w:rPr>
        <w:t>, 28</w:t>
      </w:r>
      <w:r w:rsidR="007A259D">
        <w:rPr>
          <w:lang w:val="fr-FR"/>
        </w:rPr>
        <w:t>8</w:t>
      </w:r>
      <w:r w:rsidR="00402DEC" w:rsidRPr="00402DEC">
        <w:rPr>
          <w:lang w:val="fr-FR"/>
        </w:rPr>
        <w:t>, 2</w:t>
      </w:r>
      <w:r w:rsidR="007A259D">
        <w:rPr>
          <w:lang w:val="fr-FR"/>
        </w:rPr>
        <w:t>89</w:t>
      </w:r>
      <w:r w:rsidR="00402DEC" w:rsidRPr="00402DEC">
        <w:rPr>
          <w:lang w:val="fr-FR"/>
        </w:rPr>
        <w:t>.</w:t>
      </w:r>
    </w:p>
    <w:p w14:paraId="12FB3B9F" w14:textId="36AA1265" w:rsidR="00402DEC" w:rsidRPr="00402DEC" w:rsidRDefault="006134EC" w:rsidP="00E573D6">
      <w:pPr>
        <w:pStyle w:val="HChG"/>
      </w:pPr>
      <w:r>
        <w:tab/>
      </w:r>
      <w:r w:rsidR="00E573D6">
        <w:t>II.</w:t>
      </w:r>
      <w:r>
        <w:tab/>
      </w:r>
      <w:r w:rsidR="00402DEC" w:rsidRPr="00402DEC">
        <w:t xml:space="preserve">Recommandations acceptées et considérées comme étant déjà mises en œuvre </w:t>
      </w:r>
    </w:p>
    <w:p w14:paraId="4B8B6471" w14:textId="54EF4930" w:rsidR="00402DEC" w:rsidRPr="00402DEC" w:rsidRDefault="006134EC" w:rsidP="006134EC">
      <w:pPr>
        <w:pStyle w:val="SingleTxtG"/>
        <w:rPr>
          <w:lang w:val="fr-FR"/>
        </w:rPr>
      </w:pPr>
      <w:r>
        <w:rPr>
          <w:lang w:val="fr-FR"/>
        </w:rPr>
        <w:t>7.</w:t>
      </w:r>
      <w:r>
        <w:rPr>
          <w:lang w:val="fr-FR"/>
        </w:rPr>
        <w:tab/>
      </w:r>
      <w:r w:rsidR="00402DEC" w:rsidRPr="00402DEC">
        <w:rPr>
          <w:u w:val="single"/>
          <w:lang w:val="fr-FR"/>
        </w:rPr>
        <w:t>Recommandation 25</w:t>
      </w:r>
      <w:r w:rsidR="00402DEC" w:rsidRPr="00402DEC">
        <w:rPr>
          <w:lang w:val="fr-FR"/>
        </w:rPr>
        <w:t> : L’Algérie coopère avec les organes conventionnels et les mécanismes du Conseil des droits de l’homme. Elle a adressé des invitations à plusieurs rapporteurs spéciaux</w:t>
      </w:r>
      <w:r>
        <w:rPr>
          <w:rStyle w:val="EndnoteReference"/>
        </w:rPr>
        <w:endnoteReference w:id="2"/>
      </w:r>
      <w:r w:rsidR="00402DEC" w:rsidRPr="00402DEC">
        <w:rPr>
          <w:lang w:val="fr-FR"/>
        </w:rPr>
        <w:t>.</w:t>
      </w:r>
    </w:p>
    <w:p w14:paraId="3723FAEC" w14:textId="5619BBB3" w:rsidR="00402DEC" w:rsidRPr="00402DEC" w:rsidRDefault="006134EC" w:rsidP="006134EC">
      <w:pPr>
        <w:pStyle w:val="SingleTxtG"/>
        <w:rPr>
          <w:lang w:val="fr-FR"/>
        </w:rPr>
      </w:pPr>
      <w:r>
        <w:rPr>
          <w:lang w:val="fr-FR"/>
        </w:rPr>
        <w:t>8.</w:t>
      </w:r>
      <w:r>
        <w:rPr>
          <w:lang w:val="fr-FR"/>
        </w:rPr>
        <w:tab/>
      </w:r>
      <w:r w:rsidR="00402DEC" w:rsidRPr="00402DEC">
        <w:rPr>
          <w:u w:val="single"/>
          <w:lang w:val="fr-FR"/>
        </w:rPr>
        <w:t xml:space="preserve">Recommandation </w:t>
      </w:r>
      <w:r w:rsidR="00402DEC" w:rsidRPr="00E573D6">
        <w:rPr>
          <w:u w:val="single"/>
          <w:lang w:val="fr-FR"/>
        </w:rPr>
        <w:t>37</w:t>
      </w:r>
      <w:r w:rsidR="00402DEC" w:rsidRPr="00402DEC">
        <w:rPr>
          <w:lang w:val="fr-FR"/>
        </w:rPr>
        <w:t> : L’élaboration des lois tient compte des traités ratifiés. Ce principe est observé de fait car les traités ratifiés sont supérieurs à la loi. La Cour constitutionnelle peut invalider la loi si elle n’est pas conforme aux traités ratifiés.</w:t>
      </w:r>
    </w:p>
    <w:p w14:paraId="02F5D159" w14:textId="6C8B0BFF" w:rsidR="00402DEC" w:rsidRPr="00402DEC" w:rsidRDefault="006134EC" w:rsidP="006134EC">
      <w:pPr>
        <w:pStyle w:val="SingleTxtG"/>
        <w:rPr>
          <w:lang w:val="fr-FR"/>
        </w:rPr>
      </w:pPr>
      <w:r>
        <w:rPr>
          <w:lang w:val="fr-FR"/>
        </w:rPr>
        <w:t>9.</w:t>
      </w:r>
      <w:r>
        <w:rPr>
          <w:lang w:val="fr-FR"/>
        </w:rPr>
        <w:tab/>
      </w:r>
      <w:r w:rsidR="00402DEC" w:rsidRPr="00402DEC">
        <w:rPr>
          <w:u w:val="single"/>
          <w:lang w:val="fr-FR"/>
        </w:rPr>
        <w:t>Recommandation 57</w:t>
      </w:r>
      <w:r w:rsidR="00402DEC" w:rsidRPr="00E573D6">
        <w:rPr>
          <w:lang w:val="fr-FR"/>
        </w:rPr>
        <w:t> </w:t>
      </w:r>
      <w:r w:rsidR="00402DEC" w:rsidRPr="00402DEC">
        <w:rPr>
          <w:lang w:val="fr-FR"/>
        </w:rPr>
        <w:t>: Voir réponse à la recommandation 40.</w:t>
      </w:r>
    </w:p>
    <w:p w14:paraId="0E3F7523" w14:textId="46C755D6" w:rsidR="00402DEC" w:rsidRPr="00402DEC" w:rsidRDefault="006134EC" w:rsidP="006134EC">
      <w:pPr>
        <w:pStyle w:val="SingleTxtG"/>
        <w:rPr>
          <w:lang w:val="fr-FR"/>
        </w:rPr>
      </w:pPr>
      <w:r>
        <w:rPr>
          <w:lang w:val="fr-FR"/>
        </w:rPr>
        <w:t>10.</w:t>
      </w:r>
      <w:r>
        <w:rPr>
          <w:lang w:val="fr-FR"/>
        </w:rPr>
        <w:tab/>
      </w:r>
      <w:r w:rsidR="00402DEC" w:rsidRPr="00402DEC">
        <w:rPr>
          <w:u w:val="single"/>
          <w:lang w:val="fr-FR"/>
        </w:rPr>
        <w:t>Recommandations 60 et 194</w:t>
      </w:r>
      <w:r w:rsidR="00402DEC" w:rsidRPr="00E573D6">
        <w:rPr>
          <w:lang w:val="fr-FR"/>
        </w:rPr>
        <w:t> </w:t>
      </w:r>
      <w:r w:rsidR="00402DEC" w:rsidRPr="00402DEC">
        <w:rPr>
          <w:lang w:val="fr-FR"/>
        </w:rPr>
        <w:t>: La politique sociale de l’État donne les mêmes opportunités et avantages à tous les citoyens</w:t>
      </w:r>
      <w:r>
        <w:rPr>
          <w:rStyle w:val="EndnoteReference"/>
        </w:rPr>
        <w:endnoteReference w:id="3"/>
      </w:r>
      <w:r w:rsidR="00402DEC" w:rsidRPr="00402DEC">
        <w:rPr>
          <w:lang w:val="fr-FR"/>
        </w:rPr>
        <w:t>.</w:t>
      </w:r>
    </w:p>
    <w:p w14:paraId="6D969D88" w14:textId="3CCF8A1D" w:rsidR="00402DEC" w:rsidRPr="00402DEC" w:rsidRDefault="006134EC" w:rsidP="006134EC">
      <w:pPr>
        <w:pStyle w:val="SingleTxtG"/>
        <w:rPr>
          <w:lang w:val="fr-FR"/>
        </w:rPr>
      </w:pPr>
      <w:r>
        <w:rPr>
          <w:lang w:val="fr-FR"/>
        </w:rPr>
        <w:t>11.</w:t>
      </w:r>
      <w:r>
        <w:rPr>
          <w:lang w:val="fr-FR"/>
        </w:rPr>
        <w:tab/>
      </w:r>
      <w:r w:rsidR="00402DEC" w:rsidRPr="00402DEC">
        <w:rPr>
          <w:u w:val="single"/>
          <w:lang w:val="fr-FR"/>
        </w:rPr>
        <w:t>Recommandation 61</w:t>
      </w:r>
      <w:r w:rsidR="00402DEC" w:rsidRPr="00402DEC">
        <w:rPr>
          <w:lang w:val="fr-FR"/>
        </w:rPr>
        <w:t> : Un cadre juridique régit les aspects liés au discours de haine. Il a été consolidé par la promulgation de la loi n°20-05 du 28/04/2020 relative à la prévention et à la lutte contre la discrimination et le discours de haine qui a créé l'Observatoire National de suivi des actes de discrimination et des discours de haine auprès du Président de la République.</w:t>
      </w:r>
    </w:p>
    <w:p w14:paraId="49E61F14" w14:textId="290F46D6" w:rsidR="00402DEC" w:rsidRPr="00402DEC" w:rsidRDefault="006134EC" w:rsidP="006134EC">
      <w:pPr>
        <w:pStyle w:val="SingleTxtG"/>
        <w:rPr>
          <w:lang w:val="fr-FR"/>
        </w:rPr>
      </w:pPr>
      <w:r>
        <w:rPr>
          <w:lang w:val="fr-FR"/>
        </w:rPr>
        <w:t>12.</w:t>
      </w:r>
      <w:r>
        <w:rPr>
          <w:lang w:val="fr-FR"/>
        </w:rPr>
        <w:tab/>
      </w:r>
      <w:r w:rsidR="00402DEC" w:rsidRPr="00402DEC">
        <w:rPr>
          <w:u w:val="single"/>
          <w:lang w:val="fr-FR"/>
        </w:rPr>
        <w:t>Recommandations 72, 75, 93</w:t>
      </w:r>
      <w:r w:rsidR="00402DEC" w:rsidRPr="00E573D6">
        <w:rPr>
          <w:lang w:val="fr-FR"/>
        </w:rPr>
        <w:t> </w:t>
      </w:r>
      <w:r w:rsidR="00402DEC" w:rsidRPr="00402DEC">
        <w:rPr>
          <w:lang w:val="fr-FR"/>
        </w:rPr>
        <w:t>: Nul ne peut être arrêté sauf en cas de preuves de son implication dans un crime ou un délit puni d’une peine privative de liberté. Les droits des gardés à vue sont garantis par la loi. Le procureur de la république est chargé de contrôler la légalité des mesures prises en matière de garde à vue, notamment, par des visites inopinées.</w:t>
      </w:r>
    </w:p>
    <w:p w14:paraId="550D2FD1" w14:textId="54E7CC5C" w:rsidR="00402DEC" w:rsidRPr="00402DEC" w:rsidRDefault="00E573D6" w:rsidP="006134EC">
      <w:pPr>
        <w:pStyle w:val="SingleTxtG"/>
        <w:rPr>
          <w:lang w:val="fr-FR"/>
        </w:rPr>
      </w:pPr>
      <w:r>
        <w:rPr>
          <w:lang w:val="fr-FR"/>
        </w:rPr>
        <w:t>13.</w:t>
      </w:r>
      <w:r>
        <w:rPr>
          <w:lang w:val="fr-FR"/>
        </w:rPr>
        <w:tab/>
      </w:r>
      <w:r w:rsidR="00402DEC" w:rsidRPr="00402DEC">
        <w:rPr>
          <w:u w:val="single"/>
          <w:lang w:val="fr-FR"/>
        </w:rPr>
        <w:t>Recommandations 76, 77</w:t>
      </w:r>
      <w:r w:rsidR="00402DEC" w:rsidRPr="00402DEC">
        <w:rPr>
          <w:lang w:val="fr-FR"/>
        </w:rPr>
        <w:t xml:space="preserve"> : La Constitution et les lois garantissent le droit à la vie et à l'intégrité physique des personnes. Ainsi l'article 263 bis2 du code pénal punit sévèrement </w:t>
      </w:r>
      <w:r w:rsidR="00402DEC" w:rsidRPr="00402DEC">
        <w:rPr>
          <w:lang w:val="fr-FR"/>
        </w:rPr>
        <w:lastRenderedPageBreak/>
        <w:t>tout fonctionnaire qui pratique, incite ou ordonne la pratique de la torture, en vue d'obtenir des aveux et des informations ou pour toute autre raison. La peine d’emprisonnement peut atteindre vingt ans de réclusion.</w:t>
      </w:r>
    </w:p>
    <w:p w14:paraId="1E178632" w14:textId="669F83F5" w:rsidR="00402DEC" w:rsidRPr="00402DEC" w:rsidRDefault="00E573D6" w:rsidP="006134EC">
      <w:pPr>
        <w:pStyle w:val="SingleTxtG"/>
        <w:rPr>
          <w:lang w:val="fr-FR"/>
        </w:rPr>
      </w:pPr>
      <w:r>
        <w:rPr>
          <w:lang w:val="fr-FR"/>
        </w:rPr>
        <w:t>14.</w:t>
      </w:r>
      <w:r>
        <w:rPr>
          <w:lang w:val="fr-FR"/>
        </w:rPr>
        <w:tab/>
      </w:r>
      <w:r w:rsidR="00402DEC" w:rsidRPr="00402DEC">
        <w:rPr>
          <w:u w:val="single"/>
          <w:lang w:val="fr-FR"/>
        </w:rPr>
        <w:t>Recommandations 83, 86</w:t>
      </w:r>
      <w:r w:rsidR="00402DEC" w:rsidRPr="00402DEC">
        <w:rPr>
          <w:lang w:val="fr-FR"/>
        </w:rPr>
        <w:t> : L’article 87bis du Code pénal est conforme aux résolutions 1566, 1617 et 2368 du Conseil de sécurité, qui a énuméré les actes terroristes comme ceux commis par Al-Qaïda, les talibans et l'État islamique, considérant que « ces actes ne peuvent en aucune manière être justifiés par des considérations d'ordre politique, philosophique, idéologique, de nature raciale ou ethnique, religieuse ou de toute autre nature » ce qui laisse aux États le pouvoir discrétionnaire de qualifier les actes terroristes selon leur mobile.</w:t>
      </w:r>
    </w:p>
    <w:p w14:paraId="69EADF74" w14:textId="0AA50AFC" w:rsidR="00402DEC" w:rsidRPr="00402DEC" w:rsidRDefault="00E573D6" w:rsidP="006134EC">
      <w:pPr>
        <w:pStyle w:val="SingleTxtG"/>
        <w:rPr>
          <w:lang w:val="fr-FR"/>
        </w:rPr>
      </w:pPr>
      <w:r>
        <w:rPr>
          <w:lang w:val="fr-FR"/>
        </w:rPr>
        <w:t>15.</w:t>
      </w:r>
      <w:r>
        <w:rPr>
          <w:lang w:val="fr-FR"/>
        </w:rPr>
        <w:tab/>
      </w:r>
      <w:r w:rsidR="00402DEC" w:rsidRPr="00402DEC">
        <w:rPr>
          <w:u w:val="single"/>
          <w:lang w:val="fr-FR"/>
        </w:rPr>
        <w:t xml:space="preserve">Recommandation </w:t>
      </w:r>
      <w:r w:rsidR="00402DEC" w:rsidRPr="00E573D6">
        <w:rPr>
          <w:u w:val="single"/>
          <w:lang w:val="fr-FR"/>
        </w:rPr>
        <w:t>94</w:t>
      </w:r>
      <w:r w:rsidR="00402DEC" w:rsidRPr="00402DEC">
        <w:rPr>
          <w:lang w:val="fr-FR"/>
        </w:rPr>
        <w:t> : Conformément aux dispositions des articles 123 à 125 bis2 du code pénal, la détention provisoire est une mesure exceptionnelle soumise au pouvoir discrétionnaire du juge et est susceptible de voies de recours.</w:t>
      </w:r>
    </w:p>
    <w:p w14:paraId="66EA0797" w14:textId="11B0170C" w:rsidR="00402DEC" w:rsidRPr="00402DEC" w:rsidRDefault="00E573D6" w:rsidP="006134EC">
      <w:pPr>
        <w:pStyle w:val="SingleTxtG"/>
        <w:rPr>
          <w:lang w:val="fr-FR"/>
        </w:rPr>
      </w:pPr>
      <w:r>
        <w:rPr>
          <w:lang w:val="fr-FR"/>
        </w:rPr>
        <w:t>16.</w:t>
      </w:r>
      <w:r>
        <w:rPr>
          <w:lang w:val="fr-FR"/>
        </w:rPr>
        <w:tab/>
      </w:r>
      <w:r w:rsidR="00402DEC" w:rsidRPr="00402DEC">
        <w:rPr>
          <w:u w:val="single"/>
          <w:lang w:val="fr-FR"/>
        </w:rPr>
        <w:t>Recommandations 95</w:t>
      </w:r>
      <w:r w:rsidR="00402DEC" w:rsidRPr="00E573D6">
        <w:rPr>
          <w:lang w:val="fr-FR"/>
        </w:rPr>
        <w:t> </w:t>
      </w:r>
      <w:r w:rsidR="00402DEC" w:rsidRPr="00402DEC">
        <w:rPr>
          <w:lang w:val="fr-FR"/>
        </w:rPr>
        <w:t>: L’indépendance de la justice a été constitutionnalisée et la loi organique relative au Conseil supérieur de la magistrature révisée. Il est composé majoritairement de magistrats et est chargé de la gestion des carrières des magistrats sans immixtion du pouvoir exécutif. Pour renforcer davantage l’indépendance de la justice, la révision du statut de la magistrature est en cours afin de protéger le magistrat contre toute contrainte.</w:t>
      </w:r>
    </w:p>
    <w:p w14:paraId="0B503579" w14:textId="5BEFE0D8" w:rsidR="00402DEC" w:rsidRPr="00402DEC" w:rsidRDefault="00E573D6" w:rsidP="006134EC">
      <w:pPr>
        <w:pStyle w:val="SingleTxtG"/>
        <w:rPr>
          <w:lang w:val="fr-FR"/>
        </w:rPr>
      </w:pPr>
      <w:r>
        <w:rPr>
          <w:lang w:val="fr-FR"/>
        </w:rPr>
        <w:t>17.</w:t>
      </w:r>
      <w:r>
        <w:rPr>
          <w:lang w:val="fr-FR"/>
        </w:rPr>
        <w:tab/>
      </w:r>
      <w:r w:rsidR="00402DEC" w:rsidRPr="00402DEC">
        <w:rPr>
          <w:u w:val="single"/>
          <w:lang w:val="fr-FR"/>
        </w:rPr>
        <w:t>Recommandations 103, 107, 113, 114, 115, 116, 132, 111, 118, 119, 120, 134, 136, 139</w:t>
      </w:r>
      <w:r w:rsidR="00402DEC" w:rsidRPr="00E573D6">
        <w:rPr>
          <w:lang w:val="fr-FR"/>
        </w:rPr>
        <w:t> </w:t>
      </w:r>
      <w:r w:rsidR="00402DEC" w:rsidRPr="00402DEC">
        <w:rPr>
          <w:lang w:val="fr-FR"/>
        </w:rPr>
        <w:t>:</w:t>
      </w:r>
      <w:r>
        <w:rPr>
          <w:lang w:val="fr-FR"/>
        </w:rPr>
        <w:t xml:space="preserve"> </w:t>
      </w:r>
      <w:r w:rsidR="00402DEC" w:rsidRPr="00402DEC">
        <w:rPr>
          <w:lang w:val="fr-FR"/>
        </w:rPr>
        <w:t>L’exercice de la liberté d'expression et d'opinion, de réunion et de religion est consacré par la Constitution. La loi incrimine tous les actes portant atteinte au respect des droits ou de la réputation d'autrui, à la sauvegarde de la sécurité nationale, de l'ordre public, de la santé ou de la moralité publiques, et ce conformément aux dispositions de l’article 19 du ICCPR. Les peines applicables aux violations commises dans le cadre de l'activité des journalistes se limitent aux seules sanctions pécuniaires.</w:t>
      </w:r>
    </w:p>
    <w:p w14:paraId="2FEF10A2" w14:textId="6E0FDDC8" w:rsidR="00402DEC" w:rsidRPr="00402DEC" w:rsidRDefault="00E573D6" w:rsidP="006134EC">
      <w:pPr>
        <w:pStyle w:val="SingleTxtG"/>
        <w:rPr>
          <w:lang w:val="fr-FR"/>
        </w:rPr>
      </w:pPr>
      <w:r>
        <w:rPr>
          <w:lang w:val="fr-FR"/>
        </w:rPr>
        <w:t>18.</w:t>
      </w:r>
      <w:r>
        <w:rPr>
          <w:lang w:val="fr-FR"/>
        </w:rPr>
        <w:tab/>
      </w:r>
      <w:r w:rsidR="00402DEC" w:rsidRPr="00402DEC">
        <w:rPr>
          <w:u w:val="single"/>
          <w:lang w:val="fr-FR"/>
        </w:rPr>
        <w:t>Recommandation 58, 125, 126, 127, 140</w:t>
      </w:r>
      <w:r w:rsidR="00402DEC" w:rsidRPr="00E573D6">
        <w:rPr>
          <w:lang w:val="fr-FR"/>
        </w:rPr>
        <w:t> </w:t>
      </w:r>
      <w:r w:rsidR="00402DEC" w:rsidRPr="00402DEC">
        <w:rPr>
          <w:lang w:val="fr-FR"/>
        </w:rPr>
        <w:t>:</w:t>
      </w:r>
      <w:r>
        <w:rPr>
          <w:lang w:val="fr-FR"/>
        </w:rPr>
        <w:t xml:space="preserve"> </w:t>
      </w:r>
      <w:r w:rsidR="00402DEC" w:rsidRPr="00402DEC">
        <w:rPr>
          <w:lang w:val="fr-FR"/>
        </w:rPr>
        <w:t>La Constitution garantit les libertés d’opinion et de culte qui s’exerce dans le respect de la loi. Quant à la liberté de pratiquer des cultes autres que le culte musulman, elle est régie par l'ordonnance n°06-03 du 28/02/2006 fixant les conditions et les règles d'exercice des cultes religieux pour les non musulmans, qui comprend les mêmes dispositions applicables à la pratique de la religion islamique.</w:t>
      </w:r>
    </w:p>
    <w:p w14:paraId="07BA3816" w14:textId="71E510A8" w:rsidR="00402DEC" w:rsidRPr="00402DEC" w:rsidRDefault="00E573D6" w:rsidP="006134EC">
      <w:pPr>
        <w:pStyle w:val="SingleTxtG"/>
        <w:rPr>
          <w:lang w:val="fr-FR"/>
        </w:rPr>
      </w:pPr>
      <w:r>
        <w:rPr>
          <w:lang w:val="fr-FR"/>
        </w:rPr>
        <w:t>19.</w:t>
      </w:r>
      <w:r>
        <w:rPr>
          <w:lang w:val="fr-FR"/>
        </w:rPr>
        <w:tab/>
      </w:r>
      <w:r w:rsidR="00402DEC" w:rsidRPr="00402DEC">
        <w:rPr>
          <w:u w:val="single"/>
          <w:lang w:val="fr-FR"/>
        </w:rPr>
        <w:t xml:space="preserve">Recommandation </w:t>
      </w:r>
      <w:r w:rsidR="00402DEC" w:rsidRPr="00E573D6">
        <w:rPr>
          <w:u w:val="single"/>
          <w:lang w:val="fr-FR"/>
        </w:rPr>
        <w:t>162</w:t>
      </w:r>
      <w:r w:rsidR="00402DEC" w:rsidRPr="00402DEC">
        <w:rPr>
          <w:lang w:val="fr-FR"/>
        </w:rPr>
        <w:t> : Un projet de loi spécifique à la prévention et à la lutte contre la traite des personnes, en phase de finalisation, prévoit la réparation du préjudice subi par les victimes et leur prise en charge sur le plan sanitaire, psychologique et social, la prévention de tels actes et l’aggravation des peines des infractions y afférentes.</w:t>
      </w:r>
    </w:p>
    <w:p w14:paraId="240BB722" w14:textId="73CABBDC" w:rsidR="00402DEC" w:rsidRPr="00402DEC" w:rsidRDefault="00E573D6" w:rsidP="006134EC">
      <w:pPr>
        <w:pStyle w:val="SingleTxtG"/>
        <w:rPr>
          <w:lang w:val="fr-FR"/>
        </w:rPr>
      </w:pPr>
      <w:r>
        <w:rPr>
          <w:lang w:val="fr-FR"/>
        </w:rPr>
        <w:t>20.</w:t>
      </w:r>
      <w:r>
        <w:rPr>
          <w:lang w:val="fr-FR"/>
        </w:rPr>
        <w:tab/>
      </w:r>
      <w:r w:rsidR="00402DEC" w:rsidRPr="00402DEC">
        <w:rPr>
          <w:u w:val="single"/>
          <w:lang w:val="fr-FR"/>
        </w:rPr>
        <w:t xml:space="preserve">Recommandations 172, </w:t>
      </w:r>
      <w:r w:rsidR="00402DEC" w:rsidRPr="00196D87">
        <w:rPr>
          <w:u w:val="single"/>
          <w:lang w:val="fr-FR"/>
        </w:rPr>
        <w:t>185</w:t>
      </w:r>
      <w:r w:rsidR="00402DEC" w:rsidRPr="00E573D6">
        <w:rPr>
          <w:lang w:val="fr-FR"/>
        </w:rPr>
        <w:t> </w:t>
      </w:r>
      <w:r w:rsidR="00402DEC" w:rsidRPr="00402DEC">
        <w:rPr>
          <w:lang w:val="fr-FR"/>
        </w:rPr>
        <w:t>: Le droit à la santé est consacré par la Constitution. La gratuité des soins est garantie par la loi. La loi sanitaire de 2018 oblige le signalement des violences faites aux femmes.</w:t>
      </w:r>
    </w:p>
    <w:p w14:paraId="120309E4" w14:textId="324DBE66" w:rsidR="00402DEC" w:rsidRPr="00402DEC" w:rsidRDefault="00E573D6" w:rsidP="006134EC">
      <w:pPr>
        <w:pStyle w:val="SingleTxtG"/>
        <w:rPr>
          <w:lang w:val="fr-FR"/>
        </w:rPr>
      </w:pPr>
      <w:r>
        <w:rPr>
          <w:lang w:val="fr-FR"/>
        </w:rPr>
        <w:t>21.</w:t>
      </w:r>
      <w:r>
        <w:rPr>
          <w:lang w:val="fr-FR"/>
        </w:rPr>
        <w:tab/>
      </w:r>
      <w:r w:rsidR="00402DEC" w:rsidRPr="00402DEC">
        <w:rPr>
          <w:u w:val="single"/>
          <w:lang w:val="fr-FR"/>
        </w:rPr>
        <w:t>Recommandation 207</w:t>
      </w:r>
      <w:r w:rsidR="00402DEC" w:rsidRPr="00E573D6">
        <w:rPr>
          <w:lang w:val="fr-FR"/>
        </w:rPr>
        <w:t> </w:t>
      </w:r>
      <w:r w:rsidR="00402DEC" w:rsidRPr="00402DEC">
        <w:rPr>
          <w:lang w:val="fr-FR"/>
        </w:rPr>
        <w:t>: L’État mobilise tous ses moyens pour réaliser ce processus, améliorant chaque année les critères d’accès. Il soutient tous les efforts visant à mettre en œuvre le droit des personnes handicapées à vivre de manière indépendante et intégrée dans la société.</w:t>
      </w:r>
    </w:p>
    <w:p w14:paraId="0C16D69C" w14:textId="2C9C0839" w:rsidR="00402DEC" w:rsidRPr="00402DEC" w:rsidRDefault="00E573D6" w:rsidP="006134EC">
      <w:pPr>
        <w:pStyle w:val="SingleTxtG"/>
        <w:rPr>
          <w:lang w:val="fr-FR"/>
        </w:rPr>
      </w:pPr>
      <w:r>
        <w:rPr>
          <w:lang w:val="fr-FR"/>
        </w:rPr>
        <w:t>22.</w:t>
      </w:r>
      <w:r>
        <w:rPr>
          <w:lang w:val="fr-FR"/>
        </w:rPr>
        <w:tab/>
      </w:r>
      <w:r w:rsidR="00402DEC" w:rsidRPr="00402DEC">
        <w:rPr>
          <w:lang w:val="fr-FR"/>
        </w:rPr>
        <w:t>L'action de l’État en matière de droits des enfants handicapés dans les politiques et les stratégies nationales reposent sur une évaluation continue de leurs besoins et attentes, pour prévenir la précarité et l’exclusion. La loi 15-12 du 15 juillet 2015 relative à la protection de l'enfant combine la protection sociale et la protection judiciaire pour les enfants en difficulté ou en danger.</w:t>
      </w:r>
    </w:p>
    <w:p w14:paraId="5873320F" w14:textId="7C11B12E" w:rsidR="00402DEC" w:rsidRPr="00402DEC" w:rsidRDefault="00E573D6" w:rsidP="006134EC">
      <w:pPr>
        <w:pStyle w:val="SingleTxtG"/>
        <w:rPr>
          <w:lang w:val="fr-FR"/>
        </w:rPr>
      </w:pPr>
      <w:r>
        <w:rPr>
          <w:lang w:val="fr-FR"/>
        </w:rPr>
        <w:t>23.</w:t>
      </w:r>
      <w:r>
        <w:rPr>
          <w:lang w:val="fr-FR"/>
        </w:rPr>
        <w:tab/>
      </w:r>
      <w:r w:rsidR="00402DEC" w:rsidRPr="00402DEC">
        <w:rPr>
          <w:lang w:val="fr-FR"/>
        </w:rPr>
        <w:t>L'éducation des enfants handicapés est assurée dans des établissements d’éducation et d'enseignement spécialisés relevant du secteur de la solidarité nationale et dans des classes spéciales ouvertes dans les établissements relevant du secteur de l’éducation nationale. L’éducation et l’enseignement spécialisés sont assurés via des moyens pédagogiques et techniques appropriés à chaque type de handicap (moteur, mental, visuel et auditif). Voir réponse à la recommandation 26</w:t>
      </w:r>
      <w:r w:rsidR="006F41F2">
        <w:rPr>
          <w:lang w:val="fr-FR"/>
        </w:rPr>
        <w:t>3</w:t>
      </w:r>
      <w:r w:rsidR="00402DEC" w:rsidRPr="00402DEC">
        <w:rPr>
          <w:lang w:val="fr-FR"/>
        </w:rPr>
        <w:t>.</w:t>
      </w:r>
    </w:p>
    <w:p w14:paraId="7AE27153" w14:textId="3CBFCB99" w:rsidR="00402DEC" w:rsidRPr="00402DEC" w:rsidRDefault="00E573D6" w:rsidP="006134EC">
      <w:pPr>
        <w:pStyle w:val="SingleTxtG"/>
        <w:rPr>
          <w:u w:val="single"/>
          <w:lang w:val="fr-FR"/>
        </w:rPr>
      </w:pPr>
      <w:r>
        <w:rPr>
          <w:lang w:val="fr-FR"/>
        </w:rPr>
        <w:t>24.</w:t>
      </w:r>
      <w:r>
        <w:rPr>
          <w:lang w:val="fr-FR"/>
        </w:rPr>
        <w:tab/>
      </w:r>
      <w:r w:rsidR="00402DEC" w:rsidRPr="00402DEC">
        <w:rPr>
          <w:u w:val="single"/>
          <w:lang w:val="fr-FR"/>
        </w:rPr>
        <w:t>Recommandation</w:t>
      </w:r>
      <w:r w:rsidR="00196D87">
        <w:rPr>
          <w:u w:val="single"/>
          <w:lang w:val="fr-FR"/>
        </w:rPr>
        <w:t xml:space="preserve"> </w:t>
      </w:r>
      <w:r w:rsidR="00402DEC" w:rsidRPr="00196D87">
        <w:rPr>
          <w:u w:val="single"/>
          <w:lang w:val="fr-FR"/>
        </w:rPr>
        <w:t>197</w:t>
      </w:r>
      <w:r w:rsidR="00402DEC" w:rsidRPr="00E573D6">
        <w:rPr>
          <w:lang w:val="fr-FR"/>
        </w:rPr>
        <w:t> </w:t>
      </w:r>
      <w:r w:rsidR="00402DEC" w:rsidRPr="00402DEC">
        <w:rPr>
          <w:lang w:val="fr-FR"/>
        </w:rPr>
        <w:t>: L’Algérie mène des programmes de formation et de sensibilisation aux droits de l’homme à tous les fonctionnaires et agents de l’Etat concernés.</w:t>
      </w:r>
    </w:p>
    <w:p w14:paraId="332CD26D" w14:textId="6AF2D0DC" w:rsidR="00402DEC" w:rsidRPr="00402DEC" w:rsidRDefault="00E573D6" w:rsidP="006134EC">
      <w:pPr>
        <w:pStyle w:val="SingleTxtG"/>
        <w:rPr>
          <w:u w:val="single"/>
          <w:lang w:val="fr-FR"/>
        </w:rPr>
      </w:pPr>
      <w:r>
        <w:rPr>
          <w:lang w:val="fr-FR"/>
        </w:rPr>
        <w:lastRenderedPageBreak/>
        <w:t>25.</w:t>
      </w:r>
      <w:r>
        <w:rPr>
          <w:lang w:val="fr-FR"/>
        </w:rPr>
        <w:tab/>
      </w:r>
      <w:r w:rsidR="00402DEC" w:rsidRPr="00182318">
        <w:rPr>
          <w:u w:val="single"/>
          <w:lang w:val="fr-FR"/>
        </w:rPr>
        <w:t xml:space="preserve">Recommandation </w:t>
      </w:r>
      <w:r w:rsidR="006F41F2" w:rsidRPr="00461F48">
        <w:rPr>
          <w:u w:val="single"/>
          <w:lang w:val="fr-FR"/>
        </w:rPr>
        <w:t>219</w:t>
      </w:r>
      <w:r w:rsidR="00402DEC" w:rsidRPr="00182318">
        <w:rPr>
          <w:lang w:val="fr-FR"/>
        </w:rPr>
        <w:t> : Les principes d’égalité entre les femmes et les hommes et la non-discrimination sont consacrés par la Constitution. Plusieurs acquis ont été obtenus dans tous les domaines politique, économique et social. L’Algérie reste engagée et déterminée à les renforcer et promouvoir.</w:t>
      </w:r>
    </w:p>
    <w:p w14:paraId="3B4BC21D" w14:textId="12FB2604" w:rsidR="00402DEC" w:rsidRPr="00402DEC" w:rsidRDefault="00E573D6" w:rsidP="006134EC">
      <w:pPr>
        <w:pStyle w:val="SingleTxtG"/>
        <w:rPr>
          <w:u w:val="single"/>
          <w:lang w:val="fr-FR"/>
        </w:rPr>
      </w:pPr>
      <w:r>
        <w:rPr>
          <w:lang w:val="fr-FR"/>
        </w:rPr>
        <w:t>26.</w:t>
      </w:r>
      <w:r>
        <w:rPr>
          <w:lang w:val="fr-FR"/>
        </w:rPr>
        <w:tab/>
      </w:r>
      <w:r w:rsidR="00402DEC" w:rsidRPr="00402DEC">
        <w:rPr>
          <w:u w:val="single"/>
          <w:lang w:val="fr-FR"/>
        </w:rPr>
        <w:t xml:space="preserve">Recommandations </w:t>
      </w:r>
      <w:r w:rsidR="00402DEC" w:rsidRPr="00196D87">
        <w:rPr>
          <w:u w:val="single"/>
          <w:lang w:val="fr-FR"/>
        </w:rPr>
        <w:t>218</w:t>
      </w:r>
      <w:r w:rsidR="00402DEC" w:rsidRPr="00402DEC">
        <w:rPr>
          <w:u w:val="single"/>
          <w:lang w:val="fr-FR"/>
        </w:rPr>
        <w:t>, 228, 23</w:t>
      </w:r>
      <w:r w:rsidR="007A259D">
        <w:rPr>
          <w:u w:val="single"/>
          <w:lang w:val="fr-FR"/>
        </w:rPr>
        <w:t>7</w:t>
      </w:r>
      <w:r w:rsidR="00402DEC" w:rsidRPr="00402DEC">
        <w:rPr>
          <w:u w:val="single"/>
          <w:lang w:val="fr-FR"/>
        </w:rPr>
        <w:t>, 24</w:t>
      </w:r>
      <w:r w:rsidR="007A259D">
        <w:rPr>
          <w:u w:val="single"/>
          <w:lang w:val="fr-FR"/>
        </w:rPr>
        <w:t>5</w:t>
      </w:r>
      <w:r w:rsidR="00402DEC" w:rsidRPr="00402DEC">
        <w:rPr>
          <w:u w:val="single"/>
          <w:lang w:val="fr-FR"/>
        </w:rPr>
        <w:t>, 24</w:t>
      </w:r>
      <w:r w:rsidR="007A259D">
        <w:rPr>
          <w:u w:val="single"/>
          <w:lang w:val="fr-FR"/>
        </w:rPr>
        <w:t>6</w:t>
      </w:r>
      <w:r w:rsidR="00402DEC" w:rsidRPr="00402DEC">
        <w:rPr>
          <w:u w:val="single"/>
          <w:lang w:val="fr-FR"/>
        </w:rPr>
        <w:t>, 24</w:t>
      </w:r>
      <w:r w:rsidR="007A259D">
        <w:rPr>
          <w:u w:val="single"/>
          <w:lang w:val="fr-FR"/>
        </w:rPr>
        <w:t>7</w:t>
      </w:r>
      <w:r w:rsidR="00402DEC" w:rsidRPr="00402DEC">
        <w:rPr>
          <w:u w:val="single"/>
          <w:lang w:val="fr-FR"/>
        </w:rPr>
        <w:t>, 2</w:t>
      </w:r>
      <w:r w:rsidR="007A259D">
        <w:rPr>
          <w:u w:val="single"/>
          <w:lang w:val="fr-FR"/>
        </w:rPr>
        <w:t>49</w:t>
      </w:r>
      <w:r w:rsidR="00402DEC" w:rsidRPr="00402DEC">
        <w:rPr>
          <w:u w:val="single"/>
          <w:lang w:val="fr-FR"/>
        </w:rPr>
        <w:t>, 25</w:t>
      </w:r>
      <w:r w:rsidR="007A259D">
        <w:rPr>
          <w:u w:val="single"/>
          <w:lang w:val="fr-FR"/>
        </w:rPr>
        <w:t>0</w:t>
      </w:r>
      <w:r w:rsidR="00402DEC" w:rsidRPr="00402DEC">
        <w:rPr>
          <w:u w:val="single"/>
          <w:lang w:val="fr-FR"/>
        </w:rPr>
        <w:t>, 25</w:t>
      </w:r>
      <w:r w:rsidR="007A259D">
        <w:rPr>
          <w:u w:val="single"/>
          <w:lang w:val="fr-FR"/>
        </w:rPr>
        <w:t>4</w:t>
      </w:r>
      <w:r w:rsidR="00402DEC" w:rsidRPr="00E573D6">
        <w:rPr>
          <w:lang w:val="fr-FR"/>
        </w:rPr>
        <w:t> </w:t>
      </w:r>
      <w:r w:rsidR="00402DEC" w:rsidRPr="00402DEC">
        <w:rPr>
          <w:lang w:val="fr-FR"/>
        </w:rPr>
        <w:t>: La Constitution garantit la protection de la femme contre toutes formes de violence en tous lieux et en toute circonstance dans l’espace public, dans la sphère professionnelle et dans la sphère privée. Les femmes en difficulté sociale et victimes de violence sont prises en charge par des mécanismes mis à cet effet.</w:t>
      </w:r>
    </w:p>
    <w:p w14:paraId="35FAAD63" w14:textId="4D7AB935" w:rsidR="00402DEC" w:rsidRPr="00402DEC" w:rsidRDefault="00E573D6" w:rsidP="006134EC">
      <w:pPr>
        <w:pStyle w:val="SingleTxtG"/>
        <w:rPr>
          <w:u w:val="single"/>
          <w:lang w:val="fr-FR"/>
        </w:rPr>
      </w:pPr>
      <w:r>
        <w:rPr>
          <w:lang w:val="fr-FR"/>
        </w:rPr>
        <w:t>27.</w:t>
      </w:r>
      <w:r>
        <w:rPr>
          <w:lang w:val="fr-FR"/>
        </w:rPr>
        <w:tab/>
      </w:r>
      <w:r w:rsidR="00402DEC" w:rsidRPr="00402DEC">
        <w:rPr>
          <w:u w:val="single"/>
          <w:lang w:val="fr-FR"/>
        </w:rPr>
        <w:t>Recommandations 2</w:t>
      </w:r>
      <w:r w:rsidR="007A259D">
        <w:rPr>
          <w:u w:val="single"/>
          <w:lang w:val="fr-FR"/>
        </w:rPr>
        <w:t>59</w:t>
      </w:r>
      <w:r w:rsidR="00402DEC" w:rsidRPr="00402DEC">
        <w:rPr>
          <w:u w:val="single"/>
          <w:lang w:val="fr-FR"/>
        </w:rPr>
        <w:t>, 26</w:t>
      </w:r>
      <w:r w:rsidR="007A259D">
        <w:rPr>
          <w:u w:val="single"/>
          <w:lang w:val="fr-FR"/>
        </w:rPr>
        <w:t>1</w:t>
      </w:r>
      <w:r w:rsidR="00402DEC" w:rsidRPr="00E573D6">
        <w:rPr>
          <w:lang w:val="fr-FR"/>
        </w:rPr>
        <w:t> </w:t>
      </w:r>
      <w:r w:rsidR="00402DEC" w:rsidRPr="00402DEC">
        <w:rPr>
          <w:lang w:val="fr-FR"/>
        </w:rPr>
        <w:t>: Toutes les dispositions juridiques fixent l’âge minimum légal à 18 ans pour le recrutement au sein des forces armées.</w:t>
      </w:r>
      <w:r>
        <w:rPr>
          <w:rStyle w:val="EndnoteReference"/>
        </w:rPr>
        <w:endnoteReference w:id="4"/>
      </w:r>
    </w:p>
    <w:p w14:paraId="166BBC43" w14:textId="439061B6" w:rsidR="00402DEC" w:rsidRPr="00402DEC" w:rsidRDefault="00E573D6" w:rsidP="006134EC">
      <w:pPr>
        <w:pStyle w:val="SingleTxtG"/>
        <w:rPr>
          <w:u w:val="single"/>
          <w:lang w:val="fr-FR"/>
        </w:rPr>
      </w:pPr>
      <w:r w:rsidRPr="00E573D6">
        <w:rPr>
          <w:lang w:val="fr-FR"/>
        </w:rPr>
        <w:t>28.</w:t>
      </w:r>
      <w:r w:rsidRPr="00E573D6">
        <w:rPr>
          <w:lang w:val="fr-FR"/>
        </w:rPr>
        <w:tab/>
      </w:r>
      <w:r w:rsidR="00402DEC" w:rsidRPr="00402DEC">
        <w:rPr>
          <w:u w:val="single"/>
          <w:lang w:val="fr-FR"/>
        </w:rPr>
        <w:t>Recommandations 26</w:t>
      </w:r>
      <w:r w:rsidR="007A259D">
        <w:rPr>
          <w:u w:val="single"/>
          <w:lang w:val="fr-FR"/>
        </w:rPr>
        <w:t>5</w:t>
      </w:r>
      <w:r w:rsidR="00402DEC" w:rsidRPr="00402DEC">
        <w:rPr>
          <w:u w:val="single"/>
          <w:lang w:val="fr-FR"/>
        </w:rPr>
        <w:t>, 27</w:t>
      </w:r>
      <w:r w:rsidR="007A259D">
        <w:rPr>
          <w:u w:val="single"/>
          <w:lang w:val="fr-FR"/>
        </w:rPr>
        <w:t>0</w:t>
      </w:r>
      <w:r w:rsidR="00402DEC" w:rsidRPr="00402DEC">
        <w:rPr>
          <w:u w:val="single"/>
          <w:lang w:val="fr-FR"/>
        </w:rPr>
        <w:t>, 27</w:t>
      </w:r>
      <w:r w:rsidR="007A259D">
        <w:rPr>
          <w:u w:val="single"/>
          <w:lang w:val="fr-FR"/>
        </w:rPr>
        <w:t>2</w:t>
      </w:r>
      <w:r w:rsidR="00402DEC" w:rsidRPr="00402DEC">
        <w:rPr>
          <w:u w:val="single"/>
          <w:lang w:val="fr-FR"/>
        </w:rPr>
        <w:t>, 27</w:t>
      </w:r>
      <w:r w:rsidR="007A259D">
        <w:rPr>
          <w:u w:val="single"/>
          <w:lang w:val="fr-FR"/>
        </w:rPr>
        <w:t>3</w:t>
      </w:r>
      <w:r w:rsidR="00402DEC" w:rsidRPr="00E573D6">
        <w:rPr>
          <w:lang w:val="fr-FR"/>
        </w:rPr>
        <w:t> </w:t>
      </w:r>
      <w:r w:rsidR="00402DEC" w:rsidRPr="00402DEC">
        <w:rPr>
          <w:lang w:val="fr-FR"/>
        </w:rPr>
        <w:t>: Le projet de loi relative à la protection et à la promotion des personnes handicapées est en phase finale d’adoption.</w:t>
      </w:r>
    </w:p>
    <w:p w14:paraId="3B7AA19D" w14:textId="1501588A" w:rsidR="00402DEC" w:rsidRPr="00402DEC" w:rsidRDefault="00E573D6" w:rsidP="006134EC">
      <w:pPr>
        <w:pStyle w:val="SingleTxtG"/>
        <w:rPr>
          <w:u w:val="single"/>
          <w:lang w:val="fr-FR"/>
        </w:rPr>
      </w:pPr>
      <w:r>
        <w:rPr>
          <w:lang w:val="fr-FR"/>
        </w:rPr>
        <w:t>29.</w:t>
      </w:r>
      <w:r>
        <w:rPr>
          <w:lang w:val="fr-FR"/>
        </w:rPr>
        <w:tab/>
      </w:r>
      <w:r w:rsidR="00402DEC" w:rsidRPr="00402DEC">
        <w:rPr>
          <w:u w:val="single"/>
          <w:lang w:val="fr-FR"/>
        </w:rPr>
        <w:t>Recommandation 26</w:t>
      </w:r>
      <w:r w:rsidR="007A259D">
        <w:rPr>
          <w:u w:val="single"/>
          <w:lang w:val="fr-FR"/>
        </w:rPr>
        <w:t>4</w:t>
      </w:r>
      <w:r w:rsidR="00402DEC" w:rsidRPr="00E573D6">
        <w:rPr>
          <w:lang w:val="fr-FR"/>
        </w:rPr>
        <w:t> </w:t>
      </w:r>
      <w:r w:rsidR="00402DEC" w:rsidRPr="00402DEC">
        <w:rPr>
          <w:lang w:val="fr-FR"/>
        </w:rPr>
        <w:t>: Le Code pénal incrimine toutes les violences physiques conformément aux dispositions des articles 264 à 272 et 442.</w:t>
      </w:r>
    </w:p>
    <w:p w14:paraId="39DE9FA2" w14:textId="3E0A31BA" w:rsidR="00402DEC" w:rsidRPr="00402DEC" w:rsidRDefault="00E573D6" w:rsidP="00E573D6">
      <w:pPr>
        <w:pStyle w:val="HChG"/>
        <w:rPr>
          <w:lang w:val="fr-FR"/>
        </w:rPr>
      </w:pPr>
      <w:r>
        <w:rPr>
          <w:lang w:val="fr-FR"/>
        </w:rPr>
        <w:tab/>
        <w:t>III.</w:t>
      </w:r>
      <w:r>
        <w:rPr>
          <w:lang w:val="fr-FR"/>
        </w:rPr>
        <w:tab/>
      </w:r>
      <w:r w:rsidR="00402DEC" w:rsidRPr="00402DEC">
        <w:rPr>
          <w:lang w:val="fr-FR"/>
        </w:rPr>
        <w:t>Recommandations partiellement acceptées</w:t>
      </w:r>
    </w:p>
    <w:p w14:paraId="783B2763" w14:textId="6FAE5C4E" w:rsidR="009E1003" w:rsidRPr="00461F48" w:rsidRDefault="00E573D6" w:rsidP="00E573D6">
      <w:pPr>
        <w:pStyle w:val="SingleTxtG"/>
        <w:rPr>
          <w:b/>
          <w:bCs/>
          <w:u w:val="single"/>
          <w:lang w:val="fr-FR"/>
        </w:rPr>
      </w:pPr>
      <w:r>
        <w:rPr>
          <w:lang w:val="fr-FR"/>
        </w:rPr>
        <w:t>30.</w:t>
      </w:r>
      <w:r>
        <w:rPr>
          <w:lang w:val="fr-FR"/>
        </w:rPr>
        <w:tab/>
      </w:r>
      <w:r w:rsidR="009E1003" w:rsidRPr="00196D87">
        <w:rPr>
          <w:u w:val="single"/>
          <w:lang w:val="fr-FR"/>
        </w:rPr>
        <w:t>Recommandation 5</w:t>
      </w:r>
      <w:r w:rsidR="00F10EDA">
        <w:rPr>
          <w:u w:val="single"/>
          <w:lang w:val="fr-FR"/>
        </w:rPr>
        <w:t> </w:t>
      </w:r>
      <w:r w:rsidR="00F10EDA">
        <w:rPr>
          <w:lang w:val="fr-FR"/>
        </w:rPr>
        <w:t>:</w:t>
      </w:r>
      <w:r w:rsidR="009E1003" w:rsidRPr="009E1003">
        <w:rPr>
          <w:lang w:val="fr-FR"/>
        </w:rPr>
        <w:t xml:space="preserve"> </w:t>
      </w:r>
      <w:r w:rsidR="003308D1">
        <w:rPr>
          <w:lang w:val="fr-FR"/>
        </w:rPr>
        <w:t>Cette recommandation contient, l’évidence, deux thèmes distincts l’un de l’autre puisqu’elle mentionne deux Conventions internationales distinctes</w:t>
      </w:r>
      <w:r w:rsidR="0045098B">
        <w:rPr>
          <w:lang w:val="fr-FR"/>
        </w:rPr>
        <w:t>.</w:t>
      </w:r>
      <w:r w:rsidR="003308D1">
        <w:rPr>
          <w:lang w:val="fr-FR"/>
        </w:rPr>
        <w:t xml:space="preserve"> Le processus de ratification de la Convention internationale pour la protection de toutes les personnes contre les disparitions forcées </w:t>
      </w:r>
      <w:r w:rsidR="003308D1" w:rsidRPr="003308D1">
        <w:rPr>
          <w:lang w:val="fr-FR"/>
        </w:rPr>
        <w:t>suit son cours</w:t>
      </w:r>
      <w:r w:rsidR="00B400FE">
        <w:rPr>
          <w:lang w:val="fr-FR"/>
        </w:rPr>
        <w:t xml:space="preserve"> </w:t>
      </w:r>
      <w:r w:rsidR="00B400FE" w:rsidRPr="00461F48">
        <w:rPr>
          <w:b/>
          <w:bCs/>
          <w:lang w:val="fr-FR"/>
        </w:rPr>
        <w:t>et donc cette partie de la recommandation 5 est notée</w:t>
      </w:r>
      <w:r w:rsidR="009E1003" w:rsidRPr="003308D1">
        <w:rPr>
          <w:lang w:val="fr-FR"/>
        </w:rPr>
        <w:t>.</w:t>
      </w:r>
      <w:r w:rsidR="003308D1" w:rsidRPr="003308D1">
        <w:rPr>
          <w:lang w:val="fr-FR"/>
        </w:rPr>
        <w:t xml:space="preserve"> </w:t>
      </w:r>
      <w:r w:rsidR="00B400FE">
        <w:rPr>
          <w:lang w:val="fr-FR"/>
        </w:rPr>
        <w:t>Cependant l</w:t>
      </w:r>
      <w:r w:rsidR="003308D1" w:rsidRPr="003308D1">
        <w:rPr>
          <w:lang w:val="fr-FR"/>
        </w:rPr>
        <w:t>’Algérie</w:t>
      </w:r>
      <w:r w:rsidR="003308D1">
        <w:rPr>
          <w:lang w:val="fr-FR"/>
        </w:rPr>
        <w:t xml:space="preserve"> œuvre déjà à la pleine intégration de la Convention relative aux droits des personnes handicapées dans sa législation nationale</w:t>
      </w:r>
      <w:r w:rsidR="00B400FE">
        <w:rPr>
          <w:lang w:val="fr-FR"/>
        </w:rPr>
        <w:t xml:space="preserve"> </w:t>
      </w:r>
      <w:r w:rsidR="00B400FE" w:rsidRPr="00461F48">
        <w:rPr>
          <w:b/>
          <w:bCs/>
          <w:u w:val="single"/>
          <w:lang w:val="fr-FR"/>
        </w:rPr>
        <w:t>et accepte cette partie de la recommandation</w:t>
      </w:r>
      <w:r w:rsidR="003308D1" w:rsidRPr="00461F48">
        <w:rPr>
          <w:b/>
          <w:bCs/>
          <w:u w:val="single"/>
          <w:lang w:val="fr-FR"/>
        </w:rPr>
        <w:t>.</w:t>
      </w:r>
    </w:p>
    <w:p w14:paraId="64B4A470" w14:textId="6C58B5FA" w:rsidR="00402DEC" w:rsidRPr="00402DEC" w:rsidRDefault="00D8378D" w:rsidP="00E573D6">
      <w:pPr>
        <w:pStyle w:val="SingleTxtG"/>
        <w:rPr>
          <w:lang w:val="fr-FR"/>
        </w:rPr>
      </w:pPr>
      <w:r w:rsidRPr="00196D87">
        <w:rPr>
          <w:lang w:val="fr-FR"/>
        </w:rPr>
        <w:t>31.</w:t>
      </w:r>
      <w:r w:rsidRPr="00196D87">
        <w:rPr>
          <w:lang w:val="fr-FR"/>
        </w:rPr>
        <w:tab/>
      </w:r>
      <w:r w:rsidR="00402DEC" w:rsidRPr="00402DEC">
        <w:rPr>
          <w:u w:val="single"/>
          <w:lang w:val="fr-FR"/>
        </w:rPr>
        <w:t>Recommandation 28</w:t>
      </w:r>
      <w:r w:rsidR="00402DEC" w:rsidRPr="00E573D6">
        <w:rPr>
          <w:lang w:val="fr-FR"/>
        </w:rPr>
        <w:t> </w:t>
      </w:r>
      <w:r w:rsidR="00402DEC" w:rsidRPr="00402DEC">
        <w:rPr>
          <w:lang w:val="fr-FR"/>
        </w:rPr>
        <w:t>: « et supprimer les restrictions au financement international des organisations de la société civile algérienne et à la coopération avec celles-ci, prévues par la loi 12-06 » Noté. Le reste accepté.</w:t>
      </w:r>
    </w:p>
    <w:p w14:paraId="2A90F466" w14:textId="793D337C" w:rsidR="00402DEC" w:rsidRPr="00402DEC" w:rsidRDefault="00E573D6" w:rsidP="00E573D6">
      <w:pPr>
        <w:pStyle w:val="SingleTxtG"/>
        <w:rPr>
          <w:b/>
          <w:bCs/>
          <w:lang w:val="fr-FR"/>
        </w:rPr>
      </w:pPr>
      <w:r>
        <w:rPr>
          <w:lang w:val="fr-FR"/>
        </w:rPr>
        <w:t>3</w:t>
      </w:r>
      <w:r w:rsidR="00D8378D">
        <w:rPr>
          <w:lang w:val="fr-FR"/>
        </w:rPr>
        <w:t>2</w:t>
      </w:r>
      <w:r>
        <w:rPr>
          <w:lang w:val="fr-FR"/>
        </w:rPr>
        <w:t>.</w:t>
      </w:r>
      <w:r>
        <w:rPr>
          <w:lang w:val="fr-FR"/>
        </w:rPr>
        <w:tab/>
      </w:r>
      <w:r w:rsidR="00402DEC" w:rsidRPr="00402DEC">
        <w:rPr>
          <w:lang w:val="fr-FR"/>
        </w:rPr>
        <w:t>L’article 53 de la Constitution de 2020 garantit le droit de créer des associations par simple déclaration. Les conditions et les modalités de création d’associations seront déterminées par la future loi sur les associations</w:t>
      </w:r>
      <w:r w:rsidR="00402DEC" w:rsidRPr="00402DEC">
        <w:rPr>
          <w:b/>
          <w:bCs/>
          <w:lang w:val="fr-FR"/>
        </w:rPr>
        <w:t>.</w:t>
      </w:r>
      <w:r w:rsidR="00402DEC" w:rsidRPr="00402DEC">
        <w:rPr>
          <w:b/>
          <w:bCs/>
          <w:i/>
          <w:iCs/>
          <w:lang w:val="fr-FR"/>
        </w:rPr>
        <w:t xml:space="preserve"> </w:t>
      </w:r>
      <w:r w:rsidR="00402DEC" w:rsidRPr="00402DEC">
        <w:rPr>
          <w:b/>
          <w:bCs/>
          <w:lang w:val="fr-FR"/>
        </w:rPr>
        <w:t>Il n’existe pas de « restrictions au financement international des organisations de la société civile algérienne », mais des mesures préventives, notamment contre le blanchiment d’argent et le financement du terrorisme.</w:t>
      </w:r>
    </w:p>
    <w:p w14:paraId="1CA964E7" w14:textId="3BED08FE" w:rsidR="00402DEC" w:rsidRPr="00402DEC" w:rsidRDefault="00E573D6" w:rsidP="00E573D6">
      <w:pPr>
        <w:pStyle w:val="SingleTxtG"/>
        <w:rPr>
          <w:lang w:val="fr-FR"/>
        </w:rPr>
      </w:pPr>
      <w:r>
        <w:rPr>
          <w:lang w:val="fr-FR"/>
        </w:rPr>
        <w:t>3</w:t>
      </w:r>
      <w:r w:rsidR="00D8378D">
        <w:rPr>
          <w:lang w:val="fr-FR"/>
        </w:rPr>
        <w:t>3</w:t>
      </w:r>
      <w:r>
        <w:rPr>
          <w:lang w:val="fr-FR"/>
        </w:rPr>
        <w:t>.</w:t>
      </w:r>
      <w:r>
        <w:rPr>
          <w:lang w:val="fr-FR"/>
        </w:rPr>
        <w:tab/>
      </w:r>
      <w:r w:rsidR="00402DEC" w:rsidRPr="00402DEC">
        <w:rPr>
          <w:u w:val="single"/>
          <w:lang w:val="fr-FR"/>
        </w:rPr>
        <w:t>Recommandation 122</w:t>
      </w:r>
      <w:r w:rsidR="00402DEC" w:rsidRPr="00E573D6">
        <w:rPr>
          <w:lang w:val="fr-FR"/>
        </w:rPr>
        <w:t> </w:t>
      </w:r>
      <w:r w:rsidR="00402DEC" w:rsidRPr="00402DEC">
        <w:rPr>
          <w:lang w:val="fr-FR"/>
        </w:rPr>
        <w:t>: « notamment en dépénalisant la diffamation » Noté. Le reste accepté.</w:t>
      </w:r>
    </w:p>
    <w:p w14:paraId="2FCAD6E9" w14:textId="0F7ED650" w:rsidR="00402DEC" w:rsidRPr="00402DEC" w:rsidRDefault="00E573D6" w:rsidP="00E573D6">
      <w:pPr>
        <w:pStyle w:val="SingleTxtG"/>
        <w:rPr>
          <w:lang w:val="fr-FR"/>
        </w:rPr>
      </w:pPr>
      <w:r>
        <w:rPr>
          <w:lang w:val="fr-FR"/>
        </w:rPr>
        <w:t>3</w:t>
      </w:r>
      <w:r w:rsidR="00D8378D">
        <w:rPr>
          <w:lang w:val="fr-FR"/>
        </w:rPr>
        <w:t>4</w:t>
      </w:r>
      <w:r>
        <w:rPr>
          <w:lang w:val="fr-FR"/>
        </w:rPr>
        <w:t>.</w:t>
      </w:r>
      <w:r>
        <w:rPr>
          <w:lang w:val="fr-FR"/>
        </w:rPr>
        <w:tab/>
      </w:r>
      <w:r w:rsidR="00402DEC" w:rsidRPr="00402DEC">
        <w:rPr>
          <w:lang w:val="fr-FR"/>
        </w:rPr>
        <w:t xml:space="preserve">En vertu de la Constitution de 2020, la liberté d’opinion est inviolable (Art.51) et la liberté de la presse écrite, audiovisuelle et électronique est garantie (Art.54). À cet égard, la future loi sur l’information constituera une mise en œuvre concrète de ces dispositions de la Constitution. Il n’en demeure pas moins que « la liberté de la presse ne peut être utilisée pour attenter à la dignité, aux libertés et aux droits d'autrui » (Art.54, al. 2). </w:t>
      </w:r>
      <w:r w:rsidR="00402DEC" w:rsidRPr="00402DEC">
        <w:rPr>
          <w:b/>
          <w:bCs/>
          <w:lang w:val="fr-FR"/>
        </w:rPr>
        <w:t>Ainsi l’Algérie n’est pas disposée à dépénaliser la diffamation</w:t>
      </w:r>
      <w:r w:rsidR="00402DEC" w:rsidRPr="00402DEC">
        <w:rPr>
          <w:lang w:val="fr-FR"/>
        </w:rPr>
        <w:t>.</w:t>
      </w:r>
    </w:p>
    <w:p w14:paraId="7E2A2652" w14:textId="0FF06CF8" w:rsidR="00402DEC" w:rsidRPr="00402DEC" w:rsidRDefault="00E573D6" w:rsidP="00E573D6">
      <w:pPr>
        <w:pStyle w:val="SingleTxtG"/>
        <w:rPr>
          <w:lang w:val="fr-FR"/>
        </w:rPr>
      </w:pPr>
      <w:r>
        <w:rPr>
          <w:lang w:val="fr-FR"/>
        </w:rPr>
        <w:t>3</w:t>
      </w:r>
      <w:r w:rsidR="00D8378D">
        <w:rPr>
          <w:lang w:val="fr-FR"/>
        </w:rPr>
        <w:t>5</w:t>
      </w:r>
      <w:r>
        <w:rPr>
          <w:lang w:val="fr-FR"/>
        </w:rPr>
        <w:t>.</w:t>
      </w:r>
      <w:r>
        <w:rPr>
          <w:lang w:val="fr-FR"/>
        </w:rPr>
        <w:tab/>
      </w:r>
      <w:r w:rsidR="00402DEC" w:rsidRPr="00402DEC">
        <w:rPr>
          <w:u w:val="single"/>
          <w:lang w:val="fr-FR"/>
        </w:rPr>
        <w:t>Recommandation 217</w:t>
      </w:r>
      <w:r w:rsidR="00402DEC" w:rsidRPr="00E573D6">
        <w:rPr>
          <w:lang w:val="fr-FR"/>
        </w:rPr>
        <w:t> </w:t>
      </w:r>
      <w:r w:rsidR="00402DEC" w:rsidRPr="00402DEC">
        <w:rPr>
          <w:lang w:val="fr-FR"/>
        </w:rPr>
        <w:t>: « en encourageant le retrait des réserves émises à l'égard de la Convention sur l'élimination de toutes les formes de discrimination à l'égard des femmes. » Noté. Le reste accepté.</w:t>
      </w:r>
    </w:p>
    <w:p w14:paraId="3B73CC17" w14:textId="15911886" w:rsidR="00402DEC" w:rsidRPr="00402DEC" w:rsidRDefault="00E573D6" w:rsidP="00E573D6">
      <w:pPr>
        <w:pStyle w:val="SingleTxtG"/>
        <w:rPr>
          <w:lang w:val="fr-FR"/>
        </w:rPr>
      </w:pPr>
      <w:r>
        <w:rPr>
          <w:lang w:val="fr-FR"/>
        </w:rPr>
        <w:t>3</w:t>
      </w:r>
      <w:r w:rsidR="00D8378D">
        <w:rPr>
          <w:lang w:val="fr-FR"/>
        </w:rPr>
        <w:t>6</w:t>
      </w:r>
      <w:r>
        <w:rPr>
          <w:lang w:val="fr-FR"/>
        </w:rPr>
        <w:t>.</w:t>
      </w:r>
      <w:r>
        <w:rPr>
          <w:lang w:val="fr-FR"/>
        </w:rPr>
        <w:tab/>
      </w:r>
      <w:r w:rsidR="00402DEC" w:rsidRPr="00402DEC">
        <w:rPr>
          <w:lang w:val="fr-FR"/>
        </w:rPr>
        <w:t xml:space="preserve">L’Algérie s'engage à mettre en œuvre les dispositions de cette Convention en excluant les dispositions contraires au droit de la famille applicable, tenant compte de l’article 37 de la Constitution, qui a consacré le principe de l'égalité des sexes. </w:t>
      </w:r>
      <w:r w:rsidR="00402DEC" w:rsidRPr="00402DEC">
        <w:rPr>
          <w:b/>
          <w:bCs/>
          <w:lang w:val="fr-FR"/>
        </w:rPr>
        <w:t>De ce fait, l’Algérie n’est pas actuellement disposée à lever ses réserves.</w:t>
      </w:r>
    </w:p>
    <w:p w14:paraId="37AD1BEB" w14:textId="0E7DE017" w:rsidR="00402DEC" w:rsidRPr="00402DEC" w:rsidRDefault="00E573D6" w:rsidP="00E573D6">
      <w:pPr>
        <w:pStyle w:val="HChG"/>
        <w:rPr>
          <w:lang w:val="fr-FR"/>
        </w:rPr>
      </w:pPr>
      <w:r>
        <w:rPr>
          <w:lang w:val="fr-FR"/>
        </w:rPr>
        <w:lastRenderedPageBreak/>
        <w:tab/>
        <w:t>IV.</w:t>
      </w:r>
      <w:r>
        <w:rPr>
          <w:lang w:val="fr-FR"/>
        </w:rPr>
        <w:tab/>
      </w:r>
      <w:r w:rsidR="00402DEC" w:rsidRPr="00402DEC">
        <w:rPr>
          <w:lang w:val="fr-FR"/>
        </w:rPr>
        <w:t>Recommandations notées</w:t>
      </w:r>
    </w:p>
    <w:p w14:paraId="46ADEC01" w14:textId="04958378" w:rsidR="00402DEC" w:rsidRPr="00402DEC" w:rsidRDefault="00E573D6" w:rsidP="00E573D6">
      <w:pPr>
        <w:pStyle w:val="SingleTxtG"/>
        <w:rPr>
          <w:lang w:val="fr-FR"/>
        </w:rPr>
      </w:pPr>
      <w:r>
        <w:rPr>
          <w:lang w:val="fr-FR"/>
        </w:rPr>
        <w:t>3</w:t>
      </w:r>
      <w:r w:rsidR="00D8378D">
        <w:rPr>
          <w:lang w:val="fr-FR"/>
        </w:rPr>
        <w:t>7</w:t>
      </w:r>
      <w:r>
        <w:rPr>
          <w:lang w:val="fr-FR"/>
        </w:rPr>
        <w:t>.</w:t>
      </w:r>
      <w:r>
        <w:rPr>
          <w:lang w:val="fr-FR"/>
        </w:rPr>
        <w:tab/>
      </w:r>
      <w:r w:rsidR="00402DEC" w:rsidRPr="00EB4E36">
        <w:rPr>
          <w:lang w:val="fr-FR"/>
        </w:rPr>
        <w:t xml:space="preserve">1, 2, 3, 4, 6, 7, 8, 9, 10, 11, 12, 13, 14, 15, 16, 17,18, 19, 20, 21, </w:t>
      </w:r>
      <w:r w:rsidR="00402DEC" w:rsidRPr="00196D87">
        <w:rPr>
          <w:lang w:val="fr-FR"/>
        </w:rPr>
        <w:t>23,</w:t>
      </w:r>
      <w:r w:rsidR="00402DEC" w:rsidRPr="00EB4E36">
        <w:rPr>
          <w:lang w:val="fr-FR"/>
        </w:rPr>
        <w:t xml:space="preserve"> 24, 31, 38, 39, </w:t>
      </w:r>
      <w:r w:rsidR="00402DEC" w:rsidRPr="00196D87">
        <w:rPr>
          <w:lang w:val="fr-FR"/>
        </w:rPr>
        <w:t>40</w:t>
      </w:r>
      <w:r w:rsidR="00402DEC" w:rsidRPr="00EB4E36">
        <w:rPr>
          <w:lang w:val="fr-FR"/>
        </w:rPr>
        <w:t xml:space="preserve"> 41, 42, 43, </w:t>
      </w:r>
      <w:r w:rsidR="001A1046">
        <w:rPr>
          <w:lang w:val="fr-FR"/>
        </w:rPr>
        <w:t xml:space="preserve">44, </w:t>
      </w:r>
      <w:r w:rsidR="00402DEC" w:rsidRPr="00EB4E36">
        <w:rPr>
          <w:lang w:val="fr-FR"/>
        </w:rPr>
        <w:t xml:space="preserve">62, 63, </w:t>
      </w:r>
      <w:r w:rsidR="00402DEC" w:rsidRPr="00196D87">
        <w:rPr>
          <w:lang w:val="fr-FR"/>
        </w:rPr>
        <w:t>64,</w:t>
      </w:r>
      <w:r w:rsidR="00402DEC" w:rsidRPr="00EB4E36">
        <w:rPr>
          <w:lang w:val="fr-FR"/>
        </w:rPr>
        <w:t xml:space="preserve"> 65, </w:t>
      </w:r>
      <w:r w:rsidR="00402DEC" w:rsidRPr="00196D87">
        <w:rPr>
          <w:lang w:val="fr-FR"/>
        </w:rPr>
        <w:t>66,</w:t>
      </w:r>
      <w:r w:rsidR="00402DEC" w:rsidRPr="00EB4E36">
        <w:rPr>
          <w:lang w:val="fr-FR"/>
        </w:rPr>
        <w:t xml:space="preserve"> 67, 68, 69, 70, 71, 73, 74, 78, 80, 92, </w:t>
      </w:r>
      <w:r w:rsidR="00402DEC" w:rsidRPr="00196D87">
        <w:rPr>
          <w:lang w:val="fr-FR"/>
        </w:rPr>
        <w:t xml:space="preserve">101, 106, </w:t>
      </w:r>
      <w:r w:rsidR="00402DEC" w:rsidRPr="00EB4E36">
        <w:rPr>
          <w:lang w:val="fr-FR"/>
        </w:rPr>
        <w:t xml:space="preserve">110, 124, </w:t>
      </w:r>
      <w:r w:rsidR="00402DEC" w:rsidRPr="00196D87">
        <w:rPr>
          <w:lang w:val="fr-FR"/>
        </w:rPr>
        <w:t>128, 129,</w:t>
      </w:r>
      <w:r w:rsidR="00402DEC" w:rsidRPr="00EB4E36">
        <w:rPr>
          <w:lang w:val="fr-FR"/>
        </w:rPr>
        <w:t xml:space="preserve"> 135, </w:t>
      </w:r>
      <w:r w:rsidR="00402DEC" w:rsidRPr="00196D87">
        <w:rPr>
          <w:lang w:val="fr-FR"/>
        </w:rPr>
        <w:t xml:space="preserve">141, 142, 143, 144, 145, 179, 181, 183, </w:t>
      </w:r>
      <w:r w:rsidR="00402DEC" w:rsidRPr="00EB4E36">
        <w:rPr>
          <w:lang w:val="fr-FR"/>
        </w:rPr>
        <w:t xml:space="preserve">220, 221, 222, </w:t>
      </w:r>
      <w:r w:rsidR="00402DEC" w:rsidRPr="00196D87">
        <w:rPr>
          <w:lang w:val="fr-FR"/>
        </w:rPr>
        <w:t xml:space="preserve">225, </w:t>
      </w:r>
      <w:r w:rsidR="00402DEC" w:rsidRPr="00EB4E36">
        <w:rPr>
          <w:lang w:val="fr-FR"/>
        </w:rPr>
        <w:t xml:space="preserve">226, </w:t>
      </w:r>
      <w:r w:rsidR="00402DEC" w:rsidRPr="00196D87">
        <w:rPr>
          <w:lang w:val="fr-FR"/>
        </w:rPr>
        <w:t>23</w:t>
      </w:r>
      <w:r w:rsidR="007A259D">
        <w:rPr>
          <w:lang w:val="fr-FR"/>
        </w:rPr>
        <w:t>2</w:t>
      </w:r>
      <w:r w:rsidR="00402DEC" w:rsidRPr="00196D87">
        <w:rPr>
          <w:lang w:val="fr-FR"/>
        </w:rPr>
        <w:t>, 23</w:t>
      </w:r>
      <w:r w:rsidR="007A259D">
        <w:rPr>
          <w:lang w:val="fr-FR"/>
        </w:rPr>
        <w:t>3</w:t>
      </w:r>
      <w:r w:rsidR="00402DEC" w:rsidRPr="00196D87">
        <w:rPr>
          <w:lang w:val="fr-FR"/>
        </w:rPr>
        <w:t>,</w:t>
      </w:r>
      <w:r w:rsidR="00402DEC" w:rsidRPr="00EB4E36">
        <w:rPr>
          <w:lang w:val="fr-FR"/>
        </w:rPr>
        <w:t xml:space="preserve"> 23</w:t>
      </w:r>
      <w:r w:rsidR="007A259D">
        <w:rPr>
          <w:lang w:val="fr-FR"/>
        </w:rPr>
        <w:t>4</w:t>
      </w:r>
      <w:r w:rsidR="00402DEC" w:rsidRPr="00EB4E36">
        <w:rPr>
          <w:lang w:val="fr-FR"/>
        </w:rPr>
        <w:t xml:space="preserve">, </w:t>
      </w:r>
      <w:r w:rsidR="00402DEC" w:rsidRPr="00196D87">
        <w:rPr>
          <w:lang w:val="fr-FR"/>
        </w:rPr>
        <w:t>2</w:t>
      </w:r>
      <w:r w:rsidR="007A259D">
        <w:rPr>
          <w:lang w:val="fr-FR"/>
        </w:rPr>
        <w:t>39</w:t>
      </w:r>
      <w:r w:rsidR="00402DEC" w:rsidRPr="00196D87">
        <w:rPr>
          <w:lang w:val="fr-FR"/>
        </w:rPr>
        <w:t>,</w:t>
      </w:r>
      <w:r w:rsidR="00402DEC" w:rsidRPr="00EB4E36">
        <w:rPr>
          <w:lang w:val="fr-FR"/>
        </w:rPr>
        <w:t xml:space="preserve"> 29</w:t>
      </w:r>
      <w:r w:rsidR="007A259D">
        <w:rPr>
          <w:lang w:val="fr-FR"/>
        </w:rPr>
        <w:t>0</w:t>
      </w:r>
      <w:r>
        <w:rPr>
          <w:rStyle w:val="EndnoteReference"/>
        </w:rPr>
        <w:endnoteReference w:id="5"/>
      </w:r>
      <w:r w:rsidR="00402DEC" w:rsidRPr="00402DEC">
        <w:rPr>
          <w:lang w:val="fr-FR"/>
        </w:rPr>
        <w:t>.</w:t>
      </w:r>
    </w:p>
    <w:p w14:paraId="219BB53A" w14:textId="6B8B0598" w:rsidR="00402DEC" w:rsidRDefault="00E573D6" w:rsidP="00E573D6">
      <w:pPr>
        <w:pStyle w:val="SingleTxtG"/>
      </w:pPr>
      <w:r>
        <w:rPr>
          <w:lang w:val="fr-FR"/>
        </w:rPr>
        <w:t>3</w:t>
      </w:r>
      <w:r w:rsidR="00D8378D">
        <w:rPr>
          <w:lang w:val="fr-FR"/>
        </w:rPr>
        <w:t>8</w:t>
      </w:r>
      <w:r>
        <w:rPr>
          <w:lang w:val="fr-FR"/>
        </w:rPr>
        <w:t>.</w:t>
      </w:r>
      <w:r>
        <w:rPr>
          <w:lang w:val="fr-FR"/>
        </w:rPr>
        <w:tab/>
      </w:r>
      <w:r w:rsidR="00402DEC" w:rsidRPr="00402DEC">
        <w:rPr>
          <w:lang w:val="fr-FR"/>
        </w:rPr>
        <w:t>Ces recommandations n’ont pas emporté l’adhésion de l’Algérie. Si certaines recommandations sont en contradiction avec la Constitution ou contraires aux valeurs et aux règles qui unissent la société algérienne, d’autres le sont en raison de leur formulation injonctive, accusatoire, voire fallacieuse.</w:t>
      </w:r>
    </w:p>
    <w:p w14:paraId="6D8432A8" w14:textId="422FFA77" w:rsidR="0008167F" w:rsidRPr="00402DEC" w:rsidRDefault="006134EC" w:rsidP="006134EC">
      <w:pPr>
        <w:pStyle w:val="H4G"/>
      </w:pPr>
      <w:r>
        <w:t>Notes</w:t>
      </w:r>
    </w:p>
    <w:sectPr w:rsidR="0008167F" w:rsidRPr="00402DEC" w:rsidSect="00402DEC">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70A7" w16cex:dateUtc="2023-03-0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5D5C1" w16cid:durableId="27B070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587C" w14:textId="77777777" w:rsidR="00402DEC" w:rsidRDefault="00402DEC"/>
  </w:endnote>
  <w:endnote w:type="continuationSeparator" w:id="0">
    <w:p w14:paraId="01AA7A97" w14:textId="77777777" w:rsidR="00402DEC" w:rsidRDefault="00402DEC"/>
  </w:endnote>
  <w:endnote w:type="continuationNotice" w:id="1">
    <w:p w14:paraId="6804E906" w14:textId="77777777" w:rsidR="00402DEC" w:rsidRDefault="00402DEC"/>
  </w:endnote>
  <w:endnote w:id="2">
    <w:p w14:paraId="7AD79B36" w14:textId="44958B01" w:rsidR="006134EC" w:rsidRPr="00196D87" w:rsidRDefault="006134EC" w:rsidP="006134EC">
      <w:pPr>
        <w:pStyle w:val="EndnoteText"/>
        <w:widowControl w:val="0"/>
        <w:tabs>
          <w:tab w:val="clear" w:pos="1021"/>
          <w:tab w:val="right" w:pos="1020"/>
        </w:tabs>
        <w:rPr>
          <w:lang w:val="fr-FR"/>
        </w:rPr>
      </w:pPr>
      <w:r>
        <w:tab/>
      </w:r>
      <w:r>
        <w:rPr>
          <w:rStyle w:val="EndnoteReference"/>
        </w:rPr>
        <w:endnoteRef/>
      </w:r>
      <w:r w:rsidRPr="00196D87">
        <w:rPr>
          <w:lang w:val="fr-FR"/>
        </w:rPr>
        <w:tab/>
      </w:r>
      <w:r w:rsidRPr="006134EC">
        <w:rPr>
          <w:lang w:val="fr-CH"/>
        </w:rPr>
        <w:t xml:space="preserve">Le Rapporteur spécial sur les droits à la liberté de réunion pacifique et à la liberté d’association est attendu en Algérie en 2023, sachant que le Chef de Section MENA du HCDH a effectué une visite du 25 novembre au 1 er décembre 2022. </w:t>
      </w:r>
    </w:p>
  </w:endnote>
  <w:endnote w:id="3">
    <w:p w14:paraId="6834D0A0" w14:textId="76756386" w:rsidR="006134EC" w:rsidRPr="00196D87" w:rsidRDefault="006134EC" w:rsidP="006134EC">
      <w:pPr>
        <w:pStyle w:val="EndnoteText"/>
        <w:widowControl w:val="0"/>
        <w:tabs>
          <w:tab w:val="clear" w:pos="1021"/>
          <w:tab w:val="right" w:pos="1020"/>
        </w:tabs>
        <w:rPr>
          <w:lang w:val="fr-FR"/>
        </w:rPr>
      </w:pPr>
      <w:r w:rsidRPr="00196D87">
        <w:rPr>
          <w:lang w:val="fr-FR"/>
        </w:rPr>
        <w:tab/>
      </w:r>
      <w:r>
        <w:rPr>
          <w:rStyle w:val="EndnoteReference"/>
        </w:rPr>
        <w:endnoteRef/>
      </w:r>
      <w:r w:rsidRPr="00196D87">
        <w:rPr>
          <w:lang w:val="fr-FR"/>
        </w:rPr>
        <w:tab/>
      </w:r>
      <w:r w:rsidRPr="006134EC">
        <w:rPr>
          <w:lang w:val="fr-CH"/>
        </w:rPr>
        <w:t>Art 10 loi n°08-04 du 23 janvier 2008.</w:t>
      </w:r>
    </w:p>
  </w:endnote>
  <w:endnote w:id="4">
    <w:p w14:paraId="5EC62D18" w14:textId="6295F119" w:rsidR="00E573D6" w:rsidRPr="00196D87" w:rsidRDefault="00E573D6" w:rsidP="00E573D6">
      <w:pPr>
        <w:pStyle w:val="EndnoteText"/>
        <w:widowControl w:val="0"/>
        <w:tabs>
          <w:tab w:val="clear" w:pos="1021"/>
          <w:tab w:val="right" w:pos="1020"/>
        </w:tabs>
        <w:rPr>
          <w:lang w:val="fr-FR"/>
        </w:rPr>
      </w:pPr>
      <w:r w:rsidRPr="00196D87">
        <w:rPr>
          <w:lang w:val="fr-FR"/>
        </w:rPr>
        <w:tab/>
      </w:r>
      <w:r>
        <w:rPr>
          <w:rStyle w:val="EndnoteReference"/>
        </w:rPr>
        <w:endnoteRef/>
      </w:r>
      <w:r w:rsidRPr="00196D87">
        <w:rPr>
          <w:lang w:val="fr-FR"/>
        </w:rPr>
        <w:tab/>
      </w:r>
      <w:r w:rsidRPr="00E573D6">
        <w:rPr>
          <w:lang w:val="fr-CH"/>
        </w:rPr>
        <w:t>Loi n°14-06 du 09 août 2014; Décret présidentiel n°08-134 du 06 mai 2008, Ordonnance n°06-02 du 28 février 2006.</w:t>
      </w:r>
    </w:p>
  </w:endnote>
  <w:endnote w:id="5">
    <w:p w14:paraId="10667546" w14:textId="275B364F" w:rsidR="00E573D6" w:rsidRPr="00E573D6" w:rsidRDefault="00E573D6" w:rsidP="00E573D6">
      <w:pPr>
        <w:pStyle w:val="EndnoteText"/>
        <w:widowControl w:val="0"/>
        <w:tabs>
          <w:tab w:val="clear" w:pos="1021"/>
          <w:tab w:val="right" w:pos="1020"/>
        </w:tabs>
        <w:rPr>
          <w:lang w:val="fr-FR"/>
        </w:rPr>
      </w:pPr>
      <w:r w:rsidRPr="00196D87">
        <w:rPr>
          <w:lang w:val="fr-FR"/>
        </w:rPr>
        <w:tab/>
      </w:r>
      <w:r>
        <w:rPr>
          <w:rStyle w:val="EndnoteReference"/>
        </w:rPr>
        <w:endnoteRef/>
      </w:r>
      <w:r w:rsidRPr="00196D87">
        <w:rPr>
          <w:lang w:val="fr-FR"/>
        </w:rPr>
        <w:tab/>
      </w:r>
      <w:r w:rsidRPr="00E573D6">
        <w:rPr>
          <w:lang w:val="fr-FR"/>
        </w:rPr>
        <w:t>Recommandation 135</w:t>
      </w:r>
      <w:r w:rsidR="004C3730">
        <w:rPr>
          <w:lang w:val="fr-FR"/>
        </w:rPr>
        <w:t> :</w:t>
      </w:r>
      <w:r w:rsidRPr="00E573D6">
        <w:rPr>
          <w:lang w:val="fr-FR"/>
        </w:rPr>
        <w:t xml:space="preserve"> L’incrimination de certains actes répond aux exigences de l’ordre public, de la sécurité de l’État et de la spécificité civilisationnelle de la société algérienne ;</w:t>
      </w:r>
    </w:p>
    <w:p w14:paraId="3DBE00D6" w14:textId="284C8E56" w:rsidR="00E573D6" w:rsidRDefault="00E573D6" w:rsidP="00E573D6">
      <w:pPr>
        <w:pStyle w:val="EndnoteText"/>
        <w:widowControl w:val="0"/>
        <w:tabs>
          <w:tab w:val="clear" w:pos="1021"/>
          <w:tab w:val="right" w:pos="1020"/>
        </w:tabs>
        <w:rPr>
          <w:lang w:val="fr-CH"/>
        </w:rPr>
      </w:pPr>
      <w:r>
        <w:rPr>
          <w:lang w:val="fr-CH"/>
        </w:rPr>
        <w:tab/>
      </w:r>
      <w:r>
        <w:rPr>
          <w:lang w:val="fr-CH"/>
        </w:rPr>
        <w:tab/>
      </w:r>
      <w:r w:rsidRPr="00E573D6">
        <w:rPr>
          <w:lang w:val="fr-CH"/>
        </w:rPr>
        <w:t>Recommandations 3, 39, 41, 42, 43</w:t>
      </w:r>
      <w:r w:rsidR="004C3730">
        <w:rPr>
          <w:lang w:val="fr-CH"/>
        </w:rPr>
        <w:t> :</w:t>
      </w:r>
      <w:r w:rsidRPr="00E573D6">
        <w:rPr>
          <w:lang w:val="fr-CH"/>
        </w:rPr>
        <w:t xml:space="preserve"> l’Algérie n'entend pas abroger les dispositions de l’article 338 du Code pénal, car il repose sur les valeurs et principes de la société algérienne</w:t>
      </w:r>
      <w:r>
        <w:rPr>
          <w:lang w:val="fr-CH"/>
        </w:rPr>
        <w:t>.</w:t>
      </w:r>
    </w:p>
    <w:p w14:paraId="52342BB7" w14:textId="367DF14F" w:rsidR="00E573D6" w:rsidRPr="00196D87" w:rsidRDefault="00E573D6" w:rsidP="00E573D6">
      <w:pPr>
        <w:pStyle w:val="EndnoteText"/>
        <w:tabs>
          <w:tab w:val="clear" w:pos="1021"/>
          <w:tab w:val="right" w:pos="1020"/>
        </w:tabs>
        <w:spacing w:before="240" w:line="240" w:lineRule="atLeast"/>
        <w:ind w:firstLine="0"/>
        <w:jc w:val="center"/>
        <w:rPr>
          <w:u w:val="single"/>
          <w:lang w:val="fr-FR"/>
        </w:rPr>
      </w:pPr>
      <w:r>
        <w:rPr>
          <w:u w:val="single"/>
          <w:lang w:val="fr-CH"/>
        </w:rPr>
        <w:tab/>
      </w:r>
      <w:r>
        <w:rPr>
          <w:u w:val="single"/>
          <w:lang w:val="fr-CH"/>
        </w:rPr>
        <w:tab/>
      </w:r>
      <w:r>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2FEB" w14:textId="7524A72B" w:rsidR="00402DEC" w:rsidRPr="00402DEC" w:rsidRDefault="00402DEC" w:rsidP="00402DEC">
    <w:pPr>
      <w:pStyle w:val="Footer"/>
      <w:tabs>
        <w:tab w:val="right" w:pos="9638"/>
      </w:tabs>
      <w:rPr>
        <w:sz w:val="18"/>
      </w:rPr>
    </w:pPr>
    <w:r w:rsidRPr="00402DEC">
      <w:rPr>
        <w:b/>
        <w:sz w:val="18"/>
      </w:rPr>
      <w:fldChar w:fldCharType="begin"/>
    </w:r>
    <w:r w:rsidRPr="00402DEC">
      <w:rPr>
        <w:b/>
        <w:sz w:val="18"/>
      </w:rPr>
      <w:instrText xml:space="preserve"> PAGE  \* MERGEFORMAT </w:instrText>
    </w:r>
    <w:r w:rsidRPr="00402DEC">
      <w:rPr>
        <w:b/>
        <w:sz w:val="18"/>
      </w:rPr>
      <w:fldChar w:fldCharType="separate"/>
    </w:r>
    <w:r w:rsidR="0077740E">
      <w:rPr>
        <w:b/>
        <w:noProof/>
        <w:sz w:val="18"/>
      </w:rPr>
      <w:t>2</w:t>
    </w:r>
    <w:r w:rsidRPr="00402D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41AF" w14:textId="63FD786C" w:rsidR="00402DEC" w:rsidRPr="00402DEC" w:rsidRDefault="00402DEC" w:rsidP="00402DEC">
    <w:pPr>
      <w:pStyle w:val="Footer"/>
      <w:tabs>
        <w:tab w:val="right" w:pos="9638"/>
      </w:tabs>
      <w:rPr>
        <w:b/>
        <w:sz w:val="18"/>
      </w:rPr>
    </w:pPr>
    <w:r>
      <w:tab/>
    </w:r>
    <w:r w:rsidRPr="00402DEC">
      <w:rPr>
        <w:b/>
        <w:sz w:val="18"/>
      </w:rPr>
      <w:fldChar w:fldCharType="begin"/>
    </w:r>
    <w:r w:rsidRPr="00402DEC">
      <w:rPr>
        <w:b/>
        <w:sz w:val="18"/>
      </w:rPr>
      <w:instrText xml:space="preserve"> PAGE  \* MERGEFORMAT </w:instrText>
    </w:r>
    <w:r w:rsidRPr="00402DEC">
      <w:rPr>
        <w:b/>
        <w:sz w:val="18"/>
      </w:rPr>
      <w:fldChar w:fldCharType="separate"/>
    </w:r>
    <w:r w:rsidR="0077740E">
      <w:rPr>
        <w:b/>
        <w:noProof/>
        <w:sz w:val="18"/>
      </w:rPr>
      <w:t>5</w:t>
    </w:r>
    <w:r w:rsidRPr="00402DE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2E1BD" w14:textId="77777777" w:rsidR="00402DEC" w:rsidRPr="00D27D5E" w:rsidRDefault="00402DEC" w:rsidP="00D27D5E">
      <w:pPr>
        <w:tabs>
          <w:tab w:val="right" w:pos="2155"/>
        </w:tabs>
        <w:spacing w:after="80"/>
        <w:ind w:left="680"/>
        <w:rPr>
          <w:u w:val="single"/>
        </w:rPr>
      </w:pPr>
      <w:r>
        <w:rPr>
          <w:u w:val="single"/>
        </w:rPr>
        <w:tab/>
      </w:r>
    </w:p>
  </w:footnote>
  <w:footnote w:type="continuationSeparator" w:id="0">
    <w:p w14:paraId="61CD27B3" w14:textId="77777777" w:rsidR="00402DEC" w:rsidRPr="00D72E7E" w:rsidRDefault="00402DEC" w:rsidP="00D72E7E">
      <w:pPr>
        <w:tabs>
          <w:tab w:val="right" w:pos="2155"/>
        </w:tabs>
        <w:spacing w:after="80"/>
        <w:ind w:left="680"/>
        <w:rPr>
          <w:u w:val="single"/>
        </w:rPr>
      </w:pPr>
      <w:r w:rsidRPr="00D72E7E">
        <w:rPr>
          <w:u w:val="single"/>
        </w:rPr>
        <w:tab/>
      </w:r>
    </w:p>
  </w:footnote>
  <w:footnote w:type="continuationNotice" w:id="1">
    <w:p w14:paraId="38D824F6" w14:textId="77777777" w:rsidR="00402DEC" w:rsidRDefault="00402DEC"/>
  </w:footnote>
  <w:footnote w:id="2">
    <w:p w14:paraId="0674D3B6" w14:textId="77777777" w:rsidR="00402DEC" w:rsidRPr="005A0E69" w:rsidRDefault="00402DEC" w:rsidP="00402DEC">
      <w:pPr>
        <w:pStyle w:val="FootnoteText"/>
        <w:rPr>
          <w:lang w:val="fr-FR"/>
        </w:rPr>
      </w:pPr>
      <w:r>
        <w:tab/>
      </w:r>
      <w:r w:rsidRPr="005A0E69">
        <w:rPr>
          <w:rStyle w:val="FootnoteReference"/>
          <w:sz w:val="20"/>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4E2A" w14:textId="159DC057" w:rsidR="00402DEC" w:rsidRPr="00402DEC" w:rsidRDefault="0077740E">
    <w:pPr>
      <w:pStyle w:val="Header"/>
    </w:pPr>
    <w:r>
      <w:fldChar w:fldCharType="begin"/>
    </w:r>
    <w:r>
      <w:instrText xml:space="preserve"> TITLE  \* MERGEFORMAT </w:instrText>
    </w:r>
    <w:r>
      <w:fldChar w:fldCharType="separate"/>
    </w:r>
    <w:r w:rsidR="00461F48">
      <w:t>A/HRC/52/12/Add.1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1116" w14:textId="7466E80F" w:rsidR="00402DEC" w:rsidRPr="00402DEC" w:rsidRDefault="0077740E" w:rsidP="00402DEC">
    <w:pPr>
      <w:pStyle w:val="Header"/>
      <w:jc w:val="right"/>
    </w:pPr>
    <w:r>
      <w:fldChar w:fldCharType="begin"/>
    </w:r>
    <w:r>
      <w:instrText xml:space="preserve"> TITLE  \* MERGEFORMAT </w:instrText>
    </w:r>
    <w:r>
      <w:fldChar w:fldCharType="separate"/>
    </w:r>
    <w:r w:rsidR="00461F48">
      <w:t>A/HRC/52/12/Add.1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F02ABF"/>
    <w:multiLevelType w:val="hybridMultilevel"/>
    <w:tmpl w:val="E5347B24"/>
    <w:lvl w:ilvl="0" w:tplc="78B89670">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4"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D613BD2"/>
    <w:multiLevelType w:val="hybridMultilevel"/>
    <w:tmpl w:val="39F854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20"/>
  </w:num>
  <w:num w:numId="15">
    <w:abstractNumId w:val="19"/>
  </w:num>
  <w:num w:numId="16">
    <w:abstractNumId w:val="18"/>
  </w:num>
  <w:num w:numId="17">
    <w:abstractNumId w:val="15"/>
  </w:num>
  <w:num w:numId="18">
    <w:abstractNumId w:val="18"/>
  </w:num>
  <w:num w:numId="19">
    <w:abstractNumId w:val="15"/>
  </w:num>
  <w:num w:numId="20">
    <w:abstractNumId w:val="18"/>
  </w:num>
  <w:num w:numId="21">
    <w:abstractNumId w:val="15"/>
  </w:num>
  <w:num w:numId="22">
    <w:abstractNumId w:val="10"/>
  </w:num>
  <w:num w:numId="23">
    <w:abstractNumId w:val="17"/>
  </w:num>
  <w:num w:numId="24">
    <w:abstractNumId w:val="11"/>
  </w:num>
  <w:num w:numId="25">
    <w:abstractNumId w:val="12"/>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C"/>
    <w:rsid w:val="00001902"/>
    <w:rsid w:val="00016AC5"/>
    <w:rsid w:val="00020C56"/>
    <w:rsid w:val="00025771"/>
    <w:rsid w:val="0003055E"/>
    <w:rsid w:val="00057BC0"/>
    <w:rsid w:val="0008047D"/>
    <w:rsid w:val="0008167F"/>
    <w:rsid w:val="000E03D2"/>
    <w:rsid w:val="000E0B87"/>
    <w:rsid w:val="000E2451"/>
    <w:rsid w:val="000F41F2"/>
    <w:rsid w:val="0011219D"/>
    <w:rsid w:val="00133B7A"/>
    <w:rsid w:val="001370FA"/>
    <w:rsid w:val="00153B2E"/>
    <w:rsid w:val="00160540"/>
    <w:rsid w:val="00170BBF"/>
    <w:rsid w:val="00172B99"/>
    <w:rsid w:val="00182318"/>
    <w:rsid w:val="00186254"/>
    <w:rsid w:val="00192EEB"/>
    <w:rsid w:val="00196D87"/>
    <w:rsid w:val="001A1046"/>
    <w:rsid w:val="001A20FB"/>
    <w:rsid w:val="001B32E3"/>
    <w:rsid w:val="001C6647"/>
    <w:rsid w:val="001E3FEB"/>
    <w:rsid w:val="001E4A02"/>
    <w:rsid w:val="00226206"/>
    <w:rsid w:val="002659F1"/>
    <w:rsid w:val="0028379A"/>
    <w:rsid w:val="00287E79"/>
    <w:rsid w:val="002928F9"/>
    <w:rsid w:val="002A5D07"/>
    <w:rsid w:val="003016B7"/>
    <w:rsid w:val="003308D1"/>
    <w:rsid w:val="003515AA"/>
    <w:rsid w:val="00374106"/>
    <w:rsid w:val="0037787B"/>
    <w:rsid w:val="003800E1"/>
    <w:rsid w:val="003976D5"/>
    <w:rsid w:val="003B6898"/>
    <w:rsid w:val="003D193B"/>
    <w:rsid w:val="003D5D72"/>
    <w:rsid w:val="003D6C68"/>
    <w:rsid w:val="003E6ACD"/>
    <w:rsid w:val="00401D6C"/>
    <w:rsid w:val="00402DEC"/>
    <w:rsid w:val="004159D0"/>
    <w:rsid w:val="004168D4"/>
    <w:rsid w:val="0045098B"/>
    <w:rsid w:val="00453816"/>
    <w:rsid w:val="00461F48"/>
    <w:rsid w:val="00481744"/>
    <w:rsid w:val="00482630"/>
    <w:rsid w:val="004B1EBD"/>
    <w:rsid w:val="004B2F4D"/>
    <w:rsid w:val="004C3730"/>
    <w:rsid w:val="004C4932"/>
    <w:rsid w:val="004E0ED4"/>
    <w:rsid w:val="00506892"/>
    <w:rsid w:val="00515E4C"/>
    <w:rsid w:val="00533E7F"/>
    <w:rsid w:val="005450D3"/>
    <w:rsid w:val="00545155"/>
    <w:rsid w:val="00571F41"/>
    <w:rsid w:val="00594033"/>
    <w:rsid w:val="005D5C22"/>
    <w:rsid w:val="005E5D1F"/>
    <w:rsid w:val="005F3C2D"/>
    <w:rsid w:val="00612D48"/>
    <w:rsid w:val="006134EC"/>
    <w:rsid w:val="00616B45"/>
    <w:rsid w:val="006402CD"/>
    <w:rsid w:val="006439EC"/>
    <w:rsid w:val="0066166E"/>
    <w:rsid w:val="006717FE"/>
    <w:rsid w:val="006739B9"/>
    <w:rsid w:val="006A4BB1"/>
    <w:rsid w:val="006B3845"/>
    <w:rsid w:val="006B4590"/>
    <w:rsid w:val="006C340C"/>
    <w:rsid w:val="006F41F2"/>
    <w:rsid w:val="0070347C"/>
    <w:rsid w:val="007245EE"/>
    <w:rsid w:val="0075177A"/>
    <w:rsid w:val="00757464"/>
    <w:rsid w:val="00757B26"/>
    <w:rsid w:val="007602DF"/>
    <w:rsid w:val="0077740E"/>
    <w:rsid w:val="00786EED"/>
    <w:rsid w:val="00794671"/>
    <w:rsid w:val="007A259D"/>
    <w:rsid w:val="007B4AD1"/>
    <w:rsid w:val="007D30F7"/>
    <w:rsid w:val="007D6686"/>
    <w:rsid w:val="0081197C"/>
    <w:rsid w:val="00844750"/>
    <w:rsid w:val="00853BD1"/>
    <w:rsid w:val="0088312E"/>
    <w:rsid w:val="008921DD"/>
    <w:rsid w:val="0089595B"/>
    <w:rsid w:val="008B4356"/>
    <w:rsid w:val="008E7FAE"/>
    <w:rsid w:val="00911BF7"/>
    <w:rsid w:val="0096714A"/>
    <w:rsid w:val="00977EC8"/>
    <w:rsid w:val="009D3A8C"/>
    <w:rsid w:val="009E1003"/>
    <w:rsid w:val="009E7956"/>
    <w:rsid w:val="00A2492E"/>
    <w:rsid w:val="00A3601F"/>
    <w:rsid w:val="00A41FCA"/>
    <w:rsid w:val="00A51CAF"/>
    <w:rsid w:val="00A63BBD"/>
    <w:rsid w:val="00A8374C"/>
    <w:rsid w:val="00A954DF"/>
    <w:rsid w:val="00AB7C68"/>
    <w:rsid w:val="00AC47AD"/>
    <w:rsid w:val="00AC7977"/>
    <w:rsid w:val="00AD756A"/>
    <w:rsid w:val="00AE352C"/>
    <w:rsid w:val="00AE5C9A"/>
    <w:rsid w:val="00AF7632"/>
    <w:rsid w:val="00B32AA5"/>
    <w:rsid w:val="00B32E2D"/>
    <w:rsid w:val="00B400FE"/>
    <w:rsid w:val="00B61990"/>
    <w:rsid w:val="00B92596"/>
    <w:rsid w:val="00B9642C"/>
    <w:rsid w:val="00BE28D3"/>
    <w:rsid w:val="00BF0556"/>
    <w:rsid w:val="00C0556A"/>
    <w:rsid w:val="00C261F8"/>
    <w:rsid w:val="00C717E0"/>
    <w:rsid w:val="00CD1A71"/>
    <w:rsid w:val="00CD1FBB"/>
    <w:rsid w:val="00CE2A9C"/>
    <w:rsid w:val="00CE5AFE"/>
    <w:rsid w:val="00D016B5"/>
    <w:rsid w:val="00D034F1"/>
    <w:rsid w:val="00D178FE"/>
    <w:rsid w:val="00D27D5E"/>
    <w:rsid w:val="00D42E42"/>
    <w:rsid w:val="00D72E7E"/>
    <w:rsid w:val="00D8378D"/>
    <w:rsid w:val="00DE2AF1"/>
    <w:rsid w:val="00DE4E58"/>
    <w:rsid w:val="00DE6D90"/>
    <w:rsid w:val="00DF002F"/>
    <w:rsid w:val="00E0244D"/>
    <w:rsid w:val="00E53A1D"/>
    <w:rsid w:val="00E573D6"/>
    <w:rsid w:val="00E73D0D"/>
    <w:rsid w:val="00E81E94"/>
    <w:rsid w:val="00E82607"/>
    <w:rsid w:val="00EB4E36"/>
    <w:rsid w:val="00EF649D"/>
    <w:rsid w:val="00F10EDA"/>
    <w:rsid w:val="00F22103"/>
    <w:rsid w:val="00F3482D"/>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36A618"/>
  <w15:docId w15:val="{F25A5C62-55F9-4234-99DA-9BE36639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02DEC"/>
    <w:rPr>
      <w:sz w:val="18"/>
      <w:lang w:val="en-GB" w:eastAsia="en-US"/>
    </w:rPr>
  </w:style>
  <w:style w:type="paragraph" w:styleId="ListParagraph">
    <w:name w:val="List Paragraph"/>
    <w:basedOn w:val="Normal"/>
    <w:uiPriority w:val="34"/>
    <w:qFormat/>
    <w:rsid w:val="00402DEC"/>
    <w:pPr>
      <w:suppressAutoHyphens w:val="0"/>
      <w:spacing w:after="200" w:line="276" w:lineRule="auto"/>
      <w:ind w:left="720"/>
      <w:contextualSpacing/>
    </w:pPr>
    <w:rPr>
      <w:rFonts w:asciiTheme="minorHAnsi" w:eastAsiaTheme="minorHAnsi" w:hAnsiTheme="minorHAnsi" w:cstheme="minorBidi"/>
      <w:sz w:val="22"/>
      <w:szCs w:val="22"/>
      <w:lang w:val="fr-FR"/>
    </w:rPr>
  </w:style>
  <w:style w:type="paragraph" w:styleId="Revision">
    <w:name w:val="Revision"/>
    <w:hidden/>
    <w:uiPriority w:val="99"/>
    <w:semiHidden/>
    <w:rsid w:val="00786EED"/>
    <w:rPr>
      <w:lang w:val="fr-CH" w:eastAsia="en-US"/>
    </w:rPr>
  </w:style>
  <w:style w:type="character" w:styleId="CommentReference">
    <w:name w:val="annotation reference"/>
    <w:basedOn w:val="DefaultParagraphFont"/>
    <w:semiHidden/>
    <w:unhideWhenUsed/>
    <w:rsid w:val="00D178FE"/>
    <w:rPr>
      <w:sz w:val="16"/>
      <w:szCs w:val="16"/>
    </w:rPr>
  </w:style>
  <w:style w:type="paragraph" w:styleId="CommentText">
    <w:name w:val="annotation text"/>
    <w:basedOn w:val="Normal"/>
    <w:link w:val="CommentTextChar"/>
    <w:semiHidden/>
    <w:unhideWhenUsed/>
    <w:rsid w:val="00D178FE"/>
    <w:pPr>
      <w:spacing w:line="240" w:lineRule="auto"/>
    </w:pPr>
  </w:style>
  <w:style w:type="character" w:customStyle="1" w:styleId="CommentTextChar">
    <w:name w:val="Comment Text Char"/>
    <w:basedOn w:val="DefaultParagraphFont"/>
    <w:link w:val="CommentText"/>
    <w:semiHidden/>
    <w:rsid w:val="00D178FE"/>
    <w:rPr>
      <w:lang w:val="fr-CH" w:eastAsia="en-US"/>
    </w:rPr>
  </w:style>
  <w:style w:type="paragraph" w:styleId="CommentSubject">
    <w:name w:val="annotation subject"/>
    <w:basedOn w:val="CommentText"/>
    <w:next w:val="CommentText"/>
    <w:link w:val="CommentSubjectChar"/>
    <w:semiHidden/>
    <w:unhideWhenUsed/>
    <w:rsid w:val="00D178FE"/>
    <w:rPr>
      <w:b/>
      <w:bCs/>
    </w:rPr>
  </w:style>
  <w:style w:type="character" w:customStyle="1" w:styleId="CommentSubjectChar">
    <w:name w:val="Comment Subject Char"/>
    <w:basedOn w:val="CommentTextChar"/>
    <w:link w:val="CommentSubject"/>
    <w:semiHidden/>
    <w:rsid w:val="00D178FE"/>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04CD-C8A6-4D3F-86D8-69A99CAE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5</Pages>
  <Words>2049</Words>
  <Characters>10655</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A/HRC/52/12/Add.1</vt:lpstr>
      <vt:lpstr>Nations Unies</vt:lpstr>
    </vt:vector>
  </TitlesOfParts>
  <Company>CSD</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A/HRC/52/12/Add.1</dc:title>
  <dc:creator>IHARA Sumiko</dc:creator>
  <cp:lastModifiedBy>Veronique Lanz</cp:lastModifiedBy>
  <cp:revision>2</cp:revision>
  <cp:lastPrinted>2023-03-10T07:11:00Z</cp:lastPrinted>
  <dcterms:created xsi:type="dcterms:W3CDTF">2023-03-10T07:28:00Z</dcterms:created>
  <dcterms:modified xsi:type="dcterms:W3CDTF">2023-03-10T07:28:00Z</dcterms:modified>
</cp:coreProperties>
</file>