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DB91" w14:textId="76FE73D7" w:rsidR="0055096D" w:rsidRPr="00184DC5"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fr-FR"/>
        </w:rPr>
      </w:pPr>
      <w:r w:rsidRPr="00184DC5">
        <w:rPr>
          <w:rFonts w:asciiTheme="majorBidi" w:hAnsiTheme="majorBidi" w:cstheme="majorBidi"/>
          <w:b/>
          <w:color w:val="000000" w:themeColor="text1"/>
          <w:sz w:val="22"/>
          <w:szCs w:val="22"/>
          <w:lang w:val="fr-FR"/>
        </w:rPr>
        <w:t>Appel à contributions</w:t>
      </w:r>
    </w:p>
    <w:p w14:paraId="1AAEEBAE" w14:textId="77777777" w:rsidR="000715B4" w:rsidRPr="00184DC5"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fr-FR"/>
        </w:rPr>
      </w:pPr>
    </w:p>
    <w:p w14:paraId="269BD56C" w14:textId="458E2E92" w:rsidR="000715B4"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fr-FR"/>
        </w:rPr>
      </w:pPr>
      <w:r w:rsidRPr="00184DC5">
        <w:rPr>
          <w:rFonts w:asciiTheme="majorBidi" w:hAnsiTheme="majorBidi" w:cstheme="majorBidi"/>
          <w:b/>
          <w:color w:val="000000" w:themeColor="text1"/>
          <w:sz w:val="28"/>
          <w:szCs w:val="28"/>
          <w:lang w:val="fr-FR"/>
        </w:rPr>
        <w:t>Rapport de l'</w:t>
      </w:r>
      <w:r w:rsidR="00184DC5" w:rsidRPr="00184DC5">
        <w:rPr>
          <w:rFonts w:asciiTheme="majorBidi" w:hAnsiTheme="majorBidi" w:cstheme="majorBidi"/>
          <w:b/>
          <w:color w:val="000000" w:themeColor="text1"/>
          <w:sz w:val="28"/>
          <w:szCs w:val="28"/>
          <w:lang w:val="fr-FR"/>
        </w:rPr>
        <w:t>Expert indépendant chargé de la question de la protection contre la violence et la discrimination liées à l’orientation sexuelle et l’identité de genre</w:t>
      </w:r>
    </w:p>
    <w:p w14:paraId="7A9D621D" w14:textId="77777777" w:rsidR="00184DC5" w:rsidRPr="00184DC5" w:rsidRDefault="00184DC5" w:rsidP="000715B4">
      <w:pPr>
        <w:pStyle w:val="NormalWeb"/>
        <w:spacing w:before="0" w:beforeAutospacing="0" w:after="0" w:afterAutospacing="0"/>
        <w:jc w:val="center"/>
        <w:rPr>
          <w:rFonts w:asciiTheme="majorBidi" w:hAnsiTheme="majorBidi" w:cstheme="majorBidi"/>
          <w:b/>
          <w:color w:val="000000" w:themeColor="text1"/>
          <w:sz w:val="22"/>
          <w:szCs w:val="22"/>
          <w:lang w:val="fr-FR"/>
        </w:rPr>
      </w:pPr>
    </w:p>
    <w:p w14:paraId="09DC80FD" w14:textId="3F741A65" w:rsidR="0055096D" w:rsidRPr="00184DC5"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fr-FR"/>
        </w:rPr>
      </w:pPr>
      <w:r w:rsidRPr="00184DC5">
        <w:rPr>
          <w:rFonts w:asciiTheme="majorBidi" w:hAnsiTheme="majorBidi" w:cstheme="majorBidi"/>
          <w:b/>
          <w:i/>
          <w:iCs/>
          <w:color w:val="000000" w:themeColor="text1"/>
          <w:sz w:val="22"/>
          <w:szCs w:val="22"/>
          <w:lang w:val="fr-FR"/>
        </w:rPr>
        <w:t>Sujet : Liberté de religion ou de conviction et protection contre la violence et la discrimination fondées sur l'orientation sexuelle et l'identité de genre</w:t>
      </w:r>
    </w:p>
    <w:p w14:paraId="05FB6CB9" w14:textId="77777777" w:rsidR="000715B4" w:rsidRPr="00184DC5"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fr-FR"/>
        </w:rPr>
      </w:pPr>
    </w:p>
    <w:p w14:paraId="679D213C" w14:textId="1877CE27"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rPr>
        <w:t xml:space="preserve">APPEL </w:t>
      </w:r>
      <w:r w:rsidR="00184DC5">
        <w:rPr>
          <w:rFonts w:ascii="Times New Roman" w:eastAsia="Times New Roman" w:hAnsi="Times New Roman" w:cs="Times New Roman"/>
          <w:b/>
          <w:color w:val="000000" w:themeColor="text1"/>
          <w:sz w:val="22"/>
          <w:szCs w:val="22"/>
        </w:rPr>
        <w:t>À</w:t>
      </w:r>
      <w:r w:rsidRPr="00C62553">
        <w:rPr>
          <w:rFonts w:ascii="Times New Roman" w:eastAsia="Times New Roman" w:hAnsi="Times New Roman" w:cs="Times New Roman"/>
          <w:b/>
          <w:color w:val="000000" w:themeColor="text1"/>
          <w:sz w:val="22"/>
          <w:szCs w:val="22"/>
        </w:rPr>
        <w:t xml:space="preserve"> CONTRIBUTIONS</w:t>
      </w:r>
    </w:p>
    <w:p w14:paraId="1210F622" w14:textId="77777777"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rPr>
        <w:t> </w:t>
      </w:r>
    </w:p>
    <w:p w14:paraId="2FBF2914" w14:textId="6DC8C125" w:rsidR="000715B4" w:rsidRPr="00C62553"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rPr>
      </w:pPr>
      <w:r w:rsidRPr="00C62553">
        <w:rPr>
          <w:rFonts w:ascii="Times New Roman" w:eastAsia="Times New Roman" w:hAnsi="Times New Roman" w:cs="Times New Roman"/>
          <w:b/>
          <w:color w:val="000000" w:themeColor="text1"/>
          <w:sz w:val="22"/>
          <w:szCs w:val="22"/>
          <w:u w:val="single"/>
        </w:rPr>
        <w:t xml:space="preserve">Date limite </w:t>
      </w:r>
      <w:r w:rsidRPr="00184DC5">
        <w:rPr>
          <w:rFonts w:ascii="Times New Roman" w:eastAsia="Times New Roman" w:hAnsi="Times New Roman" w:cs="Times New Roman"/>
          <w:b/>
          <w:color w:val="000000" w:themeColor="text1"/>
          <w:sz w:val="22"/>
          <w:szCs w:val="22"/>
          <w:u w:val="single"/>
          <w:lang w:val="fr-FR"/>
        </w:rPr>
        <w:t xml:space="preserve">: </w:t>
      </w:r>
      <w:r w:rsidR="00F80C37" w:rsidRPr="00F80C37">
        <w:rPr>
          <w:rFonts w:ascii="Times New Roman" w:eastAsia="Times New Roman" w:hAnsi="Times New Roman" w:cs="Times New Roman"/>
          <w:b/>
          <w:color w:val="000000" w:themeColor="text1"/>
          <w:sz w:val="22"/>
          <w:szCs w:val="22"/>
          <w:u w:val="single"/>
          <w:lang w:val="fr-FR"/>
        </w:rPr>
        <w:t>15 janvier 2023</w:t>
      </w:r>
    </w:p>
    <w:p w14:paraId="5397BCFB" w14:textId="77777777" w:rsidR="000715B4" w:rsidRPr="00C62553"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rPr>
      </w:pPr>
    </w:p>
    <w:p w14:paraId="64395126" w14:textId="77777777" w:rsidR="007B115D" w:rsidRPr="001D5327" w:rsidRDefault="007B115D" w:rsidP="001D5327">
      <w:pPr>
        <w:pStyle w:val="NormalWeb"/>
        <w:spacing w:before="0" w:beforeAutospacing="0" w:after="0" w:afterAutospacing="0"/>
        <w:jc w:val="both"/>
        <w:rPr>
          <w:b/>
          <w:bCs/>
          <w:color w:val="000000" w:themeColor="text1"/>
          <w:lang w:val="fr-FR"/>
        </w:rPr>
      </w:pPr>
      <w:r w:rsidRPr="001D5327">
        <w:rPr>
          <w:b/>
          <w:bCs/>
          <w:color w:val="000000" w:themeColor="text1"/>
          <w:lang w:val="fr-FR"/>
        </w:rPr>
        <w:t>Introduction</w:t>
      </w:r>
    </w:p>
    <w:p w14:paraId="4C3298B9" w14:textId="77777777" w:rsidR="000715B4" w:rsidRPr="001D5327" w:rsidRDefault="000715B4" w:rsidP="001D5327">
      <w:pPr>
        <w:pStyle w:val="NormalWeb"/>
        <w:spacing w:before="0" w:beforeAutospacing="0" w:after="0" w:afterAutospacing="0"/>
        <w:jc w:val="both"/>
        <w:rPr>
          <w:color w:val="000000" w:themeColor="text1"/>
          <w:lang w:val="fr-FR"/>
        </w:rPr>
      </w:pPr>
    </w:p>
    <w:p w14:paraId="51E59A1D" w14:textId="4C54671A" w:rsidR="0005220D" w:rsidRPr="001D5327" w:rsidRDefault="00506AEE" w:rsidP="001D5327">
      <w:pPr>
        <w:pStyle w:val="NormalWeb"/>
        <w:spacing w:before="0" w:beforeAutospacing="0" w:after="0" w:afterAutospacing="0"/>
        <w:jc w:val="both"/>
        <w:rPr>
          <w:color w:val="000000" w:themeColor="text1"/>
          <w:lang w:val="fr-FR"/>
        </w:rPr>
      </w:pPr>
      <w:r w:rsidRPr="001D5327">
        <w:rPr>
          <w:color w:val="000000" w:themeColor="text1"/>
          <w:lang w:val="fr-FR"/>
        </w:rPr>
        <w:t>L'</w:t>
      </w:r>
      <w:r w:rsidR="00184DC5" w:rsidRPr="001D5327">
        <w:rPr>
          <w:color w:val="000000" w:themeColor="text1"/>
          <w:lang w:val="fr-FR"/>
        </w:rPr>
        <w:t>Expert indépendant chargé de la question de la protection contre la violence et la discrimination liées à l’orientation sexuelle et l’identité de genre</w:t>
      </w:r>
      <w:r w:rsidRPr="001D5327">
        <w:rPr>
          <w:color w:val="000000" w:themeColor="text1"/>
          <w:lang w:val="fr-FR"/>
        </w:rPr>
        <w:t>, M. Victor Madrigal-Borloz, consacrera son rapport à la 53</w:t>
      </w:r>
      <w:r w:rsidR="00184DC5" w:rsidRPr="001D5327">
        <w:rPr>
          <w:color w:val="000000" w:themeColor="text1"/>
          <w:vertAlign w:val="superscript"/>
          <w:lang w:val="fr-FR"/>
        </w:rPr>
        <w:t>ème</w:t>
      </w:r>
      <w:r w:rsidR="00184DC5" w:rsidRPr="001D5327">
        <w:rPr>
          <w:color w:val="000000" w:themeColor="text1"/>
          <w:lang w:val="fr-FR"/>
        </w:rPr>
        <w:t xml:space="preserve"> session d</w:t>
      </w:r>
      <w:r w:rsidRPr="001D5327">
        <w:rPr>
          <w:color w:val="000000" w:themeColor="text1"/>
          <w:lang w:val="fr-FR"/>
        </w:rPr>
        <w:t>u Conseil des droits de l'homme des Nations Unies à une exploration du droit à la liberté de religion ou de conviction</w:t>
      </w:r>
      <w:r w:rsidR="00184DC5" w:rsidRPr="001D5327">
        <w:rPr>
          <w:color w:val="000000" w:themeColor="text1"/>
          <w:lang w:val="fr-FR"/>
        </w:rPr>
        <w:t xml:space="preserve"> </w:t>
      </w:r>
      <w:r w:rsidR="009219B0" w:rsidRPr="001D5327">
        <w:rPr>
          <w:color w:val="000000" w:themeColor="text1"/>
          <w:lang w:val="fr-FR"/>
        </w:rPr>
        <w:t xml:space="preserve">en relation avec l'orientation sexuelle et l'identité de genre. En prenant comme points de départ le droit international des droits </w:t>
      </w:r>
      <w:r w:rsidR="00184DC5" w:rsidRPr="001D5327">
        <w:rPr>
          <w:color w:val="000000" w:themeColor="text1"/>
          <w:lang w:val="fr-FR"/>
        </w:rPr>
        <w:t>humains</w:t>
      </w:r>
      <w:r w:rsidR="009219B0" w:rsidRPr="001D5327">
        <w:rPr>
          <w:color w:val="000000" w:themeColor="text1"/>
          <w:lang w:val="fr-FR"/>
        </w:rPr>
        <w:t xml:space="preserve"> et une approche </w:t>
      </w:r>
      <w:r w:rsidR="00131CC9" w:rsidRPr="001D5327">
        <w:rPr>
          <w:color w:val="000000" w:themeColor="text1"/>
          <w:lang w:val="fr-FR"/>
        </w:rPr>
        <w:t xml:space="preserve">centrée </w:t>
      </w:r>
      <w:r w:rsidR="00255DB0" w:rsidRPr="001D5327">
        <w:rPr>
          <w:color w:val="000000" w:themeColor="text1"/>
          <w:lang w:val="fr-FR"/>
        </w:rPr>
        <w:t>sur l'indivisibilité et l'interdépendance, l'</w:t>
      </w:r>
      <w:r w:rsidR="00184DC5" w:rsidRPr="001D5327">
        <w:rPr>
          <w:color w:val="000000" w:themeColor="text1"/>
          <w:lang w:val="fr-FR"/>
        </w:rPr>
        <w:t xml:space="preserve">Expert Indépendant </w:t>
      </w:r>
      <w:r w:rsidR="00255DB0" w:rsidRPr="001D5327">
        <w:rPr>
          <w:color w:val="000000" w:themeColor="text1"/>
          <w:lang w:val="fr-FR"/>
        </w:rPr>
        <w:t>explorera la dynamique juridique, politique et éthique entre les droits humains des personnes ayant des orientations sexuelles et des identités de genre diverses et l</w:t>
      </w:r>
      <w:r w:rsidR="00184DC5" w:rsidRPr="001D5327">
        <w:rPr>
          <w:color w:val="000000" w:themeColor="text1"/>
          <w:lang w:val="fr-FR"/>
        </w:rPr>
        <w:t>e</w:t>
      </w:r>
      <w:r w:rsidR="00255DB0" w:rsidRPr="001D5327">
        <w:rPr>
          <w:color w:val="000000" w:themeColor="text1"/>
          <w:lang w:val="fr-FR"/>
        </w:rPr>
        <w:t xml:space="preserve"> droit humain à la liberté de religion ou de conviction, ainsi que les récits entourant la mise en œuvre de ces ensembles de droits.</w:t>
      </w:r>
    </w:p>
    <w:p w14:paraId="032F12E1" w14:textId="77777777" w:rsidR="000715B4" w:rsidRPr="001D5327" w:rsidRDefault="000715B4" w:rsidP="001D5327">
      <w:pPr>
        <w:pStyle w:val="NormalWeb"/>
        <w:spacing w:before="0" w:beforeAutospacing="0" w:after="0" w:afterAutospacing="0"/>
        <w:jc w:val="both"/>
        <w:rPr>
          <w:color w:val="000000" w:themeColor="text1"/>
          <w:lang w:val="fr-FR"/>
        </w:rPr>
      </w:pPr>
    </w:p>
    <w:p w14:paraId="377E5D5A" w14:textId="572F0270" w:rsidR="0005220D" w:rsidRPr="001D5327" w:rsidRDefault="0005220D" w:rsidP="001D5327">
      <w:pPr>
        <w:pStyle w:val="NormalWeb"/>
        <w:spacing w:before="0" w:beforeAutospacing="0" w:after="0" w:afterAutospacing="0"/>
        <w:jc w:val="both"/>
        <w:rPr>
          <w:color w:val="000000" w:themeColor="text1"/>
          <w:lang w:val="fr-FR"/>
        </w:rPr>
      </w:pPr>
      <w:r w:rsidRPr="001D5327">
        <w:rPr>
          <w:color w:val="000000" w:themeColor="text1"/>
          <w:lang w:val="fr-FR"/>
        </w:rPr>
        <w:t>Le rapport examinera les discours</w:t>
      </w:r>
      <w:r w:rsidR="00184DC5" w:rsidRPr="001D5327">
        <w:rPr>
          <w:color w:val="000000" w:themeColor="text1"/>
          <w:lang w:val="fr-FR"/>
        </w:rPr>
        <w:t>,</w:t>
      </w:r>
      <w:r w:rsidRPr="001D5327">
        <w:rPr>
          <w:color w:val="000000" w:themeColor="text1"/>
          <w:lang w:val="fr-FR"/>
        </w:rPr>
        <w:t xml:space="preserve"> </w:t>
      </w:r>
      <w:r w:rsidR="00184DC5" w:rsidRPr="001D5327">
        <w:rPr>
          <w:color w:val="000000" w:themeColor="text1"/>
          <w:lang w:val="fr-FR"/>
        </w:rPr>
        <w:t xml:space="preserve">qu’ils soient </w:t>
      </w:r>
      <w:r w:rsidRPr="001D5327">
        <w:rPr>
          <w:color w:val="000000" w:themeColor="text1"/>
          <w:lang w:val="fr-FR"/>
        </w:rPr>
        <w:t xml:space="preserve">établis de longue date </w:t>
      </w:r>
      <w:r w:rsidR="00184DC5" w:rsidRPr="001D5327">
        <w:rPr>
          <w:color w:val="000000" w:themeColor="text1"/>
          <w:lang w:val="fr-FR"/>
        </w:rPr>
        <w:t>ou</w:t>
      </w:r>
      <w:r w:rsidRPr="001D5327">
        <w:rPr>
          <w:color w:val="000000" w:themeColor="text1"/>
          <w:lang w:val="fr-FR"/>
        </w:rPr>
        <w:t xml:space="preserve"> émergents</w:t>
      </w:r>
      <w:r w:rsidR="00184DC5" w:rsidRPr="001D5327">
        <w:rPr>
          <w:color w:val="000000" w:themeColor="text1"/>
          <w:lang w:val="fr-FR"/>
        </w:rPr>
        <w:t>,</w:t>
      </w:r>
      <w:r w:rsidRPr="001D5327">
        <w:rPr>
          <w:color w:val="000000" w:themeColor="text1"/>
          <w:lang w:val="fr-FR"/>
        </w:rPr>
        <w:t xml:space="preserve"> à l'origine des contradictions perçues entre </w:t>
      </w:r>
      <w:r w:rsidR="00184DC5" w:rsidRPr="001D5327">
        <w:rPr>
          <w:color w:val="000000" w:themeColor="text1"/>
          <w:lang w:val="fr-FR"/>
        </w:rPr>
        <w:t>liberté de religion ou de conviction</w:t>
      </w:r>
      <w:r w:rsidR="00B17623" w:rsidRPr="001D5327">
        <w:rPr>
          <w:color w:val="000000" w:themeColor="text1"/>
          <w:lang w:val="fr-FR"/>
        </w:rPr>
        <w:t xml:space="preserve"> </w:t>
      </w:r>
      <w:r w:rsidR="006563FC" w:rsidRPr="001D5327">
        <w:rPr>
          <w:color w:val="000000" w:themeColor="text1"/>
          <w:lang w:val="fr-FR"/>
        </w:rPr>
        <w:t>et l'absence de violence et de discrimination fondée sur l'</w:t>
      </w:r>
      <w:r w:rsidR="00184DC5" w:rsidRPr="001D5327">
        <w:rPr>
          <w:color w:val="000000" w:themeColor="text1"/>
          <w:lang w:val="fr-FR"/>
        </w:rPr>
        <w:t>orientation sexuelle et l'identité de genre</w:t>
      </w:r>
      <w:r w:rsidR="006563FC" w:rsidRPr="001D5327">
        <w:rPr>
          <w:color w:val="000000" w:themeColor="text1"/>
          <w:lang w:val="fr-FR"/>
        </w:rPr>
        <w:t xml:space="preserve">, en référence à des concepts juridiques tels que l'objection de conscience, les aménagements raisonnables pour les </w:t>
      </w:r>
      <w:sdt>
        <w:sdtPr>
          <w:rPr>
            <w:color w:val="000000" w:themeColor="text1"/>
            <w:lang w:val="en-GB"/>
          </w:rPr>
          <w:tag w:val="goog_rdk_45"/>
          <w:id w:val="1246925233"/>
        </w:sdtPr>
        <w:sdtEndPr/>
        <w:sdtContent/>
      </w:sdt>
      <w:r w:rsidR="006563FC" w:rsidRPr="001D5327">
        <w:rPr>
          <w:color w:val="000000" w:themeColor="text1"/>
          <w:lang w:val="fr-FR"/>
        </w:rPr>
        <w:t>croyances religieuses et l</w:t>
      </w:r>
      <w:r w:rsidR="00184DC5" w:rsidRPr="001D5327">
        <w:rPr>
          <w:color w:val="000000" w:themeColor="text1"/>
          <w:lang w:val="fr-FR"/>
        </w:rPr>
        <w:t>es</w:t>
      </w:r>
      <w:r w:rsidR="006563FC" w:rsidRPr="001D5327">
        <w:rPr>
          <w:color w:val="000000" w:themeColor="text1"/>
          <w:lang w:val="fr-FR"/>
        </w:rPr>
        <w:t xml:space="preserve"> loi</w:t>
      </w:r>
      <w:r w:rsidR="00184DC5" w:rsidRPr="001D5327">
        <w:rPr>
          <w:color w:val="000000" w:themeColor="text1"/>
          <w:lang w:val="fr-FR"/>
        </w:rPr>
        <w:t>s</w:t>
      </w:r>
      <w:r w:rsidR="006563FC" w:rsidRPr="001D5327">
        <w:rPr>
          <w:color w:val="000000" w:themeColor="text1"/>
          <w:lang w:val="fr-FR"/>
        </w:rPr>
        <w:t xml:space="preserve"> et politiques publiques anti-discrimination. En </w:t>
      </w:r>
      <w:r w:rsidR="00184DC5" w:rsidRPr="001D5327">
        <w:rPr>
          <w:color w:val="000000" w:themeColor="text1"/>
          <w:lang w:val="fr-FR"/>
        </w:rPr>
        <w:t>analysant</w:t>
      </w:r>
      <w:r w:rsidR="006563FC" w:rsidRPr="001D5327">
        <w:rPr>
          <w:color w:val="000000" w:themeColor="text1"/>
          <w:lang w:val="fr-FR"/>
        </w:rPr>
        <w:t xml:space="preserve"> les liens et les points de tension apparents entre les deux systèmes de droits,</w:t>
      </w:r>
      <w:r w:rsidR="00184DC5" w:rsidRPr="001D5327">
        <w:rPr>
          <w:rStyle w:val="FootnoteReference"/>
          <w:color w:val="000000" w:themeColor="text1"/>
          <w:lang w:val="fr-FR"/>
        </w:rPr>
        <w:footnoteReference w:id="2"/>
      </w:r>
      <w:r w:rsidR="00184DC5" w:rsidRPr="001D5327">
        <w:rPr>
          <w:color w:val="000000" w:themeColor="text1"/>
          <w:lang w:val="fr-FR"/>
        </w:rPr>
        <w:t xml:space="preserve"> l’Expert Indépendant</w:t>
      </w:r>
      <w:r w:rsidR="00E33A54" w:rsidRPr="001D5327">
        <w:rPr>
          <w:color w:val="000000" w:themeColor="text1"/>
          <w:lang w:val="fr-FR"/>
        </w:rPr>
        <w:t xml:space="preserve"> analysera l</w:t>
      </w:r>
      <w:r w:rsidR="00184DC5" w:rsidRPr="001D5327">
        <w:rPr>
          <w:color w:val="000000" w:themeColor="text1"/>
          <w:lang w:val="fr-FR"/>
        </w:rPr>
        <w:t>eur</w:t>
      </w:r>
      <w:r w:rsidR="00E33A54" w:rsidRPr="001D5327">
        <w:rPr>
          <w:color w:val="000000" w:themeColor="text1"/>
          <w:lang w:val="fr-FR"/>
        </w:rPr>
        <w:t xml:space="preserve"> potentiel à se limiter, ainsi que </w:t>
      </w:r>
      <w:r w:rsidR="00184DC5" w:rsidRPr="001D5327">
        <w:rPr>
          <w:color w:val="000000" w:themeColor="text1"/>
          <w:lang w:val="fr-FR"/>
        </w:rPr>
        <w:t>leurs</w:t>
      </w:r>
      <w:r w:rsidR="00E33A54" w:rsidRPr="001D5327">
        <w:rPr>
          <w:color w:val="000000" w:themeColor="text1"/>
          <w:lang w:val="fr-FR"/>
        </w:rPr>
        <w:t xml:space="preserve"> synergies. L'objectif est de fournir des récits juridiques et politiques pour s'éloigner d</w:t>
      </w:r>
      <w:r w:rsidR="00184DC5" w:rsidRPr="001D5327">
        <w:rPr>
          <w:color w:val="000000" w:themeColor="text1"/>
          <w:lang w:val="fr-FR"/>
        </w:rPr>
        <w:t xml:space="preserve">’une </w:t>
      </w:r>
      <w:r w:rsidR="00E33A54" w:rsidRPr="001D5327">
        <w:rPr>
          <w:color w:val="000000" w:themeColor="text1"/>
          <w:lang w:val="fr-FR"/>
        </w:rPr>
        <w:t xml:space="preserve">analyse à somme nulle et concilier les bases théoriques de la jouissance des droits </w:t>
      </w:r>
      <w:r w:rsidR="00184DC5" w:rsidRPr="001D5327">
        <w:rPr>
          <w:color w:val="000000" w:themeColor="text1"/>
          <w:lang w:val="fr-FR"/>
        </w:rPr>
        <w:t>humains</w:t>
      </w:r>
      <w:r w:rsidR="00E33A54" w:rsidRPr="001D5327">
        <w:rPr>
          <w:color w:val="000000" w:themeColor="text1"/>
          <w:lang w:val="fr-FR"/>
        </w:rPr>
        <w:t xml:space="preserve"> par toutes les personnes. Le rapport formulera des recommandations aux États et aux autres parties prenantes concernées pour qu'ils se conforment pleinement à leurs obligations en vertu du droit international des droits </w:t>
      </w:r>
      <w:r w:rsidR="00184DC5" w:rsidRPr="001D5327">
        <w:rPr>
          <w:color w:val="000000" w:themeColor="text1"/>
          <w:lang w:val="fr-FR"/>
        </w:rPr>
        <w:t>humains</w:t>
      </w:r>
      <w:r w:rsidR="00E33A54" w:rsidRPr="001D5327">
        <w:rPr>
          <w:color w:val="000000" w:themeColor="text1"/>
          <w:lang w:val="fr-FR"/>
        </w:rPr>
        <w:t xml:space="preserve"> de protéger et d'autonomiser les personnes </w:t>
      </w:r>
      <w:r w:rsidR="00184DC5" w:rsidRPr="001D5327">
        <w:rPr>
          <w:color w:val="000000" w:themeColor="text1"/>
          <w:lang w:val="fr-FR"/>
        </w:rPr>
        <w:t>lesbiennes, gays, bisexuelles, trans et de genre divers (LGBT)</w:t>
      </w:r>
      <w:r w:rsidR="00E33A54" w:rsidRPr="001D5327">
        <w:rPr>
          <w:color w:val="000000" w:themeColor="text1"/>
          <w:lang w:val="fr-FR"/>
        </w:rPr>
        <w:t xml:space="preserve"> afin qu'elles </w:t>
      </w:r>
      <w:r w:rsidR="00184DC5" w:rsidRPr="001D5327">
        <w:rPr>
          <w:color w:val="000000" w:themeColor="text1"/>
          <w:lang w:val="fr-FR"/>
        </w:rPr>
        <w:t xml:space="preserve">puissent </w:t>
      </w:r>
      <w:r w:rsidR="00E33A54" w:rsidRPr="001D5327">
        <w:rPr>
          <w:color w:val="000000" w:themeColor="text1"/>
          <w:lang w:val="fr-FR"/>
        </w:rPr>
        <w:t>recherche</w:t>
      </w:r>
      <w:r w:rsidR="00184DC5" w:rsidRPr="001D5327">
        <w:rPr>
          <w:color w:val="000000" w:themeColor="text1"/>
          <w:lang w:val="fr-FR"/>
        </w:rPr>
        <w:t>r</w:t>
      </w:r>
      <w:r w:rsidR="00E33A54" w:rsidRPr="001D5327">
        <w:rPr>
          <w:color w:val="000000" w:themeColor="text1"/>
          <w:lang w:val="fr-FR"/>
        </w:rPr>
        <w:t xml:space="preserve"> le bonheur, exerce</w:t>
      </w:r>
      <w:r w:rsidR="00184DC5" w:rsidRPr="001D5327">
        <w:rPr>
          <w:color w:val="000000" w:themeColor="text1"/>
          <w:lang w:val="fr-FR"/>
        </w:rPr>
        <w:t>r</w:t>
      </w:r>
      <w:r w:rsidR="00E33A54" w:rsidRPr="001D5327">
        <w:rPr>
          <w:color w:val="000000" w:themeColor="text1"/>
          <w:lang w:val="fr-FR"/>
        </w:rPr>
        <w:t xml:space="preserve"> et joui</w:t>
      </w:r>
      <w:r w:rsidR="00184DC5" w:rsidRPr="001D5327">
        <w:rPr>
          <w:color w:val="000000" w:themeColor="text1"/>
          <w:lang w:val="fr-FR"/>
        </w:rPr>
        <w:t>r</w:t>
      </w:r>
      <w:r w:rsidR="00E33A54" w:rsidRPr="001D5327">
        <w:rPr>
          <w:color w:val="000000" w:themeColor="text1"/>
          <w:lang w:val="fr-FR"/>
        </w:rPr>
        <w:t xml:space="preserve"> de tous leurs droits humains, et choisi</w:t>
      </w:r>
      <w:r w:rsidR="00184DC5" w:rsidRPr="001D5327">
        <w:rPr>
          <w:color w:val="000000" w:themeColor="text1"/>
          <w:lang w:val="fr-FR"/>
        </w:rPr>
        <w:t>r</w:t>
      </w:r>
      <w:r w:rsidR="00E33A54" w:rsidRPr="001D5327">
        <w:rPr>
          <w:color w:val="000000" w:themeColor="text1"/>
          <w:lang w:val="fr-FR"/>
        </w:rPr>
        <w:t xml:space="preserve"> comment contribuer à la société sur un pied d'égalité avec </w:t>
      </w:r>
      <w:r w:rsidR="005759C0" w:rsidRPr="001D5327">
        <w:rPr>
          <w:color w:val="000000" w:themeColor="text1"/>
          <w:lang w:val="fr-FR"/>
        </w:rPr>
        <w:t>toutes et tous</w:t>
      </w:r>
      <w:r w:rsidR="00E33A54" w:rsidRPr="001D5327">
        <w:rPr>
          <w:color w:val="000000" w:themeColor="text1"/>
          <w:lang w:val="fr-FR"/>
        </w:rPr>
        <w:t>, notamment par une participation effective à la vie religieuse, culturelle, sociale et publique.</w:t>
      </w:r>
    </w:p>
    <w:p w14:paraId="0E9CDEF1" w14:textId="77777777" w:rsidR="000715B4" w:rsidRPr="001D5327" w:rsidRDefault="000715B4" w:rsidP="001D5327">
      <w:pPr>
        <w:pStyle w:val="NormalWeb"/>
        <w:spacing w:before="0" w:beforeAutospacing="0" w:after="0" w:afterAutospacing="0"/>
        <w:jc w:val="both"/>
        <w:rPr>
          <w:b/>
          <w:bCs/>
          <w:color w:val="000000" w:themeColor="text1"/>
          <w:lang w:val="fr-FR"/>
        </w:rPr>
      </w:pPr>
    </w:p>
    <w:p w14:paraId="38DA06AF" w14:textId="0F1D8170" w:rsidR="00131CC9" w:rsidRPr="001D5327" w:rsidRDefault="00214A8A" w:rsidP="001D5327">
      <w:pPr>
        <w:pStyle w:val="NormalWeb"/>
        <w:spacing w:before="0" w:beforeAutospacing="0" w:after="0" w:afterAutospacing="0"/>
        <w:jc w:val="both"/>
        <w:rPr>
          <w:b/>
          <w:bCs/>
          <w:color w:val="000000" w:themeColor="text1"/>
          <w:lang w:val="fr-FR"/>
        </w:rPr>
      </w:pPr>
      <w:r w:rsidRPr="001D5327">
        <w:rPr>
          <w:b/>
          <w:bCs/>
          <w:color w:val="000000" w:themeColor="text1"/>
          <w:lang w:val="fr-FR"/>
        </w:rPr>
        <w:t>À propos</w:t>
      </w:r>
    </w:p>
    <w:p w14:paraId="252261C1" w14:textId="77777777" w:rsidR="000715B4" w:rsidRPr="001D5327" w:rsidRDefault="000715B4" w:rsidP="001D5327">
      <w:pPr>
        <w:pStyle w:val="NormalWeb"/>
        <w:spacing w:before="0" w:beforeAutospacing="0" w:after="0" w:afterAutospacing="0"/>
        <w:jc w:val="both"/>
        <w:rPr>
          <w:color w:val="000000" w:themeColor="text1"/>
          <w:lang w:val="fr-FR"/>
        </w:rPr>
      </w:pPr>
    </w:p>
    <w:p w14:paraId="2AC5A75C" w14:textId="0113B833" w:rsidR="00C77AC2" w:rsidRPr="001D5327" w:rsidRDefault="00B17623" w:rsidP="001D5327">
      <w:pPr>
        <w:pStyle w:val="NormalWeb"/>
        <w:spacing w:before="0" w:beforeAutospacing="0" w:after="0" w:afterAutospacing="0"/>
        <w:jc w:val="both"/>
        <w:rPr>
          <w:color w:val="000000" w:themeColor="text1"/>
          <w:lang w:val="fr-FR"/>
        </w:rPr>
      </w:pPr>
      <w:r w:rsidRPr="001D5327">
        <w:rPr>
          <w:color w:val="000000" w:themeColor="text1"/>
          <w:lang w:val="fr-FR"/>
        </w:rPr>
        <w:lastRenderedPageBreak/>
        <w:t xml:space="preserve">Avec la reconnaissance juridique des droits </w:t>
      </w:r>
      <w:r w:rsidR="00214A8A" w:rsidRPr="001D5327">
        <w:rPr>
          <w:color w:val="000000" w:themeColor="text1"/>
          <w:lang w:val="fr-FR"/>
        </w:rPr>
        <w:t>humains</w:t>
      </w:r>
      <w:r w:rsidRPr="001D5327">
        <w:rPr>
          <w:color w:val="000000" w:themeColor="text1"/>
          <w:lang w:val="fr-FR"/>
        </w:rPr>
        <w:t xml:space="preserve"> internationaux et les promesses de les protéger, les acteurs étatiques et non étatiques ont reconnu </w:t>
      </w:r>
      <w:r w:rsidR="00214A8A" w:rsidRPr="001D5327">
        <w:rPr>
          <w:color w:val="000000" w:themeColor="text1"/>
          <w:lang w:val="fr-FR"/>
        </w:rPr>
        <w:t xml:space="preserve">le droit </w:t>
      </w:r>
      <w:r w:rsidRPr="001D5327">
        <w:rPr>
          <w:color w:val="000000" w:themeColor="text1"/>
          <w:lang w:val="fr-FR"/>
        </w:rPr>
        <w:t xml:space="preserve">à la liberté religieuse personnelle ainsi qu'à l'autonomie religieuse institutionnelle. Les récits religieux et spirituels ont également été historiquement utilisés pour promouvoir, permettre et tolérer la violence et la discrimination institutionnelles et personnelles contre des individus sur la base de l'orientation sexuelle ou de l'identité de genre (réelle ou présumée) ; réprimer la diversité sexuelle et de genre ; et promouvoir les normes cisgenres et hétéronormatives. Il en </w:t>
      </w:r>
      <w:r w:rsidR="00214A8A" w:rsidRPr="001D5327">
        <w:rPr>
          <w:color w:val="000000" w:themeColor="text1"/>
          <w:lang w:val="fr-FR"/>
        </w:rPr>
        <w:t>résulte</w:t>
      </w:r>
      <w:r w:rsidRPr="001D5327">
        <w:rPr>
          <w:color w:val="000000" w:themeColor="text1"/>
          <w:lang w:val="fr-FR"/>
        </w:rPr>
        <w:t xml:space="preserve"> une variété de constructions normatives discriminatoires </w:t>
      </w:r>
      <w:r w:rsidR="00112E81" w:rsidRPr="001D5327">
        <w:rPr>
          <w:color w:val="000000" w:themeColor="text1"/>
          <w:lang w:val="fr-FR"/>
        </w:rPr>
        <w:t xml:space="preserve">qui sont </w:t>
      </w:r>
      <w:r w:rsidRPr="001D5327">
        <w:rPr>
          <w:color w:val="000000" w:themeColor="text1"/>
          <w:lang w:val="fr-FR"/>
        </w:rPr>
        <w:t xml:space="preserve">renforcées au fil du temps. Comme le souligne le mandat </w:t>
      </w:r>
      <w:r w:rsidR="00112E81" w:rsidRPr="001D5327">
        <w:rPr>
          <w:color w:val="000000" w:themeColor="text1"/>
          <w:lang w:val="fr-FR"/>
        </w:rPr>
        <w:t>de la Rapporteuse spéciale sur la liberté de religion ou de conviction</w:t>
      </w:r>
      <w:r w:rsidR="00811762" w:rsidRPr="001D5327">
        <w:rPr>
          <w:color w:val="000000" w:themeColor="text1"/>
          <w:lang w:val="fr-FR"/>
        </w:rPr>
        <w:t xml:space="preserve">, l'exercice des droits de cette manière est contraire à la base même du système des droits </w:t>
      </w:r>
      <w:r w:rsidR="00112E81" w:rsidRPr="001D5327">
        <w:rPr>
          <w:color w:val="000000" w:themeColor="text1"/>
          <w:lang w:val="fr-FR"/>
        </w:rPr>
        <w:t>humains</w:t>
      </w:r>
      <w:r w:rsidR="00811762" w:rsidRPr="001D5327">
        <w:rPr>
          <w:color w:val="000000" w:themeColor="text1"/>
          <w:lang w:val="fr-FR"/>
        </w:rPr>
        <w:t>.</w:t>
      </w:r>
      <w:r w:rsidR="00DC67D9" w:rsidRPr="001D5327">
        <w:rPr>
          <w:rStyle w:val="FootnoteReference"/>
          <w:color w:val="000000" w:themeColor="text1"/>
          <w:lang w:val="en-GB"/>
        </w:rPr>
        <w:footnoteReference w:id="3"/>
      </w:r>
      <w:r w:rsidR="00112E81" w:rsidRPr="001D5327">
        <w:rPr>
          <w:color w:val="000000" w:themeColor="text1"/>
          <w:lang w:val="fr-FR"/>
        </w:rPr>
        <w:t xml:space="preserve"> </w:t>
      </w:r>
      <w:r w:rsidR="00811762" w:rsidRPr="001D5327">
        <w:rPr>
          <w:color w:val="000000" w:themeColor="text1"/>
          <w:lang w:val="fr-FR"/>
        </w:rPr>
        <w:t xml:space="preserve">Ces pratiques ne peuvent être </w:t>
      </w:r>
      <w:r w:rsidR="002705F6" w:rsidRPr="001D5327">
        <w:rPr>
          <w:color w:val="000000" w:themeColor="text1"/>
          <w:lang w:val="fr-FR"/>
        </w:rPr>
        <w:t xml:space="preserve">justifiées sous </w:t>
      </w:r>
      <w:r w:rsidR="001065BA" w:rsidRPr="001D5327">
        <w:rPr>
          <w:color w:val="000000" w:themeColor="text1"/>
          <w:lang w:val="fr-FR"/>
        </w:rPr>
        <w:t>la liberté de religion ou de conviction</w:t>
      </w:r>
      <w:r w:rsidR="002705F6" w:rsidRPr="001D5327">
        <w:rPr>
          <w:color w:val="000000" w:themeColor="text1"/>
          <w:lang w:val="fr-FR"/>
        </w:rPr>
        <w:t xml:space="preserve">, ou tout autre droit humain, pour contourner et </w:t>
      </w:r>
      <w:r w:rsidR="001065BA" w:rsidRPr="001D5327">
        <w:rPr>
          <w:color w:val="000000" w:themeColor="text1"/>
          <w:lang w:val="fr-FR"/>
        </w:rPr>
        <w:t xml:space="preserve">restreindre </w:t>
      </w:r>
      <w:r w:rsidR="002705F6" w:rsidRPr="001D5327">
        <w:rPr>
          <w:color w:val="000000" w:themeColor="text1"/>
          <w:lang w:val="fr-FR"/>
        </w:rPr>
        <w:t>les droits des populations marginalisées.</w:t>
      </w:r>
      <w:r w:rsidR="00C77AC2" w:rsidRPr="001D5327">
        <w:rPr>
          <w:rStyle w:val="FootnoteReference"/>
          <w:color w:val="000000" w:themeColor="text1"/>
          <w:lang w:val="en-GB"/>
        </w:rPr>
        <w:footnoteReference w:id="4"/>
      </w:r>
    </w:p>
    <w:p w14:paraId="0FEA595C" w14:textId="77777777" w:rsidR="000715B4" w:rsidRPr="001D5327" w:rsidRDefault="000715B4" w:rsidP="001D5327">
      <w:pPr>
        <w:pStyle w:val="NormalWeb"/>
        <w:spacing w:before="0" w:beforeAutospacing="0" w:after="0" w:afterAutospacing="0"/>
        <w:jc w:val="both"/>
        <w:rPr>
          <w:color w:val="000000" w:themeColor="text1"/>
          <w:lang w:val="fr-FR"/>
        </w:rPr>
      </w:pPr>
    </w:p>
    <w:p w14:paraId="7A6FF4CA" w14:textId="5D9A0704" w:rsidR="00D73038" w:rsidRPr="001D5327" w:rsidRDefault="00D17DAC" w:rsidP="001D5327">
      <w:pPr>
        <w:pStyle w:val="NormalWeb"/>
        <w:spacing w:before="0" w:beforeAutospacing="0" w:after="0" w:afterAutospacing="0"/>
        <w:jc w:val="both"/>
        <w:rPr>
          <w:color w:val="000000" w:themeColor="text1"/>
          <w:lang w:val="fr-FR"/>
        </w:rPr>
      </w:pPr>
      <w:r w:rsidRPr="001D5327">
        <w:rPr>
          <w:color w:val="000000" w:themeColor="text1"/>
          <w:lang w:val="fr-FR"/>
        </w:rPr>
        <w:t>En outre, l'idée que la religion - et donc la liberté de religion ou de conviction, y compris le droit de manifester de telles convictions - est fondamentalement antithétique aux personnes LGBT+ et de genre divers et à leurs droits humains repose sur des hypothèses essentialistes concernant la substance</w:t>
      </w:r>
      <w:r w:rsidR="001065BA" w:rsidRPr="001D5327">
        <w:rPr>
          <w:color w:val="000000" w:themeColor="text1"/>
          <w:lang w:val="fr-FR"/>
        </w:rPr>
        <w:t xml:space="preserve"> </w:t>
      </w:r>
      <w:r w:rsidRPr="001D5327">
        <w:rPr>
          <w:color w:val="000000" w:themeColor="text1"/>
          <w:lang w:val="fr-FR"/>
        </w:rPr>
        <w:t xml:space="preserve">des traditions religieuses à travers l'espace et le temps. Les preuves exploratoires </w:t>
      </w:r>
      <w:r w:rsidR="001065BA" w:rsidRPr="001D5327">
        <w:rPr>
          <w:color w:val="000000" w:themeColor="text1"/>
          <w:lang w:val="fr-FR"/>
        </w:rPr>
        <w:t>auquel le</w:t>
      </w:r>
      <w:r w:rsidRPr="001D5327">
        <w:rPr>
          <w:color w:val="000000" w:themeColor="text1"/>
          <w:lang w:val="fr-FR"/>
        </w:rPr>
        <w:t xml:space="preserve"> mandat </w:t>
      </w:r>
      <w:r w:rsidR="001065BA" w:rsidRPr="001D5327">
        <w:rPr>
          <w:color w:val="000000" w:themeColor="text1"/>
          <w:lang w:val="fr-FR"/>
        </w:rPr>
        <w:t xml:space="preserve">a accès </w:t>
      </w:r>
      <w:r w:rsidRPr="001D5327">
        <w:rPr>
          <w:color w:val="000000" w:themeColor="text1"/>
          <w:lang w:val="fr-FR"/>
        </w:rPr>
        <w:t xml:space="preserve">suggèrent que de nombreuses attitudes anti-LGBT+ apparentes dans certains courants de systèmes de croyances religieuses aujourd'hui sont d'origine relativement récente. Même au sein de ces traditions religieuses, de nombreuses </w:t>
      </w:r>
      <w:r w:rsidR="001065BA" w:rsidRPr="001D5327">
        <w:rPr>
          <w:color w:val="000000" w:themeColor="text1"/>
          <w:lang w:val="fr-FR"/>
        </w:rPr>
        <w:t>personnes</w:t>
      </w:r>
      <w:r w:rsidRPr="001D5327">
        <w:rPr>
          <w:color w:val="000000" w:themeColor="text1"/>
          <w:lang w:val="fr-FR"/>
        </w:rPr>
        <w:t xml:space="preserve"> ont aujourd'hui adopté (ou réembrassé) les identités LGBT+ et considèrent l'absence de violence et de discrimination fondée sur l'</w:t>
      </w:r>
      <w:r w:rsidR="001065BA" w:rsidRPr="001D5327">
        <w:rPr>
          <w:color w:val="000000" w:themeColor="text1"/>
          <w:lang w:val="fr-FR"/>
        </w:rPr>
        <w:t>orientation sexuelle ou l’identité de genre</w:t>
      </w:r>
      <w:r w:rsidRPr="001D5327">
        <w:rPr>
          <w:color w:val="000000" w:themeColor="text1"/>
          <w:lang w:val="fr-FR"/>
        </w:rPr>
        <w:t xml:space="preserve"> comme un élément essentiel de leur foi.</w:t>
      </w:r>
    </w:p>
    <w:p w14:paraId="4A250AA9" w14:textId="77777777" w:rsidR="000715B4" w:rsidRPr="001D5327" w:rsidRDefault="000715B4" w:rsidP="001D5327">
      <w:pPr>
        <w:pStyle w:val="NormalWeb"/>
        <w:spacing w:before="0" w:beforeAutospacing="0" w:after="0" w:afterAutospacing="0"/>
        <w:jc w:val="both"/>
        <w:rPr>
          <w:color w:val="000000" w:themeColor="text1"/>
          <w:lang w:val="fr-FR"/>
        </w:rPr>
      </w:pPr>
    </w:p>
    <w:p w14:paraId="013379D1" w14:textId="4BBB441B" w:rsidR="00241C6F" w:rsidRPr="001D5327" w:rsidRDefault="00C15C62" w:rsidP="001D5327">
      <w:pPr>
        <w:pStyle w:val="NormalWeb"/>
        <w:spacing w:before="0" w:beforeAutospacing="0" w:after="0" w:afterAutospacing="0"/>
        <w:jc w:val="both"/>
        <w:rPr>
          <w:color w:val="000000" w:themeColor="text1"/>
          <w:lang w:val="fr-FR"/>
        </w:rPr>
      </w:pPr>
      <w:r w:rsidRPr="001D5327">
        <w:rPr>
          <w:color w:val="000000" w:themeColor="text1"/>
          <w:lang w:val="fr-FR"/>
        </w:rPr>
        <w:t xml:space="preserve">Ainsi, une première étape potentielle vers le renforcement juridique des droits humains des personnes LGBT+ à l'intersection avec la liberté religieuse est de </w:t>
      </w:r>
      <w:r w:rsidR="00D20C21" w:rsidRPr="001D5327">
        <w:rPr>
          <w:color w:val="000000" w:themeColor="text1"/>
          <w:lang w:val="fr-FR"/>
        </w:rPr>
        <w:t>remettre en cause la soi-disant</w:t>
      </w:r>
      <w:r w:rsidRPr="001D5327">
        <w:rPr>
          <w:color w:val="000000" w:themeColor="text1"/>
          <w:lang w:val="fr-FR"/>
        </w:rPr>
        <w:t xml:space="preserve"> contradiction inhérente entre </w:t>
      </w:r>
      <w:r w:rsidR="00D20C21" w:rsidRPr="001D5327">
        <w:rPr>
          <w:color w:val="000000" w:themeColor="text1"/>
          <w:lang w:val="fr-FR"/>
        </w:rPr>
        <w:t>la liberté de religion ou de conviction</w:t>
      </w:r>
      <w:r w:rsidR="00811762" w:rsidRPr="001D5327">
        <w:rPr>
          <w:color w:val="000000" w:themeColor="text1"/>
          <w:lang w:val="fr-FR"/>
        </w:rPr>
        <w:t xml:space="preserve"> et l'absence de violence et de discrimination basée sur l</w:t>
      </w:r>
      <w:r w:rsidR="00D20C21" w:rsidRPr="001D5327">
        <w:rPr>
          <w:color w:val="000000" w:themeColor="text1"/>
          <w:lang w:val="fr-FR"/>
        </w:rPr>
        <w:t>’orientation sexuelle ou l’identité de genre</w:t>
      </w:r>
      <w:r w:rsidR="00811762" w:rsidRPr="001D5327">
        <w:rPr>
          <w:color w:val="000000" w:themeColor="text1"/>
          <w:lang w:val="fr-FR"/>
        </w:rPr>
        <w:t>. Le rapport thématique de l'</w:t>
      </w:r>
      <w:r w:rsidR="00D20C21" w:rsidRPr="001D5327">
        <w:rPr>
          <w:color w:val="000000" w:themeColor="text1"/>
          <w:lang w:val="fr-FR"/>
        </w:rPr>
        <w:t>Expert Indépendant</w:t>
      </w:r>
      <w:r w:rsidR="00811762" w:rsidRPr="001D5327">
        <w:rPr>
          <w:color w:val="000000" w:themeColor="text1"/>
          <w:lang w:val="fr-FR"/>
        </w:rPr>
        <w:t xml:space="preserve"> vise à présenter les voix des systèmes de croyance inclusifs des </w:t>
      </w:r>
      <w:r w:rsidR="00D20C21" w:rsidRPr="001D5327">
        <w:rPr>
          <w:color w:val="000000" w:themeColor="text1"/>
          <w:lang w:val="fr-FR"/>
        </w:rPr>
        <w:t xml:space="preserve">personnes </w:t>
      </w:r>
      <w:r w:rsidR="00811762" w:rsidRPr="001D5327">
        <w:rPr>
          <w:color w:val="000000" w:themeColor="text1"/>
          <w:lang w:val="fr-FR"/>
        </w:rPr>
        <w:t>LGBT</w:t>
      </w:r>
      <w:r w:rsidR="00D20C21" w:rsidRPr="001D5327">
        <w:rPr>
          <w:color w:val="000000" w:themeColor="text1"/>
          <w:lang w:val="fr-FR"/>
        </w:rPr>
        <w:t>+</w:t>
      </w:r>
      <w:r w:rsidR="00811762" w:rsidRPr="001D5327">
        <w:rPr>
          <w:color w:val="000000" w:themeColor="text1"/>
          <w:lang w:val="fr-FR"/>
        </w:rPr>
        <w:t xml:space="preserve">, des communautés autochtones et des communautés de foi LGBT+ en tant que parties prenantes clés. </w:t>
      </w:r>
      <w:r w:rsidR="00D20C21" w:rsidRPr="001D5327">
        <w:rPr>
          <w:color w:val="000000" w:themeColor="text1"/>
          <w:lang w:val="fr-FR"/>
        </w:rPr>
        <w:t>L’Expert indépendant</w:t>
      </w:r>
      <w:r w:rsidR="00811762" w:rsidRPr="001D5327">
        <w:rPr>
          <w:color w:val="000000" w:themeColor="text1"/>
          <w:lang w:val="fr-FR"/>
        </w:rPr>
        <w:t xml:space="preserve"> entend également ouvrir un espace dans le discours et la pratique des droits </w:t>
      </w:r>
      <w:r w:rsidR="00D20C21" w:rsidRPr="001D5327">
        <w:rPr>
          <w:color w:val="000000" w:themeColor="text1"/>
          <w:lang w:val="fr-FR"/>
        </w:rPr>
        <w:t>humains</w:t>
      </w:r>
      <w:r w:rsidR="00811762" w:rsidRPr="001D5327">
        <w:rPr>
          <w:color w:val="000000" w:themeColor="text1"/>
          <w:lang w:val="fr-FR"/>
        </w:rPr>
        <w:t xml:space="preserve"> pour mieux reconnaître et protéger l'accès des personnes LGBT+ à la foi et à la spiritualité, en tant que personnes libres et égales en dignité et en droits, et conformément à leur propre droit à la liberté de religion ou de conviction.</w:t>
      </w:r>
    </w:p>
    <w:p w14:paraId="27DF850F" w14:textId="77777777" w:rsidR="000715B4" w:rsidRPr="001D5327" w:rsidRDefault="000715B4" w:rsidP="001D5327">
      <w:pPr>
        <w:pStyle w:val="NormalWeb"/>
        <w:spacing w:before="0" w:beforeAutospacing="0" w:after="0" w:afterAutospacing="0"/>
        <w:jc w:val="both"/>
        <w:rPr>
          <w:b/>
          <w:bCs/>
          <w:color w:val="000000" w:themeColor="text1"/>
          <w:lang w:val="fr-FR"/>
        </w:rPr>
      </w:pPr>
    </w:p>
    <w:p w14:paraId="7ED49064" w14:textId="0A16CDBD" w:rsidR="00241C6F" w:rsidRPr="001D5327" w:rsidRDefault="00DB1169" w:rsidP="001D5327">
      <w:pPr>
        <w:pStyle w:val="NormalWeb"/>
        <w:spacing w:before="0" w:beforeAutospacing="0" w:after="0" w:afterAutospacing="0"/>
        <w:jc w:val="both"/>
        <w:rPr>
          <w:b/>
          <w:bCs/>
          <w:color w:val="000000" w:themeColor="text1"/>
          <w:lang w:val="fr-FR"/>
        </w:rPr>
      </w:pPr>
      <w:r w:rsidRPr="001D5327">
        <w:rPr>
          <w:b/>
          <w:bCs/>
          <w:color w:val="000000" w:themeColor="text1"/>
          <w:lang w:val="fr-FR"/>
        </w:rPr>
        <w:t>Appel à contributions</w:t>
      </w:r>
    </w:p>
    <w:p w14:paraId="3703E3B8" w14:textId="77777777" w:rsidR="000715B4" w:rsidRPr="001D5327" w:rsidRDefault="000715B4" w:rsidP="001D5327">
      <w:pPr>
        <w:pStyle w:val="NormalWeb"/>
        <w:spacing w:before="0" w:beforeAutospacing="0" w:after="0" w:afterAutospacing="0"/>
        <w:jc w:val="both"/>
        <w:rPr>
          <w:color w:val="000000" w:themeColor="text1"/>
          <w:lang w:val="fr-FR"/>
        </w:rPr>
      </w:pPr>
    </w:p>
    <w:p w14:paraId="5982C3AA" w14:textId="4CD57EFD" w:rsidR="00506AEE" w:rsidRPr="001D5327" w:rsidRDefault="00506AEE" w:rsidP="001D5327">
      <w:pPr>
        <w:pStyle w:val="NormalWeb"/>
        <w:spacing w:before="0" w:beforeAutospacing="0" w:after="0" w:afterAutospacing="0"/>
        <w:jc w:val="both"/>
        <w:rPr>
          <w:color w:val="000000" w:themeColor="text1"/>
          <w:lang w:val="fr-FR"/>
        </w:rPr>
      </w:pPr>
      <w:r w:rsidRPr="001D5327">
        <w:rPr>
          <w:color w:val="000000" w:themeColor="text1"/>
          <w:lang w:val="fr-FR"/>
        </w:rPr>
        <w:t>L'Expert indépendant invite tous les États intéressés, les organisations de la société civile, les institutions confessionnelles, les chefs religieux</w:t>
      </w:r>
      <w:r w:rsidR="002022AC" w:rsidRPr="001D5327">
        <w:rPr>
          <w:color w:val="000000" w:themeColor="text1"/>
          <w:lang w:val="fr-FR"/>
        </w:rPr>
        <w:t xml:space="preserve"> et cheffes religieuses</w:t>
      </w:r>
      <w:r w:rsidRPr="001D5327">
        <w:rPr>
          <w:color w:val="000000" w:themeColor="text1"/>
          <w:lang w:val="fr-FR"/>
        </w:rPr>
        <w:t xml:space="preserve">, les universitaires, les organisations internationales, </w:t>
      </w:r>
      <w:r w:rsidR="00F80C37">
        <w:rPr>
          <w:rFonts w:eastAsia="Arial"/>
          <w:lang w:val="fr-CH" w:eastAsia="zh-CN"/>
        </w:rPr>
        <w:t>l</w:t>
      </w:r>
      <w:r w:rsidR="00F80C37" w:rsidRPr="002E27C9">
        <w:rPr>
          <w:rFonts w:eastAsia="Arial"/>
          <w:lang w:val="fr-CH" w:eastAsia="zh-CN"/>
        </w:rPr>
        <w:t xml:space="preserve">es </w:t>
      </w:r>
      <w:r w:rsidR="00D648D2" w:rsidRPr="00D648D2">
        <w:rPr>
          <w:rFonts w:eastAsia="Arial"/>
          <w:lang w:val="fr-CH" w:eastAsia="zh-CN"/>
        </w:rPr>
        <w:t>institutions nationales des droits de l’homme</w:t>
      </w:r>
      <w:r w:rsidR="00F80C37" w:rsidRPr="002E27C9">
        <w:rPr>
          <w:rFonts w:eastAsia="Arial"/>
          <w:lang w:val="fr-CH" w:eastAsia="zh-CN"/>
        </w:rPr>
        <w:t xml:space="preserve">, </w:t>
      </w:r>
      <w:r w:rsidRPr="001D5327">
        <w:rPr>
          <w:color w:val="000000" w:themeColor="text1"/>
          <w:lang w:val="fr-FR"/>
        </w:rPr>
        <w:t>les militants</w:t>
      </w:r>
      <w:r w:rsidR="002022AC" w:rsidRPr="001D5327">
        <w:rPr>
          <w:color w:val="000000" w:themeColor="text1"/>
          <w:lang w:val="fr-FR"/>
        </w:rPr>
        <w:t xml:space="preserve"> et militantes</w:t>
      </w:r>
      <w:r w:rsidRPr="001D5327">
        <w:rPr>
          <w:color w:val="000000" w:themeColor="text1"/>
          <w:lang w:val="fr-FR"/>
        </w:rPr>
        <w:t>, les entreprises et autres, à fournir des contributions écrites aux questions suivantes pour son rapport thématique</w:t>
      </w:r>
      <w:r w:rsidR="00190F61">
        <w:rPr>
          <w:color w:val="000000" w:themeColor="text1"/>
          <w:lang w:val="fr-FR"/>
        </w:rPr>
        <w:t>.</w:t>
      </w:r>
    </w:p>
    <w:p w14:paraId="71A53277" w14:textId="1F118CA9" w:rsidR="006B5C2D" w:rsidRDefault="006B5C2D" w:rsidP="001D5327">
      <w:pPr>
        <w:pStyle w:val="NormalWeb"/>
        <w:spacing w:before="0" w:beforeAutospacing="0" w:after="0" w:afterAutospacing="0"/>
        <w:jc w:val="both"/>
        <w:rPr>
          <w:color w:val="000000" w:themeColor="text1"/>
          <w:lang w:val="fr-FR"/>
        </w:rPr>
      </w:pPr>
    </w:p>
    <w:p w14:paraId="7F4DE471" w14:textId="63035615" w:rsidR="00F80C37" w:rsidRDefault="00F80C37" w:rsidP="001D5327">
      <w:pPr>
        <w:pStyle w:val="NormalWeb"/>
        <w:spacing w:before="0" w:beforeAutospacing="0" w:after="0" w:afterAutospacing="0"/>
        <w:jc w:val="both"/>
        <w:rPr>
          <w:color w:val="000000" w:themeColor="text1"/>
          <w:lang w:val="fr-FR"/>
        </w:rPr>
      </w:pPr>
      <w:r w:rsidRPr="00F80C37">
        <w:rPr>
          <w:color w:val="000000" w:themeColor="text1"/>
          <w:lang w:val="fr-FR"/>
        </w:rPr>
        <w:t>Les contributions sont limitées à un maximum de 2 500 mots. Des documents d'appui supplémentaires, tels que des rapports, études universitaires et autres types de documents de référence peuvent être annexés à la soumission.</w:t>
      </w:r>
    </w:p>
    <w:p w14:paraId="120A548D" w14:textId="77777777" w:rsidR="00F80C37" w:rsidRPr="001D5327" w:rsidRDefault="00F80C37" w:rsidP="001D5327">
      <w:pPr>
        <w:pStyle w:val="NormalWeb"/>
        <w:spacing w:before="0" w:beforeAutospacing="0" w:after="0" w:afterAutospacing="0"/>
        <w:jc w:val="both"/>
        <w:rPr>
          <w:color w:val="000000" w:themeColor="text1"/>
          <w:lang w:val="fr-FR"/>
        </w:rPr>
      </w:pPr>
    </w:p>
    <w:p w14:paraId="030E8429" w14:textId="28E896E6" w:rsidR="00811762" w:rsidRPr="001D5327" w:rsidRDefault="00811762"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Quels sont les points de tension réels ou perçus (le cas échéant) entre le droit de manifester sa liberté de religion ou de conviction et la protection contre la violence et la discrimination fondées sur l'orientation sexuelle et l'identité de genre ? Y a-t-il des domaines dans lesquels ils s'excluent mutuellement ?</w:t>
      </w:r>
    </w:p>
    <w:p w14:paraId="7DF1BC5C" w14:textId="77777777" w:rsidR="002022AC" w:rsidRPr="001D5327" w:rsidRDefault="002022AC" w:rsidP="00190F61">
      <w:pPr>
        <w:pStyle w:val="ListParagraph"/>
        <w:ind w:left="360"/>
        <w:jc w:val="both"/>
        <w:rPr>
          <w:rFonts w:ascii="Times New Roman" w:hAnsi="Times New Roman" w:cs="Times New Roman"/>
          <w:color w:val="000000" w:themeColor="text1"/>
          <w:lang w:val="fr-FR"/>
        </w:rPr>
      </w:pPr>
    </w:p>
    <w:p w14:paraId="6D57EB25" w14:textId="3DD40836" w:rsidR="008E4941" w:rsidRPr="001D5327" w:rsidRDefault="00640F66"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Existe-t-il des moyens par lesquels le droit à la liberté de religion ou de conviction et la protection contre la violence et la discrimination fondées sur l'orientation sexuelle et l'identité de genre se renforcent mutuellement ?</w:t>
      </w:r>
    </w:p>
    <w:p w14:paraId="0A4BE3F3" w14:textId="77777777" w:rsidR="002022AC" w:rsidRPr="001D5327" w:rsidRDefault="002022AC" w:rsidP="00190F61">
      <w:pPr>
        <w:pStyle w:val="ListParagraph"/>
        <w:ind w:left="360"/>
        <w:jc w:val="both"/>
        <w:rPr>
          <w:rFonts w:ascii="Times New Roman" w:hAnsi="Times New Roman" w:cs="Times New Roman"/>
          <w:color w:val="000000" w:themeColor="text1"/>
          <w:lang w:val="fr-FR"/>
        </w:rPr>
      </w:pPr>
    </w:p>
    <w:p w14:paraId="5BA4E051" w14:textId="1C749D13" w:rsidR="000D4406" w:rsidRPr="001D5327" w:rsidRDefault="007B7CD1"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Existe-t-il des exemples où la diversité de genre et sexuelle a été utilisée dans des récits ou des valeurs religieuses, traditionnelles ou autochtones d'une manière qui favorise l'acceptation des personnes LGBT+ ou protège les personnes LGBT+ contre la violence et la discrimination ? Cela a-t-il éclairé des interventions juridiques ou des politiques publiques ?</w:t>
      </w:r>
    </w:p>
    <w:p w14:paraId="40BA936E" w14:textId="77777777" w:rsidR="002022AC" w:rsidRPr="001D5327" w:rsidRDefault="002022AC" w:rsidP="00190F61">
      <w:pPr>
        <w:pStyle w:val="ListParagraph"/>
        <w:ind w:left="360"/>
        <w:jc w:val="both"/>
        <w:rPr>
          <w:rFonts w:ascii="Times New Roman" w:hAnsi="Times New Roman" w:cs="Times New Roman"/>
          <w:color w:val="000000" w:themeColor="text1"/>
          <w:lang w:val="fr-FR"/>
        </w:rPr>
      </w:pPr>
    </w:p>
    <w:p w14:paraId="7090DD02" w14:textId="10672FF2" w:rsidR="00A071EF" w:rsidRPr="001D5327" w:rsidRDefault="008E4941"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Quelles sont les principales tendances ou les exemples significatifs de pratiques discriminatoires ou abusives de la part de fournisseurs individuels de biens ou de services dans la sphère publique à</w:t>
      </w:r>
      <w:r w:rsidR="002022AC" w:rsidRPr="001D5327">
        <w:rPr>
          <w:rFonts w:ascii="Times New Roman" w:hAnsi="Times New Roman" w:cs="Times New Roman"/>
          <w:color w:val="000000" w:themeColor="text1"/>
          <w:lang w:val="fr-FR"/>
        </w:rPr>
        <w:t xml:space="preserve"> l’</w:t>
      </w:r>
      <w:r w:rsidRPr="001D5327">
        <w:rPr>
          <w:rFonts w:ascii="Times New Roman" w:hAnsi="Times New Roman" w:cs="Times New Roman"/>
          <w:color w:val="000000" w:themeColor="text1"/>
          <w:lang w:val="fr-FR"/>
        </w:rPr>
        <w:t xml:space="preserve">encontre des personnes LGBT+ et </w:t>
      </w:r>
      <w:r w:rsidR="002022AC" w:rsidRPr="001D5327">
        <w:rPr>
          <w:rFonts w:ascii="Times New Roman" w:hAnsi="Times New Roman" w:cs="Times New Roman"/>
          <w:color w:val="000000" w:themeColor="text1"/>
          <w:lang w:val="fr-FR"/>
        </w:rPr>
        <w:t xml:space="preserve">d’identités </w:t>
      </w:r>
      <w:r w:rsidRPr="001D5327">
        <w:rPr>
          <w:rFonts w:ascii="Times New Roman" w:hAnsi="Times New Roman" w:cs="Times New Roman"/>
          <w:color w:val="000000" w:themeColor="text1"/>
          <w:lang w:val="fr-FR"/>
        </w:rPr>
        <w:t xml:space="preserve">de genre </w:t>
      </w:r>
      <w:r w:rsidR="002022AC" w:rsidRPr="001D5327">
        <w:rPr>
          <w:rFonts w:ascii="Times New Roman" w:hAnsi="Times New Roman" w:cs="Times New Roman"/>
          <w:color w:val="000000" w:themeColor="text1"/>
          <w:lang w:val="fr-FR"/>
        </w:rPr>
        <w:t xml:space="preserve">diverses </w:t>
      </w:r>
      <w:r w:rsidRPr="001D5327">
        <w:rPr>
          <w:rFonts w:ascii="Times New Roman" w:hAnsi="Times New Roman" w:cs="Times New Roman"/>
          <w:color w:val="000000" w:themeColor="text1"/>
          <w:lang w:val="fr-FR"/>
        </w:rPr>
        <w:t>qui s'appuient sur des récits</w:t>
      </w:r>
      <w:r w:rsidR="002022AC" w:rsidRPr="001D5327">
        <w:rPr>
          <w:rFonts w:ascii="Times New Roman" w:hAnsi="Times New Roman" w:cs="Times New Roman"/>
          <w:color w:val="000000" w:themeColor="text1"/>
          <w:lang w:val="fr-FR"/>
        </w:rPr>
        <w:t xml:space="preserve"> </w:t>
      </w:r>
      <w:r w:rsidRPr="001D5327">
        <w:rPr>
          <w:rFonts w:ascii="Times New Roman" w:hAnsi="Times New Roman" w:cs="Times New Roman"/>
          <w:color w:val="000000" w:themeColor="text1"/>
          <w:lang w:val="fr-FR"/>
        </w:rPr>
        <w:t>religieux ?</w:t>
      </w:r>
    </w:p>
    <w:p w14:paraId="6EE36C3E" w14:textId="77777777" w:rsidR="002022AC" w:rsidRPr="001D5327" w:rsidRDefault="002022AC" w:rsidP="00190F61">
      <w:pPr>
        <w:pStyle w:val="ListParagraph"/>
        <w:ind w:left="360"/>
        <w:jc w:val="both"/>
        <w:rPr>
          <w:rFonts w:ascii="Times New Roman" w:hAnsi="Times New Roman" w:cs="Times New Roman"/>
          <w:color w:val="000000" w:themeColor="text1"/>
          <w:lang w:val="fr-FR"/>
        </w:rPr>
      </w:pPr>
    </w:p>
    <w:p w14:paraId="60CD7B5D" w14:textId="5BC704D1" w:rsidR="00397992" w:rsidRPr="001D5327" w:rsidRDefault="00EB4C47"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L'État a-t-il adopté, dans l'ordre public, la législation ou la jurisprudence, des normes prétendument fondées sur la protection de la liberté de religion ou de conviction qui promeuvent, permettent et/ou tolèrent la violence et la discrimination à l'égard des personnes fondées sur l'orientation sexuelle ou l'identité de genre ? Si oui, veuillez donner des exemples, accompagnés de commentaires si nécessaire pour expliquer l</w:t>
      </w:r>
      <w:r w:rsidR="002022AC" w:rsidRPr="001D5327">
        <w:rPr>
          <w:rFonts w:ascii="Times New Roman" w:hAnsi="Times New Roman" w:cs="Times New Roman"/>
          <w:color w:val="000000" w:themeColor="text1"/>
          <w:lang w:val="fr-FR"/>
        </w:rPr>
        <w:t>e</w:t>
      </w:r>
      <w:r w:rsidRPr="001D5327">
        <w:rPr>
          <w:rFonts w:ascii="Times New Roman" w:hAnsi="Times New Roman" w:cs="Times New Roman"/>
          <w:color w:val="000000" w:themeColor="text1"/>
          <w:lang w:val="fr-FR"/>
        </w:rPr>
        <w:t xml:space="preserve"> contexte, l</w:t>
      </w:r>
      <w:r w:rsidR="002022AC" w:rsidRPr="001D5327">
        <w:rPr>
          <w:rFonts w:ascii="Times New Roman" w:hAnsi="Times New Roman" w:cs="Times New Roman"/>
          <w:color w:val="000000" w:themeColor="text1"/>
          <w:lang w:val="fr-FR"/>
        </w:rPr>
        <w:t>eur</w:t>
      </w:r>
      <w:r w:rsidRPr="001D5327">
        <w:rPr>
          <w:rFonts w:ascii="Times New Roman" w:hAnsi="Times New Roman" w:cs="Times New Roman"/>
          <w:color w:val="000000" w:themeColor="text1"/>
          <w:lang w:val="fr-FR"/>
        </w:rPr>
        <w:t xml:space="preserve"> portée et l</w:t>
      </w:r>
      <w:r w:rsidR="002022AC" w:rsidRPr="001D5327">
        <w:rPr>
          <w:rFonts w:ascii="Times New Roman" w:hAnsi="Times New Roman" w:cs="Times New Roman"/>
          <w:color w:val="000000" w:themeColor="text1"/>
          <w:lang w:val="fr-FR"/>
        </w:rPr>
        <w:t xml:space="preserve">eur </w:t>
      </w:r>
      <w:r w:rsidRPr="001D5327">
        <w:rPr>
          <w:rFonts w:ascii="Times New Roman" w:hAnsi="Times New Roman" w:cs="Times New Roman"/>
          <w:color w:val="000000" w:themeColor="text1"/>
          <w:lang w:val="fr-FR"/>
        </w:rPr>
        <w:t>application.</w:t>
      </w:r>
    </w:p>
    <w:p w14:paraId="63658C0C" w14:textId="77777777" w:rsidR="002022AC" w:rsidRPr="001D5327" w:rsidRDefault="002022AC" w:rsidP="00190F61">
      <w:pPr>
        <w:pStyle w:val="ListParagraph"/>
        <w:ind w:left="360"/>
        <w:jc w:val="both"/>
        <w:rPr>
          <w:rFonts w:ascii="Times New Roman" w:hAnsi="Times New Roman" w:cs="Times New Roman"/>
          <w:color w:val="000000" w:themeColor="text1"/>
          <w:lang w:val="fr-FR"/>
        </w:rPr>
      </w:pPr>
    </w:p>
    <w:p w14:paraId="1AF60F28" w14:textId="170187F1" w:rsidR="000D4406" w:rsidRPr="001D5327" w:rsidRDefault="00EB4C47"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 xml:space="preserve">Y a-t-il eu une contestation judiciaire de ces politiques/dispositions en vertu de dispositions nationales, régionales ou internationales relatives aux droits </w:t>
      </w:r>
      <w:r w:rsidR="00C47F3B" w:rsidRPr="001D5327">
        <w:rPr>
          <w:rFonts w:ascii="Times New Roman" w:hAnsi="Times New Roman" w:cs="Times New Roman"/>
          <w:color w:val="000000" w:themeColor="text1"/>
          <w:lang w:val="fr-FR"/>
        </w:rPr>
        <w:t xml:space="preserve">humains </w:t>
      </w:r>
      <w:r w:rsidRPr="001D5327">
        <w:rPr>
          <w:rFonts w:ascii="Times New Roman" w:hAnsi="Times New Roman" w:cs="Times New Roman"/>
          <w:color w:val="000000" w:themeColor="text1"/>
          <w:lang w:val="fr-FR"/>
        </w:rPr>
        <w:t>? Si oui, indiquez le résultat et la raison d'être de l'affaire. Si ce n'est pas le cas, donnez votre avis sur les raisons pour lesquelles une telle contestation n'a pas encore été intentée.</w:t>
      </w:r>
    </w:p>
    <w:p w14:paraId="30C8F62E" w14:textId="77777777" w:rsidR="00C47F3B" w:rsidRPr="001D5327" w:rsidRDefault="00C47F3B" w:rsidP="00190F61">
      <w:pPr>
        <w:pStyle w:val="ListParagraph"/>
        <w:ind w:left="360"/>
        <w:jc w:val="both"/>
        <w:rPr>
          <w:rFonts w:ascii="Times New Roman" w:hAnsi="Times New Roman" w:cs="Times New Roman"/>
          <w:color w:val="000000" w:themeColor="text1"/>
          <w:lang w:val="fr-FR"/>
        </w:rPr>
      </w:pPr>
    </w:p>
    <w:p w14:paraId="55DEA4DC" w14:textId="148B759F" w:rsidR="000D4406" w:rsidRPr="001D5327" w:rsidRDefault="00547DB6"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 xml:space="preserve">Existe-t-il des exemples de restrictions étatiques fondées sur la prévention de la violence et/ou de la discrimination à l'encontre des personnes LGBT+ qui interdisent ou limitent les pratiques entreprises au nom de la religion ou de la spiritualité, telles que les protections contre la discrimination dans les hébergements publics ? Si oui, ont-ils été légalement contestés </w:t>
      </w:r>
      <w:r w:rsidR="00A1273D" w:rsidRPr="001D5327">
        <w:rPr>
          <w:rFonts w:ascii="Times New Roman" w:hAnsi="Times New Roman" w:cs="Times New Roman"/>
          <w:color w:val="000000" w:themeColor="text1"/>
          <w:lang w:val="fr-FR"/>
        </w:rPr>
        <w:t xml:space="preserve">sur la base de </w:t>
      </w:r>
      <w:r w:rsidR="006B5C2D" w:rsidRPr="001D5327">
        <w:rPr>
          <w:rFonts w:ascii="Times New Roman" w:hAnsi="Times New Roman" w:cs="Times New Roman"/>
          <w:color w:val="000000" w:themeColor="text1"/>
          <w:lang w:val="fr-FR"/>
        </w:rPr>
        <w:t>la liberté de religion ou de conviction ? Si oui, expliquez le résultat et la raison d'être d</w:t>
      </w:r>
      <w:r w:rsidR="00CC7A7B" w:rsidRPr="001D5327">
        <w:rPr>
          <w:rFonts w:ascii="Times New Roman" w:hAnsi="Times New Roman" w:cs="Times New Roman"/>
          <w:color w:val="000000" w:themeColor="text1"/>
          <w:lang w:val="fr-FR"/>
        </w:rPr>
        <w:t>e ces exemples</w:t>
      </w:r>
      <w:r w:rsidR="006B5C2D" w:rsidRPr="001D5327">
        <w:rPr>
          <w:rFonts w:ascii="Times New Roman" w:hAnsi="Times New Roman" w:cs="Times New Roman"/>
          <w:color w:val="000000" w:themeColor="text1"/>
          <w:lang w:val="fr-FR"/>
        </w:rPr>
        <w:t>.</w:t>
      </w:r>
    </w:p>
    <w:p w14:paraId="51232AE9" w14:textId="77777777" w:rsidR="00CC7A7B" w:rsidRPr="001D5327" w:rsidRDefault="00CC7A7B" w:rsidP="00190F61">
      <w:pPr>
        <w:pStyle w:val="ListParagraph"/>
        <w:ind w:left="360"/>
        <w:jc w:val="both"/>
        <w:rPr>
          <w:rFonts w:ascii="Times New Roman" w:hAnsi="Times New Roman" w:cs="Times New Roman"/>
          <w:color w:val="000000" w:themeColor="text1"/>
          <w:lang w:val="fr-FR"/>
        </w:rPr>
      </w:pPr>
    </w:p>
    <w:p w14:paraId="4BFC0E84" w14:textId="6ACFF138" w:rsidR="00A1273D" w:rsidRPr="001D5327" w:rsidRDefault="00A1273D"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Quel rôle (le cas échéant) le concept d'objection de conscience a-t-il joué dans la limitation du plein exercice du droit à la protection contre la violence et la discrimination fondées sur l</w:t>
      </w:r>
      <w:r w:rsidR="00CC7A7B" w:rsidRPr="001D5327">
        <w:rPr>
          <w:rFonts w:ascii="Times New Roman" w:hAnsi="Times New Roman" w:cs="Times New Roman"/>
          <w:color w:val="000000" w:themeColor="text1"/>
          <w:lang w:val="fr-FR"/>
        </w:rPr>
        <w:t>’</w:t>
      </w:r>
      <w:r w:rsidR="006B5C2D" w:rsidRPr="001D5327">
        <w:rPr>
          <w:rFonts w:ascii="Times New Roman" w:hAnsi="Times New Roman" w:cs="Times New Roman"/>
          <w:color w:val="000000" w:themeColor="text1"/>
          <w:lang w:val="fr-FR"/>
        </w:rPr>
        <w:t>orientation sexuelle et l'identité de genre ?</w:t>
      </w:r>
    </w:p>
    <w:p w14:paraId="125DBE2A" w14:textId="77777777" w:rsidR="00CC7A7B" w:rsidRPr="001D5327" w:rsidRDefault="00CC7A7B" w:rsidP="00190F61">
      <w:pPr>
        <w:pStyle w:val="ListParagraph"/>
        <w:ind w:left="360"/>
        <w:jc w:val="both"/>
        <w:rPr>
          <w:rFonts w:ascii="Times New Roman" w:hAnsi="Times New Roman" w:cs="Times New Roman"/>
          <w:color w:val="000000" w:themeColor="text1"/>
          <w:lang w:val="fr-FR"/>
        </w:rPr>
      </w:pPr>
    </w:p>
    <w:p w14:paraId="6D2D9A2F" w14:textId="08E6BB84" w:rsidR="00CC0956" w:rsidRPr="001D5327" w:rsidRDefault="00C05132"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 xml:space="preserve">La </w:t>
      </w:r>
      <w:r w:rsidR="006B0604" w:rsidRPr="001D5327">
        <w:rPr>
          <w:rFonts w:ascii="Times New Roman" w:hAnsi="Times New Roman" w:cs="Times New Roman"/>
          <w:color w:val="000000" w:themeColor="text1"/>
          <w:lang w:val="fr-FR"/>
        </w:rPr>
        <w:t xml:space="preserve">portée et l'application de l'objection de conscience ont-elles été suffisamment définies, limitées et/ou réglementées </w:t>
      </w:r>
      <w:r w:rsidR="00397992" w:rsidRPr="001D5327">
        <w:rPr>
          <w:rFonts w:ascii="Times New Roman" w:hAnsi="Times New Roman" w:cs="Times New Roman"/>
          <w:color w:val="000000" w:themeColor="text1"/>
          <w:lang w:val="fr-FR"/>
        </w:rPr>
        <w:t xml:space="preserve">pour </w:t>
      </w:r>
      <w:r w:rsidR="006B0604" w:rsidRPr="001D5327">
        <w:rPr>
          <w:rFonts w:ascii="Times New Roman" w:hAnsi="Times New Roman" w:cs="Times New Roman"/>
          <w:color w:val="000000" w:themeColor="text1"/>
          <w:lang w:val="fr-FR"/>
        </w:rPr>
        <w:t>trouver un juste équilibre entre la manifestation de sa liberté de religion ou de conviction et la protection contre la violence et la discrimination fondées sur l</w:t>
      </w:r>
      <w:r w:rsidR="00EB726E" w:rsidRPr="001D5327">
        <w:rPr>
          <w:rFonts w:ascii="Times New Roman" w:hAnsi="Times New Roman" w:cs="Times New Roman"/>
          <w:color w:val="000000" w:themeColor="text1"/>
          <w:lang w:val="fr-FR"/>
        </w:rPr>
        <w:t>’orientation sexuelle et l’identité de genre</w:t>
      </w:r>
      <w:r w:rsidR="006B0604" w:rsidRPr="001D5327">
        <w:rPr>
          <w:rFonts w:ascii="Times New Roman" w:hAnsi="Times New Roman" w:cs="Times New Roman"/>
          <w:color w:val="000000" w:themeColor="text1"/>
          <w:lang w:val="fr-FR"/>
        </w:rPr>
        <w:t xml:space="preserve"> ? Lorsque la doctrine est invoquée pour autoriser la rétention de biens ou de services aux membres de la communauté LGBT+ (comme dans le contexte des soins de santé sexuelle et reproductive, de la fourniture de </w:t>
      </w:r>
      <w:r w:rsidR="006B0604" w:rsidRPr="001D5327">
        <w:rPr>
          <w:rFonts w:ascii="Times New Roman" w:hAnsi="Times New Roman" w:cs="Times New Roman"/>
          <w:color w:val="000000" w:themeColor="text1"/>
          <w:lang w:val="fr-FR"/>
        </w:rPr>
        <w:lastRenderedPageBreak/>
        <w:t xml:space="preserve">licences de mariage, de l'accès aux biens de consommation, etc.), les lois de l'État prévoient-elles des </w:t>
      </w:r>
      <w:r w:rsidR="00EB726E" w:rsidRPr="001D5327">
        <w:rPr>
          <w:rFonts w:ascii="Times New Roman" w:hAnsi="Times New Roman" w:cs="Times New Roman"/>
          <w:color w:val="000000" w:themeColor="text1"/>
          <w:lang w:val="fr-FR"/>
        </w:rPr>
        <w:t>accès alternatifs</w:t>
      </w:r>
      <w:r w:rsidR="006B0604" w:rsidRPr="001D5327">
        <w:rPr>
          <w:rFonts w:ascii="Times New Roman" w:hAnsi="Times New Roman" w:cs="Times New Roman"/>
          <w:color w:val="000000" w:themeColor="text1"/>
          <w:lang w:val="fr-FR"/>
        </w:rPr>
        <w:t xml:space="preserve"> aux biens ou aux services ?</w:t>
      </w:r>
    </w:p>
    <w:p w14:paraId="4DF0B0A0" w14:textId="77777777" w:rsidR="00CC7A7B" w:rsidRPr="001D5327" w:rsidRDefault="00CC7A7B" w:rsidP="00190F61">
      <w:pPr>
        <w:pStyle w:val="ListParagraph"/>
        <w:ind w:left="360"/>
        <w:jc w:val="both"/>
        <w:rPr>
          <w:rFonts w:ascii="Times New Roman" w:hAnsi="Times New Roman" w:cs="Times New Roman"/>
          <w:color w:val="000000" w:themeColor="text1"/>
          <w:lang w:val="fr-FR"/>
        </w:rPr>
      </w:pPr>
    </w:p>
    <w:p w14:paraId="2DAE958A" w14:textId="22973C89" w:rsidR="00640F66" w:rsidRPr="001D5327" w:rsidRDefault="00397992" w:rsidP="00190F61">
      <w:pPr>
        <w:pStyle w:val="ListParagraph"/>
        <w:numPr>
          <w:ilvl w:val="0"/>
          <w:numId w:val="11"/>
        </w:numPr>
        <w:ind w:left="36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Lorsque la législation ou la politique de l</w:t>
      </w:r>
      <w:r w:rsidR="00E96C8A" w:rsidRPr="001D5327">
        <w:rPr>
          <w:rFonts w:ascii="Times New Roman" w:hAnsi="Times New Roman" w:cs="Times New Roman"/>
          <w:color w:val="000000" w:themeColor="text1"/>
          <w:lang w:val="fr-FR"/>
        </w:rPr>
        <w:t>’</w:t>
      </w:r>
      <w:r w:rsidRPr="001D5327">
        <w:rPr>
          <w:rFonts w:ascii="Times New Roman" w:hAnsi="Times New Roman" w:cs="Times New Roman"/>
          <w:color w:val="000000" w:themeColor="text1"/>
          <w:lang w:val="fr-FR"/>
        </w:rPr>
        <w:t>État exige un aménagement raisonnable des croyances, pratiques et/ou institutions religieuses, existe-t-il des cas où ces lois ou politiques limitent la liberté contre la violence et la discrimination à l'égard des personnes LGBT+ et d</w:t>
      </w:r>
      <w:r w:rsidR="00E96C8A" w:rsidRPr="001D5327">
        <w:rPr>
          <w:rFonts w:ascii="Times New Roman" w:hAnsi="Times New Roman" w:cs="Times New Roman"/>
          <w:color w:val="000000" w:themeColor="text1"/>
          <w:lang w:val="fr-FR"/>
        </w:rPr>
        <w:t xml:space="preserve">’identités de genre </w:t>
      </w:r>
      <w:r w:rsidRPr="001D5327">
        <w:rPr>
          <w:rFonts w:ascii="Times New Roman" w:hAnsi="Times New Roman" w:cs="Times New Roman"/>
          <w:color w:val="000000" w:themeColor="text1"/>
          <w:lang w:val="fr-FR"/>
        </w:rPr>
        <w:t>diverses ? Ceux-ci peuvent inclure, mais sans s'y limiter, des exemptions de la législation anti-discrimination et/ou des aménagements sur le lieu de travail, les établissements d'enseignement, les établissements de santé, le système judiciaire, etc. Y a-t-il des rapports de violence, d'abus spirituel et/ou d'autres formes de discrimination à l'égard des personnes LGBT+ et de genres divers à cause de ces pratiques ?</w:t>
      </w:r>
    </w:p>
    <w:p w14:paraId="05A21EA7" w14:textId="77777777" w:rsidR="00E96C8A" w:rsidRPr="001D5327" w:rsidRDefault="00E96C8A" w:rsidP="00190F61">
      <w:pPr>
        <w:pStyle w:val="ListParagraph"/>
        <w:ind w:left="360"/>
        <w:jc w:val="both"/>
        <w:rPr>
          <w:rFonts w:ascii="Times New Roman" w:hAnsi="Times New Roman" w:cs="Times New Roman"/>
          <w:color w:val="000000" w:themeColor="text1"/>
          <w:lang w:val="fr-FR"/>
        </w:rPr>
      </w:pPr>
    </w:p>
    <w:p w14:paraId="593FB204" w14:textId="3F0D1941" w:rsidR="00640F66" w:rsidRPr="001D5327" w:rsidRDefault="0093453A" w:rsidP="00190F61">
      <w:pPr>
        <w:pStyle w:val="ListParagraph"/>
        <w:numPr>
          <w:ilvl w:val="0"/>
          <w:numId w:val="11"/>
        </w:numPr>
        <w:ind w:left="360"/>
        <w:jc w:val="both"/>
        <w:rPr>
          <w:rFonts w:ascii="Times New Roman" w:hAnsi="Times New Roman" w:cs="Times New Roman"/>
          <w:color w:val="000000" w:themeColor="text1"/>
          <w:u w:val="single"/>
          <w:lang w:val="en-GB"/>
        </w:rPr>
      </w:pPr>
      <w:proofErr w:type="spellStart"/>
      <w:r w:rsidRPr="001D5327">
        <w:rPr>
          <w:rFonts w:ascii="Times New Roman" w:hAnsi="Times New Roman" w:cs="Times New Roman"/>
          <w:color w:val="000000" w:themeColor="text1"/>
          <w:u w:val="single"/>
          <w:lang w:val="en-GB"/>
        </w:rPr>
        <w:t>Bonnes</w:t>
      </w:r>
      <w:proofErr w:type="spellEnd"/>
      <w:r w:rsidRPr="001D5327">
        <w:rPr>
          <w:rFonts w:ascii="Times New Roman" w:hAnsi="Times New Roman" w:cs="Times New Roman"/>
          <w:color w:val="000000" w:themeColor="text1"/>
          <w:u w:val="single"/>
          <w:lang w:val="en-GB"/>
        </w:rPr>
        <w:t xml:space="preserve"> pratiques:</w:t>
      </w:r>
    </w:p>
    <w:p w14:paraId="748EBAB0" w14:textId="77777777" w:rsidR="00265720" w:rsidRPr="001D5327" w:rsidRDefault="00265720" w:rsidP="00190F61">
      <w:pPr>
        <w:pStyle w:val="ListParagraph"/>
        <w:ind w:left="360"/>
        <w:jc w:val="both"/>
        <w:rPr>
          <w:rFonts w:ascii="Times New Roman" w:hAnsi="Times New Roman" w:cs="Times New Roman"/>
          <w:color w:val="000000" w:themeColor="text1"/>
          <w:u w:val="single"/>
          <w:lang w:val="en-GB"/>
        </w:rPr>
      </w:pPr>
    </w:p>
    <w:p w14:paraId="49E3E07E" w14:textId="6E60F918" w:rsidR="0093453A" w:rsidRPr="001D5327" w:rsidRDefault="0093453A" w:rsidP="00190F61">
      <w:pPr>
        <w:pStyle w:val="ListParagraph"/>
        <w:numPr>
          <w:ilvl w:val="1"/>
          <w:numId w:val="12"/>
        </w:numPr>
        <w:ind w:left="72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Fournir des exemples de bonnes pratiques - au niveau international, national ou local - où les acteurs étatiques et non étatiques (y compris les chefs religieux</w:t>
      </w:r>
      <w:r w:rsidR="00E072C8" w:rsidRPr="001D5327">
        <w:rPr>
          <w:rFonts w:ascii="Times New Roman" w:hAnsi="Times New Roman" w:cs="Times New Roman"/>
          <w:color w:val="000000" w:themeColor="text1"/>
          <w:lang w:val="fr-FR"/>
        </w:rPr>
        <w:t xml:space="preserve"> et cheffes religieuses</w:t>
      </w:r>
      <w:r w:rsidRPr="001D5327">
        <w:rPr>
          <w:rFonts w:ascii="Times New Roman" w:hAnsi="Times New Roman" w:cs="Times New Roman"/>
          <w:color w:val="000000" w:themeColor="text1"/>
          <w:lang w:val="fr-FR"/>
        </w:rPr>
        <w:t xml:space="preserve">, les groupes et les organisations, les organisations internationales, les organisations de la société civile et le système des droits </w:t>
      </w:r>
      <w:r w:rsidR="00E072C8" w:rsidRPr="001D5327">
        <w:rPr>
          <w:rFonts w:ascii="Times New Roman" w:hAnsi="Times New Roman" w:cs="Times New Roman"/>
          <w:color w:val="000000" w:themeColor="text1"/>
          <w:lang w:val="fr-FR"/>
        </w:rPr>
        <w:t>humains</w:t>
      </w:r>
      <w:r w:rsidRPr="001D5327">
        <w:rPr>
          <w:rFonts w:ascii="Times New Roman" w:hAnsi="Times New Roman" w:cs="Times New Roman"/>
          <w:color w:val="000000" w:themeColor="text1"/>
          <w:lang w:val="fr-FR"/>
        </w:rPr>
        <w:t xml:space="preserve"> des Nations Unies) ont pris des mesures efficaces protéger et promouvoir la liberté de religion ou de conviction des personnes LGBT+ et d</w:t>
      </w:r>
      <w:r w:rsidR="00E072C8" w:rsidRPr="001D5327">
        <w:rPr>
          <w:rFonts w:ascii="Times New Roman" w:hAnsi="Times New Roman" w:cs="Times New Roman"/>
          <w:color w:val="000000" w:themeColor="text1"/>
          <w:lang w:val="fr-FR"/>
        </w:rPr>
        <w:t>’identités de genre</w:t>
      </w:r>
      <w:r w:rsidRPr="001D5327">
        <w:rPr>
          <w:rFonts w:ascii="Times New Roman" w:hAnsi="Times New Roman" w:cs="Times New Roman"/>
          <w:color w:val="000000" w:themeColor="text1"/>
          <w:lang w:val="fr-FR"/>
        </w:rPr>
        <w:t xml:space="preserve"> diverses, et déployé des efforts pour prévenir, atténuer et répondre à toute violence et/ou discrimination justifiée au nom de la religion.</w:t>
      </w:r>
    </w:p>
    <w:p w14:paraId="626BBD50" w14:textId="77777777" w:rsidR="00640F66" w:rsidRPr="001D5327" w:rsidRDefault="00640F66" w:rsidP="00190F61">
      <w:pPr>
        <w:pStyle w:val="ListParagraph"/>
        <w:jc w:val="both"/>
        <w:rPr>
          <w:rFonts w:ascii="Times New Roman" w:hAnsi="Times New Roman" w:cs="Times New Roman"/>
          <w:color w:val="000000" w:themeColor="text1"/>
          <w:lang w:val="fr-FR"/>
        </w:rPr>
      </w:pPr>
    </w:p>
    <w:p w14:paraId="2F4E7413" w14:textId="3B134C2D" w:rsidR="0093453A" w:rsidRPr="001D5327" w:rsidRDefault="00C25A69" w:rsidP="00190F61">
      <w:pPr>
        <w:pStyle w:val="ListParagraph"/>
        <w:numPr>
          <w:ilvl w:val="1"/>
          <w:numId w:val="12"/>
        </w:numPr>
        <w:ind w:left="720"/>
        <w:jc w:val="both"/>
        <w:rPr>
          <w:rFonts w:ascii="Times New Roman" w:hAnsi="Times New Roman" w:cs="Times New Roman"/>
          <w:color w:val="000000" w:themeColor="text1"/>
          <w:lang w:val="fr-FR"/>
        </w:rPr>
      </w:pPr>
      <w:r w:rsidRPr="001D5327">
        <w:rPr>
          <w:rFonts w:ascii="Times New Roman" w:hAnsi="Times New Roman" w:cs="Times New Roman"/>
          <w:color w:val="000000" w:themeColor="text1"/>
          <w:lang w:val="fr-FR"/>
        </w:rPr>
        <w:t xml:space="preserve">Donnez des exemples de mesures prises par des acteurs étatiques ou non étatiques pour assurer la participation effective des personnes ayant des orientations sexuelles </w:t>
      </w:r>
      <w:r w:rsidR="00E072C8" w:rsidRPr="001D5327">
        <w:rPr>
          <w:rFonts w:ascii="Times New Roman" w:hAnsi="Times New Roman" w:cs="Times New Roman"/>
          <w:color w:val="000000" w:themeColor="text1"/>
          <w:lang w:val="fr-FR"/>
        </w:rPr>
        <w:t xml:space="preserve">et des identités de genre </w:t>
      </w:r>
      <w:r w:rsidRPr="001D5327">
        <w:rPr>
          <w:rFonts w:ascii="Times New Roman" w:hAnsi="Times New Roman" w:cs="Times New Roman"/>
          <w:color w:val="000000" w:themeColor="text1"/>
          <w:lang w:val="fr-FR"/>
        </w:rPr>
        <w:t>diverses à la vie religieuse, culturelle, sociale et publique. Veuillez fournir des exemples pertinents où des personnes LGBT+ ont affirmé leurs droits individuels ou collectifs d'accéder</w:t>
      </w:r>
      <w:r w:rsidR="00E072C8" w:rsidRPr="001D5327">
        <w:rPr>
          <w:rFonts w:ascii="Times New Roman" w:hAnsi="Times New Roman" w:cs="Times New Roman"/>
          <w:color w:val="000000" w:themeColor="text1"/>
          <w:lang w:val="fr-FR"/>
        </w:rPr>
        <w:t xml:space="preserve"> à</w:t>
      </w:r>
      <w:r w:rsidRPr="001D5327">
        <w:rPr>
          <w:rFonts w:ascii="Times New Roman" w:hAnsi="Times New Roman" w:cs="Times New Roman"/>
          <w:color w:val="000000" w:themeColor="text1"/>
          <w:lang w:val="fr-FR"/>
        </w:rPr>
        <w:t xml:space="preserve"> (ou </w:t>
      </w:r>
      <w:r w:rsidR="00E072C8" w:rsidRPr="001D5327">
        <w:rPr>
          <w:rFonts w:ascii="Times New Roman" w:hAnsi="Times New Roman" w:cs="Times New Roman"/>
          <w:color w:val="000000" w:themeColor="text1"/>
          <w:lang w:val="fr-FR"/>
        </w:rPr>
        <w:t>d’</w:t>
      </w:r>
      <w:r w:rsidRPr="001D5327">
        <w:rPr>
          <w:rFonts w:ascii="Times New Roman" w:hAnsi="Times New Roman" w:cs="Times New Roman"/>
          <w:color w:val="000000" w:themeColor="text1"/>
          <w:lang w:val="fr-FR"/>
        </w:rPr>
        <w:t>établir) des cadres et des institutions religieu</w:t>
      </w:r>
      <w:r w:rsidR="00E072C8" w:rsidRPr="001D5327">
        <w:rPr>
          <w:rFonts w:ascii="Times New Roman" w:hAnsi="Times New Roman" w:cs="Times New Roman"/>
          <w:color w:val="000000" w:themeColor="text1"/>
          <w:lang w:val="fr-FR"/>
        </w:rPr>
        <w:t xml:space="preserve">x </w:t>
      </w:r>
      <w:r w:rsidRPr="001D5327">
        <w:rPr>
          <w:rFonts w:ascii="Times New Roman" w:hAnsi="Times New Roman" w:cs="Times New Roman"/>
          <w:color w:val="000000" w:themeColor="text1"/>
          <w:lang w:val="fr-FR"/>
        </w:rPr>
        <w:t>ou spirituels.</w:t>
      </w:r>
    </w:p>
    <w:p w14:paraId="4038D5D6" w14:textId="5D374743" w:rsidR="000715B4" w:rsidRPr="001D5327" w:rsidRDefault="000715B4" w:rsidP="001D5327">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p>
    <w:p w14:paraId="5F7044DD" w14:textId="522ADC94" w:rsidR="000715B4" w:rsidRPr="001D5327" w:rsidRDefault="000715B4" w:rsidP="001D5327">
      <w:pPr>
        <w:pBdr>
          <w:top w:val="nil"/>
          <w:left w:val="nil"/>
          <w:bottom w:val="nil"/>
          <w:right w:val="nil"/>
          <w:between w:val="nil"/>
        </w:pBdr>
        <w:jc w:val="both"/>
        <w:rPr>
          <w:rFonts w:ascii="Times New Roman" w:eastAsia="Times New Roman" w:hAnsi="Times New Roman" w:cs="Times New Roman"/>
          <w:color w:val="000000" w:themeColor="text1"/>
        </w:rPr>
      </w:pPr>
      <w:r w:rsidRPr="001D5327">
        <w:rPr>
          <w:rFonts w:ascii="Times New Roman" w:eastAsia="Times New Roman" w:hAnsi="Times New Roman" w:cs="Times New Roman"/>
          <w:color w:val="000000" w:themeColor="text1"/>
        </w:rPr>
        <w:t xml:space="preserve">Les réponses aux questions ci-dessus peuvent être soumises en </w:t>
      </w:r>
      <w:r w:rsidRPr="001D5327">
        <w:rPr>
          <w:rFonts w:ascii="Times New Roman" w:eastAsia="Times New Roman" w:hAnsi="Times New Roman" w:cs="Times New Roman"/>
          <w:b/>
          <w:color w:val="000000" w:themeColor="text1"/>
        </w:rPr>
        <w:t xml:space="preserve">anglais, français ou espagnol </w:t>
      </w:r>
      <w:r w:rsidRPr="001D5327">
        <w:rPr>
          <w:rFonts w:ascii="Times New Roman" w:eastAsia="Times New Roman" w:hAnsi="Times New Roman" w:cs="Times New Roman"/>
          <w:color w:val="000000" w:themeColor="text1"/>
        </w:rPr>
        <w:t xml:space="preserve">et </w:t>
      </w:r>
      <w:r w:rsidRPr="001D5327">
        <w:rPr>
          <w:rFonts w:ascii="Times New Roman" w:eastAsia="Times New Roman" w:hAnsi="Times New Roman" w:cs="Times New Roman"/>
          <w:b/>
          <w:color w:val="000000" w:themeColor="text1"/>
        </w:rPr>
        <w:t xml:space="preserve">en format Word </w:t>
      </w:r>
      <w:r w:rsidRPr="001D5327">
        <w:rPr>
          <w:rFonts w:ascii="Times New Roman" w:eastAsia="Times New Roman" w:hAnsi="Times New Roman" w:cs="Times New Roman"/>
          <w:color w:val="000000" w:themeColor="text1"/>
        </w:rPr>
        <w:t>.</w:t>
      </w:r>
    </w:p>
    <w:p w14:paraId="710EAF1E" w14:textId="77777777" w:rsidR="000715B4" w:rsidRPr="001D5327" w:rsidRDefault="000715B4" w:rsidP="001D5327">
      <w:pPr>
        <w:pBdr>
          <w:top w:val="nil"/>
          <w:left w:val="nil"/>
          <w:bottom w:val="nil"/>
          <w:right w:val="nil"/>
          <w:between w:val="nil"/>
        </w:pBdr>
        <w:jc w:val="both"/>
        <w:rPr>
          <w:rFonts w:ascii="Times New Roman" w:eastAsia="Times New Roman" w:hAnsi="Times New Roman" w:cs="Times New Roman"/>
          <w:color w:val="000000" w:themeColor="text1"/>
        </w:rPr>
      </w:pPr>
    </w:p>
    <w:p w14:paraId="5B61141F" w14:textId="7DCEE90E" w:rsidR="000715B4" w:rsidRPr="001D5327" w:rsidRDefault="000715B4" w:rsidP="001D5327">
      <w:pPr>
        <w:pBdr>
          <w:top w:val="nil"/>
          <w:left w:val="nil"/>
          <w:bottom w:val="nil"/>
          <w:right w:val="nil"/>
          <w:between w:val="nil"/>
        </w:pBdr>
        <w:jc w:val="both"/>
        <w:rPr>
          <w:rFonts w:ascii="Times New Roman" w:eastAsia="Times New Roman" w:hAnsi="Times New Roman" w:cs="Times New Roman"/>
          <w:b/>
          <w:color w:val="000000" w:themeColor="text1"/>
        </w:rPr>
      </w:pPr>
      <w:r w:rsidRPr="001D5327">
        <w:rPr>
          <w:rFonts w:ascii="Times New Roman" w:eastAsia="Times New Roman" w:hAnsi="Times New Roman" w:cs="Times New Roman"/>
          <w:b/>
          <w:color w:val="000000" w:themeColor="text1"/>
        </w:rPr>
        <w:t xml:space="preserve">Si vous souhaitez que vos soumissions restent </w:t>
      </w:r>
      <w:r w:rsidRPr="001D5327">
        <w:rPr>
          <w:rFonts w:ascii="Times New Roman" w:eastAsia="Times New Roman" w:hAnsi="Times New Roman" w:cs="Times New Roman"/>
          <w:b/>
          <w:color w:val="000000" w:themeColor="text1"/>
          <w:u w:val="single"/>
        </w:rPr>
        <w:t>confidentielles</w:t>
      </w:r>
      <w:r w:rsidRPr="001D5327">
        <w:rPr>
          <w:rFonts w:ascii="Times New Roman" w:eastAsia="Times New Roman" w:hAnsi="Times New Roman" w:cs="Times New Roman"/>
          <w:b/>
          <w:color w:val="000000" w:themeColor="text1"/>
        </w:rPr>
        <w:t xml:space="preserve">, vous êtes priés d'en </w:t>
      </w:r>
      <w:r w:rsidRPr="001D5327">
        <w:rPr>
          <w:rFonts w:ascii="Times New Roman" w:eastAsia="Times New Roman" w:hAnsi="Times New Roman" w:cs="Times New Roman"/>
          <w:b/>
          <w:color w:val="000000" w:themeColor="text1"/>
          <w:u w:val="single"/>
        </w:rPr>
        <w:t xml:space="preserve">faire la demande explicite </w:t>
      </w:r>
      <w:r w:rsidRPr="001D5327">
        <w:rPr>
          <w:rFonts w:ascii="Times New Roman" w:eastAsia="Times New Roman" w:hAnsi="Times New Roman" w:cs="Times New Roman"/>
          <w:b/>
          <w:color w:val="000000" w:themeColor="text1"/>
        </w:rPr>
        <w:t>dans votre soumission. Sinon, les informations p</w:t>
      </w:r>
      <w:r w:rsidR="00E072C8" w:rsidRPr="001D5327">
        <w:rPr>
          <w:rFonts w:ascii="Times New Roman" w:eastAsia="Times New Roman" w:hAnsi="Times New Roman" w:cs="Times New Roman"/>
          <w:b/>
          <w:color w:val="000000" w:themeColor="text1"/>
        </w:rPr>
        <w:t>ourront</w:t>
      </w:r>
      <w:r w:rsidRPr="001D5327">
        <w:rPr>
          <w:rFonts w:ascii="Times New Roman" w:eastAsia="Times New Roman" w:hAnsi="Times New Roman" w:cs="Times New Roman"/>
          <w:b/>
          <w:color w:val="000000" w:themeColor="text1"/>
        </w:rPr>
        <w:t xml:space="preserve"> être publiées en ligne</w:t>
      </w:r>
      <w:r w:rsidRPr="001D5327">
        <w:rPr>
          <w:rStyle w:val="FootnoteReference"/>
          <w:rFonts w:ascii="Times New Roman" w:eastAsia="Times New Roman" w:hAnsi="Times New Roman" w:cs="Times New Roman"/>
          <w:b/>
          <w:color w:val="000000" w:themeColor="text1"/>
        </w:rPr>
        <w:footnoteReference w:id="5"/>
      </w:r>
      <w:r w:rsidR="00E072C8" w:rsidRPr="001D5327">
        <w:rPr>
          <w:rFonts w:ascii="Times New Roman" w:eastAsia="Times New Roman" w:hAnsi="Times New Roman" w:cs="Times New Roman"/>
          <w:b/>
          <w:color w:val="000000" w:themeColor="text1"/>
        </w:rPr>
        <w:t xml:space="preserve"> </w:t>
      </w:r>
      <w:r w:rsidRPr="001D5327">
        <w:rPr>
          <w:rFonts w:ascii="Times New Roman" w:eastAsia="Times New Roman" w:hAnsi="Times New Roman" w:cs="Times New Roman"/>
          <w:b/>
          <w:color w:val="000000" w:themeColor="text1"/>
        </w:rPr>
        <w:t>et être référencées dans le rapport.</w:t>
      </w:r>
    </w:p>
    <w:p w14:paraId="364DDDC7" w14:textId="346E0234" w:rsidR="000715B4" w:rsidRPr="001D5327" w:rsidRDefault="000715B4" w:rsidP="001D5327">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p>
    <w:p w14:paraId="6441E013" w14:textId="18DA790C" w:rsidR="000715B4" w:rsidRPr="001D5327" w:rsidRDefault="000715B4" w:rsidP="001D5327">
      <w:pPr>
        <w:pBdr>
          <w:top w:val="nil"/>
          <w:left w:val="nil"/>
          <w:bottom w:val="nil"/>
          <w:right w:val="nil"/>
          <w:between w:val="nil"/>
        </w:pBdr>
        <w:jc w:val="both"/>
        <w:rPr>
          <w:rFonts w:ascii="Times New Roman" w:eastAsia="Times New Roman" w:hAnsi="Times New Roman" w:cs="Times New Roman"/>
          <w:color w:val="000000" w:themeColor="text1"/>
        </w:rPr>
      </w:pPr>
      <w:r w:rsidRPr="001D5327">
        <w:rPr>
          <w:rFonts w:ascii="Times New Roman" w:eastAsia="Times New Roman" w:hAnsi="Times New Roman" w:cs="Times New Roman"/>
          <w:color w:val="000000" w:themeColor="text1"/>
        </w:rPr>
        <w:t>L</w:t>
      </w:r>
      <w:r w:rsidR="00E072C8" w:rsidRPr="001D5327">
        <w:rPr>
          <w:rFonts w:ascii="Times New Roman" w:eastAsia="Times New Roman" w:hAnsi="Times New Roman" w:cs="Times New Roman"/>
          <w:color w:val="000000" w:themeColor="text1"/>
        </w:rPr>
        <w:t>’E</w:t>
      </w:r>
      <w:r w:rsidRPr="001D5327">
        <w:rPr>
          <w:rFonts w:ascii="Times New Roman" w:eastAsia="Times New Roman" w:hAnsi="Times New Roman" w:cs="Times New Roman"/>
          <w:color w:val="000000" w:themeColor="text1"/>
        </w:rPr>
        <w:t xml:space="preserve">xpert indépendant serait particulièrement reconnaissant de recevoir les informations demandées dans les meilleurs délais, et de préférence avant </w:t>
      </w:r>
      <w:r w:rsidR="007617F8" w:rsidRPr="001D5327">
        <w:rPr>
          <w:rFonts w:ascii="Times New Roman" w:eastAsia="Times New Roman" w:hAnsi="Times New Roman" w:cs="Times New Roman"/>
          <w:b/>
          <w:color w:val="000000" w:themeColor="text1"/>
          <w:u w:val="single"/>
          <w:lang w:val="fr-FR"/>
        </w:rPr>
        <w:t xml:space="preserve">le </w:t>
      </w:r>
      <w:r w:rsidR="00F80C37" w:rsidRPr="00F80C37">
        <w:rPr>
          <w:rFonts w:ascii="Times New Roman" w:eastAsia="Times New Roman" w:hAnsi="Times New Roman" w:cs="Times New Roman"/>
          <w:b/>
          <w:color w:val="000000" w:themeColor="text1"/>
          <w:u w:val="single"/>
          <w:lang w:val="fr-FR"/>
        </w:rPr>
        <w:t>15 janvier 2023</w:t>
      </w:r>
      <w:r w:rsidRPr="001D5327">
        <w:rPr>
          <w:rFonts w:ascii="Times New Roman" w:eastAsia="Times New Roman" w:hAnsi="Times New Roman" w:cs="Times New Roman"/>
          <w:color w:val="000000" w:themeColor="text1"/>
        </w:rPr>
        <w:t xml:space="preserve">. </w:t>
      </w:r>
      <w:r w:rsidRPr="001D5327">
        <w:rPr>
          <w:rFonts w:ascii="Times New Roman" w:eastAsia="Times New Roman" w:hAnsi="Times New Roman" w:cs="Times New Roman"/>
          <w:color w:val="000000" w:themeColor="text1"/>
          <w:u w:val="single"/>
        </w:rPr>
        <w:t>Veuillez noter que, compte tenu du processus de planification de la rédaction du rapport, l</w:t>
      </w:r>
      <w:r w:rsidR="00E072C8" w:rsidRPr="001D5327">
        <w:rPr>
          <w:rFonts w:ascii="Times New Roman" w:eastAsia="Times New Roman" w:hAnsi="Times New Roman" w:cs="Times New Roman"/>
          <w:color w:val="000000" w:themeColor="text1"/>
          <w:u w:val="single"/>
        </w:rPr>
        <w:t>’E</w:t>
      </w:r>
      <w:r w:rsidRPr="001D5327">
        <w:rPr>
          <w:rFonts w:ascii="Times New Roman" w:eastAsia="Times New Roman" w:hAnsi="Times New Roman" w:cs="Times New Roman"/>
          <w:color w:val="000000" w:themeColor="text1"/>
          <w:u w:val="single"/>
        </w:rPr>
        <w:t>xpert indépendant peut ne pas être en mesure de prendre en considération les contributions reçues après la date limite</w:t>
      </w:r>
      <w:r w:rsidRPr="001D5327">
        <w:rPr>
          <w:rFonts w:ascii="Times New Roman" w:eastAsia="Times New Roman" w:hAnsi="Times New Roman" w:cs="Times New Roman"/>
          <w:color w:val="000000" w:themeColor="text1"/>
        </w:rPr>
        <w:t>. Les réponses peuvent être adressées à l</w:t>
      </w:r>
      <w:r w:rsidR="00E072C8" w:rsidRPr="001D5327">
        <w:rPr>
          <w:rFonts w:ascii="Times New Roman" w:eastAsia="Times New Roman" w:hAnsi="Times New Roman" w:cs="Times New Roman"/>
          <w:color w:val="000000" w:themeColor="text1"/>
        </w:rPr>
        <w:t>’E</w:t>
      </w:r>
      <w:r w:rsidRPr="001D5327">
        <w:rPr>
          <w:rFonts w:ascii="Times New Roman" w:eastAsia="Times New Roman" w:hAnsi="Times New Roman" w:cs="Times New Roman"/>
          <w:color w:val="000000" w:themeColor="text1"/>
        </w:rPr>
        <w:t xml:space="preserve">xpert indépendant </w:t>
      </w:r>
      <w:r w:rsidR="00E072C8" w:rsidRPr="001D5327">
        <w:rPr>
          <w:rFonts w:ascii="Times New Roman" w:eastAsia="Times New Roman" w:hAnsi="Times New Roman" w:cs="Times New Roman"/>
          <w:color w:val="000000" w:themeColor="text1"/>
        </w:rPr>
        <w:t>par le biais du</w:t>
      </w:r>
      <w:r w:rsidRPr="001D5327">
        <w:rPr>
          <w:rFonts w:ascii="Times New Roman" w:eastAsia="Times New Roman" w:hAnsi="Times New Roman" w:cs="Times New Roman"/>
          <w:color w:val="000000" w:themeColor="text1"/>
        </w:rPr>
        <w:t xml:space="preserve"> Haut-Commissariat des Nations Unies aux droits de l'homme et doivent être soumises par courrier électronique (</w:t>
      </w:r>
      <w:hyperlink r:id="rId8" w:history="1">
        <w:r w:rsidR="00E072C8" w:rsidRPr="001D5327">
          <w:rPr>
            <w:rStyle w:val="Hyperlink"/>
            <w:rFonts w:ascii="Times New Roman" w:eastAsia="Times New Roman" w:hAnsi="Times New Roman" w:cs="Times New Roman"/>
          </w:rPr>
          <w:t>hrc-ie-sogi@un.org</w:t>
        </w:r>
      </w:hyperlink>
      <w:r w:rsidRPr="001D5327">
        <w:rPr>
          <w:rFonts w:ascii="Times New Roman" w:eastAsia="Times New Roman" w:hAnsi="Times New Roman" w:cs="Times New Roman"/>
          <w:color w:val="000000" w:themeColor="text1"/>
        </w:rPr>
        <w:t xml:space="preserve">), avec le titre </w:t>
      </w:r>
      <w:r w:rsidR="00E072C8" w:rsidRPr="001D5327">
        <w:rPr>
          <w:rFonts w:ascii="Times New Roman" w:eastAsia="Times New Roman" w:hAnsi="Times New Roman" w:cs="Times New Roman"/>
          <w:color w:val="000000" w:themeColor="text1"/>
        </w:rPr>
        <w:t>« </w:t>
      </w:r>
      <w:r w:rsidRPr="001D5327">
        <w:rPr>
          <w:rFonts w:ascii="Times New Roman" w:eastAsia="Times New Roman" w:hAnsi="Times New Roman" w:cs="Times New Roman"/>
          <w:color w:val="000000" w:themeColor="text1"/>
        </w:rPr>
        <w:t xml:space="preserve">Soumission au rapport sur </w:t>
      </w:r>
      <w:proofErr w:type="spellStart"/>
      <w:r w:rsidRPr="001D5327">
        <w:rPr>
          <w:rFonts w:ascii="Times New Roman" w:eastAsia="Times New Roman" w:hAnsi="Times New Roman" w:cs="Times New Roman"/>
          <w:color w:val="000000" w:themeColor="text1"/>
        </w:rPr>
        <w:t>FoRB</w:t>
      </w:r>
      <w:proofErr w:type="spellEnd"/>
      <w:r w:rsidRPr="001D5327">
        <w:rPr>
          <w:rFonts w:ascii="Times New Roman" w:eastAsia="Times New Roman" w:hAnsi="Times New Roman" w:cs="Times New Roman"/>
          <w:color w:val="000000" w:themeColor="text1"/>
        </w:rPr>
        <w:t xml:space="preserve"> et SOGI</w:t>
      </w:r>
      <w:r w:rsidR="00E072C8" w:rsidRPr="001D5327">
        <w:rPr>
          <w:rFonts w:ascii="Times New Roman" w:eastAsia="Times New Roman" w:hAnsi="Times New Roman" w:cs="Times New Roman"/>
          <w:color w:val="000000" w:themeColor="text1"/>
        </w:rPr>
        <w:t> »</w:t>
      </w:r>
      <w:r w:rsidRPr="001D5327">
        <w:rPr>
          <w:rFonts w:ascii="Times New Roman" w:eastAsia="Times New Roman" w:hAnsi="Times New Roman" w:cs="Times New Roman"/>
          <w:color w:val="000000" w:themeColor="text1"/>
        </w:rPr>
        <w:t>.</w:t>
      </w:r>
    </w:p>
    <w:p w14:paraId="4E3E2F5D" w14:textId="1BCBFB8C" w:rsidR="000715B4" w:rsidRPr="001D5327" w:rsidRDefault="000715B4" w:rsidP="001D5327">
      <w:pPr>
        <w:pBdr>
          <w:top w:val="nil"/>
          <w:left w:val="nil"/>
          <w:bottom w:val="nil"/>
          <w:right w:val="nil"/>
          <w:between w:val="nil"/>
        </w:pBdr>
        <w:jc w:val="both"/>
        <w:rPr>
          <w:rFonts w:ascii="Times New Roman" w:eastAsia="Times New Roman" w:hAnsi="Times New Roman" w:cs="Times New Roman"/>
          <w:color w:val="000000" w:themeColor="text1"/>
        </w:rPr>
      </w:pPr>
    </w:p>
    <w:p w14:paraId="42ABE34B" w14:textId="44A8895D" w:rsidR="000715B4" w:rsidRPr="001D5327" w:rsidRDefault="000715B4" w:rsidP="001D5327">
      <w:pPr>
        <w:pBdr>
          <w:top w:val="nil"/>
          <w:left w:val="nil"/>
          <w:bottom w:val="nil"/>
          <w:right w:val="nil"/>
          <w:between w:val="nil"/>
        </w:pBdr>
        <w:jc w:val="both"/>
        <w:rPr>
          <w:rFonts w:ascii="Times New Roman" w:eastAsia="Times New Roman" w:hAnsi="Times New Roman" w:cs="Times New Roman"/>
          <w:color w:val="000000" w:themeColor="text1"/>
        </w:rPr>
      </w:pPr>
      <w:r w:rsidRPr="001D5327">
        <w:rPr>
          <w:rFonts w:ascii="Times New Roman" w:eastAsia="Times New Roman" w:hAnsi="Times New Roman" w:cs="Times New Roman"/>
          <w:color w:val="000000" w:themeColor="text1"/>
        </w:rPr>
        <w:lastRenderedPageBreak/>
        <w:t>Pour toute autre question ou clarification, n'hésitez pas à contacter l'</w:t>
      </w:r>
      <w:r w:rsidR="00E072C8" w:rsidRPr="001D5327">
        <w:rPr>
          <w:rFonts w:ascii="Times New Roman" w:eastAsia="Times New Roman" w:hAnsi="Times New Roman" w:cs="Times New Roman"/>
          <w:color w:val="000000" w:themeColor="text1"/>
        </w:rPr>
        <w:t>E</w:t>
      </w:r>
      <w:r w:rsidRPr="001D5327">
        <w:rPr>
          <w:rFonts w:ascii="Times New Roman" w:eastAsia="Times New Roman" w:hAnsi="Times New Roman" w:cs="Times New Roman"/>
          <w:color w:val="000000" w:themeColor="text1"/>
        </w:rPr>
        <w:t>xpert indépendant par l'intermédiaire du Haut-Commissariat des Nations Unies aux droits de l'homme à l</w:t>
      </w:r>
      <w:r w:rsidR="00E072C8" w:rsidRPr="001D5327">
        <w:rPr>
          <w:rFonts w:ascii="Times New Roman" w:eastAsia="Times New Roman" w:hAnsi="Times New Roman" w:cs="Times New Roman"/>
          <w:color w:val="000000" w:themeColor="text1"/>
        </w:rPr>
        <w:t>’</w:t>
      </w:r>
      <w:r w:rsidR="007617F8" w:rsidRPr="001D5327">
        <w:rPr>
          <w:rFonts w:ascii="Times New Roman" w:eastAsia="Times New Roman" w:hAnsi="Times New Roman" w:cs="Times New Roman"/>
        </w:rPr>
        <w:t xml:space="preserve">adresse </w:t>
      </w:r>
      <w:hyperlink r:id="rId9" w:history="1">
        <w:r w:rsidR="00E072C8" w:rsidRPr="001D5327">
          <w:rPr>
            <w:rStyle w:val="Hyperlink"/>
            <w:rFonts w:ascii="Times New Roman" w:eastAsia="Times New Roman" w:hAnsi="Times New Roman" w:cs="Times New Roman"/>
          </w:rPr>
          <w:t>hrc-ie-sogi@un.org</w:t>
        </w:r>
      </w:hyperlink>
      <w:r w:rsidRPr="001D5327">
        <w:rPr>
          <w:rFonts w:ascii="Times New Roman" w:eastAsia="Times New Roman" w:hAnsi="Times New Roman" w:cs="Times New Roman"/>
          <w:color w:val="000000" w:themeColor="text1"/>
        </w:rPr>
        <w:t>.</w:t>
      </w:r>
    </w:p>
    <w:p w14:paraId="204228F9" w14:textId="7F951621" w:rsidR="00570393" w:rsidRPr="00E072C8" w:rsidRDefault="00570393" w:rsidP="000715B4">
      <w:pPr>
        <w:jc w:val="both"/>
        <w:rPr>
          <w:rFonts w:asciiTheme="majorBidi" w:hAnsiTheme="majorBidi" w:cstheme="majorBidi"/>
          <w:color w:val="000000" w:themeColor="text1"/>
          <w:sz w:val="22"/>
          <w:szCs w:val="22"/>
        </w:rPr>
      </w:pPr>
    </w:p>
    <w:sectPr w:rsidR="00570393" w:rsidRPr="00E072C8">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0AB0" w14:textId="77777777" w:rsidR="007A36A4" w:rsidRDefault="007A36A4" w:rsidP="00123B81">
      <w:r>
        <w:separator/>
      </w:r>
    </w:p>
  </w:endnote>
  <w:endnote w:type="continuationSeparator" w:id="0">
    <w:p w14:paraId="051C0DCC" w14:textId="77777777" w:rsidR="007A36A4" w:rsidRDefault="007A36A4" w:rsidP="00123B81">
      <w:r>
        <w:continuationSeparator/>
      </w:r>
    </w:p>
  </w:endnote>
  <w:endnote w:type="continuationNotice" w:id="1">
    <w:p w14:paraId="530EA2C6" w14:textId="77777777" w:rsidR="007A36A4" w:rsidRDefault="007A3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563901"/>
      <w:docPartObj>
        <w:docPartGallery w:val="Page Numbers (Bottom of Page)"/>
        <w:docPartUnique/>
      </w:docPartObj>
    </w:sdtPr>
    <w:sdtEndPr>
      <w:rPr>
        <w:rStyle w:val="PageNumber"/>
      </w:rPr>
    </w:sdtEndPr>
    <w:sdtContent>
      <w:p w14:paraId="7FA562E8" w14:textId="03C84129" w:rsidR="003036DC" w:rsidRDefault="003036DC" w:rsidP="00EE5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5164394"/>
      <w:docPartObj>
        <w:docPartGallery w:val="Page Numbers (Bottom of Page)"/>
        <w:docPartUnique/>
      </w:docPartObj>
    </w:sdtPr>
    <w:sdtEndPr>
      <w:rPr>
        <w:rStyle w:val="PageNumber"/>
      </w:rPr>
    </w:sdtEndPr>
    <w:sdtContent>
      <w:p w14:paraId="76582335" w14:textId="2434A8BD" w:rsidR="003036DC" w:rsidRDefault="003036DC" w:rsidP="00EE5E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DB68D" w14:textId="77777777" w:rsidR="003036DC" w:rsidRDefault="003036DC" w:rsidP="00303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39716"/>
      <w:docPartObj>
        <w:docPartGallery w:val="Page Numbers (Bottom of Page)"/>
        <w:docPartUnique/>
      </w:docPartObj>
    </w:sdtPr>
    <w:sdtEndPr>
      <w:rPr>
        <w:rStyle w:val="PageNumber"/>
      </w:rPr>
    </w:sdtEndPr>
    <w:sdtContent>
      <w:p w14:paraId="73FEAD07" w14:textId="26D09F53" w:rsidR="003036DC" w:rsidRDefault="003036DC" w:rsidP="003036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58256" w14:textId="77777777" w:rsidR="003036DC" w:rsidRDefault="003036DC" w:rsidP="00303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305F" w14:textId="77777777" w:rsidR="007A36A4" w:rsidRDefault="007A36A4" w:rsidP="00123B81">
      <w:r>
        <w:separator/>
      </w:r>
    </w:p>
  </w:footnote>
  <w:footnote w:type="continuationSeparator" w:id="0">
    <w:p w14:paraId="11C698EF" w14:textId="77777777" w:rsidR="007A36A4" w:rsidRDefault="007A36A4" w:rsidP="00123B81">
      <w:r>
        <w:continuationSeparator/>
      </w:r>
    </w:p>
  </w:footnote>
  <w:footnote w:type="continuationNotice" w:id="1">
    <w:p w14:paraId="2DA602EB" w14:textId="77777777" w:rsidR="007A36A4" w:rsidRDefault="007A36A4"/>
  </w:footnote>
  <w:footnote w:id="2">
    <w:p w14:paraId="2313FA9D" w14:textId="7623BE0D" w:rsidR="00184DC5" w:rsidRPr="000510ED" w:rsidRDefault="00184DC5" w:rsidP="00184DC5">
      <w:pPr>
        <w:pStyle w:val="FootnoteText"/>
        <w:jc w:val="both"/>
        <w:rPr>
          <w:rFonts w:ascii="Times New Roman" w:hAnsi="Times New Roman" w:cs="Times New Roman"/>
        </w:rPr>
      </w:pPr>
      <w:r>
        <w:rPr>
          <w:rStyle w:val="FootnoteReference"/>
        </w:rPr>
        <w:footnoteRef/>
      </w:r>
      <w:r>
        <w:t xml:space="preserve"> </w:t>
      </w:r>
      <w:r w:rsidRPr="000510ED">
        <w:rPr>
          <w:rFonts w:ascii="Times New Roman" w:hAnsi="Times New Roman" w:cs="Times New Roman"/>
        </w:rPr>
        <w:t>L'absence de violence et de discrimination fondée sur l</w:t>
      </w:r>
      <w:r>
        <w:rPr>
          <w:rFonts w:ascii="Times New Roman" w:hAnsi="Times New Roman" w:cs="Times New Roman"/>
        </w:rPr>
        <w:t>’orientation sexuelle et l’identité de genre</w:t>
      </w:r>
      <w:r w:rsidRPr="000510ED">
        <w:rPr>
          <w:rFonts w:ascii="Times New Roman" w:hAnsi="Times New Roman" w:cs="Times New Roman"/>
        </w:rPr>
        <w:t xml:space="preserve"> est </w:t>
      </w:r>
      <w:r>
        <w:rPr>
          <w:rFonts w:ascii="Times New Roman" w:hAnsi="Times New Roman" w:cs="Times New Roman"/>
        </w:rPr>
        <w:t>entendue</w:t>
      </w:r>
      <w:r w:rsidRPr="000510ED">
        <w:rPr>
          <w:rFonts w:ascii="Times New Roman" w:hAnsi="Times New Roman" w:cs="Times New Roman"/>
        </w:rPr>
        <w:t xml:space="preserve"> dans ce document comme un ensemble de conditions dérivées de diverses valeurs et obligations transversales en matière de droits </w:t>
      </w:r>
      <w:r>
        <w:rPr>
          <w:rFonts w:ascii="Times New Roman" w:hAnsi="Times New Roman" w:cs="Times New Roman"/>
        </w:rPr>
        <w:t>humains</w:t>
      </w:r>
      <w:r w:rsidRPr="000510ED">
        <w:rPr>
          <w:rFonts w:ascii="Times New Roman" w:hAnsi="Times New Roman" w:cs="Times New Roman"/>
        </w:rPr>
        <w:t>, y compris l'absence de torture et d'autres traitements cruels, inhumains ou</w:t>
      </w:r>
      <w:r>
        <w:rPr>
          <w:rFonts w:ascii="Times New Roman" w:hAnsi="Times New Roman" w:cs="Times New Roman"/>
        </w:rPr>
        <w:t xml:space="preserve"> </w:t>
      </w:r>
      <w:r w:rsidRPr="000510ED">
        <w:rPr>
          <w:rFonts w:ascii="Times New Roman" w:hAnsi="Times New Roman" w:cs="Times New Roman"/>
        </w:rPr>
        <w:t>dégradants, le droit à la vie privée, le droit à la liberté d'expression, le droit à la santé et la dignité humaine.</w:t>
      </w:r>
    </w:p>
    <w:p w14:paraId="7911CD0D" w14:textId="508212F4" w:rsidR="00184DC5" w:rsidRPr="00184DC5" w:rsidRDefault="00184DC5">
      <w:pPr>
        <w:pStyle w:val="FootnoteText"/>
      </w:pPr>
    </w:p>
  </w:footnote>
  <w:footnote w:id="3">
    <w:p w14:paraId="68279078" w14:textId="56C53FB5" w:rsidR="00DC67D9" w:rsidRPr="000510ED" w:rsidRDefault="00DC67D9">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A/HRC/43/48, par. 43-52.</w:t>
      </w:r>
    </w:p>
  </w:footnote>
  <w:footnote w:id="4">
    <w:p w14:paraId="1A62C61C" w14:textId="54097B69" w:rsidR="00C77AC2" w:rsidRPr="000510ED" w:rsidRDefault="00C77AC2">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A/HRC/43/48 ; par. 39.</w:t>
      </w:r>
    </w:p>
  </w:footnote>
  <w:footnote w:id="5">
    <w:p w14:paraId="573B8C49" w14:textId="3C389B5B" w:rsidR="000715B4" w:rsidRPr="00184DC5" w:rsidRDefault="000715B4" w:rsidP="000715B4">
      <w:pPr>
        <w:pStyle w:val="FootnoteText"/>
        <w:rPr>
          <w:rFonts w:ascii="Times New Roman" w:hAnsi="Times New Roman" w:cs="Times New Roman"/>
          <w:lang w:val="fr-FR"/>
        </w:rPr>
      </w:pPr>
      <w:r w:rsidRPr="000510ED">
        <w:rPr>
          <w:rStyle w:val="FootnoteReference"/>
          <w:rFonts w:ascii="Times New Roman" w:hAnsi="Times New Roman" w:cs="Times New Roman"/>
        </w:rPr>
        <w:footnoteRef/>
      </w:r>
      <w:r w:rsidR="0024251C">
        <w:rPr>
          <w:rFonts w:ascii="Times New Roman" w:hAnsi="Times New Roman" w:cs="Times New Roman"/>
        </w:rPr>
        <w:t xml:space="preserve"> </w:t>
      </w:r>
      <w:r w:rsidR="000510ED">
        <w:rPr>
          <w:rFonts w:ascii="Times New Roman" w:hAnsi="Times New Roman" w:cs="Times New Roman"/>
        </w:rPr>
        <w:t xml:space="preserve">Les soumissions peuvent être publiées sur la page Web du rapport thématique respectif, à l'adresse : </w:t>
      </w:r>
      <w:hyperlink r:id="rId1" w:history="1">
        <w:r w:rsidR="0024251C" w:rsidRPr="004148A4">
          <w:rPr>
            <w:rStyle w:val="Hyperlink"/>
            <w:rFonts w:ascii="Times New Roman" w:hAnsi="Times New Roman" w:cs="Times New Roman"/>
          </w:rPr>
          <w:t>https://www.ohchr.org/fr/special-procedures/ie-sexual-orientation-and-gender-identity/annual-thematic-reports-independent-expert-protection-against-violence-and-discrimination-based</w:t>
        </w:r>
      </w:hyperlink>
      <w:r w:rsidR="0024251C">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1"/>
  </w:num>
  <w:num w:numId="6">
    <w:abstractNumId w:val="1"/>
  </w:num>
  <w:num w:numId="7">
    <w:abstractNumId w:val="2"/>
  </w:num>
  <w:num w:numId="8">
    <w:abstractNumId w:val="9"/>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EE"/>
    <w:rsid w:val="000270A9"/>
    <w:rsid w:val="00031350"/>
    <w:rsid w:val="000510ED"/>
    <w:rsid w:val="0005220D"/>
    <w:rsid w:val="000715B4"/>
    <w:rsid w:val="00084693"/>
    <w:rsid w:val="000D4406"/>
    <w:rsid w:val="00103C78"/>
    <w:rsid w:val="001065BA"/>
    <w:rsid w:val="00112E81"/>
    <w:rsid w:val="00120E4A"/>
    <w:rsid w:val="00123B81"/>
    <w:rsid w:val="00131CC9"/>
    <w:rsid w:val="001431C0"/>
    <w:rsid w:val="00164669"/>
    <w:rsid w:val="00172798"/>
    <w:rsid w:val="00184DC5"/>
    <w:rsid w:val="0019016E"/>
    <w:rsid w:val="00190F61"/>
    <w:rsid w:val="001B02A1"/>
    <w:rsid w:val="001D5327"/>
    <w:rsid w:val="001D608F"/>
    <w:rsid w:val="001E7CE6"/>
    <w:rsid w:val="002022AC"/>
    <w:rsid w:val="00214A8A"/>
    <w:rsid w:val="0021503B"/>
    <w:rsid w:val="00215D53"/>
    <w:rsid w:val="002312F3"/>
    <w:rsid w:val="00241C6F"/>
    <w:rsid w:val="0024251C"/>
    <w:rsid w:val="002469A0"/>
    <w:rsid w:val="00255DB0"/>
    <w:rsid w:val="00261E9F"/>
    <w:rsid w:val="00265720"/>
    <w:rsid w:val="002705F6"/>
    <w:rsid w:val="002A1DD0"/>
    <w:rsid w:val="002B54B0"/>
    <w:rsid w:val="002C6533"/>
    <w:rsid w:val="0030174E"/>
    <w:rsid w:val="003036DC"/>
    <w:rsid w:val="003135AC"/>
    <w:rsid w:val="00345B84"/>
    <w:rsid w:val="00350BD1"/>
    <w:rsid w:val="00385851"/>
    <w:rsid w:val="00397992"/>
    <w:rsid w:val="003A4CCE"/>
    <w:rsid w:val="00406F24"/>
    <w:rsid w:val="00443459"/>
    <w:rsid w:val="0046033B"/>
    <w:rsid w:val="00462023"/>
    <w:rsid w:val="004A2A42"/>
    <w:rsid w:val="004D0F0F"/>
    <w:rsid w:val="00506AEE"/>
    <w:rsid w:val="005157C8"/>
    <w:rsid w:val="005214DB"/>
    <w:rsid w:val="005342E5"/>
    <w:rsid w:val="00547DB6"/>
    <w:rsid w:val="0055096D"/>
    <w:rsid w:val="00563E2C"/>
    <w:rsid w:val="00570393"/>
    <w:rsid w:val="005759C0"/>
    <w:rsid w:val="00576269"/>
    <w:rsid w:val="00577422"/>
    <w:rsid w:val="00577991"/>
    <w:rsid w:val="00583B6A"/>
    <w:rsid w:val="00592D00"/>
    <w:rsid w:val="005A51FA"/>
    <w:rsid w:val="005C1D34"/>
    <w:rsid w:val="005E3B6A"/>
    <w:rsid w:val="005F5EAC"/>
    <w:rsid w:val="00613397"/>
    <w:rsid w:val="00614648"/>
    <w:rsid w:val="006406C6"/>
    <w:rsid w:val="00640F66"/>
    <w:rsid w:val="006563FC"/>
    <w:rsid w:val="006629F7"/>
    <w:rsid w:val="00667023"/>
    <w:rsid w:val="00691BBF"/>
    <w:rsid w:val="006A684C"/>
    <w:rsid w:val="006A79BC"/>
    <w:rsid w:val="006B0604"/>
    <w:rsid w:val="006B5C2D"/>
    <w:rsid w:val="006C0CF0"/>
    <w:rsid w:val="006C77BE"/>
    <w:rsid w:val="006D16B9"/>
    <w:rsid w:val="006D189C"/>
    <w:rsid w:val="006F3926"/>
    <w:rsid w:val="00720066"/>
    <w:rsid w:val="0072181F"/>
    <w:rsid w:val="00732F47"/>
    <w:rsid w:val="00737968"/>
    <w:rsid w:val="0075038C"/>
    <w:rsid w:val="007617F8"/>
    <w:rsid w:val="007A36A4"/>
    <w:rsid w:val="007B115D"/>
    <w:rsid w:val="007B2D7C"/>
    <w:rsid w:val="007B7CD1"/>
    <w:rsid w:val="00805B61"/>
    <w:rsid w:val="008060C4"/>
    <w:rsid w:val="00811762"/>
    <w:rsid w:val="00824556"/>
    <w:rsid w:val="00833BFD"/>
    <w:rsid w:val="008413DB"/>
    <w:rsid w:val="008474C5"/>
    <w:rsid w:val="00876D1E"/>
    <w:rsid w:val="00881BC1"/>
    <w:rsid w:val="00890A7A"/>
    <w:rsid w:val="008B120E"/>
    <w:rsid w:val="008B30B6"/>
    <w:rsid w:val="008D4FC9"/>
    <w:rsid w:val="008E4941"/>
    <w:rsid w:val="008F1E8F"/>
    <w:rsid w:val="00905A2A"/>
    <w:rsid w:val="00905FFF"/>
    <w:rsid w:val="00911E70"/>
    <w:rsid w:val="009219B0"/>
    <w:rsid w:val="0093453A"/>
    <w:rsid w:val="0095202B"/>
    <w:rsid w:val="0095696B"/>
    <w:rsid w:val="00976ACF"/>
    <w:rsid w:val="009B4BE3"/>
    <w:rsid w:val="009C1E47"/>
    <w:rsid w:val="009E2AAD"/>
    <w:rsid w:val="00A071EF"/>
    <w:rsid w:val="00A1273D"/>
    <w:rsid w:val="00A15EA4"/>
    <w:rsid w:val="00A33CF8"/>
    <w:rsid w:val="00A455E3"/>
    <w:rsid w:val="00A55A42"/>
    <w:rsid w:val="00A611AC"/>
    <w:rsid w:val="00AA0C3A"/>
    <w:rsid w:val="00AA534C"/>
    <w:rsid w:val="00AB14D9"/>
    <w:rsid w:val="00AF1B10"/>
    <w:rsid w:val="00B02B20"/>
    <w:rsid w:val="00B079B0"/>
    <w:rsid w:val="00B17189"/>
    <w:rsid w:val="00B17623"/>
    <w:rsid w:val="00B358D8"/>
    <w:rsid w:val="00B40DBC"/>
    <w:rsid w:val="00B532BA"/>
    <w:rsid w:val="00B86C0A"/>
    <w:rsid w:val="00BD30AE"/>
    <w:rsid w:val="00C05132"/>
    <w:rsid w:val="00C15C62"/>
    <w:rsid w:val="00C220F9"/>
    <w:rsid w:val="00C23C6E"/>
    <w:rsid w:val="00C25A69"/>
    <w:rsid w:val="00C4450A"/>
    <w:rsid w:val="00C47F3B"/>
    <w:rsid w:val="00C62553"/>
    <w:rsid w:val="00C77AC2"/>
    <w:rsid w:val="00C81AC1"/>
    <w:rsid w:val="00C92F8E"/>
    <w:rsid w:val="00C94363"/>
    <w:rsid w:val="00CA4983"/>
    <w:rsid w:val="00CB6785"/>
    <w:rsid w:val="00CC0956"/>
    <w:rsid w:val="00CC7A7B"/>
    <w:rsid w:val="00CE1E19"/>
    <w:rsid w:val="00CF1CF6"/>
    <w:rsid w:val="00CF21DA"/>
    <w:rsid w:val="00D17DAC"/>
    <w:rsid w:val="00D20BA6"/>
    <w:rsid w:val="00D20C21"/>
    <w:rsid w:val="00D520F8"/>
    <w:rsid w:val="00D648D2"/>
    <w:rsid w:val="00D665D8"/>
    <w:rsid w:val="00D73038"/>
    <w:rsid w:val="00DB1169"/>
    <w:rsid w:val="00DC67D9"/>
    <w:rsid w:val="00DD5F97"/>
    <w:rsid w:val="00DE3F2B"/>
    <w:rsid w:val="00E072C8"/>
    <w:rsid w:val="00E13829"/>
    <w:rsid w:val="00E2165F"/>
    <w:rsid w:val="00E27291"/>
    <w:rsid w:val="00E33A54"/>
    <w:rsid w:val="00E402E2"/>
    <w:rsid w:val="00E80642"/>
    <w:rsid w:val="00E83D29"/>
    <w:rsid w:val="00E96C8A"/>
    <w:rsid w:val="00EA0979"/>
    <w:rsid w:val="00EB4C47"/>
    <w:rsid w:val="00EB726E"/>
    <w:rsid w:val="00EF049E"/>
    <w:rsid w:val="00F34FF9"/>
    <w:rsid w:val="00F64223"/>
    <w:rsid w:val="00F711BD"/>
    <w:rsid w:val="00F80C37"/>
    <w:rsid w:val="00F9563D"/>
    <w:rsid w:val="00FA25C3"/>
    <w:rsid w:val="00FA2AE6"/>
    <w:rsid w:val="00FB4A8B"/>
    <w:rsid w:val="00FB7BB9"/>
    <w:rsid w:val="00FC3B70"/>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123B81"/>
    <w:rPr>
      <w:vertAlign w:val="superscript"/>
    </w:rPr>
  </w:style>
  <w:style w:type="paragraph" w:styleId="Header">
    <w:name w:val="header"/>
    <w:basedOn w:val="Normal"/>
    <w:link w:val="HeaderChar"/>
    <w:uiPriority w:val="99"/>
    <w:unhideWhenUsed/>
    <w:rsid w:val="003036DC"/>
    <w:pPr>
      <w:tabs>
        <w:tab w:val="center" w:pos="4513"/>
        <w:tab w:val="right" w:pos="9026"/>
      </w:tabs>
    </w:pPr>
  </w:style>
  <w:style w:type="character" w:customStyle="1" w:styleId="HeaderChar">
    <w:name w:val="Header Char"/>
    <w:basedOn w:val="DefaultParagraphFont"/>
    <w:link w:val="Header"/>
    <w:uiPriority w:val="99"/>
    <w:rsid w:val="003036DC"/>
    <w:rPr>
      <w:lang w:val="fr"/>
    </w:rPr>
  </w:style>
  <w:style w:type="paragraph" w:styleId="Footer">
    <w:name w:val="footer"/>
    <w:basedOn w:val="Normal"/>
    <w:link w:val="FooterChar"/>
    <w:uiPriority w:val="99"/>
    <w:unhideWhenUsed/>
    <w:rsid w:val="003036DC"/>
    <w:pPr>
      <w:tabs>
        <w:tab w:val="center" w:pos="4513"/>
        <w:tab w:val="right" w:pos="9026"/>
      </w:tabs>
    </w:pPr>
  </w:style>
  <w:style w:type="character" w:customStyle="1" w:styleId="FooterChar">
    <w:name w:val="Footer Char"/>
    <w:basedOn w:val="DefaultParagraphFont"/>
    <w:link w:val="Footer"/>
    <w:uiPriority w:val="99"/>
    <w:rsid w:val="003036DC"/>
    <w:rPr>
      <w:lang w:val="fr"/>
    </w:rPr>
  </w:style>
  <w:style w:type="character" w:styleId="PageNumber">
    <w:name w:val="page number"/>
    <w:basedOn w:val="DefaultParagraphFont"/>
    <w:uiPriority w:val="99"/>
    <w:semiHidden/>
    <w:unhideWhenUsed/>
    <w:rsid w:val="003036DC"/>
  </w:style>
  <w:style w:type="character" w:styleId="UnresolvedMention">
    <w:name w:val="Unresolved Mention"/>
    <w:basedOn w:val="DefaultParagraphFont"/>
    <w:uiPriority w:val="99"/>
    <w:semiHidden/>
    <w:unhideWhenUsed/>
    <w:rsid w:val="00905FFF"/>
    <w:rPr>
      <w:color w:val="605E5C"/>
      <w:shd w:val="clear" w:color="auto" w:fill="E1DFDD"/>
    </w:rPr>
  </w:style>
  <w:style w:type="paragraph" w:styleId="ListParagraph">
    <w:name w:val="List Paragraph"/>
    <w:basedOn w:val="Normal"/>
    <w:uiPriority w:val="34"/>
    <w:qFormat/>
    <w:rsid w:val="00905FFF"/>
    <w:pPr>
      <w:ind w:left="720"/>
      <w:contextualSpacing/>
    </w:pPr>
  </w:style>
  <w:style w:type="character" w:styleId="CommentReference">
    <w:name w:val="annotation reference"/>
    <w:basedOn w:val="DefaultParagraphFont"/>
    <w:uiPriority w:val="99"/>
    <w:semiHidden/>
    <w:unhideWhenUsed/>
    <w:rsid w:val="00E402E2"/>
    <w:rPr>
      <w:sz w:val="16"/>
      <w:szCs w:val="16"/>
    </w:rPr>
  </w:style>
  <w:style w:type="paragraph" w:styleId="CommentText">
    <w:name w:val="annotation text"/>
    <w:basedOn w:val="Normal"/>
    <w:link w:val="CommentTextChar"/>
    <w:uiPriority w:val="99"/>
    <w:unhideWhenUsed/>
    <w:rsid w:val="00E402E2"/>
    <w:rPr>
      <w:sz w:val="20"/>
      <w:szCs w:val="20"/>
    </w:rPr>
  </w:style>
  <w:style w:type="character" w:customStyle="1" w:styleId="CommentTextChar">
    <w:name w:val="Comment Text Char"/>
    <w:basedOn w:val="DefaultParagraphFont"/>
    <w:link w:val="CommentText"/>
    <w:uiPriority w:val="99"/>
    <w:rsid w:val="00E402E2"/>
    <w:rPr>
      <w:sz w:val="20"/>
      <w:szCs w:val="20"/>
      <w:lang w:val="fr"/>
    </w:rPr>
  </w:style>
  <w:style w:type="paragraph" w:styleId="CommentSubject">
    <w:name w:val="annotation subject"/>
    <w:basedOn w:val="CommentText"/>
    <w:next w:val="CommentText"/>
    <w:link w:val="CommentSubjectChar"/>
    <w:uiPriority w:val="99"/>
    <w:semiHidden/>
    <w:unhideWhenUsed/>
    <w:rsid w:val="00E402E2"/>
    <w:rPr>
      <w:b/>
      <w:bCs/>
    </w:rPr>
  </w:style>
  <w:style w:type="character" w:customStyle="1" w:styleId="CommentSubjectChar">
    <w:name w:val="Comment Subject Char"/>
    <w:basedOn w:val="CommentTextChar"/>
    <w:link w:val="CommentSubject"/>
    <w:uiPriority w:val="99"/>
    <w:semiHidden/>
    <w:rsid w:val="00E402E2"/>
    <w:rPr>
      <w:b/>
      <w:bCs/>
      <w:sz w:val="20"/>
      <w:szCs w:val="20"/>
      <w:lang w:val="fr"/>
    </w:rPr>
  </w:style>
  <w:style w:type="paragraph" w:styleId="Revision">
    <w:name w:val="Revision"/>
    <w:hidden/>
    <w:uiPriority w:val="99"/>
    <w:semiHidden/>
    <w:rsid w:val="0046033B"/>
  </w:style>
  <w:style w:type="paragraph" w:styleId="FootnoteText">
    <w:name w:val="footnote text"/>
    <w:basedOn w:val="Normal"/>
    <w:link w:val="FootnoteTextChar"/>
    <w:uiPriority w:val="99"/>
    <w:unhideWhenUsed/>
    <w:rsid w:val="00084693"/>
    <w:rPr>
      <w:sz w:val="20"/>
      <w:szCs w:val="20"/>
    </w:rPr>
  </w:style>
  <w:style w:type="character" w:customStyle="1" w:styleId="FootnoteTextChar">
    <w:name w:val="Footnote Text Char"/>
    <w:basedOn w:val="DefaultParagraphFont"/>
    <w:link w:val="FootnoteText"/>
    <w:uiPriority w:val="99"/>
    <w:rsid w:val="00084693"/>
    <w:rPr>
      <w:sz w:val="20"/>
      <w:szCs w:val="20"/>
      <w:lang w:val="fr"/>
    </w:rPr>
  </w:style>
  <w:style w:type="character" w:styleId="FollowedHyperlink">
    <w:name w:val="FollowedHyperlink"/>
    <w:basedOn w:val="DefaultParagraphFont"/>
    <w:uiPriority w:val="99"/>
    <w:semiHidden/>
    <w:unhideWhenUsed/>
    <w:rsid w:val="00084693"/>
    <w:rPr>
      <w:color w:val="954F72" w:themeColor="followedHyperlink"/>
      <w:u w:val="single"/>
    </w:rPr>
  </w:style>
  <w:style w:type="paragraph" w:styleId="EndnoteText">
    <w:name w:val="endnote text"/>
    <w:basedOn w:val="Normal"/>
    <w:link w:val="EndnoteTextChar"/>
    <w:uiPriority w:val="99"/>
    <w:semiHidden/>
    <w:unhideWhenUsed/>
    <w:rsid w:val="00031350"/>
    <w:rPr>
      <w:sz w:val="20"/>
      <w:szCs w:val="20"/>
    </w:rPr>
  </w:style>
  <w:style w:type="character" w:customStyle="1" w:styleId="EndnoteTextChar">
    <w:name w:val="Endnote Text Char"/>
    <w:basedOn w:val="DefaultParagraphFont"/>
    <w:link w:val="EndnoteText"/>
    <w:uiPriority w:val="99"/>
    <w:semiHidden/>
    <w:rsid w:val="00031350"/>
    <w:rPr>
      <w:sz w:val="20"/>
      <w:szCs w:val="20"/>
      <w:lang w:val="fr"/>
    </w:rPr>
  </w:style>
  <w:style w:type="character" w:styleId="EndnoteReference">
    <w:name w:val="endnote reference"/>
    <w:basedOn w:val="DefaultParagraphFont"/>
    <w:uiPriority w:val="99"/>
    <w:semiHidden/>
    <w:unhideWhenUsed/>
    <w:rsid w:val="0003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sogi@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c-ie-sogi@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fr/special-procedures/ie-sexual-orientation-and-gender-identity/annual-thematic-reports-independent-expert-protection-against-violence-and-discrimination-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F33A-9ED4-7740-A56F-8B7D5245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11003</Characters>
  <Application>Microsoft Office Word</Application>
  <DocSecurity>0</DocSecurity>
  <Lines>91</Lines>
  <Paragraphs>25</Paragraphs>
  <ScaleCrop>false</ScaleCrop>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2022-11-16T14:23:00Z</dcterms:created>
  <dcterms:modified xsi:type="dcterms:W3CDTF">2022-11-16T15:52:00Z</dcterms:modified>
</cp:coreProperties>
</file>