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DB98" w14:textId="0F9E827D" w:rsidR="00646D22" w:rsidRDefault="00646D22"/>
    <w:p w14:paraId="7B9E45E2" w14:textId="77777777" w:rsidR="0070276E" w:rsidRDefault="0070276E" w:rsidP="0070276E">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b/>
          <w:bCs/>
          <w:color w:val="000000"/>
          <w:sz w:val="22"/>
          <w:szCs w:val="22"/>
        </w:rPr>
        <w:t>8</w:t>
      </w:r>
      <w:r>
        <w:rPr>
          <w:rStyle w:val="normaltextrun"/>
          <w:rFonts w:ascii="Corbel" w:hAnsi="Corbel" w:cs="Segoe UI"/>
          <w:b/>
          <w:bCs/>
          <w:color w:val="000000"/>
          <w:sz w:val="17"/>
          <w:szCs w:val="17"/>
          <w:vertAlign w:val="superscript"/>
        </w:rPr>
        <w:t>th</w:t>
      </w:r>
      <w:r>
        <w:rPr>
          <w:rStyle w:val="normaltextrun"/>
          <w:rFonts w:ascii="Corbel" w:hAnsi="Corbel" w:cs="Segoe UI"/>
          <w:b/>
          <w:bCs/>
          <w:color w:val="000000"/>
          <w:sz w:val="22"/>
          <w:szCs w:val="22"/>
        </w:rPr>
        <w:t xml:space="preserve"> Session of the open-ended intergovernmental working group on transnational corporations and other business enterprises with respect to human rights</w:t>
      </w:r>
      <w:r>
        <w:rPr>
          <w:rStyle w:val="eop"/>
          <w:rFonts w:ascii="Corbel" w:hAnsi="Corbel" w:cs="Segoe UI"/>
          <w:color w:val="000000"/>
          <w:sz w:val="22"/>
          <w:szCs w:val="22"/>
        </w:rPr>
        <w:t> </w:t>
      </w:r>
    </w:p>
    <w:p w14:paraId="01EBE33F" w14:textId="77777777" w:rsidR="0070276E" w:rsidRDefault="0070276E" w:rsidP="007027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7989FA" w14:textId="77777777" w:rsidR="0070276E" w:rsidRDefault="0070276E" w:rsidP="007027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AF2E77" w14:textId="32A63E26" w:rsidR="0070276E" w:rsidRDefault="00B32D7A" w:rsidP="0070276E">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t>Preamble to Article 3</w:t>
      </w:r>
    </w:p>
    <w:p w14:paraId="46919C02" w14:textId="14FD11A0" w:rsidR="0070276E" w:rsidRDefault="0070276E" w:rsidP="0070276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26 October 2022</w:t>
      </w:r>
    </w:p>
    <w:p w14:paraId="61965243" w14:textId="426201D7" w:rsidR="0070276E" w:rsidRDefault="0070276E" w:rsidP="0070276E">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22E7315" w14:textId="2BF30320" w:rsidR="0070276E" w:rsidRPr="00801F49" w:rsidRDefault="0070276E" w:rsidP="0070276E">
      <w:pPr>
        <w:jc w:val="right"/>
        <w:rPr>
          <w:rFonts w:ascii="Calibri" w:eastAsia="Calibri" w:hAnsi="Calibri" w:cs="Calibri"/>
          <w:i/>
          <w:iCs/>
        </w:rPr>
      </w:pPr>
      <w:r w:rsidRPr="00801F49">
        <w:rPr>
          <w:rFonts w:ascii="Calibri" w:eastAsia="Calibri" w:hAnsi="Calibri" w:cs="Calibri"/>
          <w:i/>
          <w:iCs/>
        </w:rPr>
        <w:t xml:space="preserve">Delivered by: </w:t>
      </w:r>
      <w:r>
        <w:rPr>
          <w:rFonts w:ascii="Calibri" w:eastAsia="Calibri" w:hAnsi="Calibri" w:cs="Calibri"/>
          <w:i/>
          <w:iCs/>
        </w:rPr>
        <w:t>Sandra Epal-Ratjen</w:t>
      </w:r>
    </w:p>
    <w:p w14:paraId="0B01CA5E" w14:textId="77777777" w:rsidR="0070276E" w:rsidRPr="00801F49" w:rsidRDefault="0070276E" w:rsidP="0070276E">
      <w:pPr>
        <w:jc w:val="right"/>
        <w:rPr>
          <w:rFonts w:ascii="Calibri" w:eastAsia="Calibri" w:hAnsi="Calibri" w:cs="Calibri"/>
          <w:i/>
          <w:iCs/>
        </w:rPr>
      </w:pPr>
      <w:r w:rsidRPr="00801F49">
        <w:rPr>
          <w:rFonts w:ascii="Calibri" w:eastAsia="Calibri" w:hAnsi="Calibri" w:cs="Calibri"/>
          <w:i/>
          <w:iCs/>
        </w:rPr>
        <w:t>Check against delivery</w:t>
      </w:r>
    </w:p>
    <w:p w14:paraId="44ED6DBF" w14:textId="63980DA7" w:rsidR="0070276E" w:rsidRDefault="0070276E" w:rsidP="0070276E">
      <w:pPr>
        <w:pStyle w:val="paragraph"/>
        <w:spacing w:before="0" w:beforeAutospacing="0" w:after="0" w:afterAutospacing="0"/>
        <w:textAlignment w:val="baseline"/>
        <w:rPr>
          <w:rStyle w:val="eop"/>
          <w:rFonts w:ascii="Calibri" w:hAnsi="Calibri" w:cs="Calibri"/>
        </w:rPr>
      </w:pPr>
    </w:p>
    <w:p w14:paraId="5B50B4A1" w14:textId="77777777" w:rsidR="0070276E" w:rsidRDefault="0070276E" w:rsidP="0070276E">
      <w:pPr>
        <w:pStyle w:val="paragraph"/>
        <w:spacing w:before="0" w:beforeAutospacing="0" w:after="0" w:afterAutospacing="0"/>
        <w:textAlignment w:val="baseline"/>
        <w:rPr>
          <w:rFonts w:ascii="Segoe UI" w:hAnsi="Segoe UI" w:cs="Segoe UI"/>
          <w:sz w:val="18"/>
          <w:szCs w:val="18"/>
        </w:rPr>
      </w:pPr>
    </w:p>
    <w:p w14:paraId="36E3E974" w14:textId="77777777" w:rsidR="00B32D7A" w:rsidRPr="009648D2" w:rsidRDefault="00B32D7A" w:rsidP="00B75816">
      <w:pPr>
        <w:jc w:val="both"/>
      </w:pPr>
    </w:p>
    <w:p w14:paraId="607FDC7B" w14:textId="2020BFB1" w:rsidR="00B32D7A" w:rsidRDefault="00B32D7A" w:rsidP="00B75816">
      <w:pPr>
        <w:jc w:val="both"/>
      </w:pPr>
      <w:r w:rsidRPr="009648D2">
        <w:t xml:space="preserve">Thank you Mister Chair, I am delivering this statement on behalf of </w:t>
      </w:r>
      <w:r w:rsidR="00B75816">
        <w:t>FI</w:t>
      </w:r>
      <w:r w:rsidRPr="009648D2">
        <w:t xml:space="preserve"> and FIDH.</w:t>
      </w:r>
    </w:p>
    <w:p w14:paraId="4D8B709B" w14:textId="77777777" w:rsidR="00B32D7A" w:rsidRPr="009648D2" w:rsidRDefault="00B32D7A" w:rsidP="00B75816">
      <w:pPr>
        <w:jc w:val="both"/>
      </w:pPr>
    </w:p>
    <w:p w14:paraId="243A569E" w14:textId="77777777" w:rsidR="00B32D7A" w:rsidRDefault="00B32D7A" w:rsidP="00B75816">
      <w:pPr>
        <w:jc w:val="both"/>
      </w:pPr>
      <w:r w:rsidRPr="009648D2">
        <w:t xml:space="preserve">We won’t repeat all the proposals we had made on the third revised draft last year. They are on record. But allow us to come back to some of the textual proposals made by States on this third draft. </w:t>
      </w:r>
    </w:p>
    <w:p w14:paraId="397FB618" w14:textId="77777777" w:rsidR="00B32D7A" w:rsidRPr="009648D2" w:rsidRDefault="00B32D7A" w:rsidP="00B75816">
      <w:pPr>
        <w:jc w:val="both"/>
      </w:pPr>
    </w:p>
    <w:p w14:paraId="6D19AF81" w14:textId="77777777" w:rsidR="00B32D7A" w:rsidRDefault="00B32D7A" w:rsidP="00B75816">
      <w:pPr>
        <w:jc w:val="both"/>
      </w:pPr>
      <w:r w:rsidRPr="009648D2">
        <w:t>In PP3, we support Mexico and Panama to keep the reference to the “UN Declaration on Human Rights Defenders”, this would be consistent with Uruguay’s proposal on Monday on article 6.8 quarter.</w:t>
      </w:r>
    </w:p>
    <w:p w14:paraId="18E258AD" w14:textId="77777777" w:rsidR="00B32D7A" w:rsidRPr="009648D2" w:rsidRDefault="00B32D7A" w:rsidP="00B75816">
      <w:pPr>
        <w:jc w:val="both"/>
      </w:pPr>
    </w:p>
    <w:p w14:paraId="0D6EEC57" w14:textId="77777777" w:rsidR="00B32D7A" w:rsidRDefault="00B32D7A" w:rsidP="00B75816">
      <w:pPr>
        <w:jc w:val="both"/>
      </w:pPr>
      <w:r w:rsidRPr="009648D2">
        <w:t xml:space="preserve">We are also </w:t>
      </w:r>
      <w:proofErr w:type="spellStart"/>
      <w:r w:rsidRPr="009648D2">
        <w:t>favourable</w:t>
      </w:r>
      <w:proofErr w:type="spellEnd"/>
      <w:r w:rsidRPr="009648D2">
        <w:t xml:space="preserve"> to the proposal for a change in article PP8 as supported by </w:t>
      </w:r>
      <w:r>
        <w:t xml:space="preserve">a number of States </w:t>
      </w:r>
      <w:r w:rsidRPr="009648D2">
        <w:t xml:space="preserve">that reads </w:t>
      </w:r>
      <w:r>
        <w:t>“</w:t>
      </w:r>
      <w:r w:rsidRPr="009648D2">
        <w:t>stressing that there should be no discrimination on grounds that are prohibited by IHRL</w:t>
      </w:r>
      <w:r>
        <w:t>”.</w:t>
      </w:r>
    </w:p>
    <w:p w14:paraId="2EE80B2B" w14:textId="77777777" w:rsidR="00B75816" w:rsidRPr="009648D2" w:rsidRDefault="00B75816" w:rsidP="00B75816">
      <w:pPr>
        <w:jc w:val="both"/>
      </w:pPr>
    </w:p>
    <w:p w14:paraId="736D7E79" w14:textId="77777777" w:rsidR="00B32D7A" w:rsidRDefault="00B32D7A" w:rsidP="00B75816">
      <w:pPr>
        <w:jc w:val="both"/>
        <w:rPr>
          <w:color w:val="000000" w:themeColor="text1"/>
        </w:rPr>
      </w:pPr>
      <w:r w:rsidRPr="009648D2">
        <w:rPr>
          <w:color w:val="000000" w:themeColor="text1"/>
        </w:rPr>
        <w:t>We also support Panama’s proposals to include child rights considerations in various parts of the preamble and more generally of the text.</w:t>
      </w:r>
    </w:p>
    <w:p w14:paraId="2633B252" w14:textId="77777777" w:rsidR="00B75816" w:rsidRPr="009648D2" w:rsidRDefault="00B75816" w:rsidP="00B75816">
      <w:pPr>
        <w:jc w:val="both"/>
      </w:pPr>
    </w:p>
    <w:p w14:paraId="4A99E2FD" w14:textId="77777777" w:rsidR="00B32D7A" w:rsidRDefault="00B32D7A" w:rsidP="00B75816">
      <w:pPr>
        <w:jc w:val="both"/>
      </w:pPr>
      <w:r w:rsidRPr="009648D2">
        <w:t xml:space="preserve">We support Palestine’s proposal in preambular paragraph 11bis and para 13 bis. </w:t>
      </w:r>
    </w:p>
    <w:p w14:paraId="2043A72B" w14:textId="77777777" w:rsidR="00B75816" w:rsidRPr="009648D2" w:rsidRDefault="00B75816" w:rsidP="00B75816">
      <w:pPr>
        <w:jc w:val="both"/>
      </w:pPr>
    </w:p>
    <w:p w14:paraId="0CA5E7A5" w14:textId="77777777" w:rsidR="00B32D7A" w:rsidRDefault="00B32D7A" w:rsidP="00B75816">
      <w:pPr>
        <w:jc w:val="both"/>
      </w:pPr>
      <w:r>
        <w:t>We reiterate our</w:t>
      </w:r>
      <w:r w:rsidRPr="009648D2">
        <w:t xml:space="preserve"> call on States to ensure inclusion of language related to environmental degradation and climate change throughout the future LBI, as these issues are inextricably linked to human rights.  Not least since the adoption without votes against and very few abstentions of both HRC and GA </w:t>
      </w:r>
      <w:r>
        <w:t>resolutions</w:t>
      </w:r>
      <w:r w:rsidRPr="009648D2">
        <w:t xml:space="preserve"> recognizing the right to a healthy environment as a universal HR, show broad acceptance of the fact that environmental aspects are parts and parcel of IHRL.</w:t>
      </w:r>
    </w:p>
    <w:p w14:paraId="2DB4A9AA" w14:textId="77777777" w:rsidR="00B75816" w:rsidRPr="009648D2" w:rsidRDefault="00B75816" w:rsidP="00B75816">
      <w:pPr>
        <w:jc w:val="both"/>
      </w:pPr>
    </w:p>
    <w:p w14:paraId="53B44F5A" w14:textId="77777777" w:rsidR="00B32D7A" w:rsidRPr="009648D2" w:rsidRDefault="00B32D7A" w:rsidP="00B75816">
      <w:pPr>
        <w:jc w:val="both"/>
      </w:pPr>
      <w:r w:rsidRPr="009648D2">
        <w:t xml:space="preserve">In that regard, we duly considered the proposal made by Panama for a PP14 bis and think the general idea to refer to the important link between this negotiation and international environmental agreements is positive. However, we would ask to consider the following </w:t>
      </w:r>
      <w:r w:rsidRPr="009648D2">
        <w:lastRenderedPageBreak/>
        <w:t>rewording as to correspond better to the lived realities we face in our daily work and ensure policy coherence in compliance with IHRL.</w:t>
      </w:r>
    </w:p>
    <w:p w14:paraId="47550231" w14:textId="77777777" w:rsidR="00B32D7A" w:rsidRPr="009648D2" w:rsidRDefault="00B32D7A" w:rsidP="00B75816">
      <w:pPr>
        <w:jc w:val="both"/>
      </w:pPr>
    </w:p>
    <w:p w14:paraId="2341EB1E" w14:textId="77777777" w:rsidR="00B32D7A" w:rsidRPr="009648D2" w:rsidRDefault="00B32D7A" w:rsidP="00B75816">
      <w:pPr>
        <w:jc w:val="both"/>
      </w:pPr>
      <w:r w:rsidRPr="009648D2">
        <w:t xml:space="preserve">Our proposal is:  </w:t>
      </w:r>
    </w:p>
    <w:p w14:paraId="32E5A528" w14:textId="77777777" w:rsidR="00B32D7A" w:rsidRPr="009648D2" w:rsidRDefault="00B32D7A" w:rsidP="00B75816">
      <w:pPr>
        <w:jc w:val="both"/>
      </w:pPr>
    </w:p>
    <w:p w14:paraId="2EFDBF68" w14:textId="77777777" w:rsidR="00B32D7A" w:rsidRDefault="00B32D7A" w:rsidP="00B75816">
      <w:pPr>
        <w:jc w:val="both"/>
        <w:rPr>
          <w:color w:val="000000"/>
          <w:shd w:val="clear" w:color="auto" w:fill="FFFFFF"/>
        </w:rPr>
      </w:pPr>
      <w:r w:rsidRPr="009648D2">
        <w:br/>
      </w:r>
      <w:r w:rsidRPr="009648D2">
        <w:rPr>
          <w:b/>
          <w:bCs/>
          <w:color w:val="000000"/>
          <w:shd w:val="clear" w:color="auto" w:fill="FFFFFF"/>
        </w:rPr>
        <w:t>(PP14 bis)</w:t>
      </w:r>
      <w:r w:rsidRPr="009648D2">
        <w:rPr>
          <w:i/>
          <w:iCs/>
          <w:color w:val="000000"/>
          <w:shd w:val="clear" w:color="auto" w:fill="FFFFFF"/>
        </w:rPr>
        <w:t> </w:t>
      </w:r>
      <w:r w:rsidRPr="009648D2">
        <w:rPr>
          <w:b/>
          <w:i/>
          <w:color w:val="000000"/>
          <w:highlight w:val="yellow"/>
          <w:shd w:val="clear" w:color="auto" w:fill="FFFFFF"/>
        </w:rPr>
        <w:t xml:space="preserve">Recognizing </w:t>
      </w:r>
      <w:r w:rsidRPr="009648D2">
        <w:rPr>
          <w:b/>
          <w:color w:val="000000"/>
          <w:highlight w:val="yellow"/>
          <w:shd w:val="clear" w:color="auto" w:fill="FFFFFF"/>
        </w:rPr>
        <w:t xml:space="preserve">that </w:t>
      </w:r>
      <w:r w:rsidRPr="009648D2">
        <w:rPr>
          <w:b/>
          <w:color w:val="000000" w:themeColor="text1"/>
          <w:highlight w:val="yellow"/>
        </w:rPr>
        <w:t xml:space="preserve">regulating </w:t>
      </w:r>
      <w:r w:rsidRPr="009648D2">
        <w:rPr>
          <w:b/>
          <w:color w:val="000000"/>
          <w:highlight w:val="yellow"/>
          <w:shd w:val="clear" w:color="auto" w:fill="FFFFFF"/>
        </w:rPr>
        <w:t>business</w:t>
      </w:r>
      <w:r w:rsidRPr="009648D2">
        <w:rPr>
          <w:b/>
          <w:color w:val="000000" w:themeColor="text1"/>
          <w:highlight w:val="yellow"/>
        </w:rPr>
        <w:t xml:space="preserve"> activities in international human rights law is key to achieving</w:t>
      </w:r>
      <w:r w:rsidRPr="009648D2">
        <w:rPr>
          <w:b/>
          <w:bCs/>
          <w:color w:val="000000"/>
          <w:shd w:val="clear" w:color="auto" w:fill="FFFFFF"/>
        </w:rPr>
        <w:t xml:space="preserve"> the goals of key environmental treaties including, but not limited to, the UN Framework Convention on Climate Change, the Convention on Biological Diversity, the Convention to Combat Desertification, the Basel, Rotterdam and Stockholm Conventions and the Minamata Convention on Mercury;</w:t>
      </w:r>
      <w:r w:rsidRPr="009648D2">
        <w:rPr>
          <w:color w:val="000000"/>
          <w:shd w:val="clear" w:color="auto" w:fill="FFFFFF"/>
        </w:rPr>
        <w:t xml:space="preserve"> </w:t>
      </w:r>
    </w:p>
    <w:p w14:paraId="68C84E5E" w14:textId="77777777" w:rsidR="00B75816" w:rsidRDefault="00B75816" w:rsidP="00B75816">
      <w:pPr>
        <w:jc w:val="both"/>
        <w:rPr>
          <w:color w:val="000000"/>
          <w:shd w:val="clear" w:color="auto" w:fill="FFFFFF"/>
        </w:rPr>
      </w:pPr>
    </w:p>
    <w:p w14:paraId="4D452197" w14:textId="77777777" w:rsidR="00B75816" w:rsidRPr="009648D2" w:rsidRDefault="00B75816" w:rsidP="00B75816">
      <w:pPr>
        <w:jc w:val="both"/>
      </w:pPr>
    </w:p>
    <w:p w14:paraId="57A4C462" w14:textId="77777777" w:rsidR="00B32D7A" w:rsidRPr="009648D2" w:rsidRDefault="00B32D7A" w:rsidP="00B75816">
      <w:pPr>
        <w:jc w:val="both"/>
        <w:rPr>
          <w:b/>
          <w:bCs/>
        </w:rPr>
      </w:pPr>
      <w:r w:rsidRPr="009648D2">
        <w:rPr>
          <w:b/>
          <w:bCs/>
        </w:rPr>
        <w:t>Article 2</w:t>
      </w:r>
    </w:p>
    <w:p w14:paraId="670EC801" w14:textId="596FBBBB" w:rsidR="00B32D7A" w:rsidRPr="009648D2" w:rsidRDefault="00B32D7A" w:rsidP="00B75816">
      <w:pPr>
        <w:jc w:val="both"/>
        <w:rPr>
          <w:color w:val="000000" w:themeColor="text1"/>
        </w:rPr>
      </w:pPr>
      <w:r w:rsidRPr="009648D2">
        <w:t>On article 2.1 b, we strongly support the proposal made by Panama and others to delete mitigate and stick to a purpose of the future LBI to prevent “</w:t>
      </w:r>
      <w:r w:rsidRPr="009648D2">
        <w:rPr>
          <w:color w:val="000000" w:themeColor="text1"/>
        </w:rPr>
        <w:t>the occurrence of human rights abuses in the context of business activities by effective mechanisms of monitoring and enforceability;” but we also suggest adding ‘violations’ so that it includes</w:t>
      </w:r>
      <w:r w:rsidR="003D36C1">
        <w:rPr>
          <w:color w:val="000000" w:themeColor="text1"/>
        </w:rPr>
        <w:t xml:space="preserve"> </w:t>
      </w:r>
      <w:proofErr w:type="spellStart"/>
      <w:r w:rsidRPr="009648D2">
        <w:rPr>
          <w:color w:val="000000" w:themeColor="text1"/>
        </w:rPr>
        <w:t>‘human</w:t>
      </w:r>
      <w:proofErr w:type="spellEnd"/>
      <w:r w:rsidRPr="009648D2">
        <w:rPr>
          <w:color w:val="000000" w:themeColor="text1"/>
        </w:rPr>
        <w:t xml:space="preserve"> rights abuses and violations’</w:t>
      </w:r>
      <w:r w:rsidR="00B75816">
        <w:rPr>
          <w:color w:val="000000" w:themeColor="text1"/>
        </w:rPr>
        <w:t>.</w:t>
      </w:r>
    </w:p>
    <w:p w14:paraId="3D1BB77D" w14:textId="77777777" w:rsidR="00B32D7A" w:rsidRPr="009648D2" w:rsidRDefault="00B32D7A" w:rsidP="00B75816">
      <w:pPr>
        <w:jc w:val="both"/>
      </w:pPr>
    </w:p>
    <w:p w14:paraId="6B5B0A2D" w14:textId="77777777" w:rsidR="00B32D7A" w:rsidRPr="009648D2" w:rsidRDefault="00B32D7A" w:rsidP="00B75816">
      <w:pPr>
        <w:jc w:val="both"/>
      </w:pPr>
      <w:r w:rsidRPr="009648D2">
        <w:t xml:space="preserve">Let us end with this, </w:t>
      </w:r>
      <w:proofErr w:type="spellStart"/>
      <w:r w:rsidRPr="009648D2">
        <w:t>Mr</w:t>
      </w:r>
      <w:proofErr w:type="spellEnd"/>
      <w:r w:rsidRPr="009648D2">
        <w:t xml:space="preserve"> Chair: in general and for the definitions, we think that it is fundamental to still use both terms of abuses and violations as it is essential to make clear that the instrument also applies to violations committed by the State or its agents in the context of business activities</w:t>
      </w:r>
      <w:r>
        <w:t>,</w:t>
      </w:r>
      <w:r w:rsidRPr="009648D2">
        <w:t xml:space="preserve"> in the future LBI.</w:t>
      </w:r>
    </w:p>
    <w:p w14:paraId="4F00B240" w14:textId="77777777" w:rsidR="0070276E" w:rsidRDefault="0070276E" w:rsidP="00B75816">
      <w:pPr>
        <w:pStyle w:val="paragraph"/>
        <w:spacing w:before="0" w:beforeAutospacing="0" w:after="0" w:afterAutospacing="0"/>
        <w:jc w:val="both"/>
        <w:textAlignment w:val="baseline"/>
      </w:pPr>
    </w:p>
    <w:p w14:paraId="3570357A" w14:textId="350FAF7A" w:rsidR="006E325C" w:rsidRPr="006E325C" w:rsidRDefault="006E325C" w:rsidP="006E325C">
      <w:pPr>
        <w:jc w:val="both"/>
        <w:rPr>
          <w:color w:val="000000" w:themeColor="text1"/>
        </w:rPr>
      </w:pPr>
      <w:r w:rsidRPr="006E325C">
        <w:rPr>
          <w:color w:val="000000" w:themeColor="text1"/>
        </w:rPr>
        <w:t>Thank you for you</w:t>
      </w:r>
      <w:r>
        <w:rPr>
          <w:color w:val="000000" w:themeColor="text1"/>
        </w:rPr>
        <w:t>r</w:t>
      </w:r>
      <w:r w:rsidRPr="006E325C">
        <w:rPr>
          <w:color w:val="000000" w:themeColor="text1"/>
        </w:rPr>
        <w:t xml:space="preserve"> attention.</w:t>
      </w:r>
    </w:p>
    <w:sectPr w:rsidR="006E325C" w:rsidRPr="006E32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B113" w14:textId="77777777" w:rsidR="00995AD9" w:rsidRDefault="00995AD9" w:rsidP="0070276E">
      <w:r>
        <w:separator/>
      </w:r>
    </w:p>
  </w:endnote>
  <w:endnote w:type="continuationSeparator" w:id="0">
    <w:p w14:paraId="733AE8BA" w14:textId="77777777" w:rsidR="00995AD9" w:rsidRDefault="00995AD9" w:rsidP="0070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5249" w14:textId="77777777" w:rsidR="00995AD9" w:rsidRDefault="00995AD9" w:rsidP="0070276E">
      <w:r>
        <w:separator/>
      </w:r>
    </w:p>
  </w:footnote>
  <w:footnote w:type="continuationSeparator" w:id="0">
    <w:p w14:paraId="40FD5E3F" w14:textId="77777777" w:rsidR="00995AD9" w:rsidRDefault="00995AD9" w:rsidP="0070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C98B" w14:textId="68CE6D71" w:rsidR="0070276E" w:rsidRDefault="0070276E">
    <w:pPr>
      <w:pStyle w:val="Header"/>
    </w:pPr>
    <w:r>
      <w:rPr>
        <w:noProof/>
      </w:rPr>
      <w:drawing>
        <wp:inline distT="0" distB="0" distL="0" distR="0" wp14:anchorId="524966C2" wp14:editId="203FA18E">
          <wp:extent cx="5943600" cy="94424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944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6E"/>
    <w:rsid w:val="002E4583"/>
    <w:rsid w:val="003D36C1"/>
    <w:rsid w:val="004E5ED2"/>
    <w:rsid w:val="00646D22"/>
    <w:rsid w:val="006E325C"/>
    <w:rsid w:val="0070276E"/>
    <w:rsid w:val="0094751E"/>
    <w:rsid w:val="00995AD9"/>
    <w:rsid w:val="00B32D7A"/>
    <w:rsid w:val="00B75816"/>
    <w:rsid w:val="00F5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6945"/>
  <w15:chartTrackingRefBased/>
  <w15:docId w15:val="{BA502E02-5D22-3D4E-90A7-58E200D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27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0276E"/>
  </w:style>
  <w:style w:type="character" w:customStyle="1" w:styleId="eop">
    <w:name w:val="eop"/>
    <w:basedOn w:val="DefaultParagraphFont"/>
    <w:rsid w:val="0070276E"/>
  </w:style>
  <w:style w:type="paragraph" w:styleId="Header">
    <w:name w:val="header"/>
    <w:basedOn w:val="Normal"/>
    <w:link w:val="HeaderChar"/>
    <w:uiPriority w:val="99"/>
    <w:unhideWhenUsed/>
    <w:rsid w:val="0070276E"/>
    <w:pPr>
      <w:tabs>
        <w:tab w:val="center" w:pos="4680"/>
        <w:tab w:val="right" w:pos="9360"/>
      </w:tabs>
    </w:pPr>
  </w:style>
  <w:style w:type="character" w:customStyle="1" w:styleId="HeaderChar">
    <w:name w:val="Header Char"/>
    <w:basedOn w:val="DefaultParagraphFont"/>
    <w:link w:val="Header"/>
    <w:uiPriority w:val="99"/>
    <w:rsid w:val="0070276E"/>
  </w:style>
  <w:style w:type="paragraph" w:styleId="Footer">
    <w:name w:val="footer"/>
    <w:basedOn w:val="Normal"/>
    <w:link w:val="FooterChar"/>
    <w:uiPriority w:val="99"/>
    <w:unhideWhenUsed/>
    <w:rsid w:val="0070276E"/>
    <w:pPr>
      <w:tabs>
        <w:tab w:val="center" w:pos="4680"/>
        <w:tab w:val="right" w:pos="9360"/>
      </w:tabs>
    </w:pPr>
  </w:style>
  <w:style w:type="character" w:customStyle="1" w:styleId="FooterChar">
    <w:name w:val="Footer Char"/>
    <w:basedOn w:val="DefaultParagraphFont"/>
    <w:link w:val="Footer"/>
    <w:uiPriority w:val="99"/>
    <w:rsid w:val="0070276E"/>
  </w:style>
  <w:style w:type="paragraph" w:styleId="NormalWeb">
    <w:name w:val="Normal (Web)"/>
    <w:basedOn w:val="Normal"/>
    <w:uiPriority w:val="99"/>
    <w:semiHidden/>
    <w:unhideWhenUsed/>
    <w:rsid w:val="00B32D7A"/>
    <w:pPr>
      <w:spacing w:before="100" w:beforeAutospacing="1" w:after="100" w:afterAutospacing="1"/>
    </w:pPr>
    <w:rPr>
      <w:rFonts w:ascii="Times New Roman" w:eastAsia="Times New Roman" w:hAnsi="Times New Roman" w:cs="Times New Roman"/>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40899">
      <w:bodyDiv w:val="1"/>
      <w:marLeft w:val="0"/>
      <w:marRight w:val="0"/>
      <w:marTop w:val="0"/>
      <w:marBottom w:val="0"/>
      <w:divBdr>
        <w:top w:val="none" w:sz="0" w:space="0" w:color="auto"/>
        <w:left w:val="none" w:sz="0" w:space="0" w:color="auto"/>
        <w:bottom w:val="none" w:sz="0" w:space="0" w:color="auto"/>
        <w:right w:val="none" w:sz="0" w:space="0" w:color="auto"/>
      </w:divBdr>
      <w:divsChild>
        <w:div w:id="1484617274">
          <w:marLeft w:val="0"/>
          <w:marRight w:val="0"/>
          <w:marTop w:val="0"/>
          <w:marBottom w:val="0"/>
          <w:divBdr>
            <w:top w:val="none" w:sz="0" w:space="0" w:color="auto"/>
            <w:left w:val="none" w:sz="0" w:space="0" w:color="auto"/>
            <w:bottom w:val="none" w:sz="0" w:space="0" w:color="auto"/>
            <w:right w:val="none" w:sz="0" w:space="0" w:color="auto"/>
          </w:divBdr>
        </w:div>
        <w:div w:id="1144465197">
          <w:marLeft w:val="0"/>
          <w:marRight w:val="0"/>
          <w:marTop w:val="0"/>
          <w:marBottom w:val="0"/>
          <w:divBdr>
            <w:top w:val="none" w:sz="0" w:space="0" w:color="auto"/>
            <w:left w:val="none" w:sz="0" w:space="0" w:color="auto"/>
            <w:bottom w:val="none" w:sz="0" w:space="0" w:color="auto"/>
            <w:right w:val="none" w:sz="0" w:space="0" w:color="auto"/>
          </w:divBdr>
        </w:div>
        <w:div w:id="2084909954">
          <w:marLeft w:val="0"/>
          <w:marRight w:val="0"/>
          <w:marTop w:val="0"/>
          <w:marBottom w:val="0"/>
          <w:divBdr>
            <w:top w:val="none" w:sz="0" w:space="0" w:color="auto"/>
            <w:left w:val="none" w:sz="0" w:space="0" w:color="auto"/>
            <w:bottom w:val="none" w:sz="0" w:space="0" w:color="auto"/>
            <w:right w:val="none" w:sz="0" w:space="0" w:color="auto"/>
          </w:divBdr>
        </w:div>
        <w:div w:id="576133815">
          <w:marLeft w:val="0"/>
          <w:marRight w:val="0"/>
          <w:marTop w:val="0"/>
          <w:marBottom w:val="0"/>
          <w:divBdr>
            <w:top w:val="none" w:sz="0" w:space="0" w:color="auto"/>
            <w:left w:val="none" w:sz="0" w:space="0" w:color="auto"/>
            <w:bottom w:val="none" w:sz="0" w:space="0" w:color="auto"/>
            <w:right w:val="none" w:sz="0" w:space="0" w:color="auto"/>
          </w:divBdr>
        </w:div>
        <w:div w:id="1530877305">
          <w:marLeft w:val="0"/>
          <w:marRight w:val="0"/>
          <w:marTop w:val="0"/>
          <w:marBottom w:val="0"/>
          <w:divBdr>
            <w:top w:val="none" w:sz="0" w:space="0" w:color="auto"/>
            <w:left w:val="none" w:sz="0" w:space="0" w:color="auto"/>
            <w:bottom w:val="none" w:sz="0" w:space="0" w:color="auto"/>
            <w:right w:val="none" w:sz="0" w:space="0" w:color="auto"/>
          </w:divBdr>
        </w:div>
        <w:div w:id="581330975">
          <w:marLeft w:val="0"/>
          <w:marRight w:val="0"/>
          <w:marTop w:val="0"/>
          <w:marBottom w:val="0"/>
          <w:divBdr>
            <w:top w:val="none" w:sz="0" w:space="0" w:color="auto"/>
            <w:left w:val="none" w:sz="0" w:space="0" w:color="auto"/>
            <w:bottom w:val="none" w:sz="0" w:space="0" w:color="auto"/>
            <w:right w:val="none" w:sz="0" w:space="0" w:color="auto"/>
          </w:divBdr>
        </w:div>
        <w:div w:id="484473402">
          <w:marLeft w:val="0"/>
          <w:marRight w:val="0"/>
          <w:marTop w:val="0"/>
          <w:marBottom w:val="0"/>
          <w:divBdr>
            <w:top w:val="none" w:sz="0" w:space="0" w:color="auto"/>
            <w:left w:val="none" w:sz="0" w:space="0" w:color="auto"/>
            <w:bottom w:val="none" w:sz="0" w:space="0" w:color="auto"/>
            <w:right w:val="none" w:sz="0" w:space="0" w:color="auto"/>
          </w:divBdr>
        </w:div>
        <w:div w:id="796752264">
          <w:marLeft w:val="0"/>
          <w:marRight w:val="0"/>
          <w:marTop w:val="0"/>
          <w:marBottom w:val="0"/>
          <w:divBdr>
            <w:top w:val="none" w:sz="0" w:space="0" w:color="auto"/>
            <w:left w:val="none" w:sz="0" w:space="0" w:color="auto"/>
            <w:bottom w:val="none" w:sz="0" w:space="0" w:color="auto"/>
            <w:right w:val="none" w:sz="0" w:space="0" w:color="auto"/>
          </w:divBdr>
        </w:div>
        <w:div w:id="312607718">
          <w:marLeft w:val="0"/>
          <w:marRight w:val="0"/>
          <w:marTop w:val="0"/>
          <w:marBottom w:val="0"/>
          <w:divBdr>
            <w:top w:val="none" w:sz="0" w:space="0" w:color="auto"/>
            <w:left w:val="none" w:sz="0" w:space="0" w:color="auto"/>
            <w:bottom w:val="none" w:sz="0" w:space="0" w:color="auto"/>
            <w:right w:val="none" w:sz="0" w:space="0" w:color="auto"/>
          </w:divBdr>
        </w:div>
        <w:div w:id="395590698">
          <w:marLeft w:val="0"/>
          <w:marRight w:val="0"/>
          <w:marTop w:val="0"/>
          <w:marBottom w:val="0"/>
          <w:divBdr>
            <w:top w:val="none" w:sz="0" w:space="0" w:color="auto"/>
            <w:left w:val="none" w:sz="0" w:space="0" w:color="auto"/>
            <w:bottom w:val="none" w:sz="0" w:space="0" w:color="auto"/>
            <w:right w:val="none" w:sz="0" w:space="0" w:color="auto"/>
          </w:divBdr>
        </w:div>
        <w:div w:id="593591816">
          <w:marLeft w:val="0"/>
          <w:marRight w:val="0"/>
          <w:marTop w:val="0"/>
          <w:marBottom w:val="0"/>
          <w:divBdr>
            <w:top w:val="none" w:sz="0" w:space="0" w:color="auto"/>
            <w:left w:val="none" w:sz="0" w:space="0" w:color="auto"/>
            <w:bottom w:val="none" w:sz="0" w:space="0" w:color="auto"/>
            <w:right w:val="none" w:sz="0" w:space="0" w:color="auto"/>
          </w:divBdr>
        </w:div>
        <w:div w:id="449936828">
          <w:marLeft w:val="0"/>
          <w:marRight w:val="0"/>
          <w:marTop w:val="0"/>
          <w:marBottom w:val="0"/>
          <w:divBdr>
            <w:top w:val="none" w:sz="0" w:space="0" w:color="auto"/>
            <w:left w:val="none" w:sz="0" w:space="0" w:color="auto"/>
            <w:bottom w:val="none" w:sz="0" w:space="0" w:color="auto"/>
            <w:right w:val="none" w:sz="0" w:space="0" w:color="auto"/>
          </w:divBdr>
        </w:div>
        <w:div w:id="1137262865">
          <w:marLeft w:val="0"/>
          <w:marRight w:val="0"/>
          <w:marTop w:val="0"/>
          <w:marBottom w:val="0"/>
          <w:divBdr>
            <w:top w:val="none" w:sz="0" w:space="0" w:color="auto"/>
            <w:left w:val="none" w:sz="0" w:space="0" w:color="auto"/>
            <w:bottom w:val="none" w:sz="0" w:space="0" w:color="auto"/>
            <w:right w:val="none" w:sz="0" w:space="0" w:color="auto"/>
          </w:divBdr>
        </w:div>
        <w:div w:id="839851138">
          <w:marLeft w:val="0"/>
          <w:marRight w:val="0"/>
          <w:marTop w:val="0"/>
          <w:marBottom w:val="0"/>
          <w:divBdr>
            <w:top w:val="none" w:sz="0" w:space="0" w:color="auto"/>
            <w:left w:val="none" w:sz="0" w:space="0" w:color="auto"/>
            <w:bottom w:val="none" w:sz="0" w:space="0" w:color="auto"/>
            <w:right w:val="none" w:sz="0" w:space="0" w:color="auto"/>
          </w:divBdr>
        </w:div>
        <w:div w:id="636959908">
          <w:marLeft w:val="0"/>
          <w:marRight w:val="0"/>
          <w:marTop w:val="0"/>
          <w:marBottom w:val="0"/>
          <w:divBdr>
            <w:top w:val="none" w:sz="0" w:space="0" w:color="auto"/>
            <w:left w:val="none" w:sz="0" w:space="0" w:color="auto"/>
            <w:bottom w:val="none" w:sz="0" w:space="0" w:color="auto"/>
            <w:right w:val="none" w:sz="0" w:space="0" w:color="auto"/>
          </w:divBdr>
        </w:div>
        <w:div w:id="172505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C9C92DE8293814081447B4AC393B750" ma:contentTypeVersion="4" ma:contentTypeDescription="Crear nuevo documento." ma:contentTypeScope="" ma:versionID="ae809008c28102f2dc7f022ca6b3a7fb">
  <xsd:schema xmlns:xsd="http://www.w3.org/2001/XMLSchema" xmlns:xs="http://www.w3.org/2001/XMLSchema" xmlns:p="http://schemas.microsoft.com/office/2006/metadata/properties" xmlns:ns2="dfad7948-a695-4c4a-b4a5-ac73d3b870ce" targetNamespace="http://schemas.microsoft.com/office/2006/metadata/properties" ma:root="true" ma:fieldsID="92165586cbc459c0437255cf578ae8c0"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89E98-7EFA-45FC-87F0-8DCA468525C4}">
  <ds:schemaRefs>
    <ds:schemaRef ds:uri="http://schemas.microsoft.com/sharepoint/v3/contenttype/forms"/>
  </ds:schemaRefs>
</ds:datastoreItem>
</file>

<file path=customXml/itemProps2.xml><?xml version="1.0" encoding="utf-8"?>
<ds:datastoreItem xmlns:ds="http://schemas.openxmlformats.org/officeDocument/2006/customXml" ds:itemID="{EB293A4D-43FA-471D-9364-9528B006E947}">
  <ds:schemaRefs>
    <ds:schemaRef ds:uri="http://schemas.microsoft.com/office/2006/metadata/properties"/>
    <ds:schemaRef ds:uri="http://schemas.microsoft.com/office/infopath/2007/PartnerControls"/>
    <ds:schemaRef ds:uri="63551598-73e7-4116-9c96-da7493a2a1ab"/>
    <ds:schemaRef ds:uri="169b912a-3102-4fd4-bdd7-6339cee3bbc9"/>
    <ds:schemaRef ds:uri="http://schemas.microsoft.com/sharepoint/v3"/>
  </ds:schemaRefs>
</ds:datastoreItem>
</file>

<file path=customXml/itemProps3.xml><?xml version="1.0" encoding="utf-8"?>
<ds:datastoreItem xmlns:ds="http://schemas.openxmlformats.org/officeDocument/2006/customXml" ds:itemID="{67739251-3104-4C5C-B0C6-5EDD75E06573}"/>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Sandra Epal-Ratjen</cp:lastModifiedBy>
  <cp:revision>3</cp:revision>
  <dcterms:created xsi:type="dcterms:W3CDTF">2022-10-26T13:27:00Z</dcterms:created>
  <dcterms:modified xsi:type="dcterms:W3CDTF">2022-10-26T13:28:00Z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