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553" w:rsidRPr="003F2DED" w:rsidRDefault="00524553" w:rsidP="00524553">
      <w:pPr>
        <w:spacing w:after="0" w:line="360" w:lineRule="auto"/>
        <w:jc w:val="center"/>
        <w:rPr>
          <w:rFonts w:ascii="Times New Roman" w:eastAsia="Times New Roman" w:hAnsi="Times New Roman" w:cs="Times New Roman"/>
          <w:b/>
          <w:bCs/>
          <w:sz w:val="24"/>
          <w:szCs w:val="24"/>
        </w:rPr>
      </w:pPr>
      <w:r>
        <w:rPr>
          <w:rFonts w:ascii="Times New Roman" w:hAnsi="Times New Roman"/>
          <w:b/>
          <w:noProof/>
          <w:sz w:val="24"/>
          <w:lang w:eastAsia="pl-PL"/>
        </w:rPr>
        <w:drawing>
          <wp:inline distT="0" distB="0" distL="0" distR="0">
            <wp:extent cx="3223260" cy="12375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30918" cy="1240466"/>
                    </a:xfrm>
                    <a:prstGeom prst="rect">
                      <a:avLst/>
                    </a:prstGeom>
                    <a:noFill/>
                  </pic:spPr>
                </pic:pic>
              </a:graphicData>
            </a:graphic>
          </wp:inline>
        </w:drawing>
      </w:r>
    </w:p>
    <w:p w:rsidR="00524553" w:rsidRPr="003F2DED" w:rsidRDefault="00524553" w:rsidP="00524553">
      <w:pPr>
        <w:spacing w:after="0" w:line="360" w:lineRule="auto"/>
        <w:jc w:val="center"/>
        <w:rPr>
          <w:rFonts w:ascii="Times New Roman" w:eastAsia="Times New Roman" w:hAnsi="Times New Roman" w:cs="Times New Roman"/>
          <w:b/>
          <w:bCs/>
          <w:sz w:val="24"/>
          <w:szCs w:val="24"/>
        </w:rPr>
      </w:pPr>
      <w:proofErr w:type="spellStart"/>
      <w:r>
        <w:rPr>
          <w:rFonts w:ascii="Times New Roman" w:hAnsi="Times New Roman"/>
          <w:b/>
          <w:sz w:val="24"/>
        </w:rPr>
        <w:t>Reem</w:t>
      </w:r>
      <w:proofErr w:type="spellEnd"/>
      <w:r>
        <w:rPr>
          <w:rFonts w:ascii="Times New Roman" w:hAnsi="Times New Roman"/>
          <w:b/>
          <w:sz w:val="24"/>
        </w:rPr>
        <w:t xml:space="preserve"> </w:t>
      </w:r>
      <w:proofErr w:type="spellStart"/>
      <w:r>
        <w:rPr>
          <w:rFonts w:ascii="Times New Roman" w:hAnsi="Times New Roman"/>
          <w:b/>
          <w:sz w:val="24"/>
        </w:rPr>
        <w:t>Alsalem</w:t>
      </w:r>
      <w:proofErr w:type="spellEnd"/>
      <w:r>
        <w:rPr>
          <w:rFonts w:ascii="Times New Roman" w:hAnsi="Times New Roman"/>
          <w:b/>
          <w:sz w:val="24"/>
        </w:rPr>
        <w:t>, Specjalny Sprawozdawca Organi</w:t>
      </w:r>
      <w:r w:rsidR="00ED3A9D">
        <w:rPr>
          <w:rFonts w:ascii="Times New Roman" w:hAnsi="Times New Roman"/>
          <w:b/>
          <w:sz w:val="24"/>
        </w:rPr>
        <w:t>zacji Narodów Zjednoczonych ds. </w:t>
      </w:r>
      <w:r>
        <w:rPr>
          <w:rFonts w:ascii="Times New Roman" w:hAnsi="Times New Roman"/>
          <w:b/>
          <w:sz w:val="24"/>
        </w:rPr>
        <w:t>przemocy wobec kobiet i dziewcząt, jej przyczyn i skutków</w:t>
      </w:r>
    </w:p>
    <w:p w:rsidR="00524553" w:rsidRPr="00340997" w:rsidRDefault="00524553" w:rsidP="00524553">
      <w:pPr>
        <w:spacing w:after="0" w:line="360" w:lineRule="auto"/>
        <w:jc w:val="center"/>
        <w:rPr>
          <w:rFonts w:ascii="Times New Roman" w:eastAsia="Times New Roman" w:hAnsi="Times New Roman" w:cs="Times New Roman"/>
          <w:b/>
          <w:bCs/>
          <w:sz w:val="24"/>
          <w:szCs w:val="24"/>
        </w:rPr>
      </w:pPr>
    </w:p>
    <w:p w:rsidR="00524553" w:rsidRPr="003F2DED" w:rsidRDefault="00524553" w:rsidP="00524553">
      <w:pPr>
        <w:spacing w:after="0" w:line="360" w:lineRule="auto"/>
        <w:jc w:val="center"/>
        <w:rPr>
          <w:rFonts w:ascii="Times New Roman" w:eastAsia="Times New Roman" w:hAnsi="Times New Roman" w:cs="Times New Roman"/>
          <w:b/>
          <w:bCs/>
          <w:sz w:val="24"/>
          <w:szCs w:val="24"/>
        </w:rPr>
      </w:pPr>
      <w:r>
        <w:rPr>
          <w:rFonts w:ascii="Times New Roman" w:hAnsi="Times New Roman"/>
          <w:b/>
          <w:sz w:val="24"/>
        </w:rPr>
        <w:t>Oficjalna wizyta w Polsce</w:t>
      </w:r>
    </w:p>
    <w:p w:rsidR="00524553" w:rsidRPr="003F2DED" w:rsidRDefault="00524553" w:rsidP="00524553">
      <w:pPr>
        <w:spacing w:after="0" w:line="360" w:lineRule="auto"/>
        <w:jc w:val="center"/>
        <w:rPr>
          <w:rFonts w:ascii="Times New Roman" w:eastAsia="Times New Roman" w:hAnsi="Times New Roman" w:cs="Times New Roman"/>
          <w:sz w:val="24"/>
          <w:szCs w:val="24"/>
        </w:rPr>
      </w:pPr>
      <w:r>
        <w:rPr>
          <w:rFonts w:ascii="Times New Roman" w:hAnsi="Times New Roman"/>
          <w:sz w:val="24"/>
        </w:rPr>
        <w:t>27 lutego – 9 marca 2023 r.</w:t>
      </w:r>
    </w:p>
    <w:p w:rsidR="00524553" w:rsidRPr="00340997" w:rsidRDefault="00524553" w:rsidP="00524553">
      <w:pPr>
        <w:spacing w:after="0" w:line="360" w:lineRule="auto"/>
        <w:jc w:val="center"/>
        <w:rPr>
          <w:rFonts w:ascii="Times New Roman" w:eastAsia="Times New Roman" w:hAnsi="Times New Roman" w:cs="Times New Roman"/>
          <w:b/>
          <w:bCs/>
          <w:sz w:val="24"/>
          <w:szCs w:val="24"/>
        </w:rPr>
      </w:pPr>
    </w:p>
    <w:p w:rsidR="00524553" w:rsidRPr="003F2DED" w:rsidRDefault="00524553" w:rsidP="00524553">
      <w:pPr>
        <w:spacing w:after="0" w:line="360" w:lineRule="auto"/>
        <w:jc w:val="center"/>
        <w:rPr>
          <w:rFonts w:ascii="Times New Roman" w:eastAsia="Times New Roman" w:hAnsi="Times New Roman" w:cs="Times New Roman"/>
          <w:b/>
          <w:bCs/>
          <w:sz w:val="24"/>
          <w:szCs w:val="24"/>
        </w:rPr>
      </w:pPr>
      <w:r>
        <w:rPr>
          <w:rFonts w:ascii="Times New Roman" w:hAnsi="Times New Roman"/>
          <w:b/>
          <w:sz w:val="24"/>
        </w:rPr>
        <w:t>WSTĘPNE WNIOSKI I ZALECENIA</w:t>
      </w:r>
    </w:p>
    <w:p w:rsidR="00524553" w:rsidRPr="003F2DED" w:rsidRDefault="00524553" w:rsidP="00524553">
      <w:pPr>
        <w:spacing w:after="0" w:line="360" w:lineRule="auto"/>
        <w:jc w:val="center"/>
        <w:rPr>
          <w:rFonts w:ascii="Times New Roman" w:eastAsia="Times New Roman" w:hAnsi="Times New Roman" w:cs="Times New Roman"/>
          <w:sz w:val="24"/>
          <w:szCs w:val="24"/>
        </w:rPr>
      </w:pPr>
      <w:r>
        <w:rPr>
          <w:rFonts w:ascii="Times New Roman" w:hAnsi="Times New Roman"/>
          <w:sz w:val="24"/>
        </w:rPr>
        <w:t>08 marca 2023 r.</w:t>
      </w:r>
    </w:p>
    <w:p w:rsidR="003F2DED" w:rsidRPr="00340997" w:rsidRDefault="003F2DED" w:rsidP="00524553">
      <w:pPr>
        <w:spacing w:after="0" w:line="360" w:lineRule="auto"/>
        <w:jc w:val="center"/>
        <w:rPr>
          <w:rFonts w:ascii="Times New Roman" w:eastAsia="Times New Roman" w:hAnsi="Times New Roman" w:cs="Times New Roman"/>
          <w:sz w:val="24"/>
          <w:szCs w:val="24"/>
        </w:rPr>
      </w:pPr>
    </w:p>
    <w:p w:rsidR="002411D1" w:rsidRPr="00417BA5" w:rsidRDefault="002411D1" w:rsidP="00417BA5">
      <w:pPr>
        <w:spacing w:line="360" w:lineRule="auto"/>
        <w:ind w:firstLine="720"/>
        <w:jc w:val="both"/>
        <w:rPr>
          <w:rFonts w:ascii="Times New Roman" w:hAnsi="Times New Roman" w:cs="Times New Roman"/>
          <w:sz w:val="24"/>
          <w:szCs w:val="24"/>
        </w:rPr>
      </w:pPr>
      <w:r>
        <w:rPr>
          <w:rFonts w:ascii="Times New Roman" w:hAnsi="Times New Roman"/>
          <w:sz w:val="24"/>
        </w:rPr>
        <w:t xml:space="preserve">Na zakończenie 10-dniowej wizyty w ramach pełnionej przeze mnie roli Specjalnego Sprawozdawcy ONZ ds. przemocy wobec kobiet i dziewcząt, którą właśnie odbyłam na zaproszenie rządu Rzeczypospolitej Polskiej, mam przyjemność podzielić się moimi wstępnymi wnioskami z niej płynącymi. Jak część z Państwa pewnie wie, moja poprzedniczka, </w:t>
      </w:r>
      <w:proofErr w:type="spellStart"/>
      <w:r>
        <w:rPr>
          <w:rFonts w:ascii="Times New Roman" w:hAnsi="Times New Roman"/>
          <w:sz w:val="24"/>
        </w:rPr>
        <w:t>Radhika</w:t>
      </w:r>
      <w:proofErr w:type="spellEnd"/>
      <w:r>
        <w:rPr>
          <w:rFonts w:ascii="Times New Roman" w:hAnsi="Times New Roman"/>
          <w:sz w:val="24"/>
        </w:rPr>
        <w:t xml:space="preserve"> </w:t>
      </w:r>
      <w:proofErr w:type="spellStart"/>
      <w:r>
        <w:rPr>
          <w:rFonts w:ascii="Times New Roman" w:hAnsi="Times New Roman"/>
          <w:sz w:val="24"/>
        </w:rPr>
        <w:t>Coomaraswamy</w:t>
      </w:r>
      <w:proofErr w:type="spellEnd"/>
      <w:r>
        <w:rPr>
          <w:rFonts w:ascii="Times New Roman" w:hAnsi="Times New Roman"/>
          <w:sz w:val="24"/>
        </w:rPr>
        <w:t>, odwiedziła Polskę w 1996 r. – dlatego mogę powiedzieć, że dobrze mieć mandat, aby tutaj wrócić.</w:t>
      </w:r>
    </w:p>
    <w:p w:rsidR="002411D1" w:rsidRPr="00A16DB8" w:rsidRDefault="002411D1" w:rsidP="00A16DB8">
      <w:pPr>
        <w:spacing w:line="360" w:lineRule="auto"/>
        <w:ind w:firstLine="720"/>
        <w:jc w:val="both"/>
        <w:rPr>
          <w:rFonts w:ascii="Times New Roman" w:hAnsi="Times New Roman" w:cs="Times New Roman"/>
          <w:sz w:val="24"/>
          <w:szCs w:val="24"/>
        </w:rPr>
      </w:pPr>
      <w:r>
        <w:rPr>
          <w:rFonts w:ascii="Times New Roman" w:hAnsi="Times New Roman"/>
          <w:sz w:val="24"/>
        </w:rPr>
        <w:t>Celem mojej wizyty było zrozumienie i ocena, w duchu współpra</w:t>
      </w:r>
      <w:r w:rsidR="00ED3A9D">
        <w:rPr>
          <w:rFonts w:ascii="Times New Roman" w:hAnsi="Times New Roman"/>
          <w:sz w:val="24"/>
        </w:rPr>
        <w:t>cy i </w:t>
      </w:r>
      <w:r>
        <w:rPr>
          <w:rFonts w:ascii="Times New Roman" w:hAnsi="Times New Roman"/>
          <w:sz w:val="24"/>
        </w:rPr>
        <w:t>konstruktywnego dialogu, sposobu radzenia sobie państwa polskiego z przypadkami przemocy wobec kobiet i dziewcząt w tym kraju, opierając się na ocenie i zaleceniach ekspertów z Grupy roboczej ONZ ds. dyskryminacji wobec kobiet i dziewcząt po ich wizycie w 2018 r, a także na opiniach Specjalnego Sprawozdawcy ONZ ds. praw człowieka migrantów, który odwiedził Polskę w 2022 r. Będę dalej</w:t>
      </w:r>
      <w:r w:rsidR="00ED3A9D">
        <w:rPr>
          <w:rFonts w:ascii="Times New Roman" w:hAnsi="Times New Roman"/>
          <w:sz w:val="24"/>
        </w:rPr>
        <w:t xml:space="preserve"> pracować nad moimi wnioskami i </w:t>
      </w:r>
      <w:r>
        <w:rPr>
          <w:rFonts w:ascii="Times New Roman" w:hAnsi="Times New Roman"/>
          <w:sz w:val="24"/>
        </w:rPr>
        <w:t>zaleceniami, które zaprezentuję w formie sprawozdania przedstawionego w trakcie 56. sesji Rady Praw Człowieka Organizacji Narodów Zjednoczonych, w czerwcu 2024 r., w Genewie.</w:t>
      </w:r>
    </w:p>
    <w:p w:rsidR="002411D1" w:rsidRPr="00417BA5" w:rsidRDefault="002411D1" w:rsidP="00A16DB8">
      <w:pPr>
        <w:pStyle w:val="Body"/>
        <w:spacing w:before="100" w:after="100" w:line="360" w:lineRule="auto"/>
        <w:ind w:firstLine="720"/>
        <w:jc w:val="both"/>
        <w:rPr>
          <w:rFonts w:ascii="Times New Roman" w:hAnsi="Times New Roman" w:cs="Times New Roman"/>
          <w:color w:val="auto"/>
          <w:sz w:val="24"/>
          <w:szCs w:val="24"/>
        </w:rPr>
      </w:pPr>
      <w:r>
        <w:rPr>
          <w:rFonts w:ascii="Times New Roman" w:hAnsi="Times New Roman"/>
          <w:color w:val="auto"/>
          <w:sz w:val="24"/>
        </w:rPr>
        <w:t xml:space="preserve">Zacznę od wyrażenia szczerej wdzięczności dla polskiego rządu za zaproszenie mnie do odbycia tej wizyty oraz za konstruktywne zaangażowanie i współpracę przed wizytą oraz w jej trakcie. </w:t>
      </w:r>
    </w:p>
    <w:p w:rsidR="002411D1" w:rsidRPr="00417BA5" w:rsidRDefault="002411D1" w:rsidP="00417BA5">
      <w:pPr>
        <w:pStyle w:val="Body"/>
        <w:spacing w:before="100" w:after="100" w:line="360" w:lineRule="auto"/>
        <w:ind w:firstLine="720"/>
        <w:jc w:val="both"/>
        <w:rPr>
          <w:rFonts w:ascii="Times New Roman" w:hAnsi="Times New Roman" w:cs="Times New Roman"/>
          <w:color w:val="auto"/>
          <w:sz w:val="24"/>
          <w:szCs w:val="24"/>
        </w:rPr>
      </w:pPr>
      <w:r>
        <w:rPr>
          <w:rFonts w:ascii="Times New Roman" w:hAnsi="Times New Roman"/>
          <w:color w:val="auto"/>
          <w:sz w:val="24"/>
        </w:rPr>
        <w:lastRenderedPageBreak/>
        <w:t>W czasie mojego pobytu tutaj, spotkałam się z przedstawicielami Ministerstwa Spraw Zagranicznych, Ministerstwa Rodziny i Polityki Społecznej, Ministerstwa Sprawiedliwości, Prokuratury Krajowej, Ministerstwa Spraw Wewnętrznych i Administracji, Ministerstwa Edukacji i Nauki, Ministerstwa Zdrowia oraz Kancelarii Pr</w:t>
      </w:r>
      <w:r w:rsidR="00ED3A9D">
        <w:rPr>
          <w:rFonts w:ascii="Times New Roman" w:hAnsi="Times New Roman"/>
          <w:color w:val="auto"/>
          <w:sz w:val="24"/>
        </w:rPr>
        <w:t>emiera. Spotkałam się również z </w:t>
      </w:r>
      <w:r>
        <w:rPr>
          <w:rFonts w:ascii="Times New Roman" w:hAnsi="Times New Roman"/>
          <w:color w:val="auto"/>
          <w:sz w:val="24"/>
        </w:rPr>
        <w:t>członkami obu izb polskiego parlamentu  (Sejmu i Senatu)</w:t>
      </w:r>
      <w:r>
        <w:rPr>
          <w:rFonts w:ascii="Times New Roman" w:hAnsi="Times New Roman"/>
          <w:sz w:val="24"/>
        </w:rPr>
        <w:t>.</w:t>
      </w:r>
      <w:r w:rsidR="00ED3A9D">
        <w:rPr>
          <w:rFonts w:ascii="Times New Roman" w:hAnsi="Times New Roman"/>
          <w:color w:val="auto"/>
          <w:sz w:val="24"/>
        </w:rPr>
        <w:t xml:space="preserve"> Spotkałam się także z </w:t>
      </w:r>
      <w:r>
        <w:rPr>
          <w:rFonts w:ascii="Times New Roman" w:hAnsi="Times New Roman"/>
          <w:color w:val="auto"/>
          <w:sz w:val="24"/>
        </w:rPr>
        <w:t>przedstawicielami Urzędów Wojewódzkich z województwa lubels</w:t>
      </w:r>
      <w:r w:rsidR="00ED3A9D">
        <w:rPr>
          <w:rFonts w:ascii="Times New Roman" w:hAnsi="Times New Roman"/>
          <w:color w:val="auto"/>
          <w:sz w:val="24"/>
        </w:rPr>
        <w:t>kiego, małopolskiego i </w:t>
      </w:r>
      <w:r>
        <w:rPr>
          <w:rFonts w:ascii="Times New Roman" w:hAnsi="Times New Roman"/>
          <w:color w:val="auto"/>
          <w:sz w:val="24"/>
        </w:rPr>
        <w:t>mazowieckiego. Odbyłam dodatkowo wizytę w zamknięt</w:t>
      </w:r>
      <w:r w:rsidR="00ED3A9D">
        <w:rPr>
          <w:rFonts w:ascii="Times New Roman" w:hAnsi="Times New Roman"/>
          <w:color w:val="auto"/>
          <w:sz w:val="24"/>
        </w:rPr>
        <w:t>ym ośrodku dla uchodźców oraz w </w:t>
      </w:r>
      <w:r>
        <w:rPr>
          <w:rFonts w:ascii="Times New Roman" w:hAnsi="Times New Roman"/>
          <w:color w:val="auto"/>
          <w:sz w:val="24"/>
        </w:rPr>
        <w:t>szkole podstawowej w Lublinie, w ośrodku dla uchodźców w Krakowie oraz w ośrodku wsparcia ofiar przemocy domowej w Rusocinie k. Gdańska.</w:t>
      </w:r>
      <w:r>
        <w:rPr>
          <w:rFonts w:ascii="Times New Roman" w:hAnsi="Times New Roman"/>
          <w:sz w:val="24"/>
        </w:rPr>
        <w:t xml:space="preserve"> Z przyjemnością spotkałam się również </w:t>
      </w:r>
      <w:r>
        <w:rPr>
          <w:rFonts w:ascii="Times New Roman" w:hAnsi="Times New Roman"/>
          <w:color w:val="auto"/>
          <w:sz w:val="24"/>
        </w:rPr>
        <w:t>z przedstawicielami różnych organizacji międzynarodowych, instytucji zajmujących się prawami człowieka, organizacji społeczeństwa obywatelskiego, stowarzyszeń zawodowych, a także kobietami z Polski i spoza niej będącymi ofiarami prz</w:t>
      </w:r>
      <w:r w:rsidR="00ED3A9D">
        <w:rPr>
          <w:rFonts w:ascii="Times New Roman" w:hAnsi="Times New Roman"/>
          <w:color w:val="auto"/>
          <w:sz w:val="24"/>
        </w:rPr>
        <w:t>emocy domowej i </w:t>
      </w:r>
      <w:r>
        <w:rPr>
          <w:rFonts w:ascii="Times New Roman" w:hAnsi="Times New Roman"/>
          <w:color w:val="auto"/>
          <w:sz w:val="24"/>
        </w:rPr>
        <w:t xml:space="preserve">handlu ludźmi, aktywistkami ze środowiska Romów, </w:t>
      </w:r>
      <w:r w:rsidR="00ED3A9D">
        <w:rPr>
          <w:rFonts w:ascii="Times New Roman" w:hAnsi="Times New Roman"/>
          <w:color w:val="auto"/>
          <w:sz w:val="24"/>
        </w:rPr>
        <w:t>uchodźczyniami i imigrantkami z </w:t>
      </w:r>
      <w:r>
        <w:rPr>
          <w:rFonts w:ascii="Times New Roman" w:hAnsi="Times New Roman"/>
          <w:color w:val="auto"/>
          <w:sz w:val="24"/>
        </w:rPr>
        <w:t>Ukrainy i spoza niej, nastolatkami i innymi istotnymi interesariuszami.</w:t>
      </w:r>
    </w:p>
    <w:p w:rsidR="00D83B85" w:rsidRPr="00417BA5" w:rsidRDefault="002411D1" w:rsidP="00A16DB8">
      <w:pPr>
        <w:pStyle w:val="Body"/>
        <w:spacing w:before="100" w:after="100" w:line="360" w:lineRule="auto"/>
        <w:ind w:firstLine="720"/>
        <w:jc w:val="both"/>
        <w:rPr>
          <w:rFonts w:ascii="Times New Roman" w:hAnsi="Times New Roman" w:cs="Times New Roman"/>
          <w:color w:val="auto"/>
          <w:sz w:val="24"/>
          <w:szCs w:val="24"/>
        </w:rPr>
      </w:pPr>
      <w:r>
        <w:rPr>
          <w:rFonts w:ascii="Times New Roman" w:hAnsi="Times New Roman"/>
          <w:color w:val="auto"/>
          <w:sz w:val="24"/>
        </w:rPr>
        <w:t xml:space="preserve">Jestem bardzo wdzięczna różnym agencjom ONZ oraz organizacjom pozarządowym za ich duże wsparcie przed moją wizytą i w jej trakcie. Wszystkie osoby, które poświęciły swój czas na spotkanie ze mną oraz przesłały informacje do wykorzystania w ramach mojej misji, proszę o przyjęcie moich szczerych podziękowań. </w:t>
      </w:r>
    </w:p>
    <w:p w:rsidR="0036350A" w:rsidRPr="00417BA5" w:rsidRDefault="0036350A" w:rsidP="00417BA5">
      <w:pPr>
        <w:spacing w:after="0" w:line="360" w:lineRule="auto"/>
        <w:contextualSpacing/>
        <w:jc w:val="both"/>
        <w:rPr>
          <w:rFonts w:ascii="Times New Roman" w:hAnsi="Times New Roman" w:cs="Times New Roman"/>
          <w:sz w:val="24"/>
          <w:szCs w:val="24"/>
        </w:rPr>
      </w:pPr>
    </w:p>
    <w:p w:rsidR="00B53F45" w:rsidRPr="00417BA5" w:rsidRDefault="00B53F45" w:rsidP="00417BA5">
      <w:pPr>
        <w:spacing w:after="0" w:line="360" w:lineRule="auto"/>
        <w:contextualSpacing/>
        <w:jc w:val="both"/>
        <w:rPr>
          <w:rFonts w:ascii="Times New Roman" w:hAnsi="Times New Roman" w:cs="Times New Roman"/>
          <w:b/>
          <w:bCs/>
          <w:i/>
          <w:iCs/>
          <w:sz w:val="24"/>
          <w:szCs w:val="24"/>
        </w:rPr>
      </w:pPr>
      <w:r>
        <w:rPr>
          <w:rFonts w:ascii="Times New Roman" w:hAnsi="Times New Roman"/>
          <w:b/>
          <w:i/>
          <w:sz w:val="24"/>
        </w:rPr>
        <w:t>Ramy prawne i dotyczące polityk w zakresie przemocy</w:t>
      </w:r>
      <w:r w:rsidR="00ED3A9D">
        <w:rPr>
          <w:rFonts w:ascii="Times New Roman" w:hAnsi="Times New Roman"/>
          <w:b/>
          <w:i/>
          <w:sz w:val="24"/>
        </w:rPr>
        <w:t xml:space="preserve"> w szczególności wobec kobiet i </w:t>
      </w:r>
      <w:r>
        <w:rPr>
          <w:rFonts w:ascii="Times New Roman" w:hAnsi="Times New Roman"/>
          <w:b/>
          <w:i/>
          <w:sz w:val="24"/>
        </w:rPr>
        <w:t>dziewcząt w Polsce</w:t>
      </w:r>
    </w:p>
    <w:p w:rsidR="00B53F45" w:rsidRPr="00417BA5" w:rsidRDefault="00B53F45" w:rsidP="00417BA5">
      <w:pPr>
        <w:spacing w:after="0" w:line="360" w:lineRule="auto"/>
        <w:contextualSpacing/>
        <w:jc w:val="both"/>
        <w:rPr>
          <w:rFonts w:ascii="Times New Roman" w:hAnsi="Times New Roman" w:cs="Times New Roman"/>
          <w:sz w:val="24"/>
          <w:szCs w:val="24"/>
        </w:rPr>
      </w:pPr>
    </w:p>
    <w:p w:rsidR="004316AC" w:rsidRDefault="004A2D64" w:rsidP="00B80942">
      <w:pPr>
        <w:spacing w:after="0" w:line="360" w:lineRule="auto"/>
        <w:ind w:firstLine="720"/>
        <w:contextualSpacing/>
        <w:jc w:val="both"/>
        <w:rPr>
          <w:rFonts w:ascii="Times New Roman" w:hAnsi="Times New Roman" w:cs="Times New Roman"/>
          <w:sz w:val="24"/>
          <w:szCs w:val="24"/>
        </w:rPr>
      </w:pPr>
      <w:r>
        <w:rPr>
          <w:rFonts w:ascii="Times New Roman" w:hAnsi="Times New Roman"/>
          <w:sz w:val="24"/>
        </w:rPr>
        <w:t xml:space="preserve">Polska poczyniła istotne kroki na rzecz równego </w:t>
      </w:r>
      <w:r w:rsidR="00ED3A9D">
        <w:rPr>
          <w:rFonts w:ascii="Times New Roman" w:hAnsi="Times New Roman"/>
          <w:sz w:val="24"/>
        </w:rPr>
        <w:t>traktowania mężczyzn i kobiet w </w:t>
      </w:r>
      <w:r>
        <w:rPr>
          <w:rFonts w:ascii="Times New Roman" w:hAnsi="Times New Roman"/>
          <w:sz w:val="24"/>
        </w:rPr>
        <w:t>sferze publicznej i prywatnej, zwłaszcza pod względem niezależności ekonomicznej kobiet oraz odpowiedniego traktowania kobiet w ciąży oraz rodziców, w tym poprzez stosowanie różnych typów urlopów i zasiłków macierzyńskich. Dodatkowo różnice w średnich wynagrodzeniach kobiet i mężczyzn w Polsce należą do najniższych w krajach europejskich. Godne pochwały jest również to, że reprezentacja kobiet w parlamencie jest coraz większa, a</w:t>
      </w:r>
      <w:r w:rsidR="00ED3A9D">
        <w:rPr>
          <w:rFonts w:ascii="Times New Roman" w:hAnsi="Times New Roman"/>
          <w:sz w:val="24"/>
        </w:rPr>
        <w:t> </w:t>
      </w:r>
      <w:r>
        <w:rPr>
          <w:rFonts w:ascii="Times New Roman" w:hAnsi="Times New Roman"/>
          <w:sz w:val="24"/>
        </w:rPr>
        <w:t xml:space="preserve">rząd uczula sektor prywatny w zakresie zapobiegania dyskryminacji i molestowaniu seksualnemu w miejscu pracy. </w:t>
      </w:r>
    </w:p>
    <w:p w:rsidR="006F0103" w:rsidRPr="00B80942" w:rsidRDefault="006F0103" w:rsidP="00B80942">
      <w:pPr>
        <w:spacing w:after="0" w:line="360" w:lineRule="auto"/>
        <w:ind w:firstLine="720"/>
        <w:contextualSpacing/>
        <w:jc w:val="both"/>
        <w:rPr>
          <w:rFonts w:ascii="Times New Roman" w:hAnsi="Times New Roman" w:cs="Times New Roman"/>
          <w:b/>
          <w:bCs/>
          <w:sz w:val="24"/>
          <w:szCs w:val="24"/>
        </w:rPr>
      </w:pPr>
    </w:p>
    <w:p w:rsidR="00465C07" w:rsidRPr="00417BA5" w:rsidRDefault="004316AC" w:rsidP="00417BA5">
      <w:pPr>
        <w:spacing w:after="0" w:line="360" w:lineRule="auto"/>
        <w:ind w:firstLine="720"/>
        <w:contextualSpacing/>
        <w:jc w:val="both"/>
        <w:rPr>
          <w:rFonts w:ascii="Times New Roman" w:hAnsi="Times New Roman" w:cs="Times New Roman"/>
          <w:sz w:val="24"/>
          <w:szCs w:val="24"/>
        </w:rPr>
      </w:pPr>
      <w:r>
        <w:rPr>
          <w:rFonts w:ascii="Times New Roman" w:hAnsi="Times New Roman"/>
          <w:sz w:val="24"/>
        </w:rPr>
        <w:t xml:space="preserve">Poza tym cieszę się z poprawek wprowadzonych przez polski rząd do ustawodawstwa krajowego, które zmieniły nazwę i zakres „przemocy w rodzinie” na „przemoc domową”, </w:t>
      </w:r>
      <w:r>
        <w:rPr>
          <w:rFonts w:ascii="Times New Roman" w:hAnsi="Times New Roman"/>
          <w:sz w:val="24"/>
        </w:rPr>
        <w:lastRenderedPageBreak/>
        <w:t xml:space="preserve">uwzględniając w ten sposób również przemoc stosowaną </w:t>
      </w:r>
      <w:r w:rsidR="00ED3A9D">
        <w:rPr>
          <w:rFonts w:ascii="Times New Roman" w:hAnsi="Times New Roman"/>
          <w:sz w:val="24"/>
        </w:rPr>
        <w:t>przez partnerów oraz przemoc ze </w:t>
      </w:r>
      <w:r>
        <w:rPr>
          <w:rFonts w:ascii="Times New Roman" w:hAnsi="Times New Roman"/>
          <w:sz w:val="24"/>
        </w:rPr>
        <w:t xml:space="preserve">strony byłych partnerów. Dobrą oznaką jest również to, że Polska rozszerzyła formy przemocy domowej na przemoc seksualną, psychologiczną, ekonomiczną </w:t>
      </w:r>
      <w:r w:rsidR="00ED3A9D">
        <w:rPr>
          <w:rFonts w:ascii="Times New Roman" w:hAnsi="Times New Roman"/>
          <w:sz w:val="24"/>
        </w:rPr>
        <w:t xml:space="preserve">i </w:t>
      </w:r>
      <w:proofErr w:type="spellStart"/>
      <w:r w:rsidR="00ED3A9D">
        <w:rPr>
          <w:rFonts w:ascii="Times New Roman" w:hAnsi="Times New Roman"/>
          <w:sz w:val="24"/>
        </w:rPr>
        <w:t>cyberprzemoc</w:t>
      </w:r>
      <w:proofErr w:type="spellEnd"/>
      <w:r w:rsidR="00ED3A9D">
        <w:rPr>
          <w:rFonts w:ascii="Times New Roman" w:hAnsi="Times New Roman"/>
          <w:sz w:val="24"/>
        </w:rPr>
        <w:t>, co </w:t>
      </w:r>
      <w:r>
        <w:rPr>
          <w:rFonts w:ascii="Times New Roman" w:hAnsi="Times New Roman"/>
          <w:sz w:val="24"/>
        </w:rPr>
        <w:t>pozwala ekspertom, ustawodawcom i funkcjonariuszom organów ścigania lepiej rozróżniać i zajmować się wieloma złożonymi as</w:t>
      </w:r>
      <w:r w:rsidR="00ED3A9D">
        <w:rPr>
          <w:rFonts w:ascii="Times New Roman" w:hAnsi="Times New Roman"/>
          <w:sz w:val="24"/>
        </w:rPr>
        <w:t>pektami przemocy wobec kobiet i </w:t>
      </w:r>
      <w:r>
        <w:rPr>
          <w:rFonts w:ascii="Times New Roman" w:hAnsi="Times New Roman"/>
          <w:sz w:val="24"/>
        </w:rPr>
        <w:t>dziewcząt. Odpowiednie polskie ustawy wyróżniają również kwestie molestowania seksualnego i uporczywego nękania (stalkingu). Dodatk</w:t>
      </w:r>
      <w:r w:rsidR="00ED3A9D">
        <w:rPr>
          <w:rFonts w:ascii="Times New Roman" w:hAnsi="Times New Roman"/>
          <w:sz w:val="24"/>
        </w:rPr>
        <w:t>owo w kwietniu 2020 r. weszły w </w:t>
      </w:r>
      <w:r>
        <w:rPr>
          <w:rFonts w:ascii="Times New Roman" w:hAnsi="Times New Roman"/>
          <w:sz w:val="24"/>
        </w:rPr>
        <w:t xml:space="preserve">życie poprawki do Kodeksu postępowania cywilnego oraz innych ustaw, uprawniające funkcjonariuszy policji do nakazywania osobom dopuszczającym się przemocy domowej natychmiastowego opuszczenia wspólnego miejsca zamieszkania oraz pozostawania poza nim przez okres do dwóch tygodni z możliwością wydłużenia tego okresu. </w:t>
      </w:r>
    </w:p>
    <w:p w:rsidR="00465C07" w:rsidRPr="00417BA5" w:rsidRDefault="00465C07" w:rsidP="00417BA5">
      <w:pPr>
        <w:spacing w:after="0" w:line="360" w:lineRule="auto"/>
        <w:contextualSpacing/>
        <w:jc w:val="both"/>
        <w:rPr>
          <w:rFonts w:ascii="Times New Roman" w:hAnsi="Times New Roman" w:cs="Times New Roman"/>
          <w:sz w:val="24"/>
          <w:szCs w:val="24"/>
        </w:rPr>
      </w:pPr>
    </w:p>
    <w:p w:rsidR="0003678E" w:rsidRDefault="00465C07" w:rsidP="00044F02">
      <w:pPr>
        <w:spacing w:after="0" w:line="360" w:lineRule="auto"/>
        <w:ind w:firstLine="720"/>
        <w:contextualSpacing/>
        <w:jc w:val="both"/>
        <w:rPr>
          <w:rFonts w:ascii="Times New Roman" w:hAnsi="Times New Roman" w:cs="Times New Roman"/>
          <w:sz w:val="24"/>
          <w:szCs w:val="24"/>
        </w:rPr>
      </w:pPr>
      <w:r>
        <w:rPr>
          <w:rFonts w:ascii="Times New Roman" w:hAnsi="Times New Roman"/>
          <w:sz w:val="24"/>
        </w:rPr>
        <w:t xml:space="preserve">Mimo tych pozytywnych zmian, przemoc wobec kobiet i dziewcząt nadal postrzegana jest </w:t>
      </w:r>
      <w:r w:rsidR="00A4138C">
        <w:rPr>
          <w:rFonts w:ascii="Times New Roman" w:hAnsi="Times New Roman"/>
          <w:sz w:val="24"/>
        </w:rPr>
        <w:t xml:space="preserve">niemal </w:t>
      </w:r>
      <w:r>
        <w:rPr>
          <w:rFonts w:ascii="Times New Roman" w:hAnsi="Times New Roman"/>
          <w:sz w:val="24"/>
        </w:rPr>
        <w:t>wyłącznie przez pryzmat przemocy domowej. Co więcej, zaobserwowałam że polskie ustawodawstwo i polityki, przy podkreślaniu równości mężczyzn i kobiet, wydają się być ogólnie nieróżnicujące, jeśli chodzi o płeć, ponieważ w ujęciu prawnym jak i w praktyce nie uznaje się specyficznych i strukturalnych przyczyn dyskryminacji i przemocy wobec kogokolwiek, w tym kobiet i dziewcząt, z powodu płci i/lub tożsamości płciowej oraz sposobów interakcji z innymi przyczynami dyskryminacji na podłożu rasowym, płciowym, etnicznym, religijnym, dotyczącym orientacji seksualnej i/lu</w:t>
      </w:r>
      <w:r w:rsidR="00ED3A9D">
        <w:rPr>
          <w:rFonts w:ascii="Times New Roman" w:hAnsi="Times New Roman"/>
          <w:sz w:val="24"/>
        </w:rPr>
        <w:t>b tożsamości płciowej. Jednym z </w:t>
      </w:r>
      <w:r>
        <w:rPr>
          <w:rFonts w:ascii="Times New Roman" w:hAnsi="Times New Roman"/>
          <w:sz w:val="24"/>
        </w:rPr>
        <w:t xml:space="preserve">obszarów, w których nieróżnicowanie płci jest wyraźnie widoczne, jest fakt, że zabójstwa kobiet lub zabójstwa związane z płcią nie są monitorowane ani dokumentowane jako takie, lecz tylko jako zabójstwa. </w:t>
      </w:r>
    </w:p>
    <w:p w:rsidR="001340B3" w:rsidRPr="00417BA5" w:rsidRDefault="001340B3" w:rsidP="00B80942">
      <w:pPr>
        <w:spacing w:after="0" w:line="360" w:lineRule="auto"/>
        <w:ind w:firstLine="720"/>
        <w:contextualSpacing/>
        <w:jc w:val="both"/>
        <w:rPr>
          <w:rFonts w:ascii="Times New Roman" w:hAnsi="Times New Roman" w:cs="Times New Roman"/>
          <w:sz w:val="24"/>
          <w:szCs w:val="24"/>
        </w:rPr>
      </w:pPr>
    </w:p>
    <w:p w:rsidR="00AC7F17" w:rsidRDefault="00225BCC" w:rsidP="00B80942">
      <w:pPr>
        <w:spacing w:after="0" w:line="360" w:lineRule="auto"/>
        <w:ind w:firstLine="720"/>
        <w:contextualSpacing/>
        <w:jc w:val="both"/>
        <w:rPr>
          <w:rFonts w:ascii="Times New Roman" w:hAnsi="Times New Roman" w:cs="Times New Roman"/>
          <w:sz w:val="24"/>
          <w:szCs w:val="24"/>
        </w:rPr>
      </w:pPr>
      <w:r>
        <w:rPr>
          <w:rFonts w:ascii="Times New Roman" w:hAnsi="Times New Roman"/>
          <w:sz w:val="24"/>
        </w:rPr>
        <w:t>W rezultacie nie są realizowane ogólnospołeczne wysiłki na rzecz zapobiegania przemocy związanej z płcią o zróżnicowanym podłożu, w tym wobec kobiet i dziewcząt, i nie są one traktowane priorytetow</w:t>
      </w:r>
      <w:r w:rsidR="00221327">
        <w:rPr>
          <w:rFonts w:ascii="Times New Roman" w:hAnsi="Times New Roman"/>
          <w:sz w:val="24"/>
        </w:rPr>
        <w:t>o</w:t>
      </w:r>
      <w:r>
        <w:rPr>
          <w:rFonts w:ascii="Times New Roman" w:hAnsi="Times New Roman"/>
          <w:sz w:val="24"/>
        </w:rPr>
        <w:t>, także pod względem kampanii edu</w:t>
      </w:r>
      <w:r w:rsidR="00ED3A9D">
        <w:rPr>
          <w:rFonts w:ascii="Times New Roman" w:hAnsi="Times New Roman"/>
          <w:sz w:val="24"/>
        </w:rPr>
        <w:t>kacyjnych i programów w </w:t>
      </w:r>
      <w:r>
        <w:rPr>
          <w:rFonts w:ascii="Times New Roman" w:hAnsi="Times New Roman"/>
          <w:sz w:val="24"/>
        </w:rPr>
        <w:t>szkołach, które nie poruszają tematu nierównego</w:t>
      </w:r>
      <w:r w:rsidR="00072A95">
        <w:rPr>
          <w:rFonts w:ascii="Times New Roman" w:hAnsi="Times New Roman"/>
          <w:sz w:val="24"/>
        </w:rPr>
        <w:t xml:space="preserve"> traktowania ze względu na płeć, a kwestia przemocy nie jest składnikiem programowym.</w:t>
      </w:r>
    </w:p>
    <w:p w:rsidR="001340B3" w:rsidRPr="00417BA5" w:rsidRDefault="001340B3" w:rsidP="00B80942">
      <w:pPr>
        <w:spacing w:after="0" w:line="360" w:lineRule="auto"/>
        <w:ind w:firstLine="720"/>
        <w:contextualSpacing/>
        <w:jc w:val="both"/>
        <w:rPr>
          <w:rFonts w:ascii="Times New Roman" w:hAnsi="Times New Roman" w:cs="Times New Roman"/>
          <w:sz w:val="24"/>
          <w:szCs w:val="24"/>
        </w:rPr>
      </w:pPr>
    </w:p>
    <w:p w:rsidR="00225BCC" w:rsidRPr="00417BA5" w:rsidRDefault="00ED1F2B" w:rsidP="00AA006B">
      <w:pPr>
        <w:spacing w:line="360" w:lineRule="auto"/>
        <w:ind w:firstLine="720"/>
        <w:jc w:val="both"/>
        <w:rPr>
          <w:rFonts w:ascii="Times New Roman" w:hAnsi="Times New Roman" w:cs="Times New Roman"/>
          <w:sz w:val="24"/>
          <w:szCs w:val="24"/>
        </w:rPr>
      </w:pPr>
      <w:r>
        <w:rPr>
          <w:rFonts w:ascii="Times New Roman" w:hAnsi="Times New Roman"/>
          <w:sz w:val="24"/>
        </w:rPr>
        <w:t>Ponadto ochrona grup szczególnego ryzyka pod względem dyskryminacji i przemocy jest ograniczona przez fakt, że Kodeks Karny i inne powiązane przepisy nie określają wyczerpująco czynów polegających na publicznym zachęcaniu do przemocy, nienawiści lub dyskryminacji, zniesławiania lub wysuwania gróźb p</w:t>
      </w:r>
      <w:r w:rsidR="00ED3A9D">
        <w:rPr>
          <w:rFonts w:ascii="Times New Roman" w:hAnsi="Times New Roman"/>
          <w:sz w:val="24"/>
        </w:rPr>
        <w:t xml:space="preserve">rzeciw osobie lub grupie osób </w:t>
      </w:r>
      <w:r w:rsidR="00ED3A9D">
        <w:rPr>
          <w:rFonts w:ascii="Times New Roman" w:hAnsi="Times New Roman"/>
          <w:sz w:val="24"/>
        </w:rPr>
        <w:lastRenderedPageBreak/>
        <w:t>w </w:t>
      </w:r>
      <w:r>
        <w:rPr>
          <w:rFonts w:ascii="Times New Roman" w:hAnsi="Times New Roman"/>
          <w:sz w:val="24"/>
        </w:rPr>
        <w:t xml:space="preserve">związku z ich </w:t>
      </w:r>
      <w:r w:rsidR="00072A95">
        <w:rPr>
          <w:rFonts w:ascii="Times New Roman" w:hAnsi="Times New Roman"/>
          <w:sz w:val="24"/>
        </w:rPr>
        <w:t>płcią, orientacją seksualną</w:t>
      </w:r>
      <w:r w:rsidR="00F17466">
        <w:rPr>
          <w:rFonts w:ascii="Times New Roman" w:hAnsi="Times New Roman"/>
          <w:sz w:val="24"/>
        </w:rPr>
        <w:t xml:space="preserve"> lub tożsamością płciową</w:t>
      </w:r>
      <w:r>
        <w:rPr>
          <w:rFonts w:ascii="Times New Roman" w:hAnsi="Times New Roman"/>
          <w:sz w:val="24"/>
        </w:rPr>
        <w:t xml:space="preserve">. Dodatkowo w dużej mierze brakuje specjalnych środków do walki z barierami przy zgłaszaniu przypadków dyskryminacji i przemocy przez ich </w:t>
      </w:r>
      <w:r w:rsidR="00ED3A9D">
        <w:rPr>
          <w:rFonts w:ascii="Times New Roman" w:hAnsi="Times New Roman"/>
          <w:sz w:val="24"/>
        </w:rPr>
        <w:t>ofiary oraz uwzględnienia ich w </w:t>
      </w:r>
      <w:r>
        <w:rPr>
          <w:rFonts w:ascii="Times New Roman" w:hAnsi="Times New Roman"/>
          <w:sz w:val="24"/>
        </w:rPr>
        <w:t xml:space="preserve">programach publicznych i skutecznego dostępu do wymiaru sprawiedliwości, podobnie jak środków dostosowanych do specyficznych potrzeb takich </w:t>
      </w:r>
      <w:r w:rsidR="00ED3A9D">
        <w:rPr>
          <w:rFonts w:ascii="Times New Roman" w:hAnsi="Times New Roman"/>
          <w:sz w:val="24"/>
        </w:rPr>
        <w:t>ofiar. Efekty tej sytuacji są w </w:t>
      </w:r>
      <w:r>
        <w:rPr>
          <w:rFonts w:ascii="Times New Roman" w:hAnsi="Times New Roman"/>
          <w:sz w:val="24"/>
        </w:rPr>
        <w:t xml:space="preserve">szczególności odczuwane przez kobiety i dziewczęta z </w:t>
      </w:r>
      <w:proofErr w:type="spellStart"/>
      <w:r>
        <w:rPr>
          <w:rFonts w:ascii="Times New Roman" w:hAnsi="Times New Roman"/>
          <w:sz w:val="24"/>
        </w:rPr>
        <w:t>niepełnosprawnościami</w:t>
      </w:r>
      <w:proofErr w:type="spellEnd"/>
      <w:r>
        <w:rPr>
          <w:rFonts w:ascii="Times New Roman" w:hAnsi="Times New Roman"/>
          <w:sz w:val="24"/>
        </w:rPr>
        <w:t xml:space="preserve"> oraz kobiety i dziewczęta o różnych orientacjach seksualnych</w:t>
      </w:r>
      <w:r w:rsidR="00071EE3">
        <w:rPr>
          <w:rFonts w:ascii="Times New Roman" w:hAnsi="Times New Roman"/>
          <w:sz w:val="24"/>
        </w:rPr>
        <w:t xml:space="preserve"> i tożsamościach płciowych</w:t>
      </w:r>
      <w:r>
        <w:rPr>
          <w:rFonts w:ascii="Times New Roman" w:hAnsi="Times New Roman"/>
          <w:sz w:val="24"/>
        </w:rPr>
        <w:t>, a także należące do mniejszości etnicznych, np. do społecznośc</w:t>
      </w:r>
      <w:r w:rsidR="00ED3A9D">
        <w:rPr>
          <w:rFonts w:ascii="Times New Roman" w:hAnsi="Times New Roman"/>
          <w:sz w:val="24"/>
        </w:rPr>
        <w:t>i Romów. Bardzo ważne jest, aby </w:t>
      </w:r>
      <w:r>
        <w:rPr>
          <w:rFonts w:ascii="Times New Roman" w:hAnsi="Times New Roman"/>
          <w:sz w:val="24"/>
        </w:rPr>
        <w:t>polski rząd podjął skuteczne działania mające na celu rozwiązanie kwestii dyskryminacji i zagrożeń dotyczących kobiet i dziewcząt o różnej tożsamości i pochodz</w:t>
      </w:r>
      <w:r w:rsidR="00ED3A9D">
        <w:rPr>
          <w:rFonts w:ascii="Times New Roman" w:hAnsi="Times New Roman"/>
          <w:sz w:val="24"/>
        </w:rPr>
        <w:t>eniu, zgodnie z </w:t>
      </w:r>
      <w:r>
        <w:rPr>
          <w:rFonts w:ascii="Times New Roman" w:hAnsi="Times New Roman"/>
          <w:sz w:val="24"/>
        </w:rPr>
        <w:t>międzynarodowymi i regionalnymi zobowiązania</w:t>
      </w:r>
      <w:r w:rsidR="00ED3A9D">
        <w:rPr>
          <w:rFonts w:ascii="Times New Roman" w:hAnsi="Times New Roman"/>
          <w:sz w:val="24"/>
        </w:rPr>
        <w:t>mi Polski. Podmioty publiczne i </w:t>
      </w:r>
      <w:r>
        <w:rPr>
          <w:rFonts w:ascii="Times New Roman" w:hAnsi="Times New Roman"/>
          <w:sz w:val="24"/>
        </w:rPr>
        <w:t>prywatne, a także osoby fizyczne, muszą być w większym stopniu pociągane do odpowiedzialności w przypadkach dyskryminacji i niezapewnienia odpowiedniej ochrony kobiet i dziewcząt przed przemocą. Mowa nienawiści regularnie stosowana przez niektóre podmioty polityczne i religijne oraz przez osoby public</w:t>
      </w:r>
      <w:r w:rsidR="00ED3A9D">
        <w:rPr>
          <w:rFonts w:ascii="Times New Roman" w:hAnsi="Times New Roman"/>
          <w:sz w:val="24"/>
        </w:rPr>
        <w:t>zne przeciw niektórym grupom, w </w:t>
      </w:r>
      <w:r>
        <w:rPr>
          <w:rFonts w:ascii="Times New Roman" w:hAnsi="Times New Roman"/>
          <w:sz w:val="24"/>
        </w:rPr>
        <w:t>szczególności przeciw osobom LGBTQI+, stanowi duży powód do obaw. Szczególnie jaskrawym negatywnym przykładem było określenie się przez pewne społeczności lokalne jako „strefy wolne od LGBT”, co nie spotkało się z żadnymi konsekwencjami ze strony rządu centralnego, dopóki odzew ze strony instytucji międzynarodowych i europejskich oraz podmiotów walczących o prawa człowieka nie doprowadził do likwidacji większości z tych stref.</w:t>
      </w:r>
    </w:p>
    <w:p w:rsidR="00F35FF0" w:rsidRPr="009A613B" w:rsidRDefault="0095004D" w:rsidP="0095004D">
      <w:pPr>
        <w:spacing w:after="0" w:line="360" w:lineRule="auto"/>
        <w:ind w:firstLine="720"/>
        <w:contextualSpacing/>
        <w:jc w:val="both"/>
        <w:rPr>
          <w:rFonts w:ascii="Times New Roman" w:hAnsi="Times New Roman" w:cs="Times New Roman"/>
          <w:sz w:val="24"/>
          <w:szCs w:val="24"/>
        </w:rPr>
      </w:pPr>
      <w:r>
        <w:rPr>
          <w:rFonts w:ascii="Times New Roman" w:hAnsi="Times New Roman"/>
          <w:sz w:val="24"/>
        </w:rPr>
        <w:t xml:space="preserve">Aby poprawić kwestię pomocy i ochrony dla ofiar przemocy, Polska musi przystąpić do bardziej zdecydowanej rewizji ustawodawstwa krajowego i dostosować je do zobowiązań międzynarodowych i regionalnych. Podstawowym działaniem tego typu będzie zapewnienie, że definicja gwałtu, który jest przestępstwem, </w:t>
      </w:r>
      <w:r w:rsidR="00F17466">
        <w:rPr>
          <w:rFonts w:ascii="Times New Roman" w:hAnsi="Times New Roman"/>
          <w:sz w:val="24"/>
        </w:rPr>
        <w:t xml:space="preserve">również </w:t>
      </w:r>
      <w:r>
        <w:rPr>
          <w:rFonts w:ascii="Times New Roman" w:hAnsi="Times New Roman"/>
          <w:sz w:val="24"/>
        </w:rPr>
        <w:t>zdecydowanie opiera się na kwestii zgody – zgodnie z Konwencją Rady Europy o zapobieganiu i zwa</w:t>
      </w:r>
      <w:r w:rsidR="00ED3A9D">
        <w:rPr>
          <w:rFonts w:ascii="Times New Roman" w:hAnsi="Times New Roman"/>
          <w:sz w:val="24"/>
        </w:rPr>
        <w:t>lczaniu przemocy wobec kobiet i </w:t>
      </w:r>
      <w:r>
        <w:rPr>
          <w:rFonts w:ascii="Times New Roman" w:hAnsi="Times New Roman"/>
          <w:sz w:val="24"/>
        </w:rPr>
        <w:t xml:space="preserve">przemocy domowej, znanej lepiej pod nazwą </w:t>
      </w:r>
      <w:r>
        <w:rPr>
          <w:rFonts w:ascii="Times New Roman" w:hAnsi="Times New Roman"/>
          <w:i/>
          <w:sz w:val="24"/>
        </w:rPr>
        <w:t xml:space="preserve">Konwencji stambulskiej, </w:t>
      </w:r>
      <w:r>
        <w:rPr>
          <w:rFonts w:ascii="Times New Roman" w:hAnsi="Times New Roman"/>
          <w:sz w:val="24"/>
        </w:rPr>
        <w:t xml:space="preserve">bez względu na to, czy stosowana jest siła. W związku z tym chcę podkreślić, jak ważne jest dalsze stosowanie przez Polskę </w:t>
      </w:r>
      <w:r>
        <w:rPr>
          <w:rFonts w:ascii="Times New Roman" w:hAnsi="Times New Roman"/>
          <w:i/>
          <w:sz w:val="24"/>
        </w:rPr>
        <w:t>Konwencji stambulskiej</w:t>
      </w:r>
      <w:r>
        <w:rPr>
          <w:rFonts w:ascii="Times New Roman" w:hAnsi="Times New Roman"/>
          <w:sz w:val="24"/>
        </w:rPr>
        <w:t>, ponieważ wycofanie się z niej oznaczałoby niepokojącą regresję zaangażowania Polski w wyelimi</w:t>
      </w:r>
      <w:r w:rsidR="00ED3A9D">
        <w:rPr>
          <w:rFonts w:ascii="Times New Roman" w:hAnsi="Times New Roman"/>
          <w:sz w:val="24"/>
        </w:rPr>
        <w:t>nowanie przemocy wobec kobiet i </w:t>
      </w:r>
      <w:r>
        <w:rPr>
          <w:rFonts w:ascii="Times New Roman" w:hAnsi="Times New Roman"/>
          <w:sz w:val="24"/>
        </w:rPr>
        <w:t>dziewcząt.</w:t>
      </w:r>
    </w:p>
    <w:p w:rsidR="00F35FF0" w:rsidRPr="00417BA5" w:rsidRDefault="00F35FF0" w:rsidP="00417BA5">
      <w:pPr>
        <w:spacing w:after="0" w:line="360" w:lineRule="auto"/>
        <w:contextualSpacing/>
        <w:jc w:val="both"/>
        <w:rPr>
          <w:rFonts w:ascii="Times New Roman" w:hAnsi="Times New Roman" w:cs="Times New Roman"/>
          <w:sz w:val="24"/>
          <w:szCs w:val="24"/>
        </w:rPr>
      </w:pPr>
    </w:p>
    <w:p w:rsidR="004316AC" w:rsidRPr="00B80942" w:rsidRDefault="004316AC" w:rsidP="00417BA5">
      <w:pPr>
        <w:spacing w:after="0" w:line="360" w:lineRule="auto"/>
        <w:jc w:val="both"/>
        <w:rPr>
          <w:rFonts w:ascii="Times New Roman" w:hAnsi="Times New Roman" w:cs="Times New Roman"/>
          <w:b/>
          <w:bCs/>
          <w:i/>
          <w:iCs/>
          <w:sz w:val="24"/>
          <w:szCs w:val="24"/>
        </w:rPr>
      </w:pPr>
      <w:r>
        <w:rPr>
          <w:rFonts w:ascii="Times New Roman" w:hAnsi="Times New Roman"/>
          <w:b/>
          <w:i/>
          <w:sz w:val="24"/>
        </w:rPr>
        <w:t xml:space="preserve">Dane </w:t>
      </w:r>
      <w:proofErr w:type="spellStart"/>
      <w:r>
        <w:rPr>
          <w:rFonts w:ascii="Times New Roman" w:hAnsi="Times New Roman"/>
          <w:b/>
          <w:i/>
          <w:sz w:val="24"/>
        </w:rPr>
        <w:t>zdezagregowane</w:t>
      </w:r>
      <w:proofErr w:type="spellEnd"/>
    </w:p>
    <w:p w:rsidR="00785B59" w:rsidRPr="00417BA5" w:rsidRDefault="00785B59" w:rsidP="00417BA5">
      <w:pPr>
        <w:spacing w:after="0" w:line="360" w:lineRule="auto"/>
        <w:ind w:firstLine="720"/>
        <w:jc w:val="both"/>
        <w:rPr>
          <w:rFonts w:ascii="Times New Roman" w:hAnsi="Times New Roman" w:cs="Times New Roman"/>
          <w:sz w:val="24"/>
          <w:szCs w:val="24"/>
        </w:rPr>
      </w:pPr>
      <w:r>
        <w:rPr>
          <w:rFonts w:ascii="Times New Roman" w:hAnsi="Times New Roman"/>
          <w:sz w:val="24"/>
        </w:rPr>
        <w:lastRenderedPageBreak/>
        <w:t xml:space="preserve">Wysiłki czynione w Polsce na rzecz lepszego zapobiegania i reagowania na przemoc wobec kobiet i dziewcząt w znacznym stopniu skorzystałyby z udoskonalonego i regularnego gromadzenia i analizowania danych </w:t>
      </w:r>
      <w:proofErr w:type="spellStart"/>
      <w:r>
        <w:rPr>
          <w:rFonts w:ascii="Times New Roman" w:hAnsi="Times New Roman"/>
          <w:sz w:val="24"/>
        </w:rPr>
        <w:t>zdezagregowanych</w:t>
      </w:r>
      <w:proofErr w:type="spellEnd"/>
      <w:r>
        <w:rPr>
          <w:rFonts w:ascii="Times New Roman" w:hAnsi="Times New Roman"/>
          <w:sz w:val="24"/>
        </w:rPr>
        <w:t xml:space="preserve"> </w:t>
      </w:r>
      <w:r w:rsidR="00D61B45">
        <w:rPr>
          <w:rFonts w:ascii="Times New Roman" w:hAnsi="Times New Roman"/>
          <w:sz w:val="24"/>
        </w:rPr>
        <w:t xml:space="preserve">m.in. </w:t>
      </w:r>
      <w:r>
        <w:rPr>
          <w:rFonts w:ascii="Times New Roman" w:hAnsi="Times New Roman"/>
          <w:sz w:val="24"/>
        </w:rPr>
        <w:t>według wieku, płci, niepełnosprawności, pochodzenia etnicznego/rasow</w:t>
      </w:r>
      <w:r w:rsidR="00ED3A9D">
        <w:rPr>
          <w:rFonts w:ascii="Times New Roman" w:hAnsi="Times New Roman"/>
          <w:sz w:val="24"/>
        </w:rPr>
        <w:t>ego oraz tożsamości płciowej. W </w:t>
      </w:r>
      <w:r>
        <w:rPr>
          <w:rFonts w:ascii="Times New Roman" w:hAnsi="Times New Roman"/>
          <w:sz w:val="24"/>
        </w:rPr>
        <w:t xml:space="preserve">przypadku przemocy domowej ważne byłoby gromadzenie danych na temat relacji między ofiarą a osobą dopuszczającą się przemocy. Dane zgromadzone we współpracy ze społeczeństwem obywatelskim, w tym z organizacjami kobiecymi, badaczami i </w:t>
      </w:r>
      <w:proofErr w:type="spellStart"/>
      <w:r>
        <w:rPr>
          <w:rFonts w:ascii="Times New Roman" w:hAnsi="Times New Roman"/>
          <w:sz w:val="24"/>
        </w:rPr>
        <w:t>think</w:t>
      </w:r>
      <w:proofErr w:type="spellEnd"/>
      <w:r>
        <w:rPr>
          <w:rFonts w:ascii="Times New Roman" w:hAnsi="Times New Roman"/>
          <w:sz w:val="24"/>
        </w:rPr>
        <w:t xml:space="preserve"> tankami muszą być wykorzystywane do wspierania reform polityk i </w:t>
      </w:r>
      <w:r w:rsidR="00ED3A9D">
        <w:rPr>
          <w:rFonts w:ascii="Times New Roman" w:hAnsi="Times New Roman"/>
          <w:sz w:val="24"/>
        </w:rPr>
        <w:t>poprawek ustaw. Wpływ polityk i </w:t>
      </w:r>
      <w:r>
        <w:rPr>
          <w:rFonts w:ascii="Times New Roman" w:hAnsi="Times New Roman"/>
          <w:sz w:val="24"/>
        </w:rPr>
        <w:t xml:space="preserve">ustawodawstwa mających na celu ograniczenie przemocy również powinien zostać poddany bardziej rygorystycznej ocenie. Na przykład, według polskich władz, liczba osób korzystających z procedury „Niebieskiej Karty” spadła w latach 2019-2022, lecz zaliczono to na poczet większej świadomości publicznej faktu, że nie należy stosować </w:t>
      </w:r>
      <w:r w:rsidR="00ED3A9D">
        <w:rPr>
          <w:rFonts w:ascii="Times New Roman" w:hAnsi="Times New Roman"/>
          <w:sz w:val="24"/>
        </w:rPr>
        <w:t>przemocy, bez </w:t>
      </w:r>
      <w:r>
        <w:rPr>
          <w:rFonts w:ascii="Times New Roman" w:hAnsi="Times New Roman"/>
          <w:sz w:val="24"/>
        </w:rPr>
        <w:t>zapewnienia materiałów dowodowych na poparcie takiego wniosku.</w:t>
      </w:r>
    </w:p>
    <w:p w:rsidR="00785B59" w:rsidRPr="00340997" w:rsidRDefault="00785B59" w:rsidP="00417BA5">
      <w:pPr>
        <w:spacing w:after="0" w:line="360" w:lineRule="auto"/>
        <w:jc w:val="both"/>
        <w:rPr>
          <w:rFonts w:ascii="Times New Roman" w:hAnsi="Times New Roman" w:cs="Times New Roman"/>
          <w:sz w:val="24"/>
          <w:szCs w:val="24"/>
        </w:rPr>
      </w:pPr>
    </w:p>
    <w:p w:rsidR="004316AC" w:rsidRPr="00B80942" w:rsidRDefault="004316AC" w:rsidP="00417BA5">
      <w:pPr>
        <w:spacing w:after="0" w:line="360" w:lineRule="auto"/>
        <w:jc w:val="both"/>
        <w:rPr>
          <w:rFonts w:ascii="Times New Roman" w:hAnsi="Times New Roman" w:cs="Times New Roman"/>
          <w:b/>
          <w:bCs/>
          <w:i/>
          <w:iCs/>
          <w:sz w:val="24"/>
          <w:szCs w:val="24"/>
        </w:rPr>
      </w:pPr>
      <w:r>
        <w:rPr>
          <w:rFonts w:ascii="Times New Roman" w:hAnsi="Times New Roman"/>
          <w:b/>
          <w:i/>
          <w:sz w:val="24"/>
        </w:rPr>
        <w:t>Koordynacja między instytucjami</w:t>
      </w:r>
    </w:p>
    <w:p w:rsidR="00417BA5" w:rsidRDefault="00543693" w:rsidP="00417BA5">
      <w:pPr>
        <w:spacing w:after="0" w:line="360" w:lineRule="auto"/>
        <w:ind w:firstLine="720"/>
        <w:jc w:val="both"/>
        <w:rPr>
          <w:rFonts w:ascii="Times New Roman" w:hAnsi="Times New Roman" w:cs="Times New Roman"/>
          <w:sz w:val="24"/>
          <w:szCs w:val="24"/>
        </w:rPr>
      </w:pPr>
      <w:r>
        <w:rPr>
          <w:rFonts w:ascii="Times New Roman" w:hAnsi="Times New Roman"/>
          <w:sz w:val="24"/>
        </w:rPr>
        <w:t>Sama reforma prawna nie wystarczy i wymaga odpowiedniego stosowania polityk koordynacji między instytucjami oraz wykorzystania z</w:t>
      </w:r>
      <w:r w:rsidR="00ED3A9D">
        <w:rPr>
          <w:rFonts w:ascii="Times New Roman" w:hAnsi="Times New Roman"/>
          <w:sz w:val="24"/>
        </w:rPr>
        <w:t>asobów na poziomie centralnym i </w:t>
      </w:r>
      <w:r>
        <w:rPr>
          <w:rFonts w:ascii="Times New Roman" w:hAnsi="Times New Roman"/>
          <w:sz w:val="24"/>
        </w:rPr>
        <w:t xml:space="preserve">lokalnym. Polski wielosektorowy system </w:t>
      </w:r>
      <w:proofErr w:type="spellStart"/>
      <w:r>
        <w:rPr>
          <w:rFonts w:ascii="Times New Roman" w:hAnsi="Times New Roman"/>
          <w:sz w:val="24"/>
        </w:rPr>
        <w:t>interinstytuc</w:t>
      </w:r>
      <w:r w:rsidR="00ED3A9D">
        <w:rPr>
          <w:rFonts w:ascii="Times New Roman" w:hAnsi="Times New Roman"/>
          <w:sz w:val="24"/>
        </w:rPr>
        <w:t>jonalny</w:t>
      </w:r>
      <w:proofErr w:type="spellEnd"/>
      <w:r w:rsidR="00ED3A9D">
        <w:rPr>
          <w:rFonts w:ascii="Times New Roman" w:hAnsi="Times New Roman"/>
          <w:sz w:val="24"/>
        </w:rPr>
        <w:t xml:space="preserve"> na rzecz zapobiegania i </w:t>
      </w:r>
      <w:r>
        <w:rPr>
          <w:rFonts w:ascii="Times New Roman" w:hAnsi="Times New Roman"/>
          <w:sz w:val="24"/>
        </w:rPr>
        <w:t>reagowania na przemoc domową, zwany również procedurą „Niebieskiej Karty”, jest dobrą podstawą do rozwoju dalszych działań.</w:t>
      </w:r>
    </w:p>
    <w:p w:rsidR="000F1ADB" w:rsidRPr="00340997" w:rsidRDefault="000F1ADB" w:rsidP="00417BA5">
      <w:pPr>
        <w:spacing w:after="0" w:line="360" w:lineRule="auto"/>
        <w:ind w:firstLine="720"/>
        <w:jc w:val="both"/>
        <w:rPr>
          <w:rFonts w:ascii="Times New Roman" w:hAnsi="Times New Roman" w:cs="Times New Roman"/>
          <w:sz w:val="24"/>
          <w:szCs w:val="24"/>
        </w:rPr>
      </w:pPr>
    </w:p>
    <w:p w:rsidR="00417BA5" w:rsidRPr="00417BA5" w:rsidRDefault="00B637D6" w:rsidP="00417BA5">
      <w:pPr>
        <w:spacing w:after="0" w:line="360" w:lineRule="auto"/>
        <w:ind w:firstLine="720"/>
        <w:jc w:val="both"/>
        <w:rPr>
          <w:rFonts w:ascii="Times New Roman" w:hAnsi="Times New Roman" w:cs="Times New Roman"/>
          <w:sz w:val="24"/>
          <w:szCs w:val="24"/>
        </w:rPr>
      </w:pPr>
      <w:r>
        <w:rPr>
          <w:rFonts w:ascii="Times New Roman" w:hAnsi="Times New Roman"/>
          <w:sz w:val="24"/>
        </w:rPr>
        <w:t>Dodatkowo pragnę podkreślić, że dostrzegam istnienie systemu koordynacji, odpowiedzialności i finansowania schronisk oraz ośrodków reagowania kryzysowego świadczących usługi ofiarom przemocy na poziomie władz centralnych i lokalnych. Pozytywna koordynacja między instytucjami wymaga p</w:t>
      </w:r>
      <w:r w:rsidR="00ED3A9D">
        <w:rPr>
          <w:rFonts w:ascii="Times New Roman" w:hAnsi="Times New Roman"/>
          <w:sz w:val="24"/>
        </w:rPr>
        <w:t>rowadzenia przez ministerstwo z </w:t>
      </w:r>
      <w:r>
        <w:rPr>
          <w:rFonts w:ascii="Times New Roman" w:hAnsi="Times New Roman"/>
          <w:sz w:val="24"/>
        </w:rPr>
        <w:t>jasno określonym mandatem na koordynowanie takich działań oraz udoskonalonych mechanizmów monitorowania, oceny i kontroli, lecz również wymagan</w:t>
      </w:r>
      <w:r w:rsidR="000171D3">
        <w:rPr>
          <w:rFonts w:ascii="Times New Roman" w:hAnsi="Times New Roman"/>
          <w:sz w:val="24"/>
        </w:rPr>
        <w:t>e</w:t>
      </w:r>
      <w:r>
        <w:rPr>
          <w:rFonts w:ascii="Times New Roman" w:hAnsi="Times New Roman"/>
          <w:sz w:val="24"/>
        </w:rPr>
        <w:t xml:space="preserve"> jest bardziej znaczące i pełniejsze zaangażowanie organizacji </w:t>
      </w:r>
      <w:r w:rsidR="00ED3A9D">
        <w:rPr>
          <w:rFonts w:ascii="Times New Roman" w:hAnsi="Times New Roman"/>
          <w:sz w:val="24"/>
        </w:rPr>
        <w:t>społeczeństwa obywatelskiego, w </w:t>
      </w:r>
      <w:r>
        <w:rPr>
          <w:rFonts w:ascii="Times New Roman" w:hAnsi="Times New Roman"/>
          <w:sz w:val="24"/>
        </w:rPr>
        <w:t>szczególności organizacji kobiecych. Poprawa tych elementów mogłaby również pomóc Polsce w zwiększeniu udziału osób stosujących przemoc w programach rehabilitacji opracowanych przez Ministerstwo Rodziny i Polityki Społecznej, uczestnictwo w których szacuje się na 10% ich możliwości.</w:t>
      </w:r>
    </w:p>
    <w:p w:rsidR="00B53F45" w:rsidRPr="00417BA5" w:rsidRDefault="00B53F45" w:rsidP="00417BA5">
      <w:pPr>
        <w:spacing w:after="0" w:line="360" w:lineRule="auto"/>
        <w:jc w:val="both"/>
        <w:rPr>
          <w:rFonts w:ascii="Times New Roman" w:hAnsi="Times New Roman" w:cs="Times New Roman"/>
          <w:sz w:val="24"/>
          <w:szCs w:val="24"/>
        </w:rPr>
      </w:pPr>
    </w:p>
    <w:p w:rsidR="00B56CD9" w:rsidRPr="00B80942" w:rsidRDefault="00B56CD9" w:rsidP="00417BA5">
      <w:pPr>
        <w:spacing w:after="0" w:line="360" w:lineRule="auto"/>
        <w:jc w:val="both"/>
        <w:rPr>
          <w:rFonts w:ascii="Times New Roman" w:hAnsi="Times New Roman" w:cs="Times New Roman"/>
          <w:b/>
          <w:bCs/>
          <w:i/>
          <w:iCs/>
          <w:sz w:val="24"/>
          <w:szCs w:val="24"/>
        </w:rPr>
      </w:pPr>
      <w:r>
        <w:rPr>
          <w:rFonts w:ascii="Times New Roman" w:hAnsi="Times New Roman"/>
          <w:b/>
          <w:i/>
          <w:sz w:val="24"/>
        </w:rPr>
        <w:t>Środki ochrony dzieci, w tym dziewcząt w Polsce</w:t>
      </w:r>
    </w:p>
    <w:p w:rsidR="00417BA5" w:rsidRPr="00417BA5" w:rsidRDefault="00B56CD9" w:rsidP="00417BA5">
      <w:pPr>
        <w:spacing w:line="360" w:lineRule="auto"/>
        <w:ind w:firstLine="720"/>
        <w:jc w:val="both"/>
        <w:rPr>
          <w:rFonts w:ascii="Times New Roman" w:hAnsi="Times New Roman" w:cs="Times New Roman"/>
          <w:sz w:val="24"/>
          <w:szCs w:val="24"/>
        </w:rPr>
      </w:pPr>
      <w:r>
        <w:rPr>
          <w:rFonts w:ascii="Times New Roman" w:hAnsi="Times New Roman"/>
          <w:sz w:val="24"/>
        </w:rPr>
        <w:lastRenderedPageBreak/>
        <w:t>Polska słusznie szczyci się pozycją wśród autorów Konwencji ONZ o prawach dziecka. Popieram niedawną poprawkę do ustawy o prz</w:t>
      </w:r>
      <w:r w:rsidR="00ED3A9D">
        <w:rPr>
          <w:rFonts w:ascii="Times New Roman" w:hAnsi="Times New Roman"/>
          <w:sz w:val="24"/>
        </w:rPr>
        <w:t>eciwdziałaniu przemocy, która w </w:t>
      </w:r>
      <w:r>
        <w:rPr>
          <w:rFonts w:ascii="Times New Roman" w:hAnsi="Times New Roman"/>
          <w:sz w:val="24"/>
        </w:rPr>
        <w:t xml:space="preserve">obecnym brzmieniu uwzględnia również dzieci będące świadkami przemocy domowej, co opiera się na obserwacjach psychologów mówiących, że obserwowanie przemocy domowej przez dziecko wywiera wpływ na całe jego życie i wiąże się z ryzykiem powielania wzorców </w:t>
      </w:r>
      <w:proofErr w:type="spellStart"/>
      <w:r>
        <w:rPr>
          <w:rFonts w:ascii="Times New Roman" w:hAnsi="Times New Roman"/>
          <w:sz w:val="24"/>
        </w:rPr>
        <w:t>przemocowych</w:t>
      </w:r>
      <w:proofErr w:type="spellEnd"/>
      <w:r>
        <w:rPr>
          <w:rFonts w:ascii="Times New Roman" w:hAnsi="Times New Roman"/>
          <w:sz w:val="24"/>
        </w:rPr>
        <w:t>.</w:t>
      </w:r>
    </w:p>
    <w:p w:rsidR="00417BA5" w:rsidRPr="00417BA5" w:rsidRDefault="00B56CD9" w:rsidP="00417BA5">
      <w:pPr>
        <w:spacing w:line="360" w:lineRule="auto"/>
        <w:ind w:firstLine="720"/>
        <w:jc w:val="both"/>
        <w:rPr>
          <w:rFonts w:ascii="Times New Roman" w:hAnsi="Times New Roman" w:cs="Times New Roman"/>
          <w:sz w:val="24"/>
          <w:szCs w:val="24"/>
        </w:rPr>
      </w:pPr>
      <w:r>
        <w:rPr>
          <w:rFonts w:ascii="Times New Roman" w:hAnsi="Times New Roman"/>
          <w:sz w:val="24"/>
        </w:rPr>
        <w:t xml:space="preserve">Mimo tych kroków naprzód, widoczna jest wyraźna potrzeba dalszego wzmacniania polityk i procedur zapewniania bezpieczeństwa dzieciom oraz reagowania na obawy związane z ochroną dzieci przez wzmocnienie polityk ochronnych, zapewnienie możliwości bezpiecznego zgłaszania przypadków wykorzystania seksualnego i </w:t>
      </w:r>
      <w:r w:rsidR="00ED3A9D">
        <w:rPr>
          <w:rFonts w:ascii="Times New Roman" w:hAnsi="Times New Roman"/>
          <w:sz w:val="24"/>
        </w:rPr>
        <w:t>nadużyć</w:t>
      </w:r>
      <w:r>
        <w:rPr>
          <w:rFonts w:ascii="Times New Roman" w:hAnsi="Times New Roman"/>
          <w:sz w:val="24"/>
        </w:rPr>
        <w:t xml:space="preserve">, a także przemocy domowej, oraz przyjęcia zróżnicowanego podejścia dla chłopców i dziewcząt. Dodatkowo rząd powinien wzmocnić swoje wysiłki na rzecz uwzględnienia i włączenia do mechanizmów ochrony dzieci z niepełnosprawnościami oraz dzieci należących do mniejszości etnicznych, </w:t>
      </w:r>
      <w:r w:rsidR="00F17466">
        <w:rPr>
          <w:rFonts w:ascii="Times New Roman" w:hAnsi="Times New Roman"/>
          <w:sz w:val="24"/>
        </w:rPr>
        <w:t xml:space="preserve">takich jak społeczność Romów, </w:t>
      </w:r>
      <w:r>
        <w:rPr>
          <w:rFonts w:ascii="Times New Roman" w:hAnsi="Times New Roman"/>
          <w:sz w:val="24"/>
        </w:rPr>
        <w:t xml:space="preserve">w tym przez zwiększenie ich rzeczywistego dostępu do edukacji. </w:t>
      </w:r>
    </w:p>
    <w:p w:rsidR="00B80942" w:rsidRDefault="00A67E9A" w:rsidP="00387983">
      <w:pPr>
        <w:spacing w:line="360" w:lineRule="auto"/>
        <w:ind w:firstLine="720"/>
        <w:jc w:val="both"/>
        <w:rPr>
          <w:rFonts w:ascii="Times New Roman" w:hAnsi="Times New Roman"/>
          <w:sz w:val="24"/>
        </w:rPr>
      </w:pPr>
      <w:r>
        <w:rPr>
          <w:rFonts w:ascii="Times New Roman" w:hAnsi="Times New Roman"/>
          <w:sz w:val="24"/>
        </w:rPr>
        <w:t xml:space="preserve">Aby zmniejszyć poziom prześladowania i dyskryminacji, wymagana jest pilna poprawa edukacji w zakresie przeciwdziałania dyskryminacji, różnorodności i </w:t>
      </w:r>
      <w:proofErr w:type="spellStart"/>
      <w:r>
        <w:rPr>
          <w:rFonts w:ascii="Times New Roman" w:hAnsi="Times New Roman"/>
          <w:sz w:val="24"/>
        </w:rPr>
        <w:t>inkluzywności</w:t>
      </w:r>
      <w:proofErr w:type="spellEnd"/>
      <w:r>
        <w:rPr>
          <w:rFonts w:ascii="Times New Roman" w:hAnsi="Times New Roman"/>
          <w:sz w:val="24"/>
        </w:rPr>
        <w:t xml:space="preserve"> dzieci, również tych o różnej orientacji seksualnej, tożsamości płciowej, religijnej i etnicznej. Wiele dzieci, w tym dziewcząt, ma wyraźne poczucie, ż</w:t>
      </w:r>
      <w:r w:rsidR="00ED3A9D">
        <w:rPr>
          <w:rFonts w:ascii="Times New Roman" w:hAnsi="Times New Roman"/>
          <w:sz w:val="24"/>
        </w:rPr>
        <w:t>e ich głos nie jest słyszany, a </w:t>
      </w:r>
      <w:r>
        <w:rPr>
          <w:rFonts w:ascii="Times New Roman" w:hAnsi="Times New Roman"/>
          <w:sz w:val="24"/>
        </w:rPr>
        <w:t xml:space="preserve">dostępne mechanizmy nie wykrywają ani nie zapewniają </w:t>
      </w:r>
      <w:r w:rsidR="00ED3A9D">
        <w:rPr>
          <w:rFonts w:ascii="Times New Roman" w:hAnsi="Times New Roman"/>
          <w:sz w:val="24"/>
        </w:rPr>
        <w:t>wsparcia dzieciom cierpiącymi z </w:t>
      </w:r>
      <w:r>
        <w:rPr>
          <w:rFonts w:ascii="Times New Roman" w:hAnsi="Times New Roman"/>
          <w:sz w:val="24"/>
        </w:rPr>
        <w:t>powodu problemów psychicznych, będących ofiarami prześladowania i wykorzystywania. W 2022 r. odnotowano rekordową liczbę prób samobójczy</w:t>
      </w:r>
      <w:r w:rsidR="00ED3A9D">
        <w:rPr>
          <w:rFonts w:ascii="Times New Roman" w:hAnsi="Times New Roman"/>
          <w:sz w:val="24"/>
        </w:rPr>
        <w:t>ch podejmowanych przez dzieci i </w:t>
      </w:r>
      <w:r>
        <w:rPr>
          <w:rFonts w:ascii="Times New Roman" w:hAnsi="Times New Roman"/>
          <w:sz w:val="24"/>
        </w:rPr>
        <w:t>nastolatków. Niedawno przeprowadzone badanie wykazał</w:t>
      </w:r>
      <w:r w:rsidR="00ED3A9D">
        <w:rPr>
          <w:rFonts w:ascii="Times New Roman" w:hAnsi="Times New Roman"/>
          <w:sz w:val="24"/>
        </w:rPr>
        <w:t>o, że 48,6% badanej populacji w </w:t>
      </w:r>
      <w:r>
        <w:rPr>
          <w:rFonts w:ascii="Times New Roman" w:hAnsi="Times New Roman"/>
          <w:sz w:val="24"/>
        </w:rPr>
        <w:t>wieku od 11 do 20 lat doświadczyło myśli samobójczych; natomiast 16,6% miało już za sobą próbę samobójczą. Szacuje się, że przypadki poważnych problemów psychicznych dotyczą młodych osób LGBTQI+ w Polsce w większym stopniu niż innych. Ponadto Polska nie prowadzi regularnych działań zorientowanych na dzie</w:t>
      </w:r>
      <w:r w:rsidR="00F17466">
        <w:rPr>
          <w:rFonts w:ascii="Times New Roman" w:hAnsi="Times New Roman"/>
          <w:sz w:val="24"/>
        </w:rPr>
        <w:t>ci ze społeczności Romów, które </w:t>
      </w:r>
      <w:r>
        <w:rPr>
          <w:rFonts w:ascii="Times New Roman" w:hAnsi="Times New Roman"/>
          <w:sz w:val="24"/>
        </w:rPr>
        <w:t>nie są włączane do krajowych mechanizmów kierowania, kontrolowania i ochrony.</w:t>
      </w:r>
    </w:p>
    <w:p w:rsidR="00ED3A9D" w:rsidRDefault="00ED3A9D" w:rsidP="00387983">
      <w:pPr>
        <w:spacing w:line="360" w:lineRule="auto"/>
        <w:ind w:firstLine="720"/>
        <w:jc w:val="both"/>
        <w:rPr>
          <w:rFonts w:ascii="Times New Roman" w:hAnsi="Times New Roman" w:cs="Times New Roman"/>
          <w:sz w:val="24"/>
          <w:szCs w:val="24"/>
        </w:rPr>
      </w:pPr>
    </w:p>
    <w:p w:rsidR="00A67E9A" w:rsidRPr="00424A23" w:rsidRDefault="00A67E9A" w:rsidP="00ED3A9D">
      <w:pPr>
        <w:spacing w:line="360" w:lineRule="auto"/>
        <w:jc w:val="both"/>
        <w:rPr>
          <w:rFonts w:ascii="Times New Roman" w:hAnsi="Times New Roman" w:cs="Times New Roman"/>
          <w:sz w:val="24"/>
          <w:szCs w:val="24"/>
        </w:rPr>
      </w:pPr>
      <w:r>
        <w:rPr>
          <w:rFonts w:ascii="Times New Roman" w:hAnsi="Times New Roman"/>
          <w:b/>
          <w:i/>
          <w:sz w:val="24"/>
        </w:rPr>
        <w:t>Dostęp do opieki zdrowotnej w zakresie życia seksualnego i reprodukcji</w:t>
      </w:r>
    </w:p>
    <w:p w:rsidR="00417BA5" w:rsidRPr="00417BA5" w:rsidRDefault="00AC7F17" w:rsidP="00B80942">
      <w:pPr>
        <w:spacing w:line="360" w:lineRule="auto"/>
        <w:jc w:val="both"/>
        <w:rPr>
          <w:rFonts w:ascii="Times New Roman" w:hAnsi="Times New Roman" w:cs="Times New Roman"/>
          <w:sz w:val="24"/>
          <w:szCs w:val="24"/>
        </w:rPr>
      </w:pPr>
      <w:r>
        <w:rPr>
          <w:rFonts w:ascii="Times New Roman" w:hAnsi="Times New Roman"/>
          <w:sz w:val="24"/>
        </w:rPr>
        <w:t xml:space="preserve">Obecnie aborcja jest dozwolona wyłącznie w dwóch przypadkach: gdy dochodzi do poważnego zagrożenia życia lub zdrowia kobiety w ciąży lub gdy ciąża jest wynikiem </w:t>
      </w:r>
      <w:r w:rsidR="00F17466">
        <w:rPr>
          <w:rFonts w:ascii="Times New Roman" w:hAnsi="Times New Roman"/>
          <w:sz w:val="24"/>
        </w:rPr>
        <w:t xml:space="preserve">czynu </w:t>
      </w:r>
      <w:r w:rsidR="00F17466">
        <w:rPr>
          <w:rFonts w:ascii="Times New Roman" w:hAnsi="Times New Roman"/>
          <w:sz w:val="24"/>
        </w:rPr>
        <w:lastRenderedPageBreak/>
        <w:t xml:space="preserve">niedozwolonego, w tym m.in. </w:t>
      </w:r>
      <w:r>
        <w:rPr>
          <w:rFonts w:ascii="Times New Roman" w:hAnsi="Times New Roman"/>
          <w:sz w:val="24"/>
        </w:rPr>
        <w:t>gwałtu</w:t>
      </w:r>
      <w:r w:rsidR="00F17466">
        <w:rPr>
          <w:rFonts w:ascii="Times New Roman" w:hAnsi="Times New Roman"/>
          <w:sz w:val="24"/>
        </w:rPr>
        <w:t>, kazirodztwa, nielegalnych eksperymentów medycznych</w:t>
      </w:r>
      <w:r>
        <w:rPr>
          <w:rFonts w:ascii="Times New Roman" w:hAnsi="Times New Roman"/>
          <w:sz w:val="24"/>
        </w:rPr>
        <w:t xml:space="preserve">. W 2020 r. Trybunał Konstytucyjny usunął jedną dodatkową podstawę zapewniającą legalny dostęp do aborcji w Polsce, mianowicie możliwość wystąpienia nieodwracalnych wad płodu lub zagrażającej mu nieuleczalnej choroby. W ten sposób wyeliminowano podstawę dla 90% legalnych aborcji przeprowadzanych rocznie w Polsce. </w:t>
      </w:r>
    </w:p>
    <w:p w:rsidR="00417BA5" w:rsidRPr="00417BA5" w:rsidRDefault="00AC7F17" w:rsidP="0095004D">
      <w:pPr>
        <w:spacing w:line="360" w:lineRule="auto"/>
        <w:ind w:firstLine="720"/>
        <w:jc w:val="both"/>
        <w:rPr>
          <w:rFonts w:ascii="Times New Roman" w:hAnsi="Times New Roman" w:cs="Times New Roman"/>
          <w:sz w:val="24"/>
          <w:szCs w:val="24"/>
        </w:rPr>
      </w:pPr>
      <w:r>
        <w:rPr>
          <w:rFonts w:ascii="Times New Roman" w:hAnsi="Times New Roman"/>
          <w:sz w:val="24"/>
        </w:rPr>
        <w:t>Prawo antyaborcyjne jest zagorzale i rygorystycznie przestrzegane, czego efektem jest prawie całkowity brak dostępu do aborcji, co wiąże się z bardzo poważnymi konsekwencjami dla bezpieczeństwa i dobrostanu kobiet w ciąży, a także stanowi naruszenie ich praw człowieka, takich jak prawo do prywatności, wolności od tortur oraz wolności od dyskryminacji z powodu płci i tożsamości płciowej. Do</w:t>
      </w:r>
      <w:r w:rsidR="00ED3A9D">
        <w:rPr>
          <w:rFonts w:ascii="Times New Roman" w:hAnsi="Times New Roman"/>
          <w:sz w:val="24"/>
        </w:rPr>
        <w:t xml:space="preserve"> tej sytuacji przyczyniło się w </w:t>
      </w:r>
      <w:r>
        <w:rPr>
          <w:rFonts w:ascii="Times New Roman" w:hAnsi="Times New Roman"/>
          <w:sz w:val="24"/>
        </w:rPr>
        <w:t xml:space="preserve">szczególności kilka czynników. Na przykład strach lekarzy i innych członków społeczności służby zdrowia przed represjami powstrzymujący ich przed angażowaniem się w działania, które mogą zostać uznane za naruszenie prawa antyaborcyjnego. </w:t>
      </w:r>
      <w:r w:rsidR="00ED3A9D">
        <w:rPr>
          <w:rFonts w:ascii="Times New Roman" w:hAnsi="Times New Roman"/>
          <w:sz w:val="24"/>
        </w:rPr>
        <w:t>Ponadto </w:t>
      </w:r>
      <w:r>
        <w:rPr>
          <w:rFonts w:ascii="Times New Roman" w:hAnsi="Times New Roman"/>
          <w:sz w:val="24"/>
        </w:rPr>
        <w:t xml:space="preserve">lekarze i szpitale powołujące się na klauzulę sumienia w przypadku aborcji cieszą się dużym polem manewru i niewielkimi konsekwencjami za niewywiązywanie się ze swoich obowiązków zapewnienia rozwiązania dla kobiet w ciąży, które mogą kwalifikować się do aborcji. Niewłaściwe zachowania ze strony pracowników służby zdrowia lub szpitali są bardzo rzadko przedmiotem dochodzenia, co przyczynia się do poczucia bezkarności takich działań. Poza tym procedury określania, czy kobiety i dziewczęta kwalifikują się do aborcji są uciążliwe i w niewystarczającym stopniu skupiają się na ofierze, przez co zniechęcają kobiety do przechodzenia przez nie. </w:t>
      </w:r>
    </w:p>
    <w:p w:rsidR="00417BA5" w:rsidRPr="00417BA5" w:rsidRDefault="00AC7F17" w:rsidP="00417BA5">
      <w:pPr>
        <w:spacing w:line="360" w:lineRule="auto"/>
        <w:ind w:firstLine="720"/>
        <w:jc w:val="both"/>
        <w:rPr>
          <w:rFonts w:ascii="Times New Roman" w:hAnsi="Times New Roman" w:cs="Times New Roman"/>
          <w:sz w:val="24"/>
          <w:szCs w:val="24"/>
        </w:rPr>
      </w:pPr>
      <w:r>
        <w:rPr>
          <w:rFonts w:ascii="Times New Roman" w:hAnsi="Times New Roman"/>
          <w:sz w:val="24"/>
        </w:rPr>
        <w:t xml:space="preserve">Przegląd statusu i konsekwencji orzeczeń Trybunału Konstytucyjnego nie jest możliwy bez uwzględnienia poważnego zakwestionowania niezależności Trybunału Konstytucyjnego. Europejski Trybunał Praw Człowieka oraz Trybunał Sprawiedliwości uznały, że organ ten oraz ogólnie wymiar sprawiedliwości </w:t>
      </w:r>
      <w:r w:rsidR="00ED3A9D">
        <w:rPr>
          <w:rFonts w:ascii="Times New Roman" w:hAnsi="Times New Roman"/>
          <w:sz w:val="24"/>
        </w:rPr>
        <w:t>obecnie nie spełniają wymogów w </w:t>
      </w:r>
      <w:r>
        <w:rPr>
          <w:rFonts w:ascii="Times New Roman" w:hAnsi="Times New Roman"/>
          <w:sz w:val="24"/>
        </w:rPr>
        <w:t>zakresie zapewnienia sprawiedliwego procesu oraz niezawisłości sędziowskiej. W związku z tym zachodzi potrzeba wzmocnienia niezależnych mechanizmów przestrzegania praw człowieka oraz reformy systemu sądownictwa.</w:t>
      </w:r>
    </w:p>
    <w:p w:rsidR="00417BA5" w:rsidRPr="00417BA5" w:rsidRDefault="00AC7F17" w:rsidP="00417BA5">
      <w:pPr>
        <w:spacing w:line="360" w:lineRule="auto"/>
        <w:ind w:firstLine="720"/>
        <w:jc w:val="both"/>
        <w:rPr>
          <w:rFonts w:ascii="Times New Roman" w:hAnsi="Times New Roman" w:cs="Times New Roman"/>
          <w:sz w:val="24"/>
          <w:szCs w:val="24"/>
        </w:rPr>
      </w:pPr>
      <w:r>
        <w:rPr>
          <w:rFonts w:ascii="Times New Roman" w:hAnsi="Times New Roman"/>
          <w:sz w:val="24"/>
        </w:rPr>
        <w:t>Bardzo żałuję, że mimo konsekwentnego i regularnego wyrażania obaw przez międzynarodowe i europejskie mechanizmy ochrony praw człowieka dotyczących niezgodności tych środków z międzynarodowymi i regio</w:t>
      </w:r>
      <w:r w:rsidR="00ED3A9D">
        <w:rPr>
          <w:rFonts w:ascii="Times New Roman" w:hAnsi="Times New Roman"/>
          <w:sz w:val="24"/>
        </w:rPr>
        <w:t>nalnymi zobowiązaniami Polski w </w:t>
      </w:r>
      <w:r>
        <w:rPr>
          <w:rFonts w:ascii="Times New Roman" w:hAnsi="Times New Roman"/>
          <w:sz w:val="24"/>
        </w:rPr>
        <w:t xml:space="preserve">zakresie praw człowieka, </w:t>
      </w:r>
      <w:r w:rsidR="003049E8">
        <w:rPr>
          <w:rFonts w:ascii="Times New Roman" w:hAnsi="Times New Roman"/>
          <w:sz w:val="24"/>
        </w:rPr>
        <w:t>Polska</w:t>
      </w:r>
      <w:r>
        <w:rPr>
          <w:rFonts w:ascii="Times New Roman" w:hAnsi="Times New Roman"/>
          <w:sz w:val="24"/>
        </w:rPr>
        <w:t xml:space="preserve"> nadal podąża drogą eliminowania </w:t>
      </w:r>
      <w:r w:rsidR="003049E8">
        <w:rPr>
          <w:rFonts w:ascii="Times New Roman" w:hAnsi="Times New Roman"/>
          <w:sz w:val="24"/>
        </w:rPr>
        <w:t>wszelkich</w:t>
      </w:r>
      <w:r>
        <w:rPr>
          <w:rFonts w:ascii="Times New Roman" w:hAnsi="Times New Roman"/>
          <w:sz w:val="24"/>
        </w:rPr>
        <w:t xml:space="preserve"> realnych </w:t>
      </w:r>
      <w:r>
        <w:rPr>
          <w:rFonts w:ascii="Times New Roman" w:hAnsi="Times New Roman"/>
          <w:sz w:val="24"/>
        </w:rPr>
        <w:lastRenderedPageBreak/>
        <w:t>możliwości dostępu do aborcji. Polityka ta stanow</w:t>
      </w:r>
      <w:r w:rsidR="00ED3A9D">
        <w:rPr>
          <w:rFonts w:ascii="Times New Roman" w:hAnsi="Times New Roman"/>
          <w:sz w:val="24"/>
        </w:rPr>
        <w:t>i zagrożenie dla życia kobiet i </w:t>
      </w:r>
      <w:r>
        <w:rPr>
          <w:rFonts w:ascii="Times New Roman" w:hAnsi="Times New Roman"/>
          <w:sz w:val="24"/>
        </w:rPr>
        <w:t>dziewcząt oraz wydaje się nie odpowiadać potrzebom i aspiracjom p</w:t>
      </w:r>
      <w:r w:rsidR="003049E8">
        <w:rPr>
          <w:rFonts w:ascii="Times New Roman" w:hAnsi="Times New Roman"/>
          <w:sz w:val="24"/>
        </w:rPr>
        <w:t>olskiego społeczeństwa. Badanie </w:t>
      </w:r>
      <w:r>
        <w:rPr>
          <w:rFonts w:ascii="Times New Roman" w:hAnsi="Times New Roman"/>
          <w:sz w:val="24"/>
        </w:rPr>
        <w:t xml:space="preserve">przeprowadzone przez Ipsos dla </w:t>
      </w:r>
      <w:proofErr w:type="spellStart"/>
      <w:r>
        <w:rPr>
          <w:rFonts w:ascii="Times New Roman" w:hAnsi="Times New Roman"/>
          <w:i/>
          <w:sz w:val="24"/>
        </w:rPr>
        <w:t>OKO.press</w:t>
      </w:r>
      <w:proofErr w:type="spellEnd"/>
      <w:r>
        <w:rPr>
          <w:rFonts w:ascii="Times New Roman" w:hAnsi="Times New Roman"/>
          <w:sz w:val="24"/>
        </w:rPr>
        <w:t xml:space="preserve"> w l</w:t>
      </w:r>
      <w:r w:rsidR="003049E8">
        <w:rPr>
          <w:rFonts w:ascii="Times New Roman" w:hAnsi="Times New Roman"/>
          <w:sz w:val="24"/>
        </w:rPr>
        <w:t>istopadzie 2022 r. wykazało, że </w:t>
      </w:r>
      <w:r>
        <w:rPr>
          <w:rFonts w:ascii="Times New Roman" w:hAnsi="Times New Roman"/>
          <w:sz w:val="24"/>
        </w:rPr>
        <w:t>poparcie polskiej opinii publicznej dla dostępu do aborcji do 12. ty</w:t>
      </w:r>
      <w:r w:rsidR="003049E8">
        <w:rPr>
          <w:rFonts w:ascii="Times New Roman" w:hAnsi="Times New Roman"/>
          <w:sz w:val="24"/>
        </w:rPr>
        <w:t>godnia ciąży wzrosło do 70%, co </w:t>
      </w:r>
      <w:r>
        <w:rPr>
          <w:rFonts w:ascii="Times New Roman" w:hAnsi="Times New Roman"/>
          <w:sz w:val="24"/>
        </w:rPr>
        <w:t xml:space="preserve">jest najwyższym wynikiem odnotowanym przez organizację badającą opinię publiczną Ipsos, i wynik ten jest wyższy o 13 punktów od wyniku z 2019 r. </w:t>
      </w:r>
    </w:p>
    <w:p w:rsidR="00417BA5" w:rsidRPr="00417BA5" w:rsidRDefault="00AC7F17" w:rsidP="00417BA5">
      <w:pPr>
        <w:spacing w:line="360" w:lineRule="auto"/>
        <w:ind w:firstLine="720"/>
        <w:jc w:val="both"/>
        <w:rPr>
          <w:rFonts w:ascii="Times New Roman" w:hAnsi="Times New Roman" w:cs="Times New Roman"/>
          <w:sz w:val="24"/>
          <w:szCs w:val="24"/>
        </w:rPr>
      </w:pPr>
      <w:r>
        <w:rPr>
          <w:rFonts w:ascii="Times New Roman" w:hAnsi="Times New Roman"/>
          <w:sz w:val="24"/>
        </w:rPr>
        <w:t xml:space="preserve">Nie ma wątpliwości, że osiągnięcie pełni praw kobiet i dziewcząt w Polsce nie jest możliwe bez przywrócenia prawa kobiet i dziewcząt w Polsce do bezpiecznej i legalnej aborcji zgodnego ze zobowiązaniami Polski w zakresie praw człowieka. To prawo jest niezbędne, aby kobiety mogły cieszyć się równą pozycją społeczną oraz w znaczący sposób przyczyniać się do zapewnienia dobrobytu i rozwoju społeczeństwa. </w:t>
      </w:r>
    </w:p>
    <w:p w:rsidR="0098082F" w:rsidRDefault="0098082F" w:rsidP="00417BA5">
      <w:pPr>
        <w:spacing w:line="360" w:lineRule="auto"/>
        <w:ind w:firstLine="720"/>
        <w:jc w:val="both"/>
        <w:rPr>
          <w:rFonts w:ascii="Times New Roman" w:hAnsi="Times New Roman"/>
          <w:sz w:val="24"/>
        </w:rPr>
      </w:pPr>
      <w:r>
        <w:rPr>
          <w:rFonts w:ascii="Times New Roman" w:hAnsi="Times New Roman"/>
          <w:sz w:val="24"/>
        </w:rPr>
        <w:t>Obecny ograniczający system opieki zdrowotnej</w:t>
      </w:r>
      <w:r w:rsidR="00ED3A9D">
        <w:rPr>
          <w:rFonts w:ascii="Times New Roman" w:hAnsi="Times New Roman"/>
          <w:sz w:val="24"/>
        </w:rPr>
        <w:t xml:space="preserve"> w zakresie życia seksualnego i </w:t>
      </w:r>
      <w:r>
        <w:rPr>
          <w:rFonts w:ascii="Times New Roman" w:hAnsi="Times New Roman"/>
          <w:sz w:val="24"/>
        </w:rPr>
        <w:t>reprodukcji ma swoje odzwierciedlenie w równie restrykcyjnym systemie edukacji seksualnej. Dodatkowo nie wspomina się o seksizmie i mizoginii jako przyczynach przemocy w ogólnej edukacji na temat przemocy, jakiej nastolatki mogą doświadczać, również w trybie online. To nie tylko uniemożliwia im podejmowanie świ</w:t>
      </w:r>
      <w:r w:rsidR="00ED3A9D">
        <w:rPr>
          <w:rFonts w:ascii="Times New Roman" w:hAnsi="Times New Roman"/>
          <w:sz w:val="24"/>
        </w:rPr>
        <w:t>adomych decyzji o swoim życiu i </w:t>
      </w:r>
      <w:r>
        <w:rPr>
          <w:rFonts w:ascii="Times New Roman" w:hAnsi="Times New Roman"/>
          <w:sz w:val="24"/>
        </w:rPr>
        <w:t>bezpieczeństwie, lecz również naraża je i niektórych nauczycieli, którzy wspierają taką edukację, na groźby, sankcje i kary. Pod tym względem otrzymałam niepokojące doniesienia ze szkół i od uczennic narażonych na represje i kary za aktywizm związany z prawami człowieka i środowiskiem. Zachęcam rząd, aby zagwarantował dostosowaną do wieku edukacj</w:t>
      </w:r>
      <w:r w:rsidR="003F0F49">
        <w:rPr>
          <w:rFonts w:ascii="Times New Roman" w:hAnsi="Times New Roman"/>
          <w:sz w:val="24"/>
        </w:rPr>
        <w:t>ę</w:t>
      </w:r>
      <w:r>
        <w:rPr>
          <w:rFonts w:ascii="Times New Roman" w:hAnsi="Times New Roman"/>
          <w:sz w:val="24"/>
        </w:rPr>
        <w:t xml:space="preserve"> seksualną oraz swobodę dostępu do takiej edukacji, a także wolność myśli i słowa w szkołach.</w:t>
      </w:r>
    </w:p>
    <w:p w:rsidR="00ED3A9D" w:rsidRDefault="00ED3A9D" w:rsidP="00417BA5">
      <w:pPr>
        <w:spacing w:line="360" w:lineRule="auto"/>
        <w:ind w:firstLine="720"/>
        <w:jc w:val="both"/>
        <w:rPr>
          <w:rFonts w:ascii="Times New Roman" w:hAnsi="Times New Roman" w:cs="Times New Roman"/>
          <w:sz w:val="24"/>
          <w:szCs w:val="24"/>
        </w:rPr>
      </w:pPr>
    </w:p>
    <w:p w:rsidR="008E1AA1" w:rsidRPr="000E6267" w:rsidRDefault="008E1AA1" w:rsidP="00180F87">
      <w:pPr>
        <w:spacing w:line="360" w:lineRule="auto"/>
        <w:jc w:val="both"/>
        <w:rPr>
          <w:rFonts w:ascii="Times New Roman" w:hAnsi="Times New Roman" w:cs="Times New Roman"/>
          <w:b/>
          <w:bCs/>
          <w:i/>
          <w:iCs/>
          <w:sz w:val="24"/>
          <w:szCs w:val="24"/>
        </w:rPr>
      </w:pPr>
      <w:r>
        <w:rPr>
          <w:rFonts w:ascii="Times New Roman" w:hAnsi="Times New Roman"/>
          <w:b/>
          <w:i/>
          <w:sz w:val="24"/>
        </w:rPr>
        <w:t>Obostrzenia i ograniczenia działalności organizacji społeczeństwa obywatelskiego</w:t>
      </w:r>
    </w:p>
    <w:p w:rsidR="008E1AA1" w:rsidRPr="008E1AA1" w:rsidRDefault="009470BB" w:rsidP="00387983">
      <w:pPr>
        <w:spacing w:line="360" w:lineRule="auto"/>
        <w:ind w:firstLine="720"/>
        <w:jc w:val="both"/>
        <w:rPr>
          <w:rFonts w:ascii="Times New Roman" w:hAnsi="Times New Roman" w:cs="Times New Roman"/>
          <w:sz w:val="24"/>
          <w:szCs w:val="24"/>
        </w:rPr>
      </w:pPr>
      <w:r>
        <w:rPr>
          <w:rFonts w:ascii="Times New Roman" w:hAnsi="Times New Roman"/>
          <w:sz w:val="24"/>
        </w:rPr>
        <w:t xml:space="preserve">Tworzenie i podtrzymywanie atmosfery zastraszenia nie ogranicza się do sfery edukacyjnej. Wyrażam zaniepokojenie postępującą kryminalizacją obrońców praw człowieka w Polsce, zwłaszcza w odniesieniu do osób i organizacji wzywających do przestrzegania praw kobiet i dziewcząt, osób LGBTQI+, imigrantów i uchodźców. Kobiety broniące praw człowieka stają na czele strajków, protestów i kampanii, w pełni korzystając ze swoich praw do zgromadzeń i stowarzyszania się, w związku z kwestiami dotyczącymi ich bezpośrednio, łącznie z ich opieką w zakresie życia seksualnego i reprodukcji oraz ich prawami. Wzywam polski rząd, aby umożliwił dalsze aktywne i energiczne działania polskiego społeczeństwa </w:t>
      </w:r>
      <w:r>
        <w:rPr>
          <w:rFonts w:ascii="Times New Roman" w:hAnsi="Times New Roman"/>
          <w:sz w:val="24"/>
        </w:rPr>
        <w:lastRenderedPageBreak/>
        <w:t>obywatelskiego i aby nie pozwolił siłom uwsteczniającym na zahamowanie tych ważnych działań, również dotyczących praw społeczności  LGBTQI+, praw uchodźców i imigrantów, a także opieki zdrowotnej w zakresie życia seksualnego i reprodukcji kobiet i dziewcząt oraz ich praw. Przypadek Justyny Wydrzyńskiej ilustruje zmianę w kierunku kryminalizacji obrońców praw człowieka kobiet za egzekwowanie swoich praw i powtarzam moje wezwanie, aby wycofać wszystkie oskarżenia przeciwko niej.</w:t>
      </w:r>
    </w:p>
    <w:p w:rsidR="008E1AA1" w:rsidRDefault="00387983" w:rsidP="00F35FF0">
      <w:pPr>
        <w:spacing w:line="360" w:lineRule="auto"/>
        <w:ind w:firstLine="720"/>
        <w:jc w:val="both"/>
        <w:rPr>
          <w:rFonts w:ascii="Times New Roman" w:hAnsi="Times New Roman" w:cs="Times New Roman"/>
          <w:sz w:val="24"/>
          <w:szCs w:val="24"/>
        </w:rPr>
      </w:pPr>
      <w:r>
        <w:rPr>
          <w:rFonts w:ascii="Times New Roman" w:hAnsi="Times New Roman"/>
          <w:sz w:val="24"/>
        </w:rPr>
        <w:t xml:space="preserve">Obostrzenia są również odczuwalne poprzez ograniczenie dostępu tych organizacji do możliwości finansowania oferowanych przez państwo. Zachęcam polskie władze do zakończenia nierównego traktowania i dyskryminacji organizacji społeczeństwa obywatelskiego oraz zapewnienia im dostępu do zasobów finansowych. </w:t>
      </w:r>
    </w:p>
    <w:p w:rsidR="00D1155A" w:rsidRDefault="00412F80" w:rsidP="00E07ED2">
      <w:pPr>
        <w:spacing w:line="360" w:lineRule="auto"/>
        <w:jc w:val="both"/>
        <w:rPr>
          <w:rFonts w:ascii="Times New Roman" w:hAnsi="Times New Roman" w:cs="Times New Roman"/>
          <w:sz w:val="24"/>
          <w:szCs w:val="24"/>
        </w:rPr>
      </w:pPr>
      <w:r>
        <w:rPr>
          <w:rFonts w:ascii="Times New Roman" w:hAnsi="Times New Roman"/>
          <w:sz w:val="24"/>
        </w:rPr>
        <w:tab/>
        <w:t>Nie ma wątpliwości, że społeczeństwo polskie jest mocno spolaryzowane w kwestii pewnych praw oraz miejsca mniejszości w społeczeństwie, co jest sytuacją typową dla innych społeczeństw. Napięcia w Polsce są wzmocnione przez brak bezpiecznych przestrzeni do omawiania problematycznych kwestii. Zachęcam szanowane, bezstronne osoby do przyjęcia na siebie roli zapewnienia takiej przestrzeni, aby społeczeństwo mogło zagłębić się w tę problematykę, oraz wspierania dyskusji prowadz</w:t>
      </w:r>
      <w:r w:rsidR="00ED3A9D">
        <w:rPr>
          <w:rFonts w:ascii="Times New Roman" w:hAnsi="Times New Roman"/>
          <w:sz w:val="24"/>
        </w:rPr>
        <w:t>onej z wzajemnym szacunkiem i w </w:t>
      </w:r>
      <w:r>
        <w:rPr>
          <w:rFonts w:ascii="Times New Roman" w:hAnsi="Times New Roman"/>
          <w:sz w:val="24"/>
        </w:rPr>
        <w:t>sposób niewykluczający. O ile mogą występować napięcia dotyczące różnych problemów związanych z prawami człowieka, międzynarodowe prawa człowieka zapewniają jasne wytyczne w zakresie rozwiązywania takich napięć oraz wyraźnie określają, co nie jest uzasadnionym ograniczeniem wolności, w tym prawa do wolności słowa.</w:t>
      </w:r>
    </w:p>
    <w:p w:rsidR="00E07ED2" w:rsidRDefault="00E07ED2" w:rsidP="00E07ED2">
      <w:pPr>
        <w:spacing w:line="360" w:lineRule="auto"/>
        <w:jc w:val="both"/>
        <w:rPr>
          <w:rFonts w:ascii="Times New Roman" w:hAnsi="Times New Roman" w:cs="Times New Roman"/>
          <w:sz w:val="24"/>
          <w:szCs w:val="24"/>
        </w:rPr>
      </w:pPr>
    </w:p>
    <w:p w:rsidR="00D1155A" w:rsidRPr="003049E8" w:rsidRDefault="00D1155A" w:rsidP="003049E8">
      <w:pPr>
        <w:spacing w:line="360" w:lineRule="auto"/>
        <w:jc w:val="both"/>
        <w:rPr>
          <w:rFonts w:ascii="Times New Roman" w:hAnsi="Times New Roman" w:cs="Times New Roman"/>
          <w:b/>
          <w:bCs/>
          <w:i/>
          <w:sz w:val="24"/>
          <w:szCs w:val="24"/>
        </w:rPr>
      </w:pPr>
      <w:r w:rsidRPr="003049E8">
        <w:rPr>
          <w:rFonts w:ascii="Times New Roman" w:hAnsi="Times New Roman"/>
          <w:b/>
          <w:i/>
          <w:sz w:val="24"/>
        </w:rPr>
        <w:t>Uchodźcy z Ukrainy</w:t>
      </w:r>
    </w:p>
    <w:p w:rsidR="00D1155A" w:rsidRPr="00D1155A" w:rsidRDefault="00D1155A" w:rsidP="00D1155A">
      <w:pPr>
        <w:spacing w:line="360" w:lineRule="auto"/>
        <w:ind w:firstLine="720"/>
        <w:jc w:val="both"/>
        <w:rPr>
          <w:rFonts w:ascii="Times New Roman" w:hAnsi="Times New Roman" w:cs="Times New Roman"/>
          <w:sz w:val="24"/>
          <w:szCs w:val="24"/>
        </w:rPr>
      </w:pPr>
      <w:r>
        <w:rPr>
          <w:rFonts w:ascii="Times New Roman" w:hAnsi="Times New Roman"/>
          <w:sz w:val="24"/>
        </w:rPr>
        <w:t xml:space="preserve">Nie ma wątpliwości, że hojna polityka Polski w zakresie przyjmowania i zapewniania tymczasowej ochrony Ukraińcom uciekającym przed wojną toczącą się w ich kraju, z których 90% stanowią kobiety i dzieci, znacząco zmniejszyła zagrożenia, na jakie wystawione są kobiety i dzieci będące uchodźcami. Uregulowanie statusu </w:t>
      </w:r>
      <w:r w:rsidR="00ED3A9D">
        <w:rPr>
          <w:rFonts w:ascii="Times New Roman" w:hAnsi="Times New Roman"/>
          <w:sz w:val="24"/>
        </w:rPr>
        <w:t>osób uciekających przed wojną i </w:t>
      </w:r>
      <w:r>
        <w:rPr>
          <w:rFonts w:ascii="Times New Roman" w:hAnsi="Times New Roman"/>
          <w:sz w:val="24"/>
        </w:rPr>
        <w:t>konfliktami, w tym w związku z sytuacją w Ukrainie, jest</w:t>
      </w:r>
      <w:r w:rsidR="00ED3A9D">
        <w:rPr>
          <w:rFonts w:ascii="Times New Roman" w:hAnsi="Times New Roman"/>
          <w:sz w:val="24"/>
        </w:rPr>
        <w:t xml:space="preserve"> zasadniczym sposobem ochrony i </w:t>
      </w:r>
      <w:r>
        <w:rPr>
          <w:rFonts w:ascii="Times New Roman" w:hAnsi="Times New Roman"/>
          <w:sz w:val="24"/>
        </w:rPr>
        <w:t xml:space="preserve">ratowania życia. Obecnie szacuje się, że zarejestrowano co najmniej 1,5 mln uchodźców, zapewniając im dostęp do pomocy pieniężnej, dostęp do krajowej służby zdrowia oraz dostęp do rynku pracy. Polscy obywatele oraz organizacje społeczeństwa obywatelskiego przyjęły na siebie większość tej odpowiedzialności, wystawiając sobie niesamowite świadectwo solidarności i człowieczeństwa. Ważne jest, aby społeczność międzynarodowa, w tym Unia </w:t>
      </w:r>
      <w:r>
        <w:rPr>
          <w:rFonts w:ascii="Times New Roman" w:hAnsi="Times New Roman"/>
          <w:sz w:val="24"/>
        </w:rPr>
        <w:lastRenderedPageBreak/>
        <w:t>Europejska, nadal wspierały Polskę i Polaków w umożliwieniu temu krajowi przyjmowania uchodźców w odpowiedni sposób, rozumiejąc że możliwości bezpiecznego i dobrowolnego powrotu w ujęciu krótkoterminowym są ograniczone i że konieczne jest wdrożenie planów na ewentualność przybywania dodatkowych uchodźców.</w:t>
      </w:r>
    </w:p>
    <w:p w:rsidR="00D1155A" w:rsidRPr="00D1155A" w:rsidRDefault="00D1155A" w:rsidP="00D1155A">
      <w:pPr>
        <w:spacing w:line="360" w:lineRule="auto"/>
        <w:ind w:firstLine="720"/>
        <w:jc w:val="both"/>
        <w:rPr>
          <w:rFonts w:ascii="Times New Roman" w:hAnsi="Times New Roman" w:cs="Times New Roman"/>
          <w:sz w:val="24"/>
          <w:szCs w:val="24"/>
        </w:rPr>
      </w:pPr>
      <w:r>
        <w:rPr>
          <w:rFonts w:ascii="Times New Roman" w:hAnsi="Times New Roman"/>
          <w:sz w:val="24"/>
        </w:rPr>
        <w:t>Polityki nieróżnicujące płci oraz polityki o niewystarczającym stopniu zróżnicowania obowiązujące ogólnie w Polsce w połączeniu z brakiem zdecydowanych metod ochrony bezbronnych wpływają na zakres, w jakim polskie władze i inni interesariusze mogą zareagować w zróżnicowany sposób uwzględniający potrzeby kobiet i dziewcząt, które są najbardziej narażone na pozostawienie samym sobie, zwłaszcza jeśli chodzi o m.in. kobiety starsze i niepełnosprawne. Niedawno przyjęta została nowa polityka wymagająca, aby uchodźcy z Ukrainy przebywający w zbiorowych ośrodkach zaczęli finansowo wspierać świadczone im usługi z wyjątkiem osób, które należą do określonych kategorii osób bezbronnych. W czasie mojej misji proces oceny wyłączenia z płatności nie był jasno określony, a dostępne informacje na temat tego procesu nie były jasne dla uchodźców oraz organizacji zajmujących się nimi, co wywoływało znaczący niepokój i obawy wśród uchodźców.</w:t>
      </w:r>
    </w:p>
    <w:p w:rsidR="00D1155A" w:rsidRPr="00D1155A" w:rsidRDefault="00D1155A" w:rsidP="00D1155A">
      <w:pPr>
        <w:spacing w:line="360" w:lineRule="auto"/>
        <w:ind w:firstLine="720"/>
        <w:jc w:val="both"/>
        <w:rPr>
          <w:rFonts w:ascii="Times New Roman" w:hAnsi="Times New Roman" w:cs="Times New Roman"/>
          <w:sz w:val="24"/>
          <w:szCs w:val="24"/>
        </w:rPr>
      </w:pPr>
      <w:r>
        <w:rPr>
          <w:rFonts w:ascii="Times New Roman" w:hAnsi="Times New Roman"/>
          <w:sz w:val="24"/>
        </w:rPr>
        <w:t>Wypracowanie zróżnicowanego podejścia</w:t>
      </w:r>
      <w:r w:rsidR="00ED3A9D">
        <w:rPr>
          <w:rFonts w:ascii="Times New Roman" w:hAnsi="Times New Roman"/>
          <w:sz w:val="24"/>
        </w:rPr>
        <w:t xml:space="preserve"> jest również pilnie wymagane w </w:t>
      </w:r>
      <w:r>
        <w:rPr>
          <w:rFonts w:ascii="Times New Roman" w:hAnsi="Times New Roman"/>
          <w:sz w:val="24"/>
        </w:rPr>
        <w:t xml:space="preserve">odpowiedzi na potrzeby kobiet i dzieci z Ukrainy przejeżdżających przez Polskę lub mieszkających w Polsce, w przypadku których występuje prawdopodobieństwo doświadczenia różnych form przemocy seksualnej związanej z wojną, lecz również przemocy domowej poprzedzającej ją/wojnę. Niewiele z nich chce mówić o tych sprawach, biorąc pod uwagę, że jest to temat tabu o stygmatyzującym charakterze. Wiele osób potrzebuje skoordynowanej pomocy w zakresie zdrowia psychicznego i wsparcia psychospołecznego (MHPSS), które nadal są ograniczone. Dlatego zachęcam polski rząd i organizacje wspierające działania na tym polu, aby zwiększyły dostępność tego rodzaju usług. </w:t>
      </w:r>
    </w:p>
    <w:p w:rsidR="00D1155A" w:rsidRPr="00D1155A" w:rsidRDefault="00D1155A" w:rsidP="00D1155A">
      <w:pPr>
        <w:spacing w:line="360" w:lineRule="auto"/>
        <w:ind w:firstLine="720"/>
        <w:jc w:val="both"/>
        <w:rPr>
          <w:rFonts w:ascii="Times New Roman" w:hAnsi="Times New Roman" w:cs="Times New Roman"/>
          <w:sz w:val="24"/>
          <w:szCs w:val="24"/>
        </w:rPr>
      </w:pPr>
      <w:r>
        <w:rPr>
          <w:rFonts w:ascii="Times New Roman" w:hAnsi="Times New Roman"/>
          <w:sz w:val="24"/>
        </w:rPr>
        <w:t xml:space="preserve">Ponadto ofiary gwałtów z Ukrainy cierpią z powodu tak samo ograniczonego dostępu do aborcji, z jakim do czynienia mają polskie kobiety i dziewczęta, i w dużej mierze nie mają dostępu do usług związanych z przemocą ze względu na płeć obejmujących dostęp do bezpiecznej aborcji oraz zarządzania klinicznego przypadkami gwałtów. Skuteczny dostęp do takich usług ma kluczowe znaczenie. </w:t>
      </w:r>
    </w:p>
    <w:p w:rsidR="00D1155A" w:rsidRPr="00D1155A" w:rsidRDefault="00D1155A" w:rsidP="00D1155A">
      <w:pPr>
        <w:spacing w:line="360" w:lineRule="auto"/>
        <w:ind w:firstLine="720"/>
        <w:jc w:val="both"/>
        <w:rPr>
          <w:rFonts w:ascii="Times New Roman" w:hAnsi="Times New Roman" w:cs="Times New Roman"/>
          <w:sz w:val="24"/>
          <w:szCs w:val="24"/>
        </w:rPr>
      </w:pPr>
      <w:r>
        <w:rPr>
          <w:rFonts w:ascii="Times New Roman" w:hAnsi="Times New Roman"/>
          <w:sz w:val="24"/>
        </w:rPr>
        <w:t xml:space="preserve">Obawiam się również, że mimo wysiłków ze strony wszystkich podmiotów pracujących z uchodźcami z Ukrainy, występuje przewidywalne ryzyko i zagrożenie handlem </w:t>
      </w:r>
      <w:r>
        <w:rPr>
          <w:rFonts w:ascii="Times New Roman" w:hAnsi="Times New Roman"/>
          <w:sz w:val="24"/>
        </w:rPr>
        <w:lastRenderedPageBreak/>
        <w:t>ludźmi, w tym o charakterze wykorzystania seksualnego. Powtarzane są niepotwierdzone doniesienia o handlu ukraińskimi kobietami i dziewczętami w szczególności w celu wykorzystania seksualnego. Władze Polski nie wprowadziły skutecznego i funkcjonującego mechanizmu wykrywania i kontrolowania ofiar handlu ludźmi oraz zapewnienia specjalistycznej pomocy i ochrony w takich przypadkach poza samym powołaniem do życia specjalistycznej jednostki w Ministerstwie Spraw Wewnętrznych. Praca tej jednostki musi obejmować aktywne kontakty i koordynację działań z innymi ministerstwami oraz społeczeństwem obywatelskim, a także zapewnienie lepszej identyfikacji, klasyfikacji oraz materiałów edukacyjnych dla uchodźców dotyczących ochrony przed wykorzystaniem seksualnym i skrzywdzeniem, jak również mechanizmów kierowania.</w:t>
      </w:r>
    </w:p>
    <w:p w:rsidR="00D1155A" w:rsidRPr="00D1155A" w:rsidRDefault="00D1155A" w:rsidP="00D1155A">
      <w:pPr>
        <w:spacing w:line="360" w:lineRule="auto"/>
        <w:ind w:firstLine="720"/>
        <w:jc w:val="both"/>
        <w:rPr>
          <w:rFonts w:ascii="Times New Roman" w:hAnsi="Times New Roman" w:cs="Times New Roman"/>
          <w:sz w:val="24"/>
          <w:szCs w:val="24"/>
        </w:rPr>
      </w:pPr>
      <w:r>
        <w:rPr>
          <w:rFonts w:ascii="Times New Roman" w:hAnsi="Times New Roman"/>
          <w:sz w:val="24"/>
        </w:rPr>
        <w:t xml:space="preserve">Na koniec warto podkreślić, że jednym z najważniejszych narzędzi do ochrony dziecka jest edukacja w sali lekcyjnej. Obecnie </w:t>
      </w:r>
      <w:r w:rsidR="003049E8">
        <w:rPr>
          <w:rFonts w:ascii="Times New Roman" w:hAnsi="Times New Roman"/>
          <w:sz w:val="24"/>
        </w:rPr>
        <w:t>wiele</w:t>
      </w:r>
      <w:r w:rsidR="00ED3A9D">
        <w:rPr>
          <w:rFonts w:ascii="Times New Roman" w:hAnsi="Times New Roman"/>
          <w:sz w:val="24"/>
        </w:rPr>
        <w:t xml:space="preserve"> dzieci będących uchodźcami, w </w:t>
      </w:r>
      <w:r>
        <w:rPr>
          <w:rFonts w:ascii="Times New Roman" w:hAnsi="Times New Roman"/>
          <w:sz w:val="24"/>
        </w:rPr>
        <w:t>tym dziewcząt, korzysta z edukacji zdalnej opartej na programie nauczania szkół ukraińskich. Zajęcia zdalne wiążą się z szeregiem wyzwań dla skutecznej nauki i zachęcam polski rząd, aby pracował nad przeniesieniem edukacji dzieci ukraińskich do fizycznych sal lekcyjnych oraz nad objęciem jak największej ich liczby polskim formalnym systemem edukacji.</w:t>
      </w:r>
    </w:p>
    <w:p w:rsidR="00D1155A" w:rsidRPr="00340997" w:rsidRDefault="00D1155A" w:rsidP="000E6267">
      <w:pPr>
        <w:spacing w:line="360" w:lineRule="auto"/>
        <w:jc w:val="both"/>
        <w:rPr>
          <w:rFonts w:ascii="Times New Roman" w:hAnsi="Times New Roman" w:cs="Times New Roman"/>
          <w:sz w:val="24"/>
          <w:szCs w:val="24"/>
        </w:rPr>
      </w:pPr>
    </w:p>
    <w:p w:rsidR="00D1155A" w:rsidRPr="003049E8" w:rsidRDefault="00D1155A" w:rsidP="003049E8">
      <w:pPr>
        <w:spacing w:line="360" w:lineRule="auto"/>
        <w:jc w:val="both"/>
        <w:rPr>
          <w:rFonts w:ascii="Times New Roman" w:hAnsi="Times New Roman" w:cs="Times New Roman"/>
          <w:b/>
          <w:bCs/>
          <w:i/>
          <w:sz w:val="24"/>
          <w:szCs w:val="24"/>
        </w:rPr>
      </w:pPr>
      <w:r w:rsidRPr="003049E8">
        <w:rPr>
          <w:rFonts w:ascii="Times New Roman" w:hAnsi="Times New Roman"/>
          <w:b/>
          <w:i/>
          <w:sz w:val="24"/>
        </w:rPr>
        <w:t>Uchodźcy i imigranci spoza Ukrainy</w:t>
      </w:r>
    </w:p>
    <w:p w:rsidR="004662F1" w:rsidRDefault="00D1155A" w:rsidP="00D1155A">
      <w:pPr>
        <w:spacing w:line="360" w:lineRule="auto"/>
        <w:ind w:firstLine="720"/>
        <w:jc w:val="both"/>
        <w:rPr>
          <w:rFonts w:ascii="Times New Roman" w:hAnsi="Times New Roman" w:cs="Times New Roman"/>
          <w:sz w:val="24"/>
          <w:szCs w:val="24"/>
        </w:rPr>
      </w:pPr>
      <w:r>
        <w:rPr>
          <w:rFonts w:ascii="Times New Roman" w:hAnsi="Times New Roman"/>
          <w:sz w:val="24"/>
        </w:rPr>
        <w:t xml:space="preserve">Obowiązujące w Polsce polityki względem uchodźców spoza Ukrainy oraz osób wymagających międzynarodowej ochrony, zwłaszcza spoza Europy, nie mogą być bardziej oddalone od </w:t>
      </w:r>
      <w:proofErr w:type="spellStart"/>
      <w:r>
        <w:rPr>
          <w:rFonts w:ascii="Times New Roman" w:hAnsi="Times New Roman"/>
          <w:sz w:val="24"/>
        </w:rPr>
        <w:t>inkluzywnego</w:t>
      </w:r>
      <w:proofErr w:type="spellEnd"/>
      <w:r>
        <w:rPr>
          <w:rFonts w:ascii="Times New Roman" w:hAnsi="Times New Roman"/>
          <w:sz w:val="24"/>
        </w:rPr>
        <w:t xml:space="preserve"> i serdecznego podejścia p</w:t>
      </w:r>
      <w:r w:rsidR="004B060B">
        <w:rPr>
          <w:rFonts w:ascii="Times New Roman" w:hAnsi="Times New Roman"/>
          <w:sz w:val="24"/>
        </w:rPr>
        <w:t>rezentowanego wobec uchodźców z </w:t>
      </w:r>
      <w:r>
        <w:rPr>
          <w:rFonts w:ascii="Times New Roman" w:hAnsi="Times New Roman"/>
          <w:sz w:val="24"/>
        </w:rPr>
        <w:t>Ukrainy. Nie odwiedziłam zamkniętych ośrodków dla uchodźców i imigrantów spoza Ukrainy nieuprawnionych do przebywania w Polsce, lecz</w:t>
      </w:r>
      <w:r w:rsidR="00A359EC">
        <w:rPr>
          <w:rFonts w:ascii="Times New Roman" w:hAnsi="Times New Roman"/>
          <w:sz w:val="24"/>
        </w:rPr>
        <w:t xml:space="preserve"> otrzymałam niepokojące, lecz </w:t>
      </w:r>
      <w:r>
        <w:rPr>
          <w:rFonts w:ascii="Times New Roman" w:hAnsi="Times New Roman"/>
          <w:sz w:val="24"/>
        </w:rPr>
        <w:t>spójne relacje opisujące poważne trudności, z jakimi borykają się kobiety i dziewczęta oraz osoby starające się o azyl, ochronę i zapewnienie bezpieczeństwa w Polsce, które nie pochodzą z Ukrainy. Polski rząd wprowadził zmiany do odpowiednich przepisów dotyczących imigrantów oraz ochrony międzynarodowej w październiku 2021 r. Odsyłanie uchodźców i innych osób szukających schronienia i och</w:t>
      </w:r>
      <w:r w:rsidR="004B060B">
        <w:rPr>
          <w:rFonts w:ascii="Times New Roman" w:hAnsi="Times New Roman"/>
          <w:sz w:val="24"/>
        </w:rPr>
        <w:t>rony międzynarodowej w Polsce z </w:t>
      </w:r>
      <w:r>
        <w:rPr>
          <w:rFonts w:ascii="Times New Roman" w:hAnsi="Times New Roman"/>
          <w:sz w:val="24"/>
        </w:rPr>
        <w:t xml:space="preserve">powrotem do Białorusi rozpoczęło się w </w:t>
      </w:r>
      <w:r w:rsidR="00A359EC">
        <w:rPr>
          <w:rFonts w:ascii="Times New Roman" w:hAnsi="Times New Roman"/>
          <w:sz w:val="24"/>
        </w:rPr>
        <w:t>maju</w:t>
      </w:r>
      <w:r>
        <w:rPr>
          <w:rFonts w:ascii="Times New Roman" w:hAnsi="Times New Roman"/>
          <w:sz w:val="24"/>
        </w:rPr>
        <w:t xml:space="preserve"> 2021 r.</w:t>
      </w:r>
      <w:r w:rsidR="00A359EC">
        <w:rPr>
          <w:rFonts w:ascii="Times New Roman" w:hAnsi="Times New Roman"/>
          <w:sz w:val="24"/>
        </w:rPr>
        <w:t>, gdy rząd Białorusi oświadczył, że otworzy granicę Białorusi dla imigrantów poprzez wydawanie im wiz,</w:t>
      </w:r>
      <w:r>
        <w:rPr>
          <w:rFonts w:ascii="Times New Roman" w:hAnsi="Times New Roman"/>
          <w:sz w:val="24"/>
        </w:rPr>
        <w:t xml:space="preserve"> </w:t>
      </w:r>
      <w:r w:rsidR="00A359EC">
        <w:rPr>
          <w:rFonts w:ascii="Times New Roman" w:hAnsi="Times New Roman"/>
          <w:sz w:val="24"/>
        </w:rPr>
        <w:t>a maksymalny poziom</w:t>
      </w:r>
      <w:r>
        <w:rPr>
          <w:rFonts w:ascii="Times New Roman" w:hAnsi="Times New Roman"/>
          <w:sz w:val="24"/>
        </w:rPr>
        <w:t xml:space="preserve"> osiągnęło</w:t>
      </w:r>
      <w:r w:rsidR="00A359EC">
        <w:rPr>
          <w:rFonts w:ascii="Times New Roman" w:hAnsi="Times New Roman"/>
          <w:sz w:val="24"/>
        </w:rPr>
        <w:t xml:space="preserve"> </w:t>
      </w:r>
      <w:r>
        <w:rPr>
          <w:rFonts w:ascii="Times New Roman" w:hAnsi="Times New Roman"/>
          <w:sz w:val="24"/>
        </w:rPr>
        <w:t>zimą 2021 r., dotykając wielu z n</w:t>
      </w:r>
      <w:r w:rsidR="00A359EC">
        <w:rPr>
          <w:rFonts w:ascii="Times New Roman" w:hAnsi="Times New Roman"/>
          <w:sz w:val="24"/>
        </w:rPr>
        <w:t>ajbardziej bezbronnych kobiet i </w:t>
      </w:r>
      <w:r>
        <w:rPr>
          <w:rFonts w:ascii="Times New Roman" w:hAnsi="Times New Roman"/>
          <w:sz w:val="24"/>
        </w:rPr>
        <w:t>dziewcząt, w szczególności kobiet w ciąży, starszych kobiet oraz dziewcząt bez opieki.</w:t>
      </w:r>
    </w:p>
    <w:p w:rsidR="00D1155A" w:rsidRPr="00D1155A" w:rsidRDefault="00D1155A" w:rsidP="00D1155A">
      <w:pPr>
        <w:spacing w:line="360" w:lineRule="auto"/>
        <w:ind w:firstLine="720"/>
        <w:jc w:val="both"/>
        <w:rPr>
          <w:rFonts w:ascii="Times New Roman" w:hAnsi="Times New Roman" w:cs="Times New Roman"/>
          <w:sz w:val="24"/>
          <w:szCs w:val="24"/>
        </w:rPr>
      </w:pPr>
      <w:r>
        <w:rPr>
          <w:rFonts w:ascii="Times New Roman" w:hAnsi="Times New Roman"/>
          <w:sz w:val="24"/>
        </w:rPr>
        <w:lastRenderedPageBreak/>
        <w:t xml:space="preserve"> Takie praktyki odsyłania miały śmiertelne konsekwencje, prowadząc do zgonu sześciu osób w ciągu dwóch miesięcy. Tylko trzy </w:t>
      </w:r>
      <w:r w:rsidR="00825947">
        <w:rPr>
          <w:rFonts w:ascii="Times New Roman" w:hAnsi="Times New Roman"/>
          <w:sz w:val="24"/>
        </w:rPr>
        <w:t xml:space="preserve">tygodnie temu na granicy </w:t>
      </w:r>
      <w:proofErr w:type="spellStart"/>
      <w:r w:rsidR="00825947">
        <w:rPr>
          <w:rFonts w:ascii="Times New Roman" w:hAnsi="Times New Roman"/>
          <w:sz w:val="24"/>
        </w:rPr>
        <w:t>polsko</w:t>
      </w:r>
      <w:r w:rsidR="00825947">
        <w:rPr>
          <w:rFonts w:ascii="Times New Roman" w:hAnsi="Times New Roman"/>
          <w:sz w:val="24"/>
        </w:rPr>
        <w:noBreakHyphen/>
      </w:r>
      <w:r>
        <w:rPr>
          <w:rFonts w:ascii="Times New Roman" w:hAnsi="Times New Roman"/>
          <w:sz w:val="24"/>
        </w:rPr>
        <w:t>białoruskiej</w:t>
      </w:r>
      <w:proofErr w:type="spellEnd"/>
      <w:r>
        <w:rPr>
          <w:rFonts w:ascii="Times New Roman" w:hAnsi="Times New Roman"/>
          <w:sz w:val="24"/>
        </w:rPr>
        <w:t xml:space="preserve"> znaleziono ciało martwej, 28-letniej kobiety z Etiopii. O ile według doniesień liczba imigrantów na tej granicy znacząco spadła, odsyłanie przez granicę i brak dostępu do skutecznych procedur ubiegania się o azyl pozostają aktualnymi problemami. Ponadto mam świadomość, że podejście uwzględniające</w:t>
      </w:r>
      <w:r w:rsidR="00825947">
        <w:rPr>
          <w:rFonts w:ascii="Times New Roman" w:hAnsi="Times New Roman"/>
          <w:sz w:val="24"/>
        </w:rPr>
        <w:t xml:space="preserve"> płeć w zakresie przyjmowania i </w:t>
      </w:r>
      <w:r>
        <w:rPr>
          <w:rFonts w:ascii="Times New Roman" w:hAnsi="Times New Roman"/>
          <w:sz w:val="24"/>
        </w:rPr>
        <w:t>oceniania wniosków o azyl ma swoje ograniczenia. Z rozmów z polskimi władzami nie jest również dla mnie jasne jak traktowane są kwestie zw</w:t>
      </w:r>
      <w:r w:rsidR="00825947">
        <w:rPr>
          <w:rFonts w:ascii="Times New Roman" w:hAnsi="Times New Roman"/>
          <w:sz w:val="24"/>
        </w:rPr>
        <w:t>iązane z zagrożeniem płynącym z </w:t>
      </w:r>
      <w:r>
        <w:rPr>
          <w:rFonts w:ascii="Times New Roman" w:hAnsi="Times New Roman"/>
          <w:sz w:val="24"/>
        </w:rPr>
        <w:t xml:space="preserve">handlu ludźmi będącymi imigrantami i uchodźcami spoza Ukrainy oraz z identyfikacją, ochroną i pomocą takim osobom.  </w:t>
      </w:r>
    </w:p>
    <w:p w:rsidR="00D1155A" w:rsidRDefault="00D1155A" w:rsidP="00D1155A">
      <w:pPr>
        <w:spacing w:line="360" w:lineRule="auto"/>
        <w:ind w:firstLine="720"/>
        <w:jc w:val="both"/>
        <w:rPr>
          <w:rFonts w:ascii="Times New Roman" w:hAnsi="Times New Roman" w:cs="Times New Roman"/>
          <w:sz w:val="24"/>
          <w:szCs w:val="24"/>
        </w:rPr>
      </w:pPr>
      <w:r>
        <w:rPr>
          <w:rFonts w:ascii="Times New Roman" w:hAnsi="Times New Roman"/>
          <w:sz w:val="24"/>
        </w:rPr>
        <w:t>Bardziej problematyczne są warunki przetrzymywania większości osób spoza Ukrainy, w szczególności kobiet i dzieci, które mają niewystarczający dostęp do opieki zdrowotnej, również w zakresie życia seksualnego i repro</w:t>
      </w:r>
      <w:r w:rsidR="004B060B">
        <w:rPr>
          <w:rFonts w:ascii="Times New Roman" w:hAnsi="Times New Roman"/>
          <w:sz w:val="24"/>
        </w:rPr>
        <w:t xml:space="preserve">dukcji, wsparcia </w:t>
      </w:r>
      <w:proofErr w:type="spellStart"/>
      <w:r w:rsidR="004B060B">
        <w:rPr>
          <w:rFonts w:ascii="Times New Roman" w:hAnsi="Times New Roman"/>
          <w:sz w:val="24"/>
        </w:rPr>
        <w:t>psychologiczno</w:t>
      </w:r>
      <w:r w:rsidR="004B060B">
        <w:rPr>
          <w:rFonts w:ascii="Times New Roman" w:hAnsi="Times New Roman"/>
          <w:sz w:val="24"/>
        </w:rPr>
        <w:noBreakHyphen/>
      </w:r>
      <w:r>
        <w:rPr>
          <w:rFonts w:ascii="Times New Roman" w:hAnsi="Times New Roman"/>
          <w:sz w:val="24"/>
        </w:rPr>
        <w:t>socjalnego</w:t>
      </w:r>
      <w:proofErr w:type="spellEnd"/>
      <w:r>
        <w:rPr>
          <w:rFonts w:ascii="Times New Roman" w:hAnsi="Times New Roman"/>
          <w:sz w:val="24"/>
        </w:rPr>
        <w:t>, usług tłumaczeniowych i informacyjnych, a ta</w:t>
      </w:r>
      <w:r w:rsidR="004B060B">
        <w:rPr>
          <w:rFonts w:ascii="Times New Roman" w:hAnsi="Times New Roman"/>
          <w:sz w:val="24"/>
        </w:rPr>
        <w:t>kże edukacji dzieci. Warunki, w </w:t>
      </w:r>
      <w:r>
        <w:rPr>
          <w:rFonts w:ascii="Times New Roman" w:hAnsi="Times New Roman"/>
          <w:sz w:val="24"/>
        </w:rPr>
        <w:t xml:space="preserve">jakich osoby te są przetrzymywane, zwiększają ich traumę i prowadzą do powtórnej </w:t>
      </w:r>
      <w:proofErr w:type="spellStart"/>
      <w:r>
        <w:rPr>
          <w:rFonts w:ascii="Times New Roman" w:hAnsi="Times New Roman"/>
          <w:sz w:val="24"/>
        </w:rPr>
        <w:t>wiktymizacji</w:t>
      </w:r>
      <w:proofErr w:type="spellEnd"/>
      <w:r>
        <w:rPr>
          <w:rFonts w:ascii="Times New Roman" w:hAnsi="Times New Roman"/>
          <w:sz w:val="24"/>
        </w:rPr>
        <w:t xml:space="preserve"> i cierpienia. Rodziny, dzieci i osoby bezbronne nie powinny być przetrzymywane w zamkniętych ośrodkach i powinny mieć dostęp do odpowiednich warunków i opieki. Zgodnie z polskim ustawodawstwem ofiary tortur/bolesnych doświadczeń oraz osoby z poważnymi problemami psychicznymi mogą zostać zwolnione po ocenie przez psychologa, lecz wydaje się, że nie ma to przełożenia na praktykę. Dostęp do niezależnych lub zewnętrznych podmiotów świadczących usługi w zakresie zdrowia psychicznego i wsparcia psychospołecznego (MHPSS) jest trudny, również dla kobiet będących ofiarami przemocy, w kraju ich pochodzenia i czasami podczas ich podróży.</w:t>
      </w:r>
    </w:p>
    <w:p w:rsidR="00B53F45" w:rsidRDefault="000E6267" w:rsidP="00417BA5">
      <w:pPr>
        <w:spacing w:after="0" w:line="360" w:lineRule="auto"/>
        <w:jc w:val="both"/>
        <w:rPr>
          <w:rFonts w:ascii="Times New Roman" w:hAnsi="Times New Roman"/>
          <w:sz w:val="24"/>
        </w:rPr>
      </w:pPr>
      <w:r>
        <w:rPr>
          <w:rFonts w:ascii="Times New Roman" w:hAnsi="Times New Roman"/>
          <w:sz w:val="24"/>
        </w:rPr>
        <w:tab/>
        <w:t>Podsumowując, Polska powinna przestać selektywnie traktować całość praw człowieka kobiet i dziewcząt, lecz podchodzić do nich holistycznie. Dostęp i możliwość korzystania z praw kobiet mus</w:t>
      </w:r>
      <w:r w:rsidR="009561E3">
        <w:rPr>
          <w:rFonts w:ascii="Times New Roman" w:hAnsi="Times New Roman"/>
          <w:sz w:val="24"/>
        </w:rPr>
        <w:t>zą</w:t>
      </w:r>
      <w:r>
        <w:rPr>
          <w:rFonts w:ascii="Times New Roman" w:hAnsi="Times New Roman"/>
          <w:sz w:val="24"/>
        </w:rPr>
        <w:t xml:space="preserve"> być traktowan</w:t>
      </w:r>
      <w:r w:rsidR="009561E3">
        <w:rPr>
          <w:rFonts w:ascii="Times New Roman" w:hAnsi="Times New Roman"/>
          <w:sz w:val="24"/>
        </w:rPr>
        <w:t>e</w:t>
      </w:r>
      <w:r>
        <w:rPr>
          <w:rFonts w:ascii="Times New Roman" w:hAnsi="Times New Roman"/>
          <w:sz w:val="24"/>
        </w:rPr>
        <w:t xml:space="preserve"> oraz postrzegan</w:t>
      </w:r>
      <w:r w:rsidR="009561E3">
        <w:rPr>
          <w:rFonts w:ascii="Times New Roman" w:hAnsi="Times New Roman"/>
          <w:sz w:val="24"/>
        </w:rPr>
        <w:t>e</w:t>
      </w:r>
      <w:r>
        <w:rPr>
          <w:rFonts w:ascii="Times New Roman" w:hAnsi="Times New Roman"/>
          <w:sz w:val="24"/>
        </w:rPr>
        <w:t xml:space="preserve"> całościowo i ma</w:t>
      </w:r>
      <w:r w:rsidR="009561E3">
        <w:rPr>
          <w:rFonts w:ascii="Times New Roman" w:hAnsi="Times New Roman"/>
          <w:sz w:val="24"/>
        </w:rPr>
        <w:t>ją</w:t>
      </w:r>
      <w:r>
        <w:rPr>
          <w:rFonts w:ascii="Times New Roman" w:hAnsi="Times New Roman"/>
          <w:sz w:val="24"/>
        </w:rPr>
        <w:t xml:space="preserve"> kluczowe znaczenie dla faktycznego przejścia Polski do </w:t>
      </w:r>
      <w:r w:rsidR="004B060B">
        <w:rPr>
          <w:rFonts w:ascii="Times New Roman" w:hAnsi="Times New Roman"/>
          <w:sz w:val="24"/>
        </w:rPr>
        <w:t>poziomu rozwoju i dobrobytu, na </w:t>
      </w:r>
      <w:r>
        <w:rPr>
          <w:rFonts w:ascii="Times New Roman" w:hAnsi="Times New Roman"/>
          <w:sz w:val="24"/>
        </w:rPr>
        <w:t>którym nikt nie będzie pozostawiony sam sobie. Wymaga to woli politycznej i odwagi, lecz działanie zgodne z aspiracjami i życzeniami społeczeństwa nigdy nie będzie błędem.</w:t>
      </w:r>
    </w:p>
    <w:p w:rsidR="00A359EC" w:rsidRPr="00A359EC" w:rsidRDefault="00A359EC" w:rsidP="00417BA5">
      <w:pPr>
        <w:spacing w:after="0" w:line="360" w:lineRule="auto"/>
        <w:jc w:val="both"/>
        <w:rPr>
          <w:rFonts w:ascii="Times New Roman" w:hAnsi="Times New Roman" w:cs="Times New Roman"/>
          <w:b/>
          <w:bCs/>
          <w:i/>
          <w:sz w:val="24"/>
          <w:szCs w:val="24"/>
        </w:rPr>
      </w:pPr>
      <w:r>
        <w:rPr>
          <w:rFonts w:ascii="Times New Roman" w:hAnsi="Times New Roman"/>
          <w:i/>
          <w:sz w:val="24"/>
        </w:rPr>
        <w:t>Dziękuję</w:t>
      </w:r>
    </w:p>
    <w:sectPr w:rsidR="00A359EC" w:rsidRPr="00A359EC" w:rsidSect="001F5F11">
      <w:footerReference w:type="even" r:id="rId9"/>
      <w:footerReference w:type="default" r:id="rId10"/>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ABE58C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45321" w16cex:dateUtc="2023-03-09T11: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BE58CC" w16cid:durableId="27B4532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EE4" w:rsidRDefault="00580EE4" w:rsidP="004D5B8D">
      <w:pPr>
        <w:spacing w:after="0" w:line="240" w:lineRule="auto"/>
      </w:pPr>
      <w:r>
        <w:separator/>
      </w:r>
    </w:p>
  </w:endnote>
  <w:endnote w:type="continuationSeparator" w:id="0">
    <w:p w:rsidR="00580EE4" w:rsidRDefault="00580EE4" w:rsidP="004D5B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umerstrony"/>
      </w:rPr>
      <w:id w:val="-697466191"/>
      <w:docPartObj>
        <w:docPartGallery w:val="Page Numbers (Bottom of Page)"/>
        <w:docPartUnique/>
      </w:docPartObj>
    </w:sdtPr>
    <w:sdtContent>
      <w:p w:rsidR="00785B59" w:rsidRDefault="000C1D88" w:rsidP="00253BD9">
        <w:pPr>
          <w:pStyle w:val="Stopka"/>
          <w:framePr w:wrap="none" w:vAnchor="text" w:hAnchor="margin" w:xAlign="right" w:y="1"/>
          <w:rPr>
            <w:rStyle w:val="Numerstrony"/>
          </w:rPr>
        </w:pPr>
        <w:r>
          <w:rPr>
            <w:rStyle w:val="Numerstrony"/>
          </w:rPr>
          <w:fldChar w:fldCharType="begin"/>
        </w:r>
        <w:r w:rsidR="00785B59">
          <w:rPr>
            <w:rStyle w:val="Numerstrony"/>
          </w:rPr>
          <w:instrText xml:space="preserve"> PAGE </w:instrText>
        </w:r>
        <w:r>
          <w:rPr>
            <w:rStyle w:val="Numerstrony"/>
          </w:rPr>
          <w:fldChar w:fldCharType="end"/>
        </w:r>
      </w:p>
    </w:sdtContent>
  </w:sdt>
  <w:p w:rsidR="00785B59" w:rsidRDefault="00785B59" w:rsidP="00785B59">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umerstrony"/>
      </w:rPr>
      <w:id w:val="-655530005"/>
      <w:docPartObj>
        <w:docPartGallery w:val="Page Numbers (Bottom of Page)"/>
        <w:docPartUnique/>
      </w:docPartObj>
    </w:sdtPr>
    <w:sdtContent>
      <w:p w:rsidR="00785B59" w:rsidRDefault="000C1D88" w:rsidP="00253BD9">
        <w:pPr>
          <w:pStyle w:val="Stopka"/>
          <w:framePr w:wrap="none" w:vAnchor="text" w:hAnchor="margin" w:xAlign="right" w:y="1"/>
          <w:rPr>
            <w:rStyle w:val="Numerstrony"/>
          </w:rPr>
        </w:pPr>
        <w:r>
          <w:rPr>
            <w:rStyle w:val="Numerstrony"/>
          </w:rPr>
          <w:fldChar w:fldCharType="begin"/>
        </w:r>
        <w:r w:rsidR="00785B59">
          <w:rPr>
            <w:rStyle w:val="Numerstrony"/>
          </w:rPr>
          <w:instrText xml:space="preserve"> PAGE </w:instrText>
        </w:r>
        <w:r>
          <w:rPr>
            <w:rStyle w:val="Numerstrony"/>
          </w:rPr>
          <w:fldChar w:fldCharType="separate"/>
        </w:r>
        <w:r w:rsidR="00825947">
          <w:rPr>
            <w:rStyle w:val="Numerstrony"/>
            <w:noProof/>
          </w:rPr>
          <w:t>12</w:t>
        </w:r>
        <w:r>
          <w:rPr>
            <w:rStyle w:val="Numerstrony"/>
          </w:rPr>
          <w:fldChar w:fldCharType="end"/>
        </w:r>
      </w:p>
    </w:sdtContent>
  </w:sdt>
  <w:p w:rsidR="00785B59" w:rsidRDefault="00785B59" w:rsidP="00785B59">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EE4" w:rsidRDefault="00580EE4" w:rsidP="004D5B8D">
      <w:pPr>
        <w:spacing w:after="0" w:line="240" w:lineRule="auto"/>
      </w:pPr>
      <w:r>
        <w:separator/>
      </w:r>
    </w:p>
  </w:footnote>
  <w:footnote w:type="continuationSeparator" w:id="0">
    <w:p w:rsidR="00580EE4" w:rsidRDefault="00580EE4" w:rsidP="004D5B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13B05"/>
    <w:multiLevelType w:val="hybridMultilevel"/>
    <w:tmpl w:val="F2C65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33175E"/>
    <w:multiLevelType w:val="hybridMultilevel"/>
    <w:tmpl w:val="63BEE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252CC9"/>
    <w:multiLevelType w:val="hybridMultilevel"/>
    <w:tmpl w:val="2CF2A202"/>
    <w:lvl w:ilvl="0" w:tplc="08090001">
      <w:start w:val="1"/>
      <w:numFmt w:val="bullet"/>
      <w:lvlText w:val=""/>
      <w:lvlJc w:val="left"/>
      <w:pPr>
        <w:ind w:left="720" w:hanging="360"/>
      </w:pPr>
      <w:rPr>
        <w:rFonts w:ascii="Symbol" w:hAnsi="Symbol" w:hint="default"/>
      </w:rPr>
    </w:lvl>
    <w:lvl w:ilvl="1" w:tplc="C3A667C8">
      <w:start w:val="1"/>
      <w:numFmt w:val="bullet"/>
      <w:lvlText w:val="o"/>
      <w:lvlJc w:val="left"/>
      <w:pPr>
        <w:ind w:left="1440" w:hanging="360"/>
      </w:pPr>
      <w:rPr>
        <w:rFonts w:ascii="Courier New" w:hAnsi="Courier New" w:cs="Courier New" w:hint="default"/>
        <w:strike w:val="0"/>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3E49CD"/>
    <w:multiLevelType w:val="hybridMultilevel"/>
    <w:tmpl w:val="087CC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1811EA"/>
    <w:multiLevelType w:val="hybridMultilevel"/>
    <w:tmpl w:val="F1329F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F181BC4"/>
    <w:multiLevelType w:val="hybridMultilevel"/>
    <w:tmpl w:val="DEC8211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46E4269"/>
    <w:multiLevelType w:val="hybridMultilevel"/>
    <w:tmpl w:val="EC809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5B679D"/>
    <w:multiLevelType w:val="hybridMultilevel"/>
    <w:tmpl w:val="9C9488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3A2008F"/>
    <w:multiLevelType w:val="hybridMultilevel"/>
    <w:tmpl w:val="3EE8C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E660123"/>
    <w:multiLevelType w:val="hybridMultilevel"/>
    <w:tmpl w:val="40F2D834"/>
    <w:lvl w:ilvl="0" w:tplc="60FAF45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4"/>
  </w:num>
  <w:num w:numId="5">
    <w:abstractNumId w:val="6"/>
  </w:num>
  <w:num w:numId="6">
    <w:abstractNumId w:val="5"/>
  </w:num>
  <w:num w:numId="7">
    <w:abstractNumId w:val="3"/>
  </w:num>
  <w:num w:numId="8">
    <w:abstractNumId w:val="10"/>
  </w:num>
  <w:num w:numId="9">
    <w:abstractNumId w:val="1"/>
  </w:num>
  <w:num w:numId="1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anna Chwedczuk">
    <w15:presenceInfo w15:providerId="AD" w15:userId="S-1-5-21-3852404896-2482437163-1635246310-160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hyphenationZone w:val="425"/>
  <w:characterSpacingControl w:val="doNotCompress"/>
  <w:footnotePr>
    <w:footnote w:id="-1"/>
    <w:footnote w:id="0"/>
  </w:footnotePr>
  <w:endnotePr>
    <w:endnote w:id="-1"/>
    <w:endnote w:id="0"/>
  </w:endnotePr>
  <w:compat/>
  <w:rsids>
    <w:rsidRoot w:val="00B53F45"/>
    <w:rsid w:val="00015470"/>
    <w:rsid w:val="000171D3"/>
    <w:rsid w:val="0002163B"/>
    <w:rsid w:val="00021EF3"/>
    <w:rsid w:val="0003678E"/>
    <w:rsid w:val="0003723F"/>
    <w:rsid w:val="00043F56"/>
    <w:rsid w:val="00044F02"/>
    <w:rsid w:val="0004722A"/>
    <w:rsid w:val="00051864"/>
    <w:rsid w:val="0006079A"/>
    <w:rsid w:val="0006667A"/>
    <w:rsid w:val="00071EE3"/>
    <w:rsid w:val="00072A95"/>
    <w:rsid w:val="00073523"/>
    <w:rsid w:val="000957BC"/>
    <w:rsid w:val="000957C1"/>
    <w:rsid w:val="00097987"/>
    <w:rsid w:val="000B1BC2"/>
    <w:rsid w:val="000B5849"/>
    <w:rsid w:val="000C1D88"/>
    <w:rsid w:val="000D6BDB"/>
    <w:rsid w:val="000E6267"/>
    <w:rsid w:val="000F1ADB"/>
    <w:rsid w:val="000F7804"/>
    <w:rsid w:val="00100660"/>
    <w:rsid w:val="00104640"/>
    <w:rsid w:val="0011025A"/>
    <w:rsid w:val="00112267"/>
    <w:rsid w:val="001340B3"/>
    <w:rsid w:val="001366E0"/>
    <w:rsid w:val="0014547D"/>
    <w:rsid w:val="001477FB"/>
    <w:rsid w:val="001507AD"/>
    <w:rsid w:val="001611AB"/>
    <w:rsid w:val="00171C9C"/>
    <w:rsid w:val="001735C3"/>
    <w:rsid w:val="00174E24"/>
    <w:rsid w:val="00180F87"/>
    <w:rsid w:val="00183C9B"/>
    <w:rsid w:val="00190344"/>
    <w:rsid w:val="00194AF0"/>
    <w:rsid w:val="0019630C"/>
    <w:rsid w:val="001A7397"/>
    <w:rsid w:val="001C6AA6"/>
    <w:rsid w:val="001E0BC0"/>
    <w:rsid w:val="001E4C7F"/>
    <w:rsid w:val="001F3078"/>
    <w:rsid w:val="001F5F11"/>
    <w:rsid w:val="00202A4D"/>
    <w:rsid w:val="00211E08"/>
    <w:rsid w:val="002200B7"/>
    <w:rsid w:val="00221327"/>
    <w:rsid w:val="00225BCC"/>
    <w:rsid w:val="002406C4"/>
    <w:rsid w:val="002411D1"/>
    <w:rsid w:val="002412CA"/>
    <w:rsid w:val="00250D99"/>
    <w:rsid w:val="00255C2F"/>
    <w:rsid w:val="00256D56"/>
    <w:rsid w:val="002574FB"/>
    <w:rsid w:val="00260BF7"/>
    <w:rsid w:val="00260C51"/>
    <w:rsid w:val="002652E4"/>
    <w:rsid w:val="00273DC6"/>
    <w:rsid w:val="00277F31"/>
    <w:rsid w:val="00293588"/>
    <w:rsid w:val="002935C9"/>
    <w:rsid w:val="002A52D0"/>
    <w:rsid w:val="002A54C8"/>
    <w:rsid w:val="002B4314"/>
    <w:rsid w:val="002B654C"/>
    <w:rsid w:val="002C0F64"/>
    <w:rsid w:val="002D54EA"/>
    <w:rsid w:val="002D76E8"/>
    <w:rsid w:val="002E1B35"/>
    <w:rsid w:val="002E45FD"/>
    <w:rsid w:val="00300307"/>
    <w:rsid w:val="003049E8"/>
    <w:rsid w:val="003226AB"/>
    <w:rsid w:val="003233BC"/>
    <w:rsid w:val="00340997"/>
    <w:rsid w:val="0035405A"/>
    <w:rsid w:val="00362AEB"/>
    <w:rsid w:val="0036350A"/>
    <w:rsid w:val="003635D2"/>
    <w:rsid w:val="00370D4D"/>
    <w:rsid w:val="00387983"/>
    <w:rsid w:val="003A2FF5"/>
    <w:rsid w:val="003A640D"/>
    <w:rsid w:val="003B02C7"/>
    <w:rsid w:val="003B351C"/>
    <w:rsid w:val="003B5FD1"/>
    <w:rsid w:val="003C100A"/>
    <w:rsid w:val="003C141E"/>
    <w:rsid w:val="003C64F8"/>
    <w:rsid w:val="003D1C7D"/>
    <w:rsid w:val="003D6B9B"/>
    <w:rsid w:val="003D7314"/>
    <w:rsid w:val="003E4D35"/>
    <w:rsid w:val="003E591B"/>
    <w:rsid w:val="003E7CB0"/>
    <w:rsid w:val="003F0F49"/>
    <w:rsid w:val="003F2DED"/>
    <w:rsid w:val="003F3B01"/>
    <w:rsid w:val="00407406"/>
    <w:rsid w:val="00412F80"/>
    <w:rsid w:val="00413357"/>
    <w:rsid w:val="004168FE"/>
    <w:rsid w:val="00417BA5"/>
    <w:rsid w:val="00424A23"/>
    <w:rsid w:val="004316AC"/>
    <w:rsid w:val="00450504"/>
    <w:rsid w:val="00465C07"/>
    <w:rsid w:val="004662F1"/>
    <w:rsid w:val="00466735"/>
    <w:rsid w:val="00475DC7"/>
    <w:rsid w:val="00483EED"/>
    <w:rsid w:val="004A2D64"/>
    <w:rsid w:val="004B060B"/>
    <w:rsid w:val="004B14AB"/>
    <w:rsid w:val="004C06BC"/>
    <w:rsid w:val="004C2D4E"/>
    <w:rsid w:val="004C2E4C"/>
    <w:rsid w:val="004C2F69"/>
    <w:rsid w:val="004C2F9F"/>
    <w:rsid w:val="004D5141"/>
    <w:rsid w:val="004D5B8D"/>
    <w:rsid w:val="004E2E74"/>
    <w:rsid w:val="004F0BAF"/>
    <w:rsid w:val="004F22B8"/>
    <w:rsid w:val="004F2699"/>
    <w:rsid w:val="004F278B"/>
    <w:rsid w:val="004F74F2"/>
    <w:rsid w:val="00513FB6"/>
    <w:rsid w:val="00515AB2"/>
    <w:rsid w:val="00524553"/>
    <w:rsid w:val="00524A51"/>
    <w:rsid w:val="005372EC"/>
    <w:rsid w:val="00543693"/>
    <w:rsid w:val="00543F24"/>
    <w:rsid w:val="00544BC5"/>
    <w:rsid w:val="00555D82"/>
    <w:rsid w:val="00565494"/>
    <w:rsid w:val="00567C20"/>
    <w:rsid w:val="00574893"/>
    <w:rsid w:val="00580EE4"/>
    <w:rsid w:val="00583C02"/>
    <w:rsid w:val="00591E96"/>
    <w:rsid w:val="005933A0"/>
    <w:rsid w:val="00594588"/>
    <w:rsid w:val="005B1B78"/>
    <w:rsid w:val="005C1276"/>
    <w:rsid w:val="005D5C2C"/>
    <w:rsid w:val="005E46B9"/>
    <w:rsid w:val="005F0EC1"/>
    <w:rsid w:val="005F2918"/>
    <w:rsid w:val="005F2B00"/>
    <w:rsid w:val="005F78A1"/>
    <w:rsid w:val="006053FB"/>
    <w:rsid w:val="00617612"/>
    <w:rsid w:val="00643240"/>
    <w:rsid w:val="0065025C"/>
    <w:rsid w:val="00654F8A"/>
    <w:rsid w:val="00654FA8"/>
    <w:rsid w:val="006613E9"/>
    <w:rsid w:val="0066206C"/>
    <w:rsid w:val="006624E0"/>
    <w:rsid w:val="00671AEA"/>
    <w:rsid w:val="0068394D"/>
    <w:rsid w:val="00693103"/>
    <w:rsid w:val="006A7567"/>
    <w:rsid w:val="006B2CF8"/>
    <w:rsid w:val="006B33DD"/>
    <w:rsid w:val="006B4031"/>
    <w:rsid w:val="006B5541"/>
    <w:rsid w:val="006C0899"/>
    <w:rsid w:val="006C2056"/>
    <w:rsid w:val="006D4BA8"/>
    <w:rsid w:val="006E7B19"/>
    <w:rsid w:val="006F0103"/>
    <w:rsid w:val="006F3681"/>
    <w:rsid w:val="006F616B"/>
    <w:rsid w:val="00730F3C"/>
    <w:rsid w:val="0073286C"/>
    <w:rsid w:val="00734503"/>
    <w:rsid w:val="00741389"/>
    <w:rsid w:val="00741404"/>
    <w:rsid w:val="0075586D"/>
    <w:rsid w:val="00766B16"/>
    <w:rsid w:val="00767CB9"/>
    <w:rsid w:val="00771BF6"/>
    <w:rsid w:val="00773486"/>
    <w:rsid w:val="00780360"/>
    <w:rsid w:val="00781212"/>
    <w:rsid w:val="00785B59"/>
    <w:rsid w:val="007911E9"/>
    <w:rsid w:val="007A3694"/>
    <w:rsid w:val="007A3B6F"/>
    <w:rsid w:val="007C0EF4"/>
    <w:rsid w:val="007F1DDA"/>
    <w:rsid w:val="007F248D"/>
    <w:rsid w:val="007F448A"/>
    <w:rsid w:val="00802B3D"/>
    <w:rsid w:val="008103B5"/>
    <w:rsid w:val="00810DC9"/>
    <w:rsid w:val="00810DD6"/>
    <w:rsid w:val="00814C94"/>
    <w:rsid w:val="00821CB4"/>
    <w:rsid w:val="0082241B"/>
    <w:rsid w:val="00825947"/>
    <w:rsid w:val="00831B7A"/>
    <w:rsid w:val="008326AF"/>
    <w:rsid w:val="00857C4D"/>
    <w:rsid w:val="008644E7"/>
    <w:rsid w:val="00864E67"/>
    <w:rsid w:val="008805C1"/>
    <w:rsid w:val="00886D91"/>
    <w:rsid w:val="008902D3"/>
    <w:rsid w:val="008916B5"/>
    <w:rsid w:val="008A3379"/>
    <w:rsid w:val="008D1E64"/>
    <w:rsid w:val="008E1556"/>
    <w:rsid w:val="008E1AA1"/>
    <w:rsid w:val="00922999"/>
    <w:rsid w:val="00941722"/>
    <w:rsid w:val="009429F5"/>
    <w:rsid w:val="009470BB"/>
    <w:rsid w:val="0095004D"/>
    <w:rsid w:val="009561E3"/>
    <w:rsid w:val="00961232"/>
    <w:rsid w:val="00962D88"/>
    <w:rsid w:val="009709C0"/>
    <w:rsid w:val="0098082F"/>
    <w:rsid w:val="00990612"/>
    <w:rsid w:val="00991122"/>
    <w:rsid w:val="009A43DB"/>
    <w:rsid w:val="009A613B"/>
    <w:rsid w:val="009B5CBE"/>
    <w:rsid w:val="009B61D6"/>
    <w:rsid w:val="009E18A4"/>
    <w:rsid w:val="009E4C62"/>
    <w:rsid w:val="009F4240"/>
    <w:rsid w:val="00A1563F"/>
    <w:rsid w:val="00A16DB8"/>
    <w:rsid w:val="00A235CE"/>
    <w:rsid w:val="00A25B90"/>
    <w:rsid w:val="00A359EC"/>
    <w:rsid w:val="00A4138C"/>
    <w:rsid w:val="00A42BA9"/>
    <w:rsid w:val="00A62821"/>
    <w:rsid w:val="00A6700A"/>
    <w:rsid w:val="00A67C67"/>
    <w:rsid w:val="00A67E9A"/>
    <w:rsid w:val="00A7054F"/>
    <w:rsid w:val="00A83C91"/>
    <w:rsid w:val="00A8579C"/>
    <w:rsid w:val="00A92A38"/>
    <w:rsid w:val="00A92E7B"/>
    <w:rsid w:val="00AA006B"/>
    <w:rsid w:val="00AA0C64"/>
    <w:rsid w:val="00AA230A"/>
    <w:rsid w:val="00AA5F9E"/>
    <w:rsid w:val="00AC18AA"/>
    <w:rsid w:val="00AC7F17"/>
    <w:rsid w:val="00AD7244"/>
    <w:rsid w:val="00AD7C23"/>
    <w:rsid w:val="00AE035F"/>
    <w:rsid w:val="00B02EEC"/>
    <w:rsid w:val="00B326D2"/>
    <w:rsid w:val="00B33477"/>
    <w:rsid w:val="00B53F45"/>
    <w:rsid w:val="00B56CD9"/>
    <w:rsid w:val="00B637D6"/>
    <w:rsid w:val="00B65403"/>
    <w:rsid w:val="00B661CD"/>
    <w:rsid w:val="00B80942"/>
    <w:rsid w:val="00B827C0"/>
    <w:rsid w:val="00B84D77"/>
    <w:rsid w:val="00B874FF"/>
    <w:rsid w:val="00B9121B"/>
    <w:rsid w:val="00BB6BAC"/>
    <w:rsid w:val="00BD11C4"/>
    <w:rsid w:val="00BD305F"/>
    <w:rsid w:val="00BF3B76"/>
    <w:rsid w:val="00C11313"/>
    <w:rsid w:val="00C17AF9"/>
    <w:rsid w:val="00C24C14"/>
    <w:rsid w:val="00C25250"/>
    <w:rsid w:val="00C3313F"/>
    <w:rsid w:val="00C33D5E"/>
    <w:rsid w:val="00C40C94"/>
    <w:rsid w:val="00C4301F"/>
    <w:rsid w:val="00C46104"/>
    <w:rsid w:val="00C511D8"/>
    <w:rsid w:val="00C625B9"/>
    <w:rsid w:val="00C700C6"/>
    <w:rsid w:val="00C90126"/>
    <w:rsid w:val="00C933FB"/>
    <w:rsid w:val="00C97C34"/>
    <w:rsid w:val="00CA64C9"/>
    <w:rsid w:val="00CA6B93"/>
    <w:rsid w:val="00CB3975"/>
    <w:rsid w:val="00CC6EE9"/>
    <w:rsid w:val="00CD2A4B"/>
    <w:rsid w:val="00CD61C8"/>
    <w:rsid w:val="00CF111F"/>
    <w:rsid w:val="00CF6DB6"/>
    <w:rsid w:val="00D05E78"/>
    <w:rsid w:val="00D1155A"/>
    <w:rsid w:val="00D31B57"/>
    <w:rsid w:val="00D449F6"/>
    <w:rsid w:val="00D4789E"/>
    <w:rsid w:val="00D51C14"/>
    <w:rsid w:val="00D56CCD"/>
    <w:rsid w:val="00D61B45"/>
    <w:rsid w:val="00D628F5"/>
    <w:rsid w:val="00D715E0"/>
    <w:rsid w:val="00D71F27"/>
    <w:rsid w:val="00D736F6"/>
    <w:rsid w:val="00D8371D"/>
    <w:rsid w:val="00D83B85"/>
    <w:rsid w:val="00D9493D"/>
    <w:rsid w:val="00D94FBE"/>
    <w:rsid w:val="00DA3F78"/>
    <w:rsid w:val="00DC0B55"/>
    <w:rsid w:val="00DE0588"/>
    <w:rsid w:val="00DE3E68"/>
    <w:rsid w:val="00E036B5"/>
    <w:rsid w:val="00E07ED2"/>
    <w:rsid w:val="00E1039A"/>
    <w:rsid w:val="00E35715"/>
    <w:rsid w:val="00E4365A"/>
    <w:rsid w:val="00E535BB"/>
    <w:rsid w:val="00E54BB6"/>
    <w:rsid w:val="00E763C5"/>
    <w:rsid w:val="00E764DB"/>
    <w:rsid w:val="00E87366"/>
    <w:rsid w:val="00ED1F2B"/>
    <w:rsid w:val="00ED3A9D"/>
    <w:rsid w:val="00EE4A7B"/>
    <w:rsid w:val="00EE5511"/>
    <w:rsid w:val="00EF6C41"/>
    <w:rsid w:val="00F03689"/>
    <w:rsid w:val="00F137DC"/>
    <w:rsid w:val="00F17466"/>
    <w:rsid w:val="00F313FA"/>
    <w:rsid w:val="00F35FF0"/>
    <w:rsid w:val="00F40130"/>
    <w:rsid w:val="00F51A8E"/>
    <w:rsid w:val="00F64386"/>
    <w:rsid w:val="00F75D7E"/>
    <w:rsid w:val="00F8220D"/>
    <w:rsid w:val="00F83A23"/>
    <w:rsid w:val="00FA2CCC"/>
    <w:rsid w:val="00FA6AEE"/>
    <w:rsid w:val="00FB5E01"/>
    <w:rsid w:val="00FF03BD"/>
    <w:rsid w:val="00FF6763"/>
    <w:rsid w:val="00FF6D1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5F1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53F45"/>
    <w:pPr>
      <w:spacing w:after="0" w:line="240" w:lineRule="auto"/>
      <w:ind w:left="720"/>
      <w:contextualSpacing/>
    </w:pPr>
    <w:rPr>
      <w:sz w:val="24"/>
      <w:szCs w:val="24"/>
    </w:rPr>
  </w:style>
  <w:style w:type="paragraph" w:styleId="Stopka">
    <w:name w:val="footer"/>
    <w:basedOn w:val="Normalny"/>
    <w:link w:val="StopkaZnak"/>
    <w:uiPriority w:val="99"/>
    <w:unhideWhenUsed/>
    <w:rsid w:val="00B53F45"/>
    <w:pPr>
      <w:tabs>
        <w:tab w:val="center" w:pos="4513"/>
        <w:tab w:val="right" w:pos="9026"/>
      </w:tabs>
      <w:spacing w:after="0" w:line="240" w:lineRule="auto"/>
    </w:pPr>
    <w:rPr>
      <w:sz w:val="24"/>
      <w:szCs w:val="24"/>
    </w:rPr>
  </w:style>
  <w:style w:type="character" w:customStyle="1" w:styleId="StopkaZnak">
    <w:name w:val="Stopka Znak"/>
    <w:basedOn w:val="Domylnaczcionkaakapitu"/>
    <w:link w:val="Stopka"/>
    <w:uiPriority w:val="99"/>
    <w:rsid w:val="00B53F45"/>
    <w:rPr>
      <w:sz w:val="24"/>
      <w:szCs w:val="24"/>
      <w:lang w:val="pl-PL"/>
    </w:rPr>
  </w:style>
  <w:style w:type="character" w:styleId="Numerstrony">
    <w:name w:val="page number"/>
    <w:basedOn w:val="Domylnaczcionkaakapitu"/>
    <w:uiPriority w:val="99"/>
    <w:semiHidden/>
    <w:unhideWhenUsed/>
    <w:rsid w:val="00B53F45"/>
  </w:style>
  <w:style w:type="character" w:styleId="Odwoaniedokomentarza">
    <w:name w:val="annotation reference"/>
    <w:basedOn w:val="Domylnaczcionkaakapitu"/>
    <w:uiPriority w:val="99"/>
    <w:semiHidden/>
    <w:unhideWhenUsed/>
    <w:rsid w:val="00B53F45"/>
    <w:rPr>
      <w:sz w:val="16"/>
      <w:szCs w:val="16"/>
    </w:rPr>
  </w:style>
  <w:style w:type="paragraph" w:styleId="Tekstkomentarza">
    <w:name w:val="annotation text"/>
    <w:basedOn w:val="Normalny"/>
    <w:link w:val="TekstkomentarzaZnak"/>
    <w:uiPriority w:val="99"/>
    <w:unhideWhenUsed/>
    <w:rsid w:val="00B53F45"/>
    <w:pPr>
      <w:spacing w:after="0" w:line="240" w:lineRule="auto"/>
    </w:pPr>
    <w:rPr>
      <w:sz w:val="20"/>
      <w:szCs w:val="20"/>
    </w:rPr>
  </w:style>
  <w:style w:type="character" w:customStyle="1" w:styleId="TekstkomentarzaZnak">
    <w:name w:val="Tekst komentarza Znak"/>
    <w:basedOn w:val="Domylnaczcionkaakapitu"/>
    <w:link w:val="Tekstkomentarza"/>
    <w:uiPriority w:val="99"/>
    <w:rsid w:val="00B53F45"/>
    <w:rPr>
      <w:sz w:val="20"/>
      <w:szCs w:val="20"/>
      <w:lang w:val="pl-PL"/>
    </w:rPr>
  </w:style>
  <w:style w:type="paragraph" w:styleId="Tematkomentarza">
    <w:name w:val="annotation subject"/>
    <w:basedOn w:val="Tekstkomentarza"/>
    <w:next w:val="Tekstkomentarza"/>
    <w:link w:val="TematkomentarzaZnak"/>
    <w:uiPriority w:val="99"/>
    <w:semiHidden/>
    <w:unhideWhenUsed/>
    <w:rsid w:val="00B53F45"/>
    <w:rPr>
      <w:b/>
      <w:bCs/>
    </w:rPr>
  </w:style>
  <w:style w:type="character" w:customStyle="1" w:styleId="TematkomentarzaZnak">
    <w:name w:val="Temat komentarza Znak"/>
    <w:basedOn w:val="TekstkomentarzaZnak"/>
    <w:link w:val="Tematkomentarza"/>
    <w:uiPriority w:val="99"/>
    <w:semiHidden/>
    <w:rsid w:val="00B53F45"/>
    <w:rPr>
      <w:b/>
      <w:bCs/>
      <w:sz w:val="20"/>
      <w:szCs w:val="20"/>
      <w:lang w:val="pl-PL"/>
    </w:rPr>
  </w:style>
  <w:style w:type="character" w:styleId="Hipercze">
    <w:name w:val="Hyperlink"/>
    <w:basedOn w:val="Domylnaczcionkaakapitu"/>
    <w:uiPriority w:val="99"/>
    <w:unhideWhenUsed/>
    <w:rsid w:val="00B53F45"/>
    <w:rPr>
      <w:color w:val="0563C1" w:themeColor="hyperlink"/>
      <w:u w:val="single"/>
    </w:rPr>
  </w:style>
  <w:style w:type="character" w:customStyle="1" w:styleId="UnresolvedMention1">
    <w:name w:val="Unresolved Mention1"/>
    <w:basedOn w:val="Domylnaczcionkaakapitu"/>
    <w:uiPriority w:val="99"/>
    <w:semiHidden/>
    <w:unhideWhenUsed/>
    <w:rsid w:val="00B53F45"/>
    <w:rPr>
      <w:color w:val="605E5C"/>
      <w:shd w:val="clear" w:color="auto" w:fill="E1DFDD"/>
    </w:rPr>
  </w:style>
  <w:style w:type="character" w:styleId="UyteHipercze">
    <w:name w:val="FollowedHyperlink"/>
    <w:basedOn w:val="Domylnaczcionkaakapitu"/>
    <w:uiPriority w:val="99"/>
    <w:semiHidden/>
    <w:unhideWhenUsed/>
    <w:rsid w:val="00B53F45"/>
    <w:rPr>
      <w:color w:val="954F72" w:themeColor="followedHyperlink"/>
      <w:u w:val="single"/>
    </w:rPr>
  </w:style>
  <w:style w:type="paragraph" w:styleId="Tekstprzypisudolnego">
    <w:name w:val="footnote text"/>
    <w:basedOn w:val="Normalny"/>
    <w:link w:val="TekstprzypisudolnegoZnak"/>
    <w:uiPriority w:val="99"/>
    <w:semiHidden/>
    <w:unhideWhenUsed/>
    <w:rsid w:val="004D5B8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D5B8D"/>
    <w:rPr>
      <w:sz w:val="20"/>
      <w:szCs w:val="20"/>
    </w:rPr>
  </w:style>
  <w:style w:type="character" w:styleId="Odwoanieprzypisudolnego">
    <w:name w:val="footnote reference"/>
    <w:basedOn w:val="Domylnaczcionkaakapitu"/>
    <w:uiPriority w:val="99"/>
    <w:semiHidden/>
    <w:unhideWhenUsed/>
    <w:rsid w:val="004D5B8D"/>
    <w:rPr>
      <w:vertAlign w:val="superscript"/>
    </w:rPr>
  </w:style>
  <w:style w:type="paragraph" w:styleId="Poprawka">
    <w:name w:val="Revision"/>
    <w:hidden/>
    <w:uiPriority w:val="99"/>
    <w:semiHidden/>
    <w:rsid w:val="00465C07"/>
    <w:pPr>
      <w:spacing w:after="0" w:line="240" w:lineRule="auto"/>
    </w:pPr>
  </w:style>
  <w:style w:type="paragraph" w:customStyle="1" w:styleId="Body">
    <w:name w:val="Body"/>
    <w:rsid w:val="002411D1"/>
    <w:pPr>
      <w:spacing w:line="256" w:lineRule="auto"/>
    </w:pPr>
    <w:rPr>
      <w:rFonts w:ascii="Calibri" w:eastAsia="Calibri" w:hAnsi="Calibri" w:cs="Calibri"/>
      <w:color w:val="000000"/>
      <w:u w:color="000000"/>
      <w:lang w:eastAsia="en-GB"/>
    </w:rPr>
  </w:style>
  <w:style w:type="paragraph" w:styleId="Tekstdymka">
    <w:name w:val="Balloon Text"/>
    <w:basedOn w:val="Normalny"/>
    <w:link w:val="TekstdymkaZnak"/>
    <w:uiPriority w:val="99"/>
    <w:semiHidden/>
    <w:unhideWhenUsed/>
    <w:rsid w:val="004C2E4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C2E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5639854">
      <w:bodyDiv w:val="1"/>
      <w:marLeft w:val="0"/>
      <w:marRight w:val="0"/>
      <w:marTop w:val="0"/>
      <w:marBottom w:val="0"/>
      <w:divBdr>
        <w:top w:val="none" w:sz="0" w:space="0" w:color="auto"/>
        <w:left w:val="none" w:sz="0" w:space="0" w:color="auto"/>
        <w:bottom w:val="none" w:sz="0" w:space="0" w:color="auto"/>
        <w:right w:val="none" w:sz="0" w:space="0" w:color="auto"/>
      </w:divBdr>
      <w:divsChild>
        <w:div w:id="358556322">
          <w:marLeft w:val="0"/>
          <w:marRight w:val="0"/>
          <w:marTop w:val="0"/>
          <w:marBottom w:val="0"/>
          <w:divBdr>
            <w:top w:val="none" w:sz="0" w:space="0" w:color="auto"/>
            <w:left w:val="none" w:sz="0" w:space="0" w:color="auto"/>
            <w:bottom w:val="none" w:sz="0" w:space="0" w:color="auto"/>
            <w:right w:val="none" w:sz="0" w:space="0" w:color="auto"/>
          </w:divBdr>
          <w:divsChild>
            <w:div w:id="1593389490">
              <w:marLeft w:val="-100"/>
              <w:marRight w:val="-100"/>
              <w:marTop w:val="0"/>
              <w:marBottom w:val="0"/>
              <w:divBdr>
                <w:top w:val="none" w:sz="0" w:space="0" w:color="auto"/>
                <w:left w:val="none" w:sz="0" w:space="0" w:color="auto"/>
                <w:bottom w:val="none" w:sz="0" w:space="0" w:color="auto"/>
                <w:right w:val="none" w:sz="0" w:space="0" w:color="auto"/>
              </w:divBdr>
            </w:div>
          </w:divsChild>
        </w:div>
        <w:div w:id="788933268">
          <w:marLeft w:val="0"/>
          <w:marRight w:val="0"/>
          <w:marTop w:val="0"/>
          <w:marBottom w:val="0"/>
          <w:divBdr>
            <w:top w:val="none" w:sz="0" w:space="0" w:color="auto"/>
            <w:left w:val="none" w:sz="0" w:space="0" w:color="auto"/>
            <w:bottom w:val="none" w:sz="0" w:space="0" w:color="auto"/>
            <w:right w:val="none" w:sz="0" w:space="0" w:color="auto"/>
          </w:divBdr>
          <w:divsChild>
            <w:div w:id="1087266120">
              <w:marLeft w:val="-100"/>
              <w:marRight w:val="-100"/>
              <w:marTop w:val="0"/>
              <w:marBottom w:val="0"/>
              <w:divBdr>
                <w:top w:val="none" w:sz="0" w:space="0" w:color="auto"/>
                <w:left w:val="none" w:sz="0" w:space="0" w:color="auto"/>
                <w:bottom w:val="none" w:sz="0" w:space="0" w:color="auto"/>
                <w:right w:val="none" w:sz="0" w:space="0" w:color="auto"/>
              </w:divBdr>
            </w:div>
          </w:divsChild>
        </w:div>
        <w:div w:id="603341545">
          <w:marLeft w:val="0"/>
          <w:marRight w:val="0"/>
          <w:marTop w:val="0"/>
          <w:marBottom w:val="0"/>
          <w:divBdr>
            <w:top w:val="none" w:sz="0" w:space="0" w:color="auto"/>
            <w:left w:val="none" w:sz="0" w:space="0" w:color="auto"/>
            <w:bottom w:val="none" w:sz="0" w:space="0" w:color="auto"/>
            <w:right w:val="none" w:sz="0" w:space="0" w:color="auto"/>
          </w:divBdr>
          <w:divsChild>
            <w:div w:id="20208374">
              <w:marLeft w:val="-100"/>
              <w:marRight w:val="-100"/>
              <w:marTop w:val="0"/>
              <w:marBottom w:val="0"/>
              <w:divBdr>
                <w:top w:val="none" w:sz="0" w:space="0" w:color="auto"/>
                <w:left w:val="none" w:sz="0" w:space="0" w:color="auto"/>
                <w:bottom w:val="none" w:sz="0" w:space="0" w:color="auto"/>
                <w:right w:val="none" w:sz="0" w:space="0" w:color="auto"/>
              </w:divBdr>
            </w:div>
          </w:divsChild>
        </w:div>
        <w:div w:id="1745183487">
          <w:marLeft w:val="0"/>
          <w:marRight w:val="0"/>
          <w:marTop w:val="0"/>
          <w:marBottom w:val="0"/>
          <w:divBdr>
            <w:top w:val="none" w:sz="0" w:space="0" w:color="auto"/>
            <w:left w:val="none" w:sz="0" w:space="0" w:color="auto"/>
            <w:bottom w:val="none" w:sz="0" w:space="0" w:color="auto"/>
            <w:right w:val="none" w:sz="0" w:space="0" w:color="auto"/>
          </w:divBdr>
          <w:divsChild>
            <w:div w:id="140275272">
              <w:marLeft w:val="-100"/>
              <w:marRight w:val="-100"/>
              <w:marTop w:val="0"/>
              <w:marBottom w:val="0"/>
              <w:divBdr>
                <w:top w:val="none" w:sz="0" w:space="0" w:color="auto"/>
                <w:left w:val="none" w:sz="0" w:space="0" w:color="auto"/>
                <w:bottom w:val="none" w:sz="0" w:space="0" w:color="auto"/>
                <w:right w:val="none" w:sz="0" w:space="0" w:color="auto"/>
              </w:divBdr>
            </w:div>
          </w:divsChild>
        </w:div>
      </w:divsChild>
    </w:div>
    <w:div w:id="119734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8/08/relationships/commentsExtensible" Target="commentsExtensi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55924-D3AF-4F9C-9FB3-D126B8CBB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4102</Words>
  <Characters>24617</Characters>
  <Application>Microsoft Office Word</Application>
  <DocSecurity>0</DocSecurity>
  <Lines>205</Lines>
  <Paragraphs>57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OHCHR</Company>
  <LinksUpToDate>false</LinksUpToDate>
  <CharactersWithSpaces>28662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Alienor Bejannin</dc:creator>
  <cp:lastModifiedBy>Marek</cp:lastModifiedBy>
  <cp:revision>5</cp:revision>
  <dcterms:created xsi:type="dcterms:W3CDTF">2023-03-09T13:25:00Z</dcterms:created>
  <dcterms:modified xsi:type="dcterms:W3CDTF">2023-03-09T13:30:00Z</dcterms:modified>
</cp:coreProperties>
</file>